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tbl>
      <w:tblPr>
        <w:tblW w:w="169" w:type="dxa"/>
        <w:jc w:val="left"/>
        <w:tblInd w:w="0" w:type="dxa"/>
        <w:tblCellMar>
          <w:top w:w="0" w:type="dxa"/>
          <w:left w:w="0" w:type="dxa"/>
          <w:bottom w:w="28" w:type="dxa"/>
          <w:right w:w="0" w:type="dxa"/>
        </w:tblCellMar>
      </w:tblPr>
      <w:tblGrid>
        <w:gridCol w:w="169"/>
      </w:tblGrid>
      <w:tr>
        <w:trPr/>
        <w:tc>
          <w:tcPr>
            <w:tcW w:w="169" w:type="dxa"/>
            <w:tcBorders>
              <w:bottom w:val="single" w:sz="30" w:space="0" w:color="000000"/>
            </w:tcBorders>
            <w:shd w:fill="auto" w:val="clear"/>
            <w:vAlign w:val="center"/>
          </w:tcPr>
          <w:p>
            <w:pPr>
              <w:pStyle w:val="TableContents"/>
              <w:spacing w:before="0" w:after="283"/>
              <w:rPr>
                <w:sz w:val="4"/>
                <w:szCs w:val="4"/>
              </w:rPr>
            </w:pPr>
            <w:r>
              <w:rPr>
                <w:sz w:val="4"/>
                <w:szCs w:val="4"/>
              </w:rPr>
            </w:r>
          </w:p>
        </w:tc>
      </w:tr>
      <w:tr>
        <w:trPr/>
        <w:tc>
          <w:tcPr>
            <w:tcW w:w="169" w:type="dxa"/>
            <w:tcBorders>
              <w:bottom w:val="single" w:sz="12" w:space="0" w:color="000000"/>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UNITED STATES</w:t>
        <w:br/>
        <w:t xml:space="preserve">SECURITIES AND EXCHANGE COMMISSION </w:t>
      </w:r>
    </w:p>
    <w:p>
      <w:pPr>
        <w:pStyle w:val="TextBody"/>
        <w:spacing w:before="0" w:after="0"/>
        <w:ind w:left="0" w:right="0" w:hanging="0"/>
        <w:jc w:val="center"/>
        <w:rPr/>
      </w:pPr>
      <w:r>
        <w:rPr>
          <w:rStyle w:val="StrongEmphasis"/>
          <w:rFonts w:ascii="times new roman" w:hAnsi="times new roman"/>
          <w:sz w:val="20"/>
        </w:rPr>
        <w:t>WASHINGTON, D.C. 20549</w:t>
      </w:r>
    </w:p>
    <w:p>
      <w:pPr>
        <w:pStyle w:val="TextBody"/>
        <w:spacing w:before="0" w:after="0"/>
        <w:ind w:left="0" w:right="0" w:hanging="0"/>
        <w:jc w:val="center"/>
        <w:rPr/>
      </w:pPr>
      <w:r>
        <w:rPr/>
        <w:t> </w:t>
      </w:r>
    </w:p>
    <w:p>
      <w:pPr>
        <w:pStyle w:val="TextBody"/>
        <w:spacing w:before="0" w:after="0"/>
        <w:ind w:left="0" w:right="0" w:hanging="0"/>
        <w:jc w:val="center"/>
        <w:rPr/>
      </w:pPr>
      <w:r>
        <w:rPr>
          <w:rStyle w:val="StrongEmphasis"/>
          <w:rFonts w:ascii="times new roman" w:hAnsi="times new roman"/>
          <w:sz w:val="36"/>
        </w:rPr>
        <w:t>FORM 10-K</w:t>
      </w:r>
    </w:p>
    <w:p>
      <w:pPr>
        <w:pStyle w:val="TextBody"/>
        <w:spacing w:before="0" w:after="0"/>
        <w:ind w:left="0" w:right="0" w:hanging="0"/>
        <w:jc w:val="both"/>
        <w:rPr/>
      </w:pPr>
      <w:r>
        <w:rPr>
          <w:rStyle w:val="StrongEmphasis"/>
          <w:rFonts w:ascii="times new roman" w:hAnsi="times new roman"/>
          <w:sz w:val="20"/>
        </w:rPr>
        <w:t>(Mark one)</w:t>
      </w:r>
      <w:r>
        <w:rPr>
          <w:rFonts w:ascii="times new roman" w:hAnsi="times new roman"/>
          <w:sz w:val="20"/>
        </w:rPr>
        <w:t xml:space="preserve"> </w:t>
      </w:r>
    </w:p>
    <w:tbl>
      <w:tblPr>
        <w:tblW w:w="10205" w:type="dxa"/>
        <w:jc w:val="left"/>
        <w:tblInd w:w="0" w:type="dxa"/>
        <w:tblCellMar>
          <w:top w:w="0" w:type="dxa"/>
          <w:left w:w="0" w:type="dxa"/>
          <w:bottom w:w="0" w:type="dxa"/>
          <w:right w:w="0" w:type="dxa"/>
        </w:tblCellMar>
      </w:tblPr>
      <w:tblGrid>
        <w:gridCol w:w="275"/>
        <w:gridCol w:w="9930"/>
      </w:tblGrid>
      <w:tr>
        <w:trPr/>
        <w:tc>
          <w:tcPr>
            <w:tcW w:w="275" w:type="dxa"/>
            <w:tcBorders/>
            <w:shd w:fill="auto" w:val="clear"/>
            <w:vAlign w:val="center"/>
          </w:tcPr>
          <w:p>
            <w:pPr>
              <w:pStyle w:val="TableContents"/>
              <w:spacing w:before="0" w:after="0"/>
              <w:ind w:left="0" w:right="0" w:hanging="0"/>
              <w:rPr/>
            </w:pPr>
            <w:r>
              <w:rPr/>
              <w:t>☒</w:t>
            </w:r>
          </w:p>
        </w:tc>
        <w:tc>
          <w:tcPr>
            <w:tcW w:w="9930" w:type="dxa"/>
            <w:tcBorders/>
            <w:shd w:fill="auto" w:val="clear"/>
            <w:vAlign w:val="center"/>
          </w:tcPr>
          <w:p>
            <w:pPr>
              <w:pStyle w:val="TableContents"/>
              <w:spacing w:before="0" w:after="0"/>
              <w:ind w:left="0" w:right="0" w:hanging="0"/>
              <w:rPr/>
            </w:pPr>
            <w:r>
              <w:rPr>
                <w:rStyle w:val="StrongEmphasis"/>
              </w:rPr>
              <w:t>ANNUAL REPORT PURSUANT TO SECTION 13 OR 15(d) OF THE SECURITIES EXCHANGE ACT OF 1934</w:t>
            </w:r>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For the fiscal year ended December 31, 2020 OR</w:t>
      </w:r>
    </w:p>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275"/>
        <w:gridCol w:w="9930"/>
      </w:tblGrid>
      <w:tr>
        <w:trPr/>
        <w:tc>
          <w:tcPr>
            <w:tcW w:w="275" w:type="dxa"/>
            <w:tcBorders/>
            <w:shd w:fill="auto" w:val="clear"/>
            <w:vAlign w:val="center"/>
          </w:tcPr>
          <w:p>
            <w:pPr>
              <w:pStyle w:val="TableContents"/>
              <w:spacing w:before="0" w:after="0"/>
              <w:ind w:left="0" w:right="0" w:hanging="0"/>
              <w:jc w:val="left"/>
              <w:rPr/>
            </w:pPr>
            <w:r>
              <w:rPr/>
              <w:t>☐</w:t>
            </w:r>
          </w:p>
        </w:tc>
        <w:tc>
          <w:tcPr>
            <w:tcW w:w="9930" w:type="dxa"/>
            <w:tcBorders/>
            <w:shd w:fill="auto" w:val="clear"/>
            <w:vAlign w:val="center"/>
          </w:tcPr>
          <w:p>
            <w:pPr>
              <w:pStyle w:val="TableContents"/>
              <w:spacing w:before="0" w:after="0"/>
              <w:ind w:left="0" w:right="0" w:hanging="0"/>
              <w:rPr/>
            </w:pPr>
            <w:r>
              <w:rPr>
                <w:rStyle w:val="StrongEmphasis"/>
              </w:rPr>
              <w:t>TRANSITION REPORT PURSUANT TO SECTION 13 OR 15(d) OF THE SECURITIES EXCHANGE ACT OF 1934</w:t>
            </w:r>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For the transition period from _________to _________</w:t>
      </w:r>
    </w:p>
    <w:p>
      <w:pPr>
        <w:pStyle w:val="TextBody"/>
        <w:spacing w:before="0" w:after="0"/>
        <w:ind w:left="0" w:right="0" w:hanging="0"/>
        <w:jc w:val="center"/>
        <w:rPr/>
      </w:pPr>
      <w:r>
        <w:rPr/>
        <w:t> </w:t>
      </w:r>
    </w:p>
    <w:p>
      <w:pPr>
        <w:pStyle w:val="TextBody"/>
        <w:spacing w:before="0" w:after="0"/>
        <w:ind w:left="0" w:right="0" w:hanging="0"/>
        <w:jc w:val="center"/>
        <w:rPr/>
      </w:pPr>
      <w:r>
        <w:rPr>
          <w:rStyle w:val="StrongEmphasis"/>
          <w:rFonts w:ascii="times new roman" w:hAnsi="times new roman"/>
          <w:sz w:val="20"/>
        </w:rPr>
        <w:t>Commission File Number 0-1665</w:t>
      </w:r>
    </w:p>
    <w:p>
      <w:pPr>
        <w:pStyle w:val="TextBody"/>
        <w:spacing w:before="0" w:after="0"/>
        <w:ind w:left="0" w:right="0" w:hanging="0"/>
        <w:jc w:val="center"/>
        <w:rPr/>
      </w:pPr>
      <w:r>
        <w:rPr/>
        <w:t> </w:t>
      </w:r>
    </w:p>
    <w:tbl>
      <w:tblPr>
        <w:tblW w:w="5480" w:type="dxa"/>
        <w:jc w:val="left"/>
        <w:tblInd w:w="0" w:type="dxa"/>
        <w:tblCellMar>
          <w:top w:w="0" w:type="dxa"/>
          <w:left w:w="0" w:type="dxa"/>
          <w:bottom w:w="28" w:type="dxa"/>
          <w:right w:w="0" w:type="dxa"/>
        </w:tblCellMar>
      </w:tblPr>
      <w:tblGrid>
        <w:gridCol w:w="5480"/>
      </w:tblGrid>
      <w:tr>
        <w:trPr/>
        <w:tc>
          <w:tcPr>
            <w:tcW w:w="5480" w:type="dxa"/>
            <w:tcBorders>
              <w:bottom w:val="single" w:sz="2" w:space="0" w:color="000000"/>
            </w:tcBorders>
            <w:shd w:fill="auto" w:val="clear"/>
            <w:vAlign w:val="center"/>
          </w:tcPr>
          <w:p>
            <w:pPr>
              <w:pStyle w:val="TableContents"/>
              <w:spacing w:before="0" w:after="0"/>
              <w:ind w:left="0" w:right="0" w:hanging="0"/>
              <w:jc w:val="center"/>
              <w:rPr/>
            </w:pPr>
            <w:r>
              <w:rPr>
                <w:rStyle w:val="StrongEmphasis"/>
                <w:sz w:val="36"/>
              </w:rPr>
              <w:t>KINGSTONE COMPANIES, INC.</w:t>
            </w:r>
          </w:p>
        </w:tc>
      </w:tr>
      <w:tr>
        <w:trPr/>
        <w:tc>
          <w:tcPr>
            <w:tcW w:w="5480" w:type="dxa"/>
            <w:tcBorders/>
            <w:shd w:fill="auto" w:val="clear"/>
            <w:tcMar>
              <w:bottom w:w="0" w:type="dxa"/>
            </w:tcMar>
            <w:vAlign w:val="center"/>
          </w:tcPr>
          <w:p>
            <w:pPr>
              <w:pStyle w:val="TableContents"/>
              <w:spacing w:before="0" w:after="0"/>
              <w:ind w:left="0" w:right="0" w:hanging="0"/>
              <w:jc w:val="center"/>
              <w:rPr/>
            </w:pPr>
            <w:r>
              <w:rPr>
                <w:rStyle w:val="StrongEmphasis"/>
              </w:rPr>
              <w:t>(Exact name of registrant as specified in its charter)</w:t>
            </w:r>
          </w:p>
        </w:tc>
      </w:tr>
    </w:tbl>
    <w:p>
      <w:pPr>
        <w:pStyle w:val="TextBody"/>
        <w:spacing w:before="0" w:after="0"/>
        <w:ind w:left="0" w:right="0" w:hanging="0"/>
        <w:jc w:val="center"/>
        <w:rPr/>
      </w:pPr>
      <w:r>
        <w:rPr/>
        <w:t> </w:t>
      </w:r>
    </w:p>
    <w:tbl>
      <w:tblPr>
        <w:tblW w:w="5740" w:type="dxa"/>
        <w:jc w:val="left"/>
        <w:tblInd w:w="0" w:type="dxa"/>
        <w:tblCellMar>
          <w:top w:w="0" w:type="dxa"/>
          <w:left w:w="0" w:type="dxa"/>
          <w:bottom w:w="28" w:type="dxa"/>
          <w:right w:w="0" w:type="dxa"/>
        </w:tblCellMar>
      </w:tblPr>
      <w:tblGrid>
        <w:gridCol w:w="3215"/>
        <w:gridCol w:w="90"/>
        <w:gridCol w:w="2435"/>
      </w:tblGrid>
      <w:tr>
        <w:trPr/>
        <w:tc>
          <w:tcPr>
            <w:tcW w:w="3215" w:type="dxa"/>
            <w:tcBorders>
              <w:bottom w:val="single" w:sz="2" w:space="0" w:color="000000"/>
            </w:tcBorders>
            <w:shd w:fill="auto" w:val="clear"/>
            <w:vAlign w:val="center"/>
          </w:tcPr>
          <w:p>
            <w:pPr>
              <w:pStyle w:val="TableContents"/>
              <w:spacing w:before="0" w:after="0"/>
              <w:ind w:left="0" w:right="0" w:hanging="0"/>
              <w:jc w:val="center"/>
              <w:rPr/>
            </w:pPr>
            <w:r>
              <w:rPr>
                <w:rStyle w:val="StrongEmphasis"/>
              </w:rPr>
              <w:t>Delaware</w:t>
            </w:r>
          </w:p>
        </w:tc>
        <w:tc>
          <w:tcPr>
            <w:tcW w:w="90" w:type="dxa"/>
            <w:tcBorders/>
            <w:shd w:fill="auto" w:val="clear"/>
            <w:tcMar>
              <w:bottom w:w="0" w:type="dxa"/>
            </w:tcMar>
            <w:vAlign w:val="center"/>
          </w:tcPr>
          <w:p>
            <w:pPr>
              <w:pStyle w:val="TableContents"/>
              <w:spacing w:before="0" w:after="0"/>
              <w:ind w:left="0" w:right="0" w:hanging="0"/>
              <w:jc w:val="center"/>
              <w:rPr/>
            </w:pPr>
            <w:r>
              <w:rPr/>
              <w:t> </w:t>
            </w:r>
          </w:p>
        </w:tc>
        <w:tc>
          <w:tcPr>
            <w:tcW w:w="2435" w:type="dxa"/>
            <w:tcBorders>
              <w:bottom w:val="single" w:sz="2" w:space="0" w:color="000000"/>
            </w:tcBorders>
            <w:shd w:fill="auto" w:val="clear"/>
            <w:vAlign w:val="center"/>
          </w:tcPr>
          <w:p>
            <w:pPr>
              <w:pStyle w:val="TableContents"/>
              <w:spacing w:before="0" w:after="0"/>
              <w:ind w:left="0" w:right="0" w:hanging="0"/>
              <w:jc w:val="center"/>
              <w:rPr/>
            </w:pPr>
            <w:r>
              <w:rPr>
                <w:rStyle w:val="StrongEmphasis"/>
              </w:rPr>
              <w:t>36-2476480</w:t>
            </w:r>
          </w:p>
        </w:tc>
      </w:tr>
      <w:tr>
        <w:trPr/>
        <w:tc>
          <w:tcPr>
            <w:tcW w:w="3215" w:type="dxa"/>
            <w:tcBorders/>
            <w:shd w:fill="auto" w:val="clear"/>
            <w:tcMar>
              <w:bottom w:w="0" w:type="dxa"/>
            </w:tcMar>
            <w:vAlign w:val="center"/>
          </w:tcPr>
          <w:p>
            <w:pPr>
              <w:pStyle w:val="TableContents"/>
              <w:spacing w:before="0" w:after="0"/>
              <w:ind w:left="0" w:right="0" w:hanging="0"/>
              <w:jc w:val="center"/>
              <w:rPr/>
            </w:pPr>
            <w:r>
              <w:rPr>
                <w:rStyle w:val="StrongEmphasis"/>
              </w:rPr>
              <w:t xml:space="preserve">(State or other jurisdiction of </w:t>
              <w:br/>
              <w:t>incorporation or organization)</w:t>
            </w:r>
            <w:r>
              <w:rPr/>
              <w:t xml:space="preserve">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2435" w:type="dxa"/>
            <w:tcBorders/>
            <w:shd w:fill="auto" w:val="clear"/>
            <w:tcMar>
              <w:bottom w:w="0" w:type="dxa"/>
            </w:tcMar>
            <w:vAlign w:val="center"/>
          </w:tcPr>
          <w:p>
            <w:pPr>
              <w:pStyle w:val="TableContents"/>
              <w:spacing w:before="0" w:after="0"/>
              <w:ind w:left="0" w:right="0" w:hanging="0"/>
              <w:jc w:val="center"/>
              <w:rPr/>
            </w:pPr>
            <w:r>
              <w:rPr>
                <w:rStyle w:val="StrongEmphasis"/>
              </w:rPr>
              <w:t>(I.R.S. Employer</w:t>
              <w:br/>
              <w:t>Identification Number)</w:t>
            </w:r>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15 Joys Lane</w:t>
      </w:r>
    </w:p>
    <w:p>
      <w:pPr>
        <w:pStyle w:val="TextBody"/>
        <w:spacing w:before="0" w:after="0"/>
        <w:ind w:left="0" w:right="0" w:hanging="0"/>
        <w:jc w:val="center"/>
        <w:rPr/>
      </w:pPr>
      <w:r>
        <w:rPr>
          <w:rStyle w:val="StrongEmphasis"/>
          <w:rFonts w:ascii="times new roman" w:hAnsi="times new roman"/>
          <w:sz w:val="20"/>
        </w:rPr>
        <w:t>Kingston, NY 12401</w:t>
        <w:br/>
        <w:t>(Address of principal executive offices)</w:t>
      </w:r>
    </w:p>
    <w:p>
      <w:pPr>
        <w:pStyle w:val="TextBody"/>
        <w:spacing w:before="0" w:after="0"/>
        <w:ind w:left="0" w:right="0" w:hanging="0"/>
        <w:jc w:val="center"/>
        <w:rPr/>
      </w:pPr>
      <w:r>
        <w:rPr/>
        <w:t> </w:t>
      </w:r>
    </w:p>
    <w:p>
      <w:pPr>
        <w:pStyle w:val="TextBody"/>
        <w:spacing w:before="0" w:after="0"/>
        <w:ind w:left="0" w:right="0" w:hanging="0"/>
        <w:jc w:val="center"/>
        <w:rPr/>
      </w:pPr>
      <w:r>
        <w:rPr>
          <w:rStyle w:val="StrongEmphasis"/>
          <w:rFonts w:ascii="times new roman" w:hAnsi="times new roman"/>
          <w:sz w:val="20"/>
        </w:rPr>
        <w:t>(845) 802-7900</w:t>
        <w:br/>
        <w:t>(Registrant’s telephone number, including area code)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Securities registered pursuant to Section 12(b) of the Act:</w:t>
      </w:r>
    </w:p>
    <w:p>
      <w:pPr>
        <w:pStyle w:val="TextBody"/>
        <w:spacing w:before="0" w:after="0"/>
        <w:ind w:left="0" w:right="0" w:hanging="0"/>
        <w:jc w:val="center"/>
        <w:rPr/>
      </w:pPr>
      <w:r>
        <w:rPr/>
        <w:t> </w:t>
      </w:r>
    </w:p>
    <w:tbl>
      <w:tblPr>
        <w:tblW w:w="10185" w:type="dxa"/>
        <w:jc w:val="left"/>
        <w:tblInd w:w="0" w:type="dxa"/>
        <w:tblCellMar>
          <w:top w:w="28" w:type="dxa"/>
          <w:left w:w="28" w:type="dxa"/>
          <w:bottom w:w="0" w:type="dxa"/>
          <w:right w:w="0" w:type="dxa"/>
        </w:tblCellMar>
      </w:tblPr>
      <w:tblGrid>
        <w:gridCol w:w="4055"/>
        <w:gridCol w:w="1835"/>
        <w:gridCol w:w="4295"/>
      </w:tblGrid>
      <w:tr>
        <w:trPr/>
        <w:tc>
          <w:tcPr>
            <w:tcW w:w="4055" w:type="dxa"/>
            <w:tcBorders>
              <w:top w:val="single" w:sz="2" w:space="0" w:color="000000"/>
              <w:left w:val="single" w:sz="2" w:space="0" w:color="000000"/>
            </w:tcBorders>
            <w:shd w:fill="auto" w:val="clear"/>
            <w:vAlign w:val="center"/>
          </w:tcPr>
          <w:p>
            <w:pPr>
              <w:pStyle w:val="TableContents"/>
              <w:spacing w:before="0" w:after="0"/>
              <w:ind w:left="0" w:right="0" w:hanging="0"/>
              <w:jc w:val="center"/>
              <w:rPr/>
            </w:pPr>
            <w:r>
              <w:rPr/>
              <w:t>Title of each class</w:t>
            </w:r>
          </w:p>
        </w:tc>
        <w:tc>
          <w:tcPr>
            <w:tcW w:w="1835" w:type="dxa"/>
            <w:tcBorders>
              <w:top w:val="single" w:sz="2" w:space="0" w:color="000000"/>
              <w:left w:val="single" w:sz="2" w:space="0" w:color="000000"/>
            </w:tcBorders>
            <w:shd w:fill="auto" w:val="clear"/>
            <w:vAlign w:val="center"/>
          </w:tcPr>
          <w:p>
            <w:pPr>
              <w:pStyle w:val="TableContents"/>
              <w:spacing w:before="0" w:after="0"/>
              <w:ind w:left="0" w:right="0" w:hanging="0"/>
              <w:jc w:val="center"/>
              <w:rPr/>
            </w:pPr>
            <w:r>
              <w:rPr/>
              <w:t>Trading Symbol(s)</w:t>
            </w:r>
          </w:p>
        </w:tc>
        <w:tc>
          <w:tcPr>
            <w:tcW w:w="4295" w:type="dxa"/>
            <w:tcBorders>
              <w:top w:val="single" w:sz="2" w:space="0" w:color="000000"/>
              <w:left w:val="single" w:sz="2" w:space="0" w:color="000000"/>
            </w:tcBorders>
            <w:shd w:fill="auto" w:val="clear"/>
            <w:vAlign w:val="center"/>
          </w:tcPr>
          <w:p>
            <w:pPr>
              <w:pStyle w:val="TableContents"/>
              <w:spacing w:before="0" w:after="0"/>
              <w:ind w:left="0" w:right="0" w:hanging="0"/>
              <w:jc w:val="center"/>
              <w:rPr/>
            </w:pPr>
            <w:r>
              <w:rPr/>
              <w:t>Name of each exchange on which registered</w:t>
            </w:r>
          </w:p>
        </w:tc>
      </w:tr>
      <w:tr>
        <w:trPr/>
        <w:tc>
          <w:tcPr>
            <w:tcW w:w="4055" w:type="dxa"/>
            <w:tcBorders>
              <w:top w:val="single" w:sz="2" w:space="0" w:color="000000"/>
              <w:left w:val="single" w:sz="2" w:space="0" w:color="000000"/>
            </w:tcBorders>
            <w:shd w:fill="auto" w:val="clear"/>
            <w:vAlign w:val="center"/>
          </w:tcPr>
          <w:p>
            <w:pPr>
              <w:pStyle w:val="TableContents"/>
              <w:spacing w:before="0" w:after="0"/>
              <w:ind w:left="0" w:right="0" w:hanging="0"/>
              <w:jc w:val="center"/>
              <w:rPr/>
            </w:pPr>
            <w:r>
              <w:rPr/>
              <w:t>Common Stock, $0.01 par value per share</w:t>
            </w:r>
          </w:p>
        </w:tc>
        <w:tc>
          <w:tcPr>
            <w:tcW w:w="1835" w:type="dxa"/>
            <w:tcBorders>
              <w:top w:val="single" w:sz="2" w:space="0" w:color="000000"/>
              <w:left w:val="single" w:sz="2" w:space="0" w:color="000000"/>
            </w:tcBorders>
            <w:shd w:fill="auto" w:val="clear"/>
            <w:vAlign w:val="center"/>
          </w:tcPr>
          <w:p>
            <w:pPr>
              <w:pStyle w:val="TableContents"/>
              <w:spacing w:before="0" w:after="0"/>
              <w:ind w:left="0" w:right="0" w:hanging="0"/>
              <w:jc w:val="center"/>
              <w:rPr/>
            </w:pPr>
            <w:r>
              <w:rPr/>
              <w:t>KINS</w:t>
            </w:r>
          </w:p>
        </w:tc>
        <w:tc>
          <w:tcPr>
            <w:tcW w:w="4295" w:type="dxa"/>
            <w:tcBorders>
              <w:top w:val="single" w:sz="2" w:space="0" w:color="000000"/>
              <w:left w:val="single" w:sz="2" w:space="0" w:color="000000"/>
            </w:tcBorders>
            <w:shd w:fill="auto" w:val="clear"/>
            <w:vAlign w:val="center"/>
          </w:tcPr>
          <w:p>
            <w:pPr>
              <w:pStyle w:val="TableContents"/>
              <w:spacing w:before="0" w:after="0"/>
              <w:ind w:left="0" w:right="0" w:hanging="0"/>
              <w:jc w:val="center"/>
              <w:rPr/>
            </w:pPr>
            <w:r>
              <w:rPr/>
              <w:t>Nasdaq Capital Market</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Securities registered pursuant to Section 12(g) of the Act: </w:t>
      </w:r>
    </w:p>
    <w:p>
      <w:pPr>
        <w:pStyle w:val="TextBody"/>
        <w:spacing w:before="0" w:after="0"/>
        <w:ind w:left="0" w:right="0" w:hanging="0"/>
        <w:jc w:val="both"/>
        <w:rPr/>
      </w:pPr>
      <w:r>
        <w:rPr/>
        <w:t> </w:t>
      </w:r>
    </w:p>
    <w:tbl>
      <w:tblPr>
        <w:tblW w:w="635" w:type="dxa"/>
        <w:jc w:val="left"/>
        <w:tblInd w:w="0" w:type="dxa"/>
        <w:tblCellMar>
          <w:top w:w="28" w:type="dxa"/>
          <w:left w:w="28" w:type="dxa"/>
          <w:bottom w:w="0" w:type="dxa"/>
          <w:right w:w="0" w:type="dxa"/>
        </w:tblCellMar>
      </w:tblPr>
      <w:tblGrid>
        <w:gridCol w:w="635"/>
      </w:tblGrid>
      <w:tr>
        <w:trPr/>
        <w:tc>
          <w:tcPr>
            <w:tcW w:w="635" w:type="dxa"/>
            <w:tcBorders>
              <w:top w:val="single" w:sz="2" w:space="0" w:color="000000"/>
              <w:left w:val="single" w:sz="2" w:space="0" w:color="000000"/>
            </w:tcBorders>
            <w:shd w:fill="auto" w:val="clear"/>
            <w:vAlign w:val="center"/>
          </w:tcPr>
          <w:p>
            <w:pPr>
              <w:pStyle w:val="TableContents"/>
              <w:spacing w:before="0" w:after="0"/>
              <w:ind w:left="0" w:right="0" w:hanging="0"/>
              <w:jc w:val="center"/>
              <w:rPr/>
            </w:pPr>
            <w:r>
              <w:rPr/>
              <w:t>None</w:t>
            </w:r>
          </w:p>
        </w:tc>
      </w:tr>
    </w:tbl>
    <w:p>
      <w:pPr>
        <w:pStyle w:val="TextBody"/>
        <w:spacing w:before="0" w:after="0"/>
        <w:ind w:left="0" w:right="0" w:hanging="0"/>
        <w:jc w:val="center"/>
        <w:rPr>
          <w:rFonts w:ascii="times new roman" w:hAnsi="times new roman"/>
          <w:sz w:val="20"/>
        </w:rPr>
      </w:pPr>
      <w:r>
        <w:rPr>
          <w:rFonts w:ascii="times new roman" w:hAnsi="times new roman"/>
          <w:sz w:val="20"/>
        </w:rPr>
        <w:t>(Title of each class)</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if the registrant is a well-known seasoned issuer, as defined in Rule 405 of the Securities Act. Yes ☐     No ☒</w:t>
      </w:r>
    </w:p>
    <w:p>
      <w:pPr>
        <w:pStyle w:val="TextBody"/>
        <w:spacing w:before="0" w:after="0"/>
        <w:ind w:left="0" w:right="0" w:hanging="0"/>
        <w:jc w:val="both"/>
        <w:rPr/>
      </w:pPr>
      <w:r>
        <w:rPr/>
        <w:t xml:space="preserve">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if the registrant is not required to file reports pursuant to Section 13 or Section 15(d) of the Act. Yes ☐     No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Note – Checking the box above will not relieve any registrant required to ?le reports pursuant to Section 13 or 15(d) of the Exchange Act from their obligations under those Sections. </w:t>
      </w:r>
    </w:p>
    <w:p>
      <w:pPr>
        <w:pStyle w:val="TextBody"/>
        <w:spacing w:before="0" w:after="0"/>
        <w:ind w:left="0" w:right="0" w:hanging="0"/>
        <w:jc w:val="both"/>
        <w:rPr/>
      </w:pPr>
      <w:r>
        <w:rPr/>
        <w:t xml:space="preserve">  </w:t>
      </w:r>
    </w:p>
    <w:p>
      <w:pPr>
        <w:pStyle w:val="TextBody"/>
        <w:spacing w:before="0" w:after="0"/>
        <w:ind w:left="0" w:right="0" w:firstLine="675"/>
        <w:jc w:val="both"/>
        <w:rPr>
          <w:rFonts w:ascii="times new roman" w:hAnsi="times new roman"/>
          <w:sz w:val="20"/>
        </w:rPr>
      </w:pPr>
      <w:r>
        <w:rPr>
          <w:rFonts w:ascii="times new roman" w:hAnsi="times new roman"/>
          <w:sz w:val="20"/>
        </w:rPr>
        <w:t xml:space="preserve">Persons who respond to the collection of information contained in this form are not required to respond unless the form displays a currently valid OMB control number. </w:t>
      </w:r>
    </w:p>
    <w:p>
      <w:pPr>
        <w:pStyle w:val="TextBody"/>
        <w:spacing w:before="0" w:after="0"/>
        <w:ind w:left="0" w:right="0" w:firstLine="675"/>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SEC 1673 (04-20)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pStyle w:val="TextBody"/>
        <w:spacing w:before="0" w:after="0"/>
        <w:ind w:left="0" w:right="0" w:hanging="0"/>
        <w:jc w:val="both"/>
        <w:rPr/>
      </w:pPr>
      <w:r>
        <w:rPr/>
        <w:t> </w:t>
      </w:r>
    </w:p>
    <w:tbl>
      <w:tblPr>
        <w:tblW w:w="5495" w:type="dxa"/>
        <w:jc w:val="left"/>
        <w:tblInd w:w="0" w:type="dxa"/>
        <w:tblCellMar>
          <w:top w:w="0" w:type="dxa"/>
          <w:left w:w="0" w:type="dxa"/>
          <w:bottom w:w="0" w:type="dxa"/>
          <w:right w:w="0" w:type="dxa"/>
        </w:tblCellMar>
      </w:tblPr>
      <w:tblGrid>
        <w:gridCol w:w="2225"/>
        <w:gridCol w:w="260"/>
        <w:gridCol w:w="2705"/>
        <w:gridCol w:w="305"/>
      </w:tblGrid>
      <w:tr>
        <w:trPr/>
        <w:tc>
          <w:tcPr>
            <w:tcW w:w="2225" w:type="dxa"/>
            <w:tcBorders/>
            <w:shd w:fill="auto" w:val="clear"/>
            <w:vAlign w:val="center"/>
          </w:tcPr>
          <w:p>
            <w:pPr>
              <w:pStyle w:val="TableContents"/>
              <w:spacing w:before="0" w:after="0"/>
              <w:ind w:left="0" w:right="0" w:hanging="0"/>
              <w:rPr/>
            </w:pPr>
            <w:r>
              <w:rPr/>
              <w:t xml:space="preserve">Large accelerated filer </w:t>
            </w:r>
          </w:p>
        </w:tc>
        <w:tc>
          <w:tcPr>
            <w:tcW w:w="260" w:type="dxa"/>
            <w:tcBorders/>
            <w:shd w:fill="auto" w:val="clear"/>
            <w:vAlign w:val="center"/>
          </w:tcPr>
          <w:p>
            <w:pPr>
              <w:pStyle w:val="TableContents"/>
              <w:spacing w:before="0" w:after="0"/>
              <w:ind w:left="0" w:right="0" w:hanging="0"/>
              <w:rPr/>
            </w:pPr>
            <w:r>
              <w:rPr/>
              <w:t>☐</w:t>
            </w:r>
          </w:p>
        </w:tc>
        <w:tc>
          <w:tcPr>
            <w:tcW w:w="2705" w:type="dxa"/>
            <w:tcBorders/>
            <w:shd w:fill="auto" w:val="clear"/>
            <w:vAlign w:val="center"/>
          </w:tcPr>
          <w:p>
            <w:pPr>
              <w:pStyle w:val="TableContents"/>
              <w:spacing w:before="0" w:after="0"/>
              <w:ind w:left="0" w:right="0" w:hanging="0"/>
              <w:rPr/>
            </w:pPr>
            <w:r>
              <w:rPr/>
              <w:t xml:space="preserve">Accelerated filer </w:t>
            </w:r>
          </w:p>
        </w:tc>
        <w:tc>
          <w:tcPr>
            <w:tcW w:w="305" w:type="dxa"/>
            <w:tcBorders/>
            <w:shd w:fill="auto" w:val="clear"/>
            <w:vAlign w:val="center"/>
          </w:tcPr>
          <w:p>
            <w:pPr>
              <w:pStyle w:val="TableContents"/>
              <w:spacing w:before="0" w:after="0"/>
              <w:ind w:left="0" w:right="0" w:hanging="0"/>
              <w:rPr/>
            </w:pPr>
            <w:r>
              <w:rPr/>
              <w:t>☐</w:t>
            </w:r>
          </w:p>
        </w:tc>
      </w:tr>
      <w:tr>
        <w:trPr/>
        <w:tc>
          <w:tcPr>
            <w:tcW w:w="2225" w:type="dxa"/>
            <w:tcBorders/>
            <w:shd w:fill="auto" w:val="clear"/>
            <w:vAlign w:val="center"/>
          </w:tcPr>
          <w:p>
            <w:pPr>
              <w:pStyle w:val="TableContents"/>
              <w:spacing w:before="0" w:after="0"/>
              <w:ind w:left="0" w:right="0" w:hanging="0"/>
              <w:rPr/>
            </w:pPr>
            <w:r>
              <w:rPr/>
              <w:t>Non-accelerated filer</w:t>
            </w:r>
          </w:p>
        </w:tc>
        <w:tc>
          <w:tcPr>
            <w:tcW w:w="260" w:type="dxa"/>
            <w:tcBorders/>
            <w:shd w:fill="auto" w:val="clear"/>
            <w:vAlign w:val="center"/>
          </w:tcPr>
          <w:p>
            <w:pPr>
              <w:pStyle w:val="TableContents"/>
              <w:spacing w:before="0" w:after="0"/>
              <w:ind w:left="0" w:right="0" w:hanging="0"/>
              <w:rPr/>
            </w:pPr>
            <w:r>
              <w:rPr/>
              <w:t>☒</w:t>
            </w:r>
          </w:p>
        </w:tc>
        <w:tc>
          <w:tcPr>
            <w:tcW w:w="2705" w:type="dxa"/>
            <w:tcBorders/>
            <w:shd w:fill="auto" w:val="clear"/>
            <w:vAlign w:val="center"/>
          </w:tcPr>
          <w:p>
            <w:pPr>
              <w:pStyle w:val="TableContents"/>
              <w:spacing w:before="0" w:after="0"/>
              <w:ind w:left="0" w:right="0" w:hanging="0"/>
              <w:rPr/>
            </w:pPr>
            <w:r>
              <w:rPr/>
              <w:t xml:space="preserve">Smaller reporting company </w:t>
            </w:r>
          </w:p>
        </w:tc>
        <w:tc>
          <w:tcPr>
            <w:tcW w:w="305" w:type="dxa"/>
            <w:tcBorders/>
            <w:shd w:fill="auto" w:val="clear"/>
            <w:vAlign w:val="center"/>
          </w:tcPr>
          <w:p>
            <w:pPr>
              <w:pStyle w:val="TableContents"/>
              <w:spacing w:before="0" w:after="0"/>
              <w:ind w:left="0" w:right="0" w:hanging="0"/>
              <w:rPr/>
            </w:pPr>
            <w:r>
              <w:rPr/>
              <w:t>☒</w:t>
            </w:r>
          </w:p>
        </w:tc>
      </w:tr>
      <w:tr>
        <w:trPr/>
        <w:tc>
          <w:tcPr>
            <w:tcW w:w="2225" w:type="dxa"/>
            <w:tcBorders/>
            <w:shd w:fill="auto" w:val="clear"/>
            <w:vAlign w:val="center"/>
          </w:tcPr>
          <w:p>
            <w:pPr>
              <w:pStyle w:val="TableContents"/>
              <w:spacing w:before="0" w:after="0"/>
              <w:ind w:left="0" w:right="0" w:hanging="0"/>
              <w:rPr/>
            </w:pPr>
            <w:r>
              <w:rPr/>
              <w:t> </w:t>
            </w:r>
          </w:p>
        </w:tc>
        <w:tc>
          <w:tcPr>
            <w:tcW w:w="260" w:type="dxa"/>
            <w:tcBorders/>
            <w:shd w:fill="auto" w:val="clear"/>
            <w:vAlign w:val="center"/>
          </w:tcPr>
          <w:p>
            <w:pPr>
              <w:pStyle w:val="TableContents"/>
              <w:spacing w:before="0" w:after="0"/>
              <w:ind w:left="0" w:right="0" w:hanging="0"/>
              <w:rPr/>
            </w:pPr>
            <w:r>
              <w:rPr/>
              <w:t> </w:t>
            </w:r>
          </w:p>
        </w:tc>
        <w:tc>
          <w:tcPr>
            <w:tcW w:w="2705" w:type="dxa"/>
            <w:tcBorders/>
            <w:shd w:fill="auto" w:val="clear"/>
            <w:vAlign w:val="center"/>
          </w:tcPr>
          <w:p>
            <w:pPr>
              <w:pStyle w:val="TableContents"/>
              <w:spacing w:before="0" w:after="0"/>
              <w:ind w:left="0" w:right="0" w:hanging="0"/>
              <w:rPr/>
            </w:pPr>
            <w:r>
              <w:rPr/>
              <w:t xml:space="preserve">Emerging growth company </w:t>
            </w:r>
          </w:p>
        </w:tc>
        <w:tc>
          <w:tcPr>
            <w:tcW w:w="305"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jc w:val="both"/>
        <w:rPr/>
      </w:pPr>
      <w:r>
        <w:rPr/>
        <w:t xml:space="preserve">  </w:t>
      </w:r>
    </w:p>
    <w:p>
      <w:pPr>
        <w:pStyle w:val="TextBody"/>
        <w:spacing w:before="0" w:after="0"/>
        <w:ind w:left="0" w:right="0" w:hanging="0"/>
        <w:jc w:val="both"/>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jc w:val="both"/>
        <w:rPr/>
      </w:pPr>
      <w:r>
        <w:rPr/>
        <w:t xml:space="preserve">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is a shell company (as defined in Rule 12b-2 of the Exchange Act). Yes ☐     No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As of June 30, 2020, the aggregate market value of the registrant’s common stock held by non-affiliates of the registrant was $43,436,197 based on the closing sale price as reported on the Nasdaq Global Select Market. </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Note.</w:t>
      </w:r>
      <w:r>
        <w:rPr>
          <w:rFonts w:ascii="times new roman" w:hAnsi="times new roman"/>
          <w:sz w:val="20"/>
        </w:rPr>
        <w:t>—If a determination as to whether a particular person or entity is an aﬃliate cannot be made without involving unreasonable eﬀort and expense, the aggregate market value of the common stock held by non-aﬃliates may be calculated on the basis of assumptions reasonable under the circumstances, provided that the assumptions are set forth in this Form.</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APPLICABLE ONLY TO REGISTRANTS INVOLVED IN BANKRUPTCY PROCEEDINGS DURING THE PRECEDING FIVE YEARS:</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Indicate by check mark whether the registrant has ﬁled all documents and reports required to be ﬁled by Section 12, 13 or 15(d) of the Securities Exchange Act of 1934 subsequent to the distribution of securities under a plan conﬁrmed by a court.Yes </w:t>
      </w:r>
      <w:r>
        <w:rPr>
          <w:rFonts w:ascii="wingdings" w:hAnsi="wingdings"/>
          <w:sz w:val="20"/>
        </w:rPr>
        <w:t xml:space="preserve">o </w:t>
      </w:r>
      <w:r>
        <w:rPr>
          <w:rFonts w:ascii="times new roman" w:hAnsi="times new roman"/>
          <w:sz w:val="20"/>
        </w:rPr>
        <w:t>No ☐</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(APPLICABLE ONLY TO CORPORATE REGISTRANTS)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the number of shares outstanding of each of the registrant’s classes of common stock, as of the latest practicable date. As of March 17, 2021, there were 10,701,407 shares of common stock outstanding. </w:t>
      </w:r>
    </w:p>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DOCUMENTS INCORPORATED BY REFERENCE</w:t>
      </w:r>
    </w:p>
    <w:p>
      <w:pPr>
        <w:pStyle w:val="TextBody"/>
        <w:spacing w:before="0" w:after="0"/>
        <w:ind w:left="0" w:right="0" w:hanging="0"/>
        <w:jc w:val="center"/>
        <w:rPr>
          <w:rFonts w:ascii="times new roman" w:hAnsi="times new roman"/>
          <w:sz w:val="20"/>
        </w:rPr>
      </w:pPr>
      <w:r>
        <w:rPr>
          <w:rFonts w:ascii="times new roman" w:hAnsi="times new roman"/>
          <w:sz w:val="20"/>
        </w:rPr>
        <w:t>None</w:t>
      </w:r>
    </w:p>
    <w:p>
      <w:pPr>
        <w:pStyle w:val="TextBody"/>
        <w:spacing w:before="0" w:after="0"/>
        <w:ind w:left="0" w:right="0" w:hanging="0"/>
        <w:jc w:val="center"/>
        <w:rPr/>
      </w:pPr>
      <w:r>
        <w:rPr/>
        <w:t xml:space="preserve">  </w:t>
      </w:r>
    </w:p>
    <w:tbl>
      <w:tblPr>
        <w:tblW w:w="169" w:type="dxa"/>
        <w:jc w:val="left"/>
        <w:tblInd w:w="0" w:type="dxa"/>
        <w:tblCellMar>
          <w:top w:w="0" w:type="dxa"/>
          <w:left w:w="0" w:type="dxa"/>
          <w:bottom w:w="28" w:type="dxa"/>
          <w:right w:w="0" w:type="dxa"/>
        </w:tblCellMar>
      </w:tblPr>
      <w:tblGrid>
        <w:gridCol w:w="169"/>
      </w:tblGrid>
      <w:tr>
        <w:trPr/>
        <w:tc>
          <w:tcPr>
            <w:tcW w:w="169" w:type="dxa"/>
            <w:tcBorders>
              <w:bottom w:val="single" w:sz="12" w:space="0" w:color="000000"/>
            </w:tcBorders>
            <w:shd w:fill="auto" w:val="clear"/>
            <w:vAlign w:val="center"/>
          </w:tcPr>
          <w:p>
            <w:pPr>
              <w:pStyle w:val="TableContents"/>
              <w:spacing w:before="0" w:after="283"/>
              <w:rPr>
                <w:sz w:val="4"/>
                <w:szCs w:val="4"/>
              </w:rPr>
            </w:pPr>
            <w:r>
              <w:rPr>
                <w:sz w:val="4"/>
                <w:szCs w:val="4"/>
              </w:rPr>
            </w:r>
          </w:p>
        </w:tc>
      </w:tr>
      <w:tr>
        <w:trPr/>
        <w:tc>
          <w:tcPr>
            <w:tcW w:w="169" w:type="dxa"/>
            <w:tcBorders>
              <w:bottom w:val="single" w:sz="30" w:space="0" w:color="000000"/>
            </w:tcBorders>
            <w:shd w:fill="auto" w:val="clear"/>
            <w:vAlign w:val="center"/>
          </w:tcPr>
          <w:p>
            <w:pPr>
              <w:pStyle w:val="TableContents"/>
              <w:spacing w:before="0" w:after="283"/>
              <w:rPr>
                <w:sz w:val="4"/>
                <w:szCs w:val="4"/>
              </w:rPr>
            </w:pPr>
            <w:r>
              <w:rPr>
                <w:sz w:val="4"/>
                <w:szCs w:val="4"/>
              </w:rPr>
            </w:r>
          </w:p>
        </w:tc>
      </w:tr>
    </w:tbl>
    <w:tbl>
      <w:tblPr>
        <w:tblW w:w="150" w:type="dxa"/>
        <w:jc w:val="left"/>
        <w:tblInd w:w="0" w:type="dxa"/>
        <w:tblCellMar>
          <w:top w:w="0" w:type="dxa"/>
          <w:left w:w="0" w:type="dxa"/>
          <w:bottom w:w="0" w:type="dxa"/>
          <w:right w:w="0" w:type="dxa"/>
        </w:tblCellMar>
      </w:tblPr>
      <w:tblGrid>
        <w:gridCol w:w="150"/>
      </w:tblGrid>
      <w:tr>
        <w:trPr/>
        <w:tc>
          <w:tcPr>
            <w:tcW w:w="150" w:type="dxa"/>
            <w:tcBorders/>
            <w:shd w:fill="auto" w:val="clear"/>
            <w:vAlign w:val="center"/>
          </w:tcPr>
          <w:p>
            <w:pPr>
              <w:pStyle w:val="TableContents"/>
              <w:spacing w:before="0" w:after="283"/>
              <w:ind w:left="0" w:right="0" w:hanging="0"/>
              <w:rPr/>
            </w:pPr>
            <w:r>
              <w:rPr/>
              <w:t> </w:t>
            </w:r>
          </w:p>
        </w:tc>
      </w:tr>
      <w:tr>
        <w:trPr/>
        <w:tc>
          <w:tcPr>
            <w:tcW w:w="150" w:type="dxa"/>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pPr>
            <w:r>
              <w:rPr/>
              <w:t> </w:t>
            </w:r>
          </w:p>
        </w:tc>
      </w:tr>
    </w:tbl>
    <w:p>
      <w:pPr>
        <w:pStyle w:val="TextBody"/>
        <w:spacing w:before="0" w:after="0"/>
        <w:ind w:left="0" w:right="0" w:hanging="0"/>
        <w:jc w:val="center"/>
        <w:rPr/>
      </w:pPr>
      <w:bookmarkStart w:id="0" w:name="Toc"/>
      <w:bookmarkEnd w:id="0"/>
      <w:r>
        <w:rPr>
          <w:rStyle w:val="StrongEmphasis"/>
          <w:rFonts w:ascii="times new roman" w:hAnsi="times new roman"/>
          <w:sz w:val="20"/>
        </w:rPr>
        <w:t>INDEX</w:t>
      </w:r>
    </w:p>
    <w:p>
      <w:pPr>
        <w:pStyle w:val="TextBody"/>
        <w:spacing w:before="0" w:after="0"/>
        <w:ind w:left="0" w:right="0" w:hanging="0"/>
        <w:jc w:val="center"/>
        <w:rPr/>
      </w:pPr>
      <w:r>
        <w:rPr/>
        <w:t> </w:t>
      </w:r>
    </w:p>
    <w:tbl>
      <w:tblPr>
        <w:tblW w:w="10205" w:type="dxa"/>
        <w:jc w:val="left"/>
        <w:tblInd w:w="0" w:type="dxa"/>
        <w:tblCellMar>
          <w:top w:w="0" w:type="dxa"/>
          <w:left w:w="0" w:type="dxa"/>
          <w:bottom w:w="0" w:type="dxa"/>
          <w:right w:w="0" w:type="dxa"/>
        </w:tblCellMar>
      </w:tblPr>
      <w:tblGrid>
        <w:gridCol w:w="976"/>
        <w:gridCol w:w="8156"/>
        <w:gridCol w:w="90"/>
        <w:gridCol w:w="846"/>
        <w:gridCol w:w="137"/>
      </w:tblGrid>
      <w:tr>
        <w:trPr/>
        <w:tc>
          <w:tcPr>
            <w:tcW w:w="9132"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4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Page No.</w:t>
            </w:r>
          </w:p>
        </w:tc>
        <w:tc>
          <w:tcPr>
            <w:tcW w:w="137" w:type="dxa"/>
            <w:tcBorders/>
            <w:shd w:fill="auto" w:val="clear"/>
            <w:vAlign w:val="center"/>
          </w:tcPr>
          <w:p>
            <w:pPr>
              <w:pStyle w:val="TableContents"/>
              <w:spacing w:before="0" w:after="0"/>
              <w:ind w:left="0" w:right="0" w:hanging="0"/>
              <w:rPr/>
            </w:pPr>
            <w:r>
              <w:rPr/>
              <w:t> </w:t>
            </w:r>
          </w:p>
        </w:tc>
      </w:tr>
      <w:tr>
        <w:trPr/>
        <w:tc>
          <w:tcPr>
            <w:tcW w:w="9132" w:type="dxa"/>
            <w:gridSpan w:val="2"/>
            <w:tcBorders/>
            <w:shd w:fill="CCEEFF" w:val="clear"/>
            <w:vAlign w:val="center"/>
          </w:tcPr>
          <w:p>
            <w:pPr>
              <w:pStyle w:val="TableContents"/>
              <w:spacing w:before="0" w:after="0"/>
              <w:ind w:left="0" w:right="0" w:hanging="0"/>
              <w:jc w:val="both"/>
              <w:rPr/>
            </w:pPr>
            <w:hyperlink w:anchor="Forward">
              <w:r>
                <w:rPr>
                  <w:rStyle w:val="InternetLink"/>
                </w:rPr>
                <w:t>Forward-Looking Statements</w:t>
              </w:r>
            </w:hyperlink>
          </w:p>
        </w:tc>
        <w:tc>
          <w:tcPr>
            <w:tcW w:w="90" w:type="dxa"/>
            <w:tcBorders/>
            <w:shd w:fill="CCEEFF" w:val="clear"/>
            <w:vAlign w:val="center"/>
          </w:tcPr>
          <w:p>
            <w:pPr>
              <w:pStyle w:val="TableContents"/>
              <w:spacing w:before="0" w:after="0"/>
              <w:ind w:left="0" w:right="0" w:hanging="0"/>
              <w:rPr/>
            </w:pPr>
            <w:r>
              <w:rPr/>
              <w:t> </w:t>
            </w:r>
          </w:p>
        </w:tc>
        <w:tc>
          <w:tcPr>
            <w:tcW w:w="846" w:type="dxa"/>
            <w:tcBorders/>
            <w:shd w:fill="CCEEFF" w:val="clear"/>
            <w:vAlign w:val="center"/>
          </w:tcPr>
          <w:p>
            <w:pPr>
              <w:pStyle w:val="TableContents"/>
              <w:spacing w:before="0" w:after="0"/>
              <w:ind w:left="0" w:right="0" w:hanging="0"/>
              <w:jc w:val="right"/>
              <w:rPr/>
            </w:pPr>
            <w:r>
              <w:rPr/>
              <w:t>2</w:t>
            </w:r>
          </w:p>
        </w:tc>
        <w:tc>
          <w:tcPr>
            <w:tcW w:w="137" w:type="dxa"/>
            <w:tcBorders/>
            <w:shd w:fill="CCEEFF" w:val="clear"/>
            <w:vAlign w:val="center"/>
          </w:tcPr>
          <w:p>
            <w:pPr>
              <w:pStyle w:val="TableContents"/>
              <w:spacing w:before="0" w:after="0"/>
              <w:ind w:left="0" w:right="0" w:hanging="0"/>
              <w:rPr/>
            </w:pPr>
            <w:r>
              <w:rPr/>
              <w:t> </w:t>
            </w:r>
          </w:p>
        </w:tc>
      </w:tr>
      <w:tr>
        <w:trPr/>
        <w:tc>
          <w:tcPr>
            <w:tcW w:w="976" w:type="dxa"/>
            <w:tcBorders/>
            <w:shd w:fill="FFFFFF" w:val="clear"/>
            <w:vAlign w:val="center"/>
          </w:tcPr>
          <w:p>
            <w:pPr>
              <w:pStyle w:val="TableContents"/>
              <w:spacing w:before="0" w:after="0"/>
              <w:ind w:left="0" w:right="0" w:hanging="0"/>
              <w:jc w:val="both"/>
              <w:rPr/>
            </w:pPr>
            <w:hyperlink w:anchor="P1">
              <w:r>
                <w:rPr>
                  <w:rStyle w:val="StrongEmphasis"/>
                </w:rPr>
                <w:t>PART I</w:t>
              </w:r>
            </w:hyperlink>
          </w:p>
        </w:tc>
        <w:tc>
          <w:tcPr>
            <w:tcW w:w="8156" w:type="dxa"/>
            <w:tcBorders/>
            <w:shd w:fill="FFFFFF" w:val="clear"/>
            <w:vAlign w:val="center"/>
          </w:tcPr>
          <w:p>
            <w:pPr>
              <w:pStyle w:val="TableContents"/>
              <w:spacing w:before="0" w:after="0"/>
              <w:ind w:left="0" w:right="0" w:hanging="0"/>
              <w:jc w:val="both"/>
              <w:rPr/>
            </w:pPr>
            <w:r>
              <w:rPr/>
              <w:t> </w:t>
            </w:r>
          </w:p>
        </w:tc>
        <w:tc>
          <w:tcPr>
            <w:tcW w:w="90" w:type="dxa"/>
            <w:tcBorders/>
            <w:shd w:fill="FFFFFF" w:val="clear"/>
            <w:vAlign w:val="center"/>
          </w:tcPr>
          <w:p>
            <w:pPr>
              <w:pStyle w:val="TableContents"/>
              <w:spacing w:before="0" w:after="0"/>
              <w:ind w:left="0" w:right="0" w:hanging="0"/>
              <w:rPr/>
            </w:pPr>
            <w:r>
              <w:rPr/>
              <w:t> </w:t>
            </w:r>
          </w:p>
        </w:tc>
        <w:tc>
          <w:tcPr>
            <w:tcW w:w="846" w:type="dxa"/>
            <w:tcBorders/>
            <w:shd w:fill="FFFFFF" w:val="clear"/>
            <w:vAlign w:val="center"/>
          </w:tcPr>
          <w:p>
            <w:pPr>
              <w:pStyle w:val="TableContents"/>
              <w:spacing w:before="0" w:after="0"/>
              <w:ind w:left="0" w:right="0" w:hanging="0"/>
              <w:jc w:val="right"/>
              <w:rPr/>
            </w:pPr>
            <w:r>
              <w:rPr/>
              <w:t> </w:t>
            </w:r>
          </w:p>
        </w:tc>
        <w:tc>
          <w:tcPr>
            <w:tcW w:w="137" w:type="dxa"/>
            <w:tcBorders/>
            <w:shd w:fill="FFFFFF" w:val="clear"/>
            <w:vAlign w:val="center"/>
          </w:tcPr>
          <w:p>
            <w:pPr>
              <w:pStyle w:val="TableContents"/>
              <w:spacing w:before="0" w:after="0"/>
              <w:ind w:left="0" w:right="0" w:hanging="0"/>
              <w:rPr/>
            </w:pPr>
            <w:r>
              <w:rPr/>
              <w:t> </w:t>
            </w:r>
          </w:p>
        </w:tc>
      </w:tr>
      <w:tr>
        <w:trPr/>
        <w:tc>
          <w:tcPr>
            <w:tcW w:w="976" w:type="dxa"/>
            <w:tcBorders/>
            <w:shd w:fill="CCEEFF" w:val="clear"/>
            <w:vAlign w:val="center"/>
          </w:tcPr>
          <w:p>
            <w:pPr>
              <w:pStyle w:val="TableContents"/>
              <w:spacing w:before="0" w:after="0"/>
              <w:ind w:left="0" w:right="0" w:hanging="0"/>
              <w:jc w:val="both"/>
              <w:rPr/>
            </w:pPr>
            <w:hyperlink w:anchor="i1">
              <w:r>
                <w:rPr>
                  <w:rStyle w:val="InternetLink"/>
                </w:rPr>
                <w:t>Item 1.</w:t>
              </w:r>
            </w:hyperlink>
          </w:p>
        </w:tc>
        <w:tc>
          <w:tcPr>
            <w:tcW w:w="8156" w:type="dxa"/>
            <w:tcBorders/>
            <w:shd w:fill="CCEEFF" w:val="clear"/>
            <w:vAlign w:val="center"/>
          </w:tcPr>
          <w:p>
            <w:pPr>
              <w:pStyle w:val="TableContents"/>
              <w:spacing w:before="0" w:after="0"/>
              <w:ind w:left="0" w:right="0" w:hanging="0"/>
              <w:jc w:val="both"/>
              <w:rPr/>
            </w:pPr>
            <w:hyperlink w:anchor="i1">
              <w:r>
                <w:rPr>
                  <w:rStyle w:val="InternetLink"/>
                </w:rPr>
                <w:t>Business.</w:t>
              </w:r>
            </w:hyperlink>
          </w:p>
        </w:tc>
        <w:tc>
          <w:tcPr>
            <w:tcW w:w="90" w:type="dxa"/>
            <w:tcBorders/>
            <w:shd w:fill="CCEEFF" w:val="clear"/>
            <w:vAlign w:val="center"/>
          </w:tcPr>
          <w:p>
            <w:pPr>
              <w:pStyle w:val="TableContents"/>
              <w:spacing w:before="0" w:after="0"/>
              <w:ind w:left="0" w:right="0" w:hanging="0"/>
              <w:rPr/>
            </w:pPr>
            <w:r>
              <w:rPr/>
              <w:t> </w:t>
            </w:r>
          </w:p>
        </w:tc>
        <w:tc>
          <w:tcPr>
            <w:tcW w:w="846" w:type="dxa"/>
            <w:tcBorders/>
            <w:shd w:fill="CCEEFF" w:val="clear"/>
            <w:vAlign w:val="center"/>
          </w:tcPr>
          <w:p>
            <w:pPr>
              <w:pStyle w:val="TableContents"/>
              <w:spacing w:before="0" w:after="0"/>
              <w:ind w:left="0" w:right="0" w:hanging="0"/>
              <w:jc w:val="right"/>
              <w:rPr/>
            </w:pPr>
            <w:r>
              <w:rPr/>
              <w:t>3</w:t>
            </w:r>
          </w:p>
        </w:tc>
        <w:tc>
          <w:tcPr>
            <w:tcW w:w="137" w:type="dxa"/>
            <w:tcBorders/>
            <w:shd w:fill="CCEEFF" w:val="clear"/>
            <w:vAlign w:val="center"/>
          </w:tcPr>
          <w:p>
            <w:pPr>
              <w:pStyle w:val="TableContents"/>
              <w:spacing w:before="0" w:after="0"/>
              <w:ind w:left="0" w:right="0" w:hanging="0"/>
              <w:rPr/>
            </w:pPr>
            <w:r>
              <w:rPr/>
              <w:t> </w:t>
            </w:r>
          </w:p>
        </w:tc>
      </w:tr>
      <w:tr>
        <w:trPr/>
        <w:tc>
          <w:tcPr>
            <w:tcW w:w="976" w:type="dxa"/>
            <w:tcBorders/>
            <w:shd w:fill="FFFFFF" w:val="clear"/>
            <w:vAlign w:val="center"/>
          </w:tcPr>
          <w:p>
            <w:pPr>
              <w:pStyle w:val="TableContents"/>
              <w:spacing w:before="0" w:after="0"/>
              <w:ind w:left="0" w:right="0" w:hanging="0"/>
              <w:jc w:val="both"/>
              <w:rPr/>
            </w:pPr>
            <w:hyperlink w:anchor="i1A">
              <w:r>
                <w:rPr>
                  <w:rStyle w:val="InternetLink"/>
                </w:rPr>
                <w:t>Item 1A.</w:t>
              </w:r>
            </w:hyperlink>
          </w:p>
        </w:tc>
        <w:tc>
          <w:tcPr>
            <w:tcW w:w="8156" w:type="dxa"/>
            <w:tcBorders/>
            <w:shd w:fill="FFFFFF" w:val="clear"/>
            <w:vAlign w:val="center"/>
          </w:tcPr>
          <w:p>
            <w:pPr>
              <w:pStyle w:val="TableContents"/>
              <w:spacing w:before="0" w:after="0"/>
              <w:ind w:left="0" w:right="0" w:hanging="0"/>
              <w:jc w:val="both"/>
              <w:rPr/>
            </w:pPr>
            <w:hyperlink w:anchor="i1A">
              <w:r>
                <w:rPr>
                  <w:rStyle w:val="InternetLink"/>
                </w:rPr>
                <w:t>Risk Factors.</w:t>
              </w:r>
            </w:hyperlink>
          </w:p>
        </w:tc>
        <w:tc>
          <w:tcPr>
            <w:tcW w:w="90" w:type="dxa"/>
            <w:tcBorders/>
            <w:shd w:fill="FFFFFF" w:val="clear"/>
            <w:vAlign w:val="center"/>
          </w:tcPr>
          <w:p>
            <w:pPr>
              <w:pStyle w:val="TableContents"/>
              <w:spacing w:before="0" w:after="0"/>
              <w:ind w:left="0" w:right="0" w:hanging="0"/>
              <w:rPr/>
            </w:pPr>
            <w:r>
              <w:rPr/>
              <w:t> </w:t>
            </w:r>
          </w:p>
        </w:tc>
        <w:tc>
          <w:tcPr>
            <w:tcW w:w="846" w:type="dxa"/>
            <w:tcBorders/>
            <w:shd w:fill="FFFFFF" w:val="clear"/>
            <w:vAlign w:val="center"/>
          </w:tcPr>
          <w:p>
            <w:pPr>
              <w:pStyle w:val="TableContents"/>
              <w:spacing w:before="0" w:after="0"/>
              <w:ind w:left="0" w:right="0" w:hanging="0"/>
              <w:jc w:val="right"/>
              <w:rPr/>
            </w:pPr>
            <w:r>
              <w:rPr/>
              <w:t>18</w:t>
            </w:r>
          </w:p>
        </w:tc>
        <w:tc>
          <w:tcPr>
            <w:tcW w:w="137" w:type="dxa"/>
            <w:tcBorders/>
            <w:shd w:fill="FFFFFF" w:val="clear"/>
            <w:vAlign w:val="center"/>
          </w:tcPr>
          <w:p>
            <w:pPr>
              <w:pStyle w:val="TableContents"/>
              <w:spacing w:before="0" w:after="0"/>
              <w:ind w:left="0" w:right="0" w:hanging="0"/>
              <w:rPr/>
            </w:pPr>
            <w:r>
              <w:rPr/>
              <w:t> </w:t>
            </w:r>
          </w:p>
        </w:tc>
      </w:tr>
      <w:tr>
        <w:trPr/>
        <w:tc>
          <w:tcPr>
            <w:tcW w:w="976" w:type="dxa"/>
            <w:tcBorders/>
            <w:shd w:fill="CCEEFF" w:val="clear"/>
            <w:vAlign w:val="center"/>
          </w:tcPr>
          <w:p>
            <w:pPr>
              <w:pStyle w:val="TableContents"/>
              <w:spacing w:before="0" w:after="0"/>
              <w:ind w:left="0" w:right="0" w:hanging="0"/>
              <w:jc w:val="both"/>
              <w:rPr/>
            </w:pPr>
            <w:hyperlink w:anchor="i1B">
              <w:r>
                <w:rPr>
                  <w:rStyle w:val="InternetLink"/>
                </w:rPr>
                <w:t>Item 1B.</w:t>
              </w:r>
            </w:hyperlink>
          </w:p>
        </w:tc>
        <w:tc>
          <w:tcPr>
            <w:tcW w:w="8156" w:type="dxa"/>
            <w:tcBorders/>
            <w:shd w:fill="CCEEFF" w:val="clear"/>
            <w:vAlign w:val="center"/>
          </w:tcPr>
          <w:p>
            <w:pPr>
              <w:pStyle w:val="TableContents"/>
              <w:spacing w:before="0" w:after="0"/>
              <w:ind w:left="0" w:right="0" w:hanging="0"/>
              <w:jc w:val="both"/>
              <w:rPr/>
            </w:pPr>
            <w:hyperlink w:anchor="i1B">
              <w:r>
                <w:rPr>
                  <w:rStyle w:val="InternetLink"/>
                </w:rPr>
                <w:t>Unresolved Staff Comments.</w:t>
              </w:r>
            </w:hyperlink>
          </w:p>
        </w:tc>
        <w:tc>
          <w:tcPr>
            <w:tcW w:w="90" w:type="dxa"/>
            <w:tcBorders/>
            <w:shd w:fill="CCEEFF" w:val="clear"/>
            <w:vAlign w:val="center"/>
          </w:tcPr>
          <w:p>
            <w:pPr>
              <w:pStyle w:val="TableContents"/>
              <w:spacing w:before="0" w:after="0"/>
              <w:ind w:left="0" w:right="0" w:hanging="0"/>
              <w:rPr/>
            </w:pPr>
            <w:r>
              <w:rPr/>
              <w:t> </w:t>
            </w:r>
          </w:p>
        </w:tc>
        <w:tc>
          <w:tcPr>
            <w:tcW w:w="846" w:type="dxa"/>
            <w:tcBorders/>
            <w:shd w:fill="CCEEFF" w:val="clear"/>
            <w:vAlign w:val="center"/>
          </w:tcPr>
          <w:p>
            <w:pPr>
              <w:pStyle w:val="TableContents"/>
              <w:spacing w:before="0" w:after="0"/>
              <w:ind w:left="0" w:right="0" w:hanging="0"/>
              <w:jc w:val="right"/>
              <w:rPr/>
            </w:pPr>
            <w:r>
              <w:rPr/>
              <w:t>29</w:t>
            </w:r>
          </w:p>
        </w:tc>
        <w:tc>
          <w:tcPr>
            <w:tcW w:w="137" w:type="dxa"/>
            <w:tcBorders/>
            <w:shd w:fill="CCEEFF" w:val="clear"/>
            <w:vAlign w:val="center"/>
          </w:tcPr>
          <w:p>
            <w:pPr>
              <w:pStyle w:val="TableContents"/>
              <w:spacing w:before="0" w:after="0"/>
              <w:ind w:left="0" w:right="0" w:hanging="0"/>
              <w:rPr/>
            </w:pPr>
            <w:r>
              <w:rPr/>
              <w:t> </w:t>
            </w:r>
          </w:p>
        </w:tc>
      </w:tr>
      <w:tr>
        <w:trPr/>
        <w:tc>
          <w:tcPr>
            <w:tcW w:w="976" w:type="dxa"/>
            <w:tcBorders/>
            <w:shd w:fill="FFFFFF" w:val="clear"/>
            <w:vAlign w:val="center"/>
          </w:tcPr>
          <w:p>
            <w:pPr>
              <w:pStyle w:val="TableContents"/>
              <w:spacing w:before="0" w:after="0"/>
              <w:ind w:left="0" w:right="0" w:hanging="0"/>
              <w:jc w:val="both"/>
              <w:rPr/>
            </w:pPr>
            <w:hyperlink w:anchor="i2">
              <w:r>
                <w:rPr>
                  <w:rStyle w:val="InternetLink"/>
                </w:rPr>
                <w:t>Item 2.</w:t>
              </w:r>
            </w:hyperlink>
          </w:p>
        </w:tc>
        <w:tc>
          <w:tcPr>
            <w:tcW w:w="8156" w:type="dxa"/>
            <w:tcBorders/>
            <w:shd w:fill="FFFFFF" w:val="clear"/>
            <w:vAlign w:val="center"/>
          </w:tcPr>
          <w:p>
            <w:pPr>
              <w:pStyle w:val="TableContents"/>
              <w:spacing w:before="0" w:after="0"/>
              <w:ind w:left="0" w:right="0" w:hanging="0"/>
              <w:jc w:val="both"/>
              <w:rPr/>
            </w:pPr>
            <w:hyperlink w:anchor="i2">
              <w:r>
                <w:rPr>
                  <w:rStyle w:val="InternetLink"/>
                </w:rPr>
                <w:t>Properties.</w:t>
              </w:r>
            </w:hyperlink>
          </w:p>
        </w:tc>
        <w:tc>
          <w:tcPr>
            <w:tcW w:w="90" w:type="dxa"/>
            <w:tcBorders/>
            <w:shd w:fill="FFFFFF" w:val="clear"/>
            <w:vAlign w:val="center"/>
          </w:tcPr>
          <w:p>
            <w:pPr>
              <w:pStyle w:val="TableContents"/>
              <w:spacing w:before="0" w:after="0"/>
              <w:ind w:left="0" w:right="0" w:hanging="0"/>
              <w:rPr/>
            </w:pPr>
            <w:r>
              <w:rPr/>
              <w:t> </w:t>
            </w:r>
          </w:p>
        </w:tc>
        <w:tc>
          <w:tcPr>
            <w:tcW w:w="846" w:type="dxa"/>
            <w:tcBorders/>
            <w:shd w:fill="FFFFFF" w:val="clear"/>
            <w:vAlign w:val="center"/>
          </w:tcPr>
          <w:p>
            <w:pPr>
              <w:pStyle w:val="TableContents"/>
              <w:spacing w:before="0" w:after="0"/>
              <w:ind w:left="0" w:right="0" w:hanging="0"/>
              <w:jc w:val="right"/>
              <w:rPr/>
            </w:pPr>
            <w:r>
              <w:rPr/>
              <w:t>29</w:t>
            </w:r>
          </w:p>
        </w:tc>
        <w:tc>
          <w:tcPr>
            <w:tcW w:w="137" w:type="dxa"/>
            <w:tcBorders/>
            <w:shd w:fill="FFFFFF" w:val="clear"/>
            <w:vAlign w:val="center"/>
          </w:tcPr>
          <w:p>
            <w:pPr>
              <w:pStyle w:val="TableContents"/>
              <w:spacing w:before="0" w:after="0"/>
              <w:ind w:left="0" w:right="0" w:hanging="0"/>
              <w:rPr/>
            </w:pPr>
            <w:r>
              <w:rPr/>
              <w:t> </w:t>
            </w:r>
          </w:p>
        </w:tc>
      </w:tr>
      <w:tr>
        <w:trPr/>
        <w:tc>
          <w:tcPr>
            <w:tcW w:w="976" w:type="dxa"/>
            <w:tcBorders/>
            <w:shd w:fill="CCEEFF" w:val="clear"/>
            <w:vAlign w:val="center"/>
          </w:tcPr>
          <w:p>
            <w:pPr>
              <w:pStyle w:val="TableContents"/>
              <w:spacing w:before="0" w:after="0"/>
              <w:ind w:left="0" w:right="0" w:hanging="0"/>
              <w:jc w:val="both"/>
              <w:rPr/>
            </w:pPr>
            <w:hyperlink w:anchor="i3">
              <w:r>
                <w:rPr>
                  <w:rStyle w:val="InternetLink"/>
                </w:rPr>
                <w:t>Item 3.</w:t>
              </w:r>
            </w:hyperlink>
          </w:p>
        </w:tc>
        <w:tc>
          <w:tcPr>
            <w:tcW w:w="8156" w:type="dxa"/>
            <w:tcBorders/>
            <w:shd w:fill="CCEEFF" w:val="clear"/>
            <w:vAlign w:val="center"/>
          </w:tcPr>
          <w:p>
            <w:pPr>
              <w:pStyle w:val="TableContents"/>
              <w:spacing w:before="0" w:after="0"/>
              <w:ind w:left="0" w:right="0" w:hanging="0"/>
              <w:jc w:val="both"/>
              <w:rPr/>
            </w:pPr>
            <w:hyperlink w:anchor="i3">
              <w:r>
                <w:rPr>
                  <w:rStyle w:val="InternetLink"/>
                </w:rPr>
                <w:t>Legal Proceedings.</w:t>
              </w:r>
            </w:hyperlink>
          </w:p>
        </w:tc>
        <w:tc>
          <w:tcPr>
            <w:tcW w:w="90" w:type="dxa"/>
            <w:tcBorders/>
            <w:shd w:fill="CCEEFF" w:val="clear"/>
            <w:vAlign w:val="center"/>
          </w:tcPr>
          <w:p>
            <w:pPr>
              <w:pStyle w:val="TableContents"/>
              <w:spacing w:before="0" w:after="0"/>
              <w:ind w:left="0" w:right="0" w:hanging="0"/>
              <w:rPr/>
            </w:pPr>
            <w:r>
              <w:rPr/>
              <w:t> </w:t>
            </w:r>
          </w:p>
        </w:tc>
        <w:tc>
          <w:tcPr>
            <w:tcW w:w="846" w:type="dxa"/>
            <w:tcBorders/>
            <w:shd w:fill="CCEEFF" w:val="clear"/>
            <w:vAlign w:val="center"/>
          </w:tcPr>
          <w:p>
            <w:pPr>
              <w:pStyle w:val="TableContents"/>
              <w:spacing w:before="0" w:after="0"/>
              <w:ind w:left="0" w:right="0" w:hanging="0"/>
              <w:jc w:val="right"/>
              <w:rPr/>
            </w:pPr>
            <w:r>
              <w:rPr/>
              <w:t>29</w:t>
            </w:r>
          </w:p>
        </w:tc>
        <w:tc>
          <w:tcPr>
            <w:tcW w:w="137" w:type="dxa"/>
            <w:tcBorders/>
            <w:shd w:fill="CCEEFF" w:val="clear"/>
            <w:vAlign w:val="center"/>
          </w:tcPr>
          <w:p>
            <w:pPr>
              <w:pStyle w:val="TableContents"/>
              <w:spacing w:before="0" w:after="0"/>
              <w:ind w:left="0" w:right="0" w:hanging="0"/>
              <w:rPr/>
            </w:pPr>
            <w:r>
              <w:rPr/>
              <w:t> </w:t>
            </w:r>
          </w:p>
        </w:tc>
      </w:tr>
      <w:tr>
        <w:trPr/>
        <w:tc>
          <w:tcPr>
            <w:tcW w:w="976" w:type="dxa"/>
            <w:tcBorders/>
            <w:shd w:fill="FFFFFF" w:val="clear"/>
            <w:vAlign w:val="center"/>
          </w:tcPr>
          <w:p>
            <w:pPr>
              <w:pStyle w:val="TableContents"/>
              <w:spacing w:before="0" w:after="0"/>
              <w:ind w:left="0" w:right="0" w:hanging="0"/>
              <w:jc w:val="both"/>
              <w:rPr/>
            </w:pPr>
            <w:hyperlink w:anchor="i4">
              <w:r>
                <w:rPr>
                  <w:rStyle w:val="InternetLink"/>
                </w:rPr>
                <w:t>Item 4.</w:t>
              </w:r>
            </w:hyperlink>
          </w:p>
        </w:tc>
        <w:tc>
          <w:tcPr>
            <w:tcW w:w="8156" w:type="dxa"/>
            <w:tcBorders/>
            <w:shd w:fill="FFFFFF" w:val="clear"/>
            <w:vAlign w:val="center"/>
          </w:tcPr>
          <w:p>
            <w:pPr>
              <w:pStyle w:val="TableContents"/>
              <w:spacing w:before="0" w:after="0"/>
              <w:ind w:left="0" w:right="0" w:hanging="0"/>
              <w:jc w:val="both"/>
              <w:rPr/>
            </w:pPr>
            <w:hyperlink w:anchor="i4">
              <w:r>
                <w:rPr>
                  <w:rStyle w:val="InternetLink"/>
                </w:rPr>
                <w:t>Mine Safety Disclosures.</w:t>
              </w:r>
            </w:hyperlink>
          </w:p>
        </w:tc>
        <w:tc>
          <w:tcPr>
            <w:tcW w:w="90" w:type="dxa"/>
            <w:tcBorders/>
            <w:shd w:fill="FFFFFF" w:val="clear"/>
            <w:vAlign w:val="center"/>
          </w:tcPr>
          <w:p>
            <w:pPr>
              <w:pStyle w:val="TableContents"/>
              <w:spacing w:before="0" w:after="0"/>
              <w:ind w:left="0" w:right="0" w:hanging="0"/>
              <w:rPr/>
            </w:pPr>
            <w:r>
              <w:rPr/>
              <w:t> </w:t>
            </w:r>
          </w:p>
        </w:tc>
        <w:tc>
          <w:tcPr>
            <w:tcW w:w="846" w:type="dxa"/>
            <w:tcBorders/>
            <w:shd w:fill="FFFFFF" w:val="clear"/>
            <w:vAlign w:val="center"/>
          </w:tcPr>
          <w:p>
            <w:pPr>
              <w:pStyle w:val="TableContents"/>
              <w:spacing w:before="0" w:after="0"/>
              <w:ind w:left="0" w:right="0" w:hanging="0"/>
              <w:jc w:val="right"/>
              <w:rPr/>
            </w:pPr>
            <w:r>
              <w:rPr/>
              <w:t>29</w:t>
            </w:r>
          </w:p>
        </w:tc>
        <w:tc>
          <w:tcPr>
            <w:tcW w:w="137" w:type="dxa"/>
            <w:tcBorders/>
            <w:shd w:fill="FFFFFF" w:val="clear"/>
            <w:vAlign w:val="center"/>
          </w:tcPr>
          <w:p>
            <w:pPr>
              <w:pStyle w:val="TableContents"/>
              <w:spacing w:before="0" w:after="0"/>
              <w:ind w:left="0" w:right="0" w:hanging="0"/>
              <w:rPr/>
            </w:pPr>
            <w:r>
              <w:rPr/>
              <w:t> </w:t>
            </w:r>
          </w:p>
        </w:tc>
      </w:tr>
      <w:tr>
        <w:trPr/>
        <w:tc>
          <w:tcPr>
            <w:tcW w:w="976" w:type="dxa"/>
            <w:tcBorders/>
            <w:shd w:fill="FFFFFF" w:val="clear"/>
            <w:vAlign w:val="center"/>
          </w:tcPr>
          <w:p>
            <w:pPr>
              <w:pStyle w:val="TableContents"/>
              <w:spacing w:before="0" w:after="0"/>
              <w:ind w:left="0" w:right="0" w:hanging="0"/>
              <w:jc w:val="both"/>
              <w:rPr/>
            </w:pPr>
            <w:hyperlink w:anchor="p2">
              <w:r>
                <w:rPr>
                  <w:rStyle w:val="StrongEmphasis"/>
                </w:rPr>
                <w:t>PART II</w:t>
              </w:r>
            </w:hyperlink>
          </w:p>
        </w:tc>
        <w:tc>
          <w:tcPr>
            <w:tcW w:w="8156" w:type="dxa"/>
            <w:tcBorders/>
            <w:shd w:fill="FFFFFF" w:val="clear"/>
            <w:vAlign w:val="center"/>
          </w:tcPr>
          <w:p>
            <w:pPr>
              <w:pStyle w:val="TableContents"/>
              <w:spacing w:before="0" w:after="0"/>
              <w:ind w:left="0" w:right="0" w:hanging="0"/>
              <w:jc w:val="both"/>
              <w:rPr/>
            </w:pPr>
            <w:r>
              <w:rPr/>
              <w:t> </w:t>
            </w:r>
          </w:p>
        </w:tc>
        <w:tc>
          <w:tcPr>
            <w:tcW w:w="90" w:type="dxa"/>
            <w:tcBorders/>
            <w:shd w:fill="FFFFFF" w:val="clear"/>
            <w:vAlign w:val="center"/>
          </w:tcPr>
          <w:p>
            <w:pPr>
              <w:pStyle w:val="TableContents"/>
              <w:spacing w:before="0" w:after="0"/>
              <w:ind w:left="0" w:right="0" w:hanging="0"/>
              <w:rPr/>
            </w:pPr>
            <w:r>
              <w:rPr/>
              <w:t> </w:t>
            </w:r>
          </w:p>
        </w:tc>
        <w:tc>
          <w:tcPr>
            <w:tcW w:w="846" w:type="dxa"/>
            <w:tcBorders/>
            <w:shd w:fill="FFFFFF" w:val="clear"/>
            <w:vAlign w:val="center"/>
          </w:tcPr>
          <w:p>
            <w:pPr>
              <w:pStyle w:val="TableContents"/>
              <w:spacing w:before="0" w:after="0"/>
              <w:ind w:left="0" w:right="0" w:hanging="0"/>
              <w:jc w:val="right"/>
              <w:rPr/>
            </w:pPr>
            <w:r>
              <w:rPr/>
              <w:t> </w:t>
            </w:r>
          </w:p>
        </w:tc>
        <w:tc>
          <w:tcPr>
            <w:tcW w:w="137" w:type="dxa"/>
            <w:tcBorders/>
            <w:shd w:fill="FFFFFF" w:val="clear"/>
            <w:vAlign w:val="center"/>
          </w:tcPr>
          <w:p>
            <w:pPr>
              <w:pStyle w:val="TableContents"/>
              <w:spacing w:before="0" w:after="0"/>
              <w:ind w:left="0" w:right="0" w:hanging="0"/>
              <w:rPr/>
            </w:pPr>
            <w:r>
              <w:rPr/>
              <w:t> </w:t>
            </w:r>
          </w:p>
        </w:tc>
      </w:tr>
      <w:tr>
        <w:trPr/>
        <w:tc>
          <w:tcPr>
            <w:tcW w:w="976" w:type="dxa"/>
            <w:tcBorders/>
            <w:shd w:fill="CCEEFF" w:val="clear"/>
            <w:vAlign w:val="center"/>
          </w:tcPr>
          <w:p>
            <w:pPr>
              <w:pStyle w:val="TableContents"/>
              <w:spacing w:before="0" w:after="0"/>
              <w:ind w:left="0" w:right="0" w:hanging="0"/>
              <w:jc w:val="both"/>
              <w:rPr/>
            </w:pPr>
            <w:hyperlink w:anchor="i5">
              <w:r>
                <w:rPr>
                  <w:rStyle w:val="InternetLink"/>
                </w:rPr>
                <w:t>Item 5.</w:t>
              </w:r>
            </w:hyperlink>
          </w:p>
        </w:tc>
        <w:tc>
          <w:tcPr>
            <w:tcW w:w="8156" w:type="dxa"/>
            <w:tcBorders/>
            <w:shd w:fill="CCEEFF" w:val="clear"/>
            <w:vAlign w:val="center"/>
          </w:tcPr>
          <w:p>
            <w:pPr>
              <w:pStyle w:val="TableContents"/>
              <w:spacing w:before="0" w:after="0"/>
              <w:ind w:left="0" w:right="0" w:hanging="0"/>
              <w:jc w:val="both"/>
              <w:rPr/>
            </w:pPr>
            <w:hyperlink w:anchor="i5">
              <w:r>
                <w:rPr>
                  <w:rStyle w:val="InternetLink"/>
                </w:rPr>
                <w:t>Market for Registrant’s Common Equity, Related Stockholder Matters and Issuer Purchases of Equity Securities.</w:t>
              </w:r>
            </w:hyperlink>
          </w:p>
        </w:tc>
        <w:tc>
          <w:tcPr>
            <w:tcW w:w="90" w:type="dxa"/>
            <w:tcBorders/>
            <w:shd w:fill="CCEEFF" w:val="clear"/>
            <w:vAlign w:val="center"/>
          </w:tcPr>
          <w:p>
            <w:pPr>
              <w:pStyle w:val="TableContents"/>
              <w:spacing w:before="0" w:after="0"/>
              <w:ind w:left="0" w:right="0" w:hanging="0"/>
              <w:rPr/>
            </w:pPr>
            <w:r>
              <w:rPr/>
              <w:t> </w:t>
            </w:r>
          </w:p>
        </w:tc>
        <w:tc>
          <w:tcPr>
            <w:tcW w:w="846" w:type="dxa"/>
            <w:tcBorders/>
            <w:shd w:fill="CCEEFF" w:val="clear"/>
            <w:vAlign w:val="center"/>
          </w:tcPr>
          <w:p>
            <w:pPr>
              <w:pStyle w:val="TableContents"/>
              <w:spacing w:before="0" w:after="0"/>
              <w:ind w:left="0" w:right="0" w:hanging="0"/>
              <w:jc w:val="right"/>
              <w:rPr/>
            </w:pPr>
            <w:r>
              <w:rPr/>
              <w:t>30</w:t>
            </w:r>
          </w:p>
        </w:tc>
        <w:tc>
          <w:tcPr>
            <w:tcW w:w="137" w:type="dxa"/>
            <w:tcBorders/>
            <w:shd w:fill="CCEEFF" w:val="clear"/>
            <w:vAlign w:val="center"/>
          </w:tcPr>
          <w:p>
            <w:pPr>
              <w:pStyle w:val="TableContents"/>
              <w:spacing w:before="0" w:after="0"/>
              <w:ind w:left="0" w:right="0" w:hanging="0"/>
              <w:rPr/>
            </w:pPr>
            <w:r>
              <w:rPr/>
              <w:t> </w:t>
            </w:r>
          </w:p>
        </w:tc>
      </w:tr>
      <w:tr>
        <w:trPr/>
        <w:tc>
          <w:tcPr>
            <w:tcW w:w="976" w:type="dxa"/>
            <w:tcBorders/>
            <w:shd w:fill="FFFFFF" w:val="clear"/>
            <w:vAlign w:val="center"/>
          </w:tcPr>
          <w:p>
            <w:pPr>
              <w:pStyle w:val="TableContents"/>
              <w:spacing w:before="0" w:after="0"/>
              <w:ind w:left="0" w:right="0" w:hanging="0"/>
              <w:jc w:val="both"/>
              <w:rPr/>
            </w:pPr>
            <w:hyperlink w:anchor="i6">
              <w:r>
                <w:rPr>
                  <w:rStyle w:val="InternetLink"/>
                </w:rPr>
                <w:t>Item 6.</w:t>
              </w:r>
            </w:hyperlink>
          </w:p>
        </w:tc>
        <w:tc>
          <w:tcPr>
            <w:tcW w:w="8156" w:type="dxa"/>
            <w:tcBorders/>
            <w:shd w:fill="FFFFFF" w:val="clear"/>
            <w:vAlign w:val="center"/>
          </w:tcPr>
          <w:p>
            <w:pPr>
              <w:pStyle w:val="TableContents"/>
              <w:spacing w:before="0" w:after="0"/>
              <w:ind w:left="0" w:right="0" w:hanging="0"/>
              <w:jc w:val="both"/>
              <w:rPr/>
            </w:pPr>
            <w:hyperlink w:anchor="i6">
              <w:r>
                <w:rPr>
                  <w:rStyle w:val="InternetLink"/>
                </w:rPr>
                <w:t>Selected Financial Data.</w:t>
              </w:r>
            </w:hyperlink>
          </w:p>
        </w:tc>
        <w:tc>
          <w:tcPr>
            <w:tcW w:w="90" w:type="dxa"/>
            <w:tcBorders/>
            <w:shd w:fill="FFFFFF" w:val="clear"/>
            <w:vAlign w:val="center"/>
          </w:tcPr>
          <w:p>
            <w:pPr>
              <w:pStyle w:val="TableContents"/>
              <w:spacing w:before="0" w:after="0"/>
              <w:ind w:left="0" w:right="0" w:hanging="0"/>
              <w:rPr/>
            </w:pPr>
            <w:r>
              <w:rPr/>
              <w:t> </w:t>
            </w:r>
          </w:p>
        </w:tc>
        <w:tc>
          <w:tcPr>
            <w:tcW w:w="846" w:type="dxa"/>
            <w:tcBorders/>
            <w:shd w:fill="FFFFFF" w:val="clear"/>
            <w:vAlign w:val="center"/>
          </w:tcPr>
          <w:p>
            <w:pPr>
              <w:pStyle w:val="TableContents"/>
              <w:spacing w:before="0" w:after="0"/>
              <w:ind w:left="0" w:right="0" w:hanging="0"/>
              <w:jc w:val="right"/>
              <w:rPr/>
            </w:pPr>
            <w:r>
              <w:rPr/>
              <w:t>31</w:t>
            </w:r>
          </w:p>
        </w:tc>
        <w:tc>
          <w:tcPr>
            <w:tcW w:w="137" w:type="dxa"/>
            <w:tcBorders/>
            <w:shd w:fill="FFFFFF" w:val="clear"/>
            <w:vAlign w:val="center"/>
          </w:tcPr>
          <w:p>
            <w:pPr>
              <w:pStyle w:val="TableContents"/>
              <w:spacing w:before="0" w:after="0"/>
              <w:ind w:left="0" w:right="0" w:hanging="0"/>
              <w:rPr/>
            </w:pPr>
            <w:r>
              <w:rPr/>
              <w:t> </w:t>
            </w:r>
          </w:p>
        </w:tc>
      </w:tr>
      <w:tr>
        <w:trPr/>
        <w:tc>
          <w:tcPr>
            <w:tcW w:w="976" w:type="dxa"/>
            <w:tcBorders/>
            <w:shd w:fill="CCEEFF" w:val="clear"/>
            <w:vAlign w:val="center"/>
          </w:tcPr>
          <w:p>
            <w:pPr>
              <w:pStyle w:val="TableContents"/>
              <w:spacing w:before="0" w:after="0"/>
              <w:ind w:left="0" w:right="0" w:hanging="0"/>
              <w:jc w:val="both"/>
              <w:rPr/>
            </w:pPr>
            <w:hyperlink w:anchor="i7">
              <w:r>
                <w:rPr>
                  <w:rStyle w:val="InternetLink"/>
                </w:rPr>
                <w:t>Item 7.</w:t>
              </w:r>
            </w:hyperlink>
          </w:p>
        </w:tc>
        <w:tc>
          <w:tcPr>
            <w:tcW w:w="8156" w:type="dxa"/>
            <w:tcBorders/>
            <w:shd w:fill="CCEEFF" w:val="clear"/>
            <w:vAlign w:val="center"/>
          </w:tcPr>
          <w:p>
            <w:pPr>
              <w:pStyle w:val="TableContents"/>
              <w:spacing w:before="0" w:after="0"/>
              <w:ind w:left="0" w:right="0" w:hanging="0"/>
              <w:jc w:val="both"/>
              <w:rPr/>
            </w:pPr>
            <w:hyperlink w:anchor="i7">
              <w:r>
                <w:rPr>
                  <w:rStyle w:val="InternetLink"/>
                </w:rPr>
                <w:t>Management’s Discussion and Analysis of Financial Condition and Results of Operations.</w:t>
              </w:r>
            </w:hyperlink>
          </w:p>
        </w:tc>
        <w:tc>
          <w:tcPr>
            <w:tcW w:w="90" w:type="dxa"/>
            <w:tcBorders/>
            <w:shd w:fill="CCEEFF" w:val="clear"/>
            <w:vAlign w:val="center"/>
          </w:tcPr>
          <w:p>
            <w:pPr>
              <w:pStyle w:val="TableContents"/>
              <w:spacing w:before="0" w:after="0"/>
              <w:ind w:left="0" w:right="0" w:hanging="0"/>
              <w:rPr/>
            </w:pPr>
            <w:r>
              <w:rPr/>
              <w:t> </w:t>
            </w:r>
          </w:p>
        </w:tc>
        <w:tc>
          <w:tcPr>
            <w:tcW w:w="846" w:type="dxa"/>
            <w:tcBorders/>
            <w:shd w:fill="CCEEFF" w:val="clear"/>
            <w:vAlign w:val="center"/>
          </w:tcPr>
          <w:p>
            <w:pPr>
              <w:pStyle w:val="TableContents"/>
              <w:spacing w:before="0" w:after="0"/>
              <w:ind w:left="0" w:right="0" w:hanging="0"/>
              <w:jc w:val="right"/>
              <w:rPr/>
            </w:pPr>
            <w:r>
              <w:rPr/>
              <w:t>31</w:t>
            </w:r>
          </w:p>
        </w:tc>
        <w:tc>
          <w:tcPr>
            <w:tcW w:w="137" w:type="dxa"/>
            <w:tcBorders/>
            <w:shd w:fill="CCEEFF" w:val="clear"/>
            <w:vAlign w:val="center"/>
          </w:tcPr>
          <w:p>
            <w:pPr>
              <w:pStyle w:val="TableContents"/>
              <w:spacing w:before="0" w:after="0"/>
              <w:ind w:left="0" w:right="0" w:hanging="0"/>
              <w:rPr/>
            </w:pPr>
            <w:r>
              <w:rPr/>
              <w:t> </w:t>
            </w:r>
          </w:p>
        </w:tc>
      </w:tr>
      <w:tr>
        <w:trPr/>
        <w:tc>
          <w:tcPr>
            <w:tcW w:w="976" w:type="dxa"/>
            <w:tcBorders/>
            <w:shd w:fill="FFFFFF" w:val="clear"/>
            <w:vAlign w:val="center"/>
          </w:tcPr>
          <w:p>
            <w:pPr>
              <w:pStyle w:val="TableContents"/>
              <w:spacing w:before="0" w:after="0"/>
              <w:ind w:left="0" w:right="0" w:hanging="0"/>
              <w:jc w:val="both"/>
              <w:rPr/>
            </w:pPr>
            <w:hyperlink w:anchor="i7a">
              <w:r>
                <w:rPr>
                  <w:rStyle w:val="InternetLink"/>
                </w:rPr>
                <w:t>Item 7A.</w:t>
              </w:r>
            </w:hyperlink>
          </w:p>
        </w:tc>
        <w:tc>
          <w:tcPr>
            <w:tcW w:w="8156" w:type="dxa"/>
            <w:tcBorders/>
            <w:shd w:fill="FFFFFF" w:val="clear"/>
            <w:vAlign w:val="center"/>
          </w:tcPr>
          <w:p>
            <w:pPr>
              <w:pStyle w:val="TableContents"/>
              <w:spacing w:before="0" w:after="0"/>
              <w:ind w:left="0" w:right="0" w:hanging="0"/>
              <w:jc w:val="both"/>
              <w:rPr/>
            </w:pPr>
            <w:hyperlink w:anchor="i7a">
              <w:r>
                <w:rPr>
                  <w:rStyle w:val="InternetLink"/>
                </w:rPr>
                <w:t>Quantitative and Qualitative Disclosures About Market Risk.</w:t>
              </w:r>
            </w:hyperlink>
          </w:p>
        </w:tc>
        <w:tc>
          <w:tcPr>
            <w:tcW w:w="90" w:type="dxa"/>
            <w:tcBorders/>
            <w:shd w:fill="FFFFFF" w:val="clear"/>
            <w:vAlign w:val="center"/>
          </w:tcPr>
          <w:p>
            <w:pPr>
              <w:pStyle w:val="TableContents"/>
              <w:spacing w:before="0" w:after="0"/>
              <w:ind w:left="0" w:right="0" w:hanging="0"/>
              <w:rPr/>
            </w:pPr>
            <w:r>
              <w:rPr/>
              <w:t> </w:t>
            </w:r>
          </w:p>
        </w:tc>
        <w:tc>
          <w:tcPr>
            <w:tcW w:w="846" w:type="dxa"/>
            <w:tcBorders/>
            <w:shd w:fill="FFFFFF" w:val="clear"/>
            <w:vAlign w:val="center"/>
          </w:tcPr>
          <w:p>
            <w:pPr>
              <w:pStyle w:val="TableContents"/>
              <w:spacing w:before="0" w:after="0"/>
              <w:ind w:left="0" w:right="0" w:hanging="0"/>
              <w:jc w:val="right"/>
              <w:rPr/>
            </w:pPr>
            <w:r>
              <w:rPr/>
              <w:t>60</w:t>
            </w:r>
          </w:p>
        </w:tc>
        <w:tc>
          <w:tcPr>
            <w:tcW w:w="137" w:type="dxa"/>
            <w:tcBorders/>
            <w:shd w:fill="FFFFFF" w:val="clear"/>
            <w:vAlign w:val="center"/>
          </w:tcPr>
          <w:p>
            <w:pPr>
              <w:pStyle w:val="TableContents"/>
              <w:spacing w:before="0" w:after="0"/>
              <w:ind w:left="0" w:right="0" w:hanging="0"/>
              <w:rPr/>
            </w:pPr>
            <w:r>
              <w:rPr/>
              <w:t> </w:t>
            </w:r>
          </w:p>
        </w:tc>
      </w:tr>
      <w:tr>
        <w:trPr/>
        <w:tc>
          <w:tcPr>
            <w:tcW w:w="976" w:type="dxa"/>
            <w:tcBorders/>
            <w:shd w:fill="CCEEFF" w:val="clear"/>
            <w:vAlign w:val="center"/>
          </w:tcPr>
          <w:p>
            <w:pPr>
              <w:pStyle w:val="TableContents"/>
              <w:spacing w:before="0" w:after="0"/>
              <w:ind w:left="0" w:right="0" w:hanging="0"/>
              <w:jc w:val="both"/>
              <w:rPr/>
            </w:pPr>
            <w:hyperlink w:anchor="i8">
              <w:r>
                <w:rPr>
                  <w:rStyle w:val="InternetLink"/>
                </w:rPr>
                <w:t>Item 8.</w:t>
              </w:r>
            </w:hyperlink>
          </w:p>
        </w:tc>
        <w:tc>
          <w:tcPr>
            <w:tcW w:w="8156" w:type="dxa"/>
            <w:tcBorders/>
            <w:shd w:fill="CCEEFF" w:val="clear"/>
            <w:vAlign w:val="center"/>
          </w:tcPr>
          <w:p>
            <w:pPr>
              <w:pStyle w:val="TableContents"/>
              <w:spacing w:before="0" w:after="0"/>
              <w:ind w:left="0" w:right="0" w:hanging="0"/>
              <w:jc w:val="both"/>
              <w:rPr/>
            </w:pPr>
            <w:hyperlink w:anchor="i8">
              <w:r>
                <w:rPr>
                  <w:rStyle w:val="InternetLink"/>
                </w:rPr>
                <w:t>Financial Statements and Supplementary Data.</w:t>
              </w:r>
            </w:hyperlink>
          </w:p>
        </w:tc>
        <w:tc>
          <w:tcPr>
            <w:tcW w:w="90" w:type="dxa"/>
            <w:tcBorders/>
            <w:shd w:fill="CCEEFF" w:val="clear"/>
            <w:vAlign w:val="center"/>
          </w:tcPr>
          <w:p>
            <w:pPr>
              <w:pStyle w:val="TableContents"/>
              <w:spacing w:before="0" w:after="0"/>
              <w:ind w:left="0" w:right="0" w:hanging="0"/>
              <w:rPr/>
            </w:pPr>
            <w:r>
              <w:rPr/>
              <w:t> </w:t>
            </w:r>
          </w:p>
        </w:tc>
        <w:tc>
          <w:tcPr>
            <w:tcW w:w="846" w:type="dxa"/>
            <w:tcBorders/>
            <w:shd w:fill="CCEEFF" w:val="clear"/>
            <w:vAlign w:val="center"/>
          </w:tcPr>
          <w:p>
            <w:pPr>
              <w:pStyle w:val="TableContents"/>
              <w:spacing w:before="0" w:after="0"/>
              <w:ind w:left="0" w:right="0" w:hanging="0"/>
              <w:jc w:val="right"/>
              <w:rPr/>
            </w:pPr>
            <w:r>
              <w:rPr/>
              <w:t>60</w:t>
            </w:r>
          </w:p>
        </w:tc>
        <w:tc>
          <w:tcPr>
            <w:tcW w:w="137" w:type="dxa"/>
            <w:tcBorders/>
            <w:shd w:fill="CCEEFF" w:val="clear"/>
            <w:vAlign w:val="center"/>
          </w:tcPr>
          <w:p>
            <w:pPr>
              <w:pStyle w:val="TableContents"/>
              <w:spacing w:before="0" w:after="0"/>
              <w:ind w:left="0" w:right="0" w:hanging="0"/>
              <w:rPr/>
            </w:pPr>
            <w:r>
              <w:rPr/>
              <w:t> </w:t>
            </w:r>
          </w:p>
        </w:tc>
      </w:tr>
      <w:tr>
        <w:trPr/>
        <w:tc>
          <w:tcPr>
            <w:tcW w:w="976" w:type="dxa"/>
            <w:tcBorders/>
            <w:shd w:fill="FFFFFF" w:val="clear"/>
            <w:vAlign w:val="center"/>
          </w:tcPr>
          <w:p>
            <w:pPr>
              <w:pStyle w:val="TableContents"/>
              <w:spacing w:before="0" w:after="0"/>
              <w:ind w:left="0" w:right="0" w:hanging="0"/>
              <w:jc w:val="both"/>
              <w:rPr/>
            </w:pPr>
            <w:hyperlink w:anchor="i9">
              <w:r>
                <w:rPr>
                  <w:rStyle w:val="InternetLink"/>
                </w:rPr>
                <w:t>Item 9.</w:t>
              </w:r>
            </w:hyperlink>
          </w:p>
        </w:tc>
        <w:tc>
          <w:tcPr>
            <w:tcW w:w="8156" w:type="dxa"/>
            <w:tcBorders/>
            <w:shd w:fill="FFFFFF" w:val="clear"/>
            <w:vAlign w:val="center"/>
          </w:tcPr>
          <w:p>
            <w:pPr>
              <w:pStyle w:val="TableContents"/>
              <w:spacing w:before="0" w:after="0"/>
              <w:ind w:left="0" w:right="0" w:hanging="0"/>
              <w:jc w:val="both"/>
              <w:rPr/>
            </w:pPr>
            <w:hyperlink w:anchor="i9">
              <w:r>
                <w:rPr>
                  <w:rStyle w:val="InternetLink"/>
                </w:rPr>
                <w:t>Changes in and Disagreements With Accountants on Accounting and Financial Disclosure.</w:t>
              </w:r>
            </w:hyperlink>
          </w:p>
        </w:tc>
        <w:tc>
          <w:tcPr>
            <w:tcW w:w="90" w:type="dxa"/>
            <w:tcBorders/>
            <w:shd w:fill="FFFFFF" w:val="clear"/>
            <w:vAlign w:val="center"/>
          </w:tcPr>
          <w:p>
            <w:pPr>
              <w:pStyle w:val="TableContents"/>
              <w:spacing w:before="0" w:after="0"/>
              <w:ind w:left="0" w:right="0" w:hanging="0"/>
              <w:rPr/>
            </w:pPr>
            <w:r>
              <w:rPr/>
              <w:t> </w:t>
            </w:r>
          </w:p>
        </w:tc>
        <w:tc>
          <w:tcPr>
            <w:tcW w:w="846" w:type="dxa"/>
            <w:tcBorders/>
            <w:shd w:fill="FFFFFF" w:val="clear"/>
            <w:vAlign w:val="center"/>
          </w:tcPr>
          <w:p>
            <w:pPr>
              <w:pStyle w:val="TableContents"/>
              <w:spacing w:before="0" w:after="0"/>
              <w:ind w:left="0" w:right="0" w:hanging="0"/>
              <w:jc w:val="right"/>
              <w:rPr/>
            </w:pPr>
            <w:r>
              <w:rPr/>
              <w:t>60</w:t>
            </w:r>
          </w:p>
        </w:tc>
        <w:tc>
          <w:tcPr>
            <w:tcW w:w="137" w:type="dxa"/>
            <w:tcBorders/>
            <w:shd w:fill="FFFFFF" w:val="clear"/>
            <w:vAlign w:val="center"/>
          </w:tcPr>
          <w:p>
            <w:pPr>
              <w:pStyle w:val="TableContents"/>
              <w:spacing w:before="0" w:after="0"/>
              <w:ind w:left="0" w:right="0" w:hanging="0"/>
              <w:rPr/>
            </w:pPr>
            <w:r>
              <w:rPr/>
              <w:t> </w:t>
            </w:r>
          </w:p>
        </w:tc>
      </w:tr>
      <w:tr>
        <w:trPr/>
        <w:tc>
          <w:tcPr>
            <w:tcW w:w="976" w:type="dxa"/>
            <w:tcBorders/>
            <w:shd w:fill="CCEEFF" w:val="clear"/>
            <w:vAlign w:val="center"/>
          </w:tcPr>
          <w:p>
            <w:pPr>
              <w:pStyle w:val="TableContents"/>
              <w:spacing w:before="0" w:after="0"/>
              <w:ind w:left="0" w:right="0" w:hanging="0"/>
              <w:jc w:val="both"/>
              <w:rPr/>
            </w:pPr>
            <w:hyperlink w:anchor="i9a">
              <w:r>
                <w:rPr>
                  <w:rStyle w:val="InternetLink"/>
                </w:rPr>
                <w:t>Item 9A.</w:t>
              </w:r>
            </w:hyperlink>
          </w:p>
        </w:tc>
        <w:tc>
          <w:tcPr>
            <w:tcW w:w="8156" w:type="dxa"/>
            <w:tcBorders/>
            <w:shd w:fill="CCEEFF" w:val="clear"/>
            <w:vAlign w:val="center"/>
          </w:tcPr>
          <w:p>
            <w:pPr>
              <w:pStyle w:val="TableContents"/>
              <w:spacing w:before="0" w:after="0"/>
              <w:ind w:left="0" w:right="0" w:hanging="0"/>
              <w:jc w:val="both"/>
              <w:rPr/>
            </w:pPr>
            <w:hyperlink w:anchor="i9a">
              <w:r>
                <w:rPr>
                  <w:rStyle w:val="InternetLink"/>
                </w:rPr>
                <w:t>Controls and Procedures.</w:t>
              </w:r>
            </w:hyperlink>
          </w:p>
        </w:tc>
        <w:tc>
          <w:tcPr>
            <w:tcW w:w="90" w:type="dxa"/>
            <w:tcBorders/>
            <w:shd w:fill="CCEEFF" w:val="clear"/>
            <w:vAlign w:val="center"/>
          </w:tcPr>
          <w:p>
            <w:pPr>
              <w:pStyle w:val="TableContents"/>
              <w:spacing w:before="0" w:after="0"/>
              <w:ind w:left="0" w:right="0" w:hanging="0"/>
              <w:rPr/>
            </w:pPr>
            <w:r>
              <w:rPr/>
              <w:t> </w:t>
            </w:r>
          </w:p>
        </w:tc>
        <w:tc>
          <w:tcPr>
            <w:tcW w:w="846" w:type="dxa"/>
            <w:tcBorders/>
            <w:shd w:fill="CCEEFF" w:val="clear"/>
            <w:vAlign w:val="center"/>
          </w:tcPr>
          <w:p>
            <w:pPr>
              <w:pStyle w:val="TableContents"/>
              <w:spacing w:before="0" w:after="0"/>
              <w:ind w:left="0" w:right="0" w:hanging="0"/>
              <w:jc w:val="right"/>
              <w:rPr/>
            </w:pPr>
            <w:r>
              <w:rPr/>
              <w:t>60</w:t>
            </w:r>
          </w:p>
        </w:tc>
        <w:tc>
          <w:tcPr>
            <w:tcW w:w="137" w:type="dxa"/>
            <w:tcBorders/>
            <w:shd w:fill="CCEEFF" w:val="clear"/>
            <w:vAlign w:val="center"/>
          </w:tcPr>
          <w:p>
            <w:pPr>
              <w:pStyle w:val="TableContents"/>
              <w:spacing w:before="0" w:after="0"/>
              <w:ind w:left="0" w:right="0" w:hanging="0"/>
              <w:rPr/>
            </w:pPr>
            <w:r>
              <w:rPr/>
              <w:t> </w:t>
            </w:r>
          </w:p>
        </w:tc>
      </w:tr>
      <w:tr>
        <w:trPr/>
        <w:tc>
          <w:tcPr>
            <w:tcW w:w="976" w:type="dxa"/>
            <w:tcBorders/>
            <w:shd w:fill="FFFFFF" w:val="clear"/>
            <w:vAlign w:val="center"/>
          </w:tcPr>
          <w:p>
            <w:pPr>
              <w:pStyle w:val="TableContents"/>
              <w:spacing w:before="0" w:after="0"/>
              <w:ind w:left="0" w:right="0" w:hanging="0"/>
              <w:jc w:val="both"/>
              <w:rPr/>
            </w:pPr>
            <w:hyperlink w:anchor="i9b">
              <w:r>
                <w:rPr>
                  <w:rStyle w:val="InternetLink"/>
                </w:rPr>
                <w:t>Item 9B.</w:t>
              </w:r>
            </w:hyperlink>
          </w:p>
        </w:tc>
        <w:tc>
          <w:tcPr>
            <w:tcW w:w="8156" w:type="dxa"/>
            <w:tcBorders/>
            <w:shd w:fill="FFFFFF" w:val="clear"/>
            <w:vAlign w:val="center"/>
          </w:tcPr>
          <w:p>
            <w:pPr>
              <w:pStyle w:val="TableContents"/>
              <w:spacing w:before="0" w:after="0"/>
              <w:ind w:left="0" w:right="0" w:hanging="0"/>
              <w:jc w:val="both"/>
              <w:rPr/>
            </w:pPr>
            <w:hyperlink w:anchor="i9b">
              <w:r>
                <w:rPr>
                  <w:rStyle w:val="InternetLink"/>
                </w:rPr>
                <w:t>Other Information.</w:t>
              </w:r>
            </w:hyperlink>
          </w:p>
        </w:tc>
        <w:tc>
          <w:tcPr>
            <w:tcW w:w="90" w:type="dxa"/>
            <w:tcBorders/>
            <w:shd w:fill="FFFFFF" w:val="clear"/>
            <w:vAlign w:val="center"/>
          </w:tcPr>
          <w:p>
            <w:pPr>
              <w:pStyle w:val="TableContents"/>
              <w:spacing w:before="0" w:after="0"/>
              <w:ind w:left="0" w:right="0" w:hanging="0"/>
              <w:rPr/>
            </w:pPr>
            <w:r>
              <w:rPr/>
              <w:t> </w:t>
            </w:r>
          </w:p>
        </w:tc>
        <w:tc>
          <w:tcPr>
            <w:tcW w:w="846" w:type="dxa"/>
            <w:tcBorders/>
            <w:shd w:fill="FFFFFF" w:val="clear"/>
            <w:vAlign w:val="center"/>
          </w:tcPr>
          <w:p>
            <w:pPr>
              <w:pStyle w:val="TableContents"/>
              <w:spacing w:before="0" w:after="0"/>
              <w:ind w:left="0" w:right="0" w:hanging="0"/>
              <w:jc w:val="right"/>
              <w:rPr/>
            </w:pPr>
            <w:r>
              <w:rPr/>
              <w:t>61</w:t>
            </w:r>
          </w:p>
        </w:tc>
        <w:tc>
          <w:tcPr>
            <w:tcW w:w="137" w:type="dxa"/>
            <w:tcBorders/>
            <w:shd w:fill="FFFFFF" w:val="clear"/>
            <w:vAlign w:val="center"/>
          </w:tcPr>
          <w:p>
            <w:pPr>
              <w:pStyle w:val="TableContents"/>
              <w:spacing w:before="0" w:after="0"/>
              <w:ind w:left="0" w:right="0" w:hanging="0"/>
              <w:rPr/>
            </w:pPr>
            <w:r>
              <w:rPr/>
              <w:t> </w:t>
            </w:r>
          </w:p>
        </w:tc>
      </w:tr>
      <w:tr>
        <w:trPr/>
        <w:tc>
          <w:tcPr>
            <w:tcW w:w="976" w:type="dxa"/>
            <w:tcBorders/>
            <w:shd w:fill="FFFFFF" w:val="clear"/>
            <w:vAlign w:val="center"/>
          </w:tcPr>
          <w:p>
            <w:pPr>
              <w:pStyle w:val="TableContents"/>
              <w:spacing w:before="0" w:after="0"/>
              <w:ind w:left="0" w:right="0" w:hanging="0"/>
              <w:jc w:val="both"/>
              <w:rPr/>
            </w:pPr>
            <w:hyperlink w:anchor="p3">
              <w:r>
                <w:rPr>
                  <w:rStyle w:val="StrongEmphasis"/>
                </w:rPr>
                <w:t>PART III</w:t>
              </w:r>
            </w:hyperlink>
          </w:p>
        </w:tc>
        <w:tc>
          <w:tcPr>
            <w:tcW w:w="8156" w:type="dxa"/>
            <w:tcBorders/>
            <w:shd w:fill="FFFFFF" w:val="clear"/>
            <w:vAlign w:val="center"/>
          </w:tcPr>
          <w:p>
            <w:pPr>
              <w:pStyle w:val="TableContents"/>
              <w:spacing w:before="0" w:after="0"/>
              <w:ind w:left="0" w:right="0" w:hanging="0"/>
              <w:jc w:val="both"/>
              <w:rPr/>
            </w:pPr>
            <w:r>
              <w:rPr/>
              <w:t> </w:t>
            </w:r>
          </w:p>
        </w:tc>
        <w:tc>
          <w:tcPr>
            <w:tcW w:w="90" w:type="dxa"/>
            <w:tcBorders/>
            <w:shd w:fill="FFFFFF" w:val="clear"/>
            <w:vAlign w:val="center"/>
          </w:tcPr>
          <w:p>
            <w:pPr>
              <w:pStyle w:val="TableContents"/>
              <w:spacing w:before="0" w:after="0"/>
              <w:ind w:left="0" w:right="0" w:hanging="0"/>
              <w:rPr/>
            </w:pPr>
            <w:r>
              <w:rPr/>
              <w:t> </w:t>
            </w:r>
          </w:p>
        </w:tc>
        <w:tc>
          <w:tcPr>
            <w:tcW w:w="846" w:type="dxa"/>
            <w:tcBorders/>
            <w:shd w:fill="FFFFFF" w:val="clear"/>
            <w:vAlign w:val="center"/>
          </w:tcPr>
          <w:p>
            <w:pPr>
              <w:pStyle w:val="TableContents"/>
              <w:spacing w:before="0" w:after="0"/>
              <w:ind w:left="0" w:right="0" w:hanging="0"/>
              <w:jc w:val="right"/>
              <w:rPr/>
            </w:pPr>
            <w:r>
              <w:rPr/>
              <w:t> </w:t>
            </w:r>
          </w:p>
        </w:tc>
        <w:tc>
          <w:tcPr>
            <w:tcW w:w="137" w:type="dxa"/>
            <w:tcBorders/>
            <w:shd w:fill="FFFFFF" w:val="clear"/>
            <w:vAlign w:val="center"/>
          </w:tcPr>
          <w:p>
            <w:pPr>
              <w:pStyle w:val="TableContents"/>
              <w:spacing w:before="0" w:after="0"/>
              <w:ind w:left="0" w:right="0" w:hanging="0"/>
              <w:rPr/>
            </w:pPr>
            <w:r>
              <w:rPr/>
              <w:t> </w:t>
            </w:r>
          </w:p>
        </w:tc>
      </w:tr>
      <w:tr>
        <w:trPr/>
        <w:tc>
          <w:tcPr>
            <w:tcW w:w="976" w:type="dxa"/>
            <w:tcBorders/>
            <w:shd w:fill="CCEEFF" w:val="clear"/>
            <w:vAlign w:val="center"/>
          </w:tcPr>
          <w:p>
            <w:pPr>
              <w:pStyle w:val="TableContents"/>
              <w:spacing w:before="0" w:after="0"/>
              <w:ind w:left="0" w:right="0" w:hanging="0"/>
              <w:jc w:val="both"/>
              <w:rPr/>
            </w:pPr>
            <w:hyperlink w:anchor="i10">
              <w:r>
                <w:rPr>
                  <w:rStyle w:val="InternetLink"/>
                </w:rPr>
                <w:t>Item 10.</w:t>
              </w:r>
            </w:hyperlink>
          </w:p>
        </w:tc>
        <w:tc>
          <w:tcPr>
            <w:tcW w:w="8156" w:type="dxa"/>
            <w:tcBorders/>
            <w:shd w:fill="CCEEFF" w:val="clear"/>
            <w:vAlign w:val="center"/>
          </w:tcPr>
          <w:p>
            <w:pPr>
              <w:pStyle w:val="TableContents"/>
              <w:spacing w:before="0" w:after="0"/>
              <w:ind w:left="0" w:right="0" w:hanging="0"/>
              <w:rPr/>
            </w:pPr>
            <w:hyperlink w:anchor="i10">
              <w:r>
                <w:rPr>
                  <w:rStyle w:val="InternetLink"/>
                </w:rPr>
                <w:t>Directors, Executive Officers and Corporate Governance.</w:t>
              </w:r>
            </w:hyperlink>
          </w:p>
        </w:tc>
        <w:tc>
          <w:tcPr>
            <w:tcW w:w="90" w:type="dxa"/>
            <w:tcBorders/>
            <w:shd w:fill="CCEEFF" w:val="clear"/>
            <w:vAlign w:val="center"/>
          </w:tcPr>
          <w:p>
            <w:pPr>
              <w:pStyle w:val="TableContents"/>
              <w:spacing w:before="0" w:after="0"/>
              <w:ind w:left="0" w:right="0" w:hanging="0"/>
              <w:rPr/>
            </w:pPr>
            <w:r>
              <w:rPr/>
              <w:t> </w:t>
            </w:r>
          </w:p>
        </w:tc>
        <w:tc>
          <w:tcPr>
            <w:tcW w:w="846" w:type="dxa"/>
            <w:tcBorders/>
            <w:shd w:fill="CCEEFF" w:val="clear"/>
            <w:vAlign w:val="center"/>
          </w:tcPr>
          <w:p>
            <w:pPr>
              <w:pStyle w:val="TableContents"/>
              <w:spacing w:before="0" w:after="0"/>
              <w:ind w:left="0" w:right="0" w:hanging="0"/>
              <w:jc w:val="right"/>
              <w:rPr/>
            </w:pPr>
            <w:r>
              <w:rPr/>
              <w:t>62</w:t>
            </w:r>
          </w:p>
        </w:tc>
        <w:tc>
          <w:tcPr>
            <w:tcW w:w="137" w:type="dxa"/>
            <w:tcBorders/>
            <w:shd w:fill="CCEEFF" w:val="clear"/>
            <w:vAlign w:val="center"/>
          </w:tcPr>
          <w:p>
            <w:pPr>
              <w:pStyle w:val="TableContents"/>
              <w:spacing w:before="0" w:after="0"/>
              <w:ind w:left="0" w:right="0" w:hanging="0"/>
              <w:rPr/>
            </w:pPr>
            <w:r>
              <w:rPr/>
              <w:t> </w:t>
            </w:r>
          </w:p>
        </w:tc>
      </w:tr>
      <w:tr>
        <w:trPr/>
        <w:tc>
          <w:tcPr>
            <w:tcW w:w="976" w:type="dxa"/>
            <w:tcBorders/>
            <w:shd w:fill="FFFFFF" w:val="clear"/>
            <w:vAlign w:val="center"/>
          </w:tcPr>
          <w:p>
            <w:pPr>
              <w:pStyle w:val="TableContents"/>
              <w:spacing w:before="0" w:after="0"/>
              <w:ind w:left="0" w:right="0" w:hanging="0"/>
              <w:jc w:val="both"/>
              <w:rPr/>
            </w:pPr>
            <w:hyperlink w:anchor="i11">
              <w:r>
                <w:rPr>
                  <w:rStyle w:val="InternetLink"/>
                </w:rPr>
                <w:t>Item 11.</w:t>
              </w:r>
            </w:hyperlink>
          </w:p>
        </w:tc>
        <w:tc>
          <w:tcPr>
            <w:tcW w:w="8156" w:type="dxa"/>
            <w:tcBorders/>
            <w:shd w:fill="FFFFFF" w:val="clear"/>
            <w:vAlign w:val="center"/>
          </w:tcPr>
          <w:p>
            <w:pPr>
              <w:pStyle w:val="TableContents"/>
              <w:spacing w:before="0" w:after="0"/>
              <w:ind w:left="0" w:right="0" w:hanging="0"/>
              <w:rPr/>
            </w:pPr>
            <w:hyperlink w:anchor="i11">
              <w:r>
                <w:rPr>
                  <w:rStyle w:val="InternetLink"/>
                </w:rPr>
                <w:t>Executive Compensation.</w:t>
              </w:r>
            </w:hyperlink>
          </w:p>
        </w:tc>
        <w:tc>
          <w:tcPr>
            <w:tcW w:w="90" w:type="dxa"/>
            <w:tcBorders/>
            <w:shd w:fill="FFFFFF" w:val="clear"/>
            <w:vAlign w:val="center"/>
          </w:tcPr>
          <w:p>
            <w:pPr>
              <w:pStyle w:val="TableContents"/>
              <w:spacing w:before="0" w:after="0"/>
              <w:ind w:left="0" w:right="0" w:hanging="0"/>
              <w:rPr/>
            </w:pPr>
            <w:r>
              <w:rPr/>
              <w:t> </w:t>
            </w:r>
          </w:p>
        </w:tc>
        <w:tc>
          <w:tcPr>
            <w:tcW w:w="846" w:type="dxa"/>
            <w:tcBorders/>
            <w:shd w:fill="FFFFFF" w:val="clear"/>
            <w:vAlign w:val="center"/>
          </w:tcPr>
          <w:p>
            <w:pPr>
              <w:pStyle w:val="TableContents"/>
              <w:spacing w:before="0" w:after="0"/>
              <w:ind w:left="0" w:right="0" w:hanging="0"/>
              <w:jc w:val="right"/>
              <w:rPr/>
            </w:pPr>
            <w:r>
              <w:rPr/>
              <w:t>66</w:t>
            </w:r>
          </w:p>
        </w:tc>
        <w:tc>
          <w:tcPr>
            <w:tcW w:w="137" w:type="dxa"/>
            <w:tcBorders/>
            <w:shd w:fill="FFFFFF" w:val="clear"/>
            <w:vAlign w:val="center"/>
          </w:tcPr>
          <w:p>
            <w:pPr>
              <w:pStyle w:val="TableContents"/>
              <w:spacing w:before="0" w:after="0"/>
              <w:ind w:left="0" w:right="0" w:hanging="0"/>
              <w:rPr/>
            </w:pPr>
            <w:r>
              <w:rPr/>
              <w:t> </w:t>
            </w:r>
          </w:p>
        </w:tc>
      </w:tr>
      <w:tr>
        <w:trPr/>
        <w:tc>
          <w:tcPr>
            <w:tcW w:w="976" w:type="dxa"/>
            <w:tcBorders/>
            <w:shd w:fill="CCEEFF" w:val="clear"/>
            <w:vAlign w:val="center"/>
          </w:tcPr>
          <w:p>
            <w:pPr>
              <w:pStyle w:val="TableContents"/>
              <w:spacing w:before="0" w:after="0"/>
              <w:ind w:left="0" w:right="0" w:hanging="0"/>
              <w:jc w:val="both"/>
              <w:rPr/>
            </w:pPr>
            <w:hyperlink w:anchor="i12">
              <w:r>
                <w:rPr>
                  <w:rStyle w:val="InternetLink"/>
                </w:rPr>
                <w:t>Item 12.</w:t>
              </w:r>
            </w:hyperlink>
          </w:p>
        </w:tc>
        <w:tc>
          <w:tcPr>
            <w:tcW w:w="8156" w:type="dxa"/>
            <w:tcBorders/>
            <w:shd w:fill="CCEEFF" w:val="clear"/>
            <w:vAlign w:val="center"/>
          </w:tcPr>
          <w:p>
            <w:pPr>
              <w:pStyle w:val="TableContents"/>
              <w:spacing w:before="0" w:after="0"/>
              <w:ind w:left="0" w:right="0" w:hanging="0"/>
              <w:rPr/>
            </w:pPr>
            <w:hyperlink w:anchor="i12">
              <w:r>
                <w:rPr>
                  <w:rStyle w:val="InternetLink"/>
                </w:rPr>
                <w:t>Security Ownership of Certain Beneficial Owners and Management and Related Stockholder Matters.</w:t>
              </w:r>
            </w:hyperlink>
          </w:p>
        </w:tc>
        <w:tc>
          <w:tcPr>
            <w:tcW w:w="90" w:type="dxa"/>
            <w:tcBorders/>
            <w:shd w:fill="CCEEFF" w:val="clear"/>
            <w:vAlign w:val="center"/>
          </w:tcPr>
          <w:p>
            <w:pPr>
              <w:pStyle w:val="TableContents"/>
              <w:spacing w:before="0" w:after="0"/>
              <w:ind w:left="0" w:right="0" w:hanging="0"/>
              <w:rPr/>
            </w:pPr>
            <w:r>
              <w:rPr/>
              <w:t> </w:t>
            </w:r>
          </w:p>
        </w:tc>
        <w:tc>
          <w:tcPr>
            <w:tcW w:w="846" w:type="dxa"/>
            <w:tcBorders/>
            <w:shd w:fill="CCEEFF" w:val="clear"/>
            <w:vAlign w:val="center"/>
          </w:tcPr>
          <w:p>
            <w:pPr>
              <w:pStyle w:val="TableContents"/>
              <w:spacing w:before="0" w:after="0"/>
              <w:ind w:left="0" w:right="0" w:hanging="0"/>
              <w:jc w:val="right"/>
              <w:rPr/>
            </w:pPr>
            <w:r>
              <w:rPr/>
              <w:t>72</w:t>
            </w:r>
          </w:p>
        </w:tc>
        <w:tc>
          <w:tcPr>
            <w:tcW w:w="137" w:type="dxa"/>
            <w:tcBorders/>
            <w:shd w:fill="CCEEFF" w:val="clear"/>
            <w:vAlign w:val="center"/>
          </w:tcPr>
          <w:p>
            <w:pPr>
              <w:pStyle w:val="TableContents"/>
              <w:spacing w:before="0" w:after="0"/>
              <w:ind w:left="0" w:right="0" w:hanging="0"/>
              <w:rPr/>
            </w:pPr>
            <w:r>
              <w:rPr/>
              <w:t> </w:t>
            </w:r>
          </w:p>
        </w:tc>
      </w:tr>
      <w:tr>
        <w:trPr/>
        <w:tc>
          <w:tcPr>
            <w:tcW w:w="976" w:type="dxa"/>
            <w:tcBorders/>
            <w:shd w:fill="FFFFFF" w:val="clear"/>
            <w:vAlign w:val="center"/>
          </w:tcPr>
          <w:p>
            <w:pPr>
              <w:pStyle w:val="TableContents"/>
              <w:spacing w:before="0" w:after="0"/>
              <w:ind w:left="0" w:right="0" w:hanging="0"/>
              <w:jc w:val="both"/>
              <w:rPr/>
            </w:pPr>
            <w:hyperlink w:anchor="i13">
              <w:r>
                <w:rPr>
                  <w:rStyle w:val="InternetLink"/>
                </w:rPr>
                <w:t>Item 13.</w:t>
              </w:r>
            </w:hyperlink>
          </w:p>
        </w:tc>
        <w:tc>
          <w:tcPr>
            <w:tcW w:w="8156" w:type="dxa"/>
            <w:tcBorders/>
            <w:shd w:fill="FFFFFF" w:val="clear"/>
            <w:vAlign w:val="center"/>
          </w:tcPr>
          <w:p>
            <w:pPr>
              <w:pStyle w:val="TableContents"/>
              <w:spacing w:before="0" w:after="0"/>
              <w:ind w:left="0" w:right="0" w:hanging="0"/>
              <w:jc w:val="both"/>
              <w:rPr/>
            </w:pPr>
            <w:hyperlink w:anchor="i13">
              <w:r>
                <w:rPr>
                  <w:rStyle w:val="InternetLink"/>
                </w:rPr>
                <w:t>Certain Relationships and Related Transactions, and Director Independence.</w:t>
              </w:r>
            </w:hyperlink>
          </w:p>
        </w:tc>
        <w:tc>
          <w:tcPr>
            <w:tcW w:w="90" w:type="dxa"/>
            <w:tcBorders/>
            <w:shd w:fill="FFFFFF" w:val="clear"/>
            <w:vAlign w:val="center"/>
          </w:tcPr>
          <w:p>
            <w:pPr>
              <w:pStyle w:val="TableContents"/>
              <w:spacing w:before="0" w:after="0"/>
              <w:ind w:left="0" w:right="0" w:hanging="0"/>
              <w:rPr/>
            </w:pPr>
            <w:r>
              <w:rPr/>
              <w:t> </w:t>
            </w:r>
          </w:p>
        </w:tc>
        <w:tc>
          <w:tcPr>
            <w:tcW w:w="846" w:type="dxa"/>
            <w:tcBorders/>
            <w:shd w:fill="FFFFFF" w:val="clear"/>
            <w:vAlign w:val="center"/>
          </w:tcPr>
          <w:p>
            <w:pPr>
              <w:pStyle w:val="TableContents"/>
              <w:spacing w:before="0" w:after="0"/>
              <w:ind w:left="0" w:right="0" w:hanging="0"/>
              <w:jc w:val="right"/>
              <w:rPr/>
            </w:pPr>
            <w:r>
              <w:rPr/>
              <w:t>75</w:t>
            </w:r>
          </w:p>
        </w:tc>
        <w:tc>
          <w:tcPr>
            <w:tcW w:w="137" w:type="dxa"/>
            <w:tcBorders/>
            <w:shd w:fill="FFFFFF" w:val="clear"/>
            <w:vAlign w:val="center"/>
          </w:tcPr>
          <w:p>
            <w:pPr>
              <w:pStyle w:val="TableContents"/>
              <w:spacing w:before="0" w:after="0"/>
              <w:ind w:left="0" w:right="0" w:hanging="0"/>
              <w:rPr/>
            </w:pPr>
            <w:r>
              <w:rPr/>
              <w:t> </w:t>
            </w:r>
          </w:p>
        </w:tc>
      </w:tr>
      <w:tr>
        <w:trPr/>
        <w:tc>
          <w:tcPr>
            <w:tcW w:w="976" w:type="dxa"/>
            <w:tcBorders/>
            <w:shd w:fill="CCEEFF" w:val="clear"/>
            <w:vAlign w:val="center"/>
          </w:tcPr>
          <w:p>
            <w:pPr>
              <w:pStyle w:val="TableContents"/>
              <w:spacing w:before="0" w:after="0"/>
              <w:ind w:left="0" w:right="0" w:hanging="0"/>
              <w:jc w:val="both"/>
              <w:rPr/>
            </w:pPr>
            <w:hyperlink w:anchor="i14">
              <w:r>
                <w:rPr>
                  <w:rStyle w:val="InternetLink"/>
                </w:rPr>
                <w:t>Item 14.</w:t>
              </w:r>
            </w:hyperlink>
          </w:p>
        </w:tc>
        <w:tc>
          <w:tcPr>
            <w:tcW w:w="8156" w:type="dxa"/>
            <w:tcBorders/>
            <w:shd w:fill="CCEEFF" w:val="clear"/>
            <w:vAlign w:val="center"/>
          </w:tcPr>
          <w:p>
            <w:pPr>
              <w:pStyle w:val="TableContents"/>
              <w:spacing w:before="0" w:after="0"/>
              <w:ind w:left="0" w:right="0" w:hanging="0"/>
              <w:jc w:val="left"/>
              <w:rPr/>
            </w:pPr>
            <w:hyperlink w:anchor="i14">
              <w:r>
                <w:rPr>
                  <w:rStyle w:val="InternetLink"/>
                </w:rPr>
                <w:t>Principal Accountant Fees and Services.</w:t>
              </w:r>
            </w:hyperlink>
          </w:p>
        </w:tc>
        <w:tc>
          <w:tcPr>
            <w:tcW w:w="90" w:type="dxa"/>
            <w:tcBorders/>
            <w:shd w:fill="CCEEFF" w:val="clear"/>
            <w:vAlign w:val="center"/>
          </w:tcPr>
          <w:p>
            <w:pPr>
              <w:pStyle w:val="TableContents"/>
              <w:spacing w:before="0" w:after="0"/>
              <w:ind w:left="0" w:right="0" w:hanging="0"/>
              <w:rPr/>
            </w:pPr>
            <w:r>
              <w:rPr/>
              <w:t> </w:t>
            </w:r>
          </w:p>
        </w:tc>
        <w:tc>
          <w:tcPr>
            <w:tcW w:w="846" w:type="dxa"/>
            <w:tcBorders/>
            <w:shd w:fill="CCEEFF" w:val="clear"/>
            <w:vAlign w:val="center"/>
          </w:tcPr>
          <w:p>
            <w:pPr>
              <w:pStyle w:val="TableContents"/>
              <w:spacing w:before="0" w:after="0"/>
              <w:ind w:left="0" w:right="0" w:hanging="0"/>
              <w:jc w:val="right"/>
              <w:rPr/>
            </w:pPr>
            <w:r>
              <w:rPr/>
              <w:t>77</w:t>
            </w:r>
          </w:p>
        </w:tc>
        <w:tc>
          <w:tcPr>
            <w:tcW w:w="137" w:type="dxa"/>
            <w:tcBorders/>
            <w:shd w:fill="CCEEFF" w:val="clear"/>
            <w:vAlign w:val="center"/>
          </w:tcPr>
          <w:p>
            <w:pPr>
              <w:pStyle w:val="TableContents"/>
              <w:spacing w:before="0" w:after="0"/>
              <w:ind w:left="0" w:right="0" w:hanging="0"/>
              <w:rPr/>
            </w:pPr>
            <w:r>
              <w:rPr/>
              <w:t> </w:t>
            </w:r>
          </w:p>
        </w:tc>
      </w:tr>
      <w:tr>
        <w:trPr/>
        <w:tc>
          <w:tcPr>
            <w:tcW w:w="976" w:type="dxa"/>
            <w:tcBorders/>
            <w:shd w:fill="FFFFFF" w:val="clear"/>
            <w:vAlign w:val="center"/>
          </w:tcPr>
          <w:p>
            <w:pPr>
              <w:pStyle w:val="TableContents"/>
              <w:spacing w:before="0" w:after="0"/>
              <w:ind w:left="0" w:right="0" w:hanging="0"/>
              <w:jc w:val="both"/>
              <w:rPr/>
            </w:pPr>
            <w:hyperlink w:anchor="p4">
              <w:r>
                <w:rPr>
                  <w:rStyle w:val="StrongEmphasis"/>
                </w:rPr>
                <w:t>PART IV</w:t>
              </w:r>
            </w:hyperlink>
          </w:p>
        </w:tc>
        <w:tc>
          <w:tcPr>
            <w:tcW w:w="8156" w:type="dxa"/>
            <w:tcBorders/>
            <w:shd w:fill="FFFFFF" w:val="clear"/>
            <w:vAlign w:val="center"/>
          </w:tcPr>
          <w:p>
            <w:pPr>
              <w:pStyle w:val="TableContents"/>
              <w:spacing w:before="0" w:after="0"/>
              <w:ind w:left="0" w:right="0" w:hanging="0"/>
              <w:jc w:val="both"/>
              <w:rPr/>
            </w:pPr>
            <w:r>
              <w:rPr/>
              <w:t> </w:t>
            </w:r>
          </w:p>
        </w:tc>
        <w:tc>
          <w:tcPr>
            <w:tcW w:w="90" w:type="dxa"/>
            <w:tcBorders/>
            <w:shd w:fill="FFFFFF" w:val="clear"/>
            <w:vAlign w:val="center"/>
          </w:tcPr>
          <w:p>
            <w:pPr>
              <w:pStyle w:val="TableContents"/>
              <w:spacing w:before="0" w:after="0"/>
              <w:ind w:left="0" w:right="0" w:hanging="0"/>
              <w:rPr/>
            </w:pPr>
            <w:r>
              <w:rPr/>
              <w:t> </w:t>
            </w:r>
          </w:p>
        </w:tc>
        <w:tc>
          <w:tcPr>
            <w:tcW w:w="846" w:type="dxa"/>
            <w:tcBorders/>
            <w:shd w:fill="FFFFFF" w:val="clear"/>
            <w:vAlign w:val="center"/>
          </w:tcPr>
          <w:p>
            <w:pPr>
              <w:pStyle w:val="TableContents"/>
              <w:spacing w:before="0" w:after="0"/>
              <w:ind w:left="0" w:right="0" w:hanging="0"/>
              <w:jc w:val="right"/>
              <w:rPr/>
            </w:pPr>
            <w:r>
              <w:rPr/>
              <w:t> </w:t>
            </w:r>
          </w:p>
        </w:tc>
        <w:tc>
          <w:tcPr>
            <w:tcW w:w="137" w:type="dxa"/>
            <w:tcBorders/>
            <w:shd w:fill="FFFFFF" w:val="clear"/>
            <w:vAlign w:val="center"/>
          </w:tcPr>
          <w:p>
            <w:pPr>
              <w:pStyle w:val="TableContents"/>
              <w:spacing w:before="0" w:after="0"/>
              <w:ind w:left="0" w:right="0" w:hanging="0"/>
              <w:rPr/>
            </w:pPr>
            <w:r>
              <w:rPr/>
              <w:t> </w:t>
            </w:r>
          </w:p>
        </w:tc>
      </w:tr>
      <w:tr>
        <w:trPr/>
        <w:tc>
          <w:tcPr>
            <w:tcW w:w="976" w:type="dxa"/>
            <w:tcBorders/>
            <w:shd w:fill="CCEEFF" w:val="clear"/>
            <w:vAlign w:val="center"/>
          </w:tcPr>
          <w:p>
            <w:pPr>
              <w:pStyle w:val="TableContents"/>
              <w:spacing w:before="0" w:after="0"/>
              <w:ind w:left="0" w:right="0" w:hanging="0"/>
              <w:jc w:val="both"/>
              <w:rPr/>
            </w:pPr>
            <w:hyperlink w:anchor="i15">
              <w:r>
                <w:rPr>
                  <w:rStyle w:val="InternetLink"/>
                </w:rPr>
                <w:t>Item 15.</w:t>
              </w:r>
            </w:hyperlink>
          </w:p>
        </w:tc>
        <w:tc>
          <w:tcPr>
            <w:tcW w:w="8156" w:type="dxa"/>
            <w:tcBorders/>
            <w:shd w:fill="CCEEFF" w:val="clear"/>
            <w:vAlign w:val="center"/>
          </w:tcPr>
          <w:p>
            <w:pPr>
              <w:pStyle w:val="TableContents"/>
              <w:spacing w:before="0" w:after="0"/>
              <w:ind w:left="0" w:right="0" w:hanging="0"/>
              <w:jc w:val="both"/>
              <w:rPr/>
            </w:pPr>
            <w:hyperlink w:anchor="i15">
              <w:r>
                <w:rPr>
                  <w:rStyle w:val="InternetLink"/>
                </w:rPr>
                <w:t>Exhibits and Financial Statement Schedules.</w:t>
              </w:r>
            </w:hyperlink>
          </w:p>
        </w:tc>
        <w:tc>
          <w:tcPr>
            <w:tcW w:w="90" w:type="dxa"/>
            <w:tcBorders/>
            <w:shd w:fill="CCEEFF" w:val="clear"/>
            <w:vAlign w:val="center"/>
          </w:tcPr>
          <w:p>
            <w:pPr>
              <w:pStyle w:val="TableContents"/>
              <w:spacing w:before="0" w:after="0"/>
              <w:ind w:left="0" w:right="0" w:hanging="0"/>
              <w:rPr/>
            </w:pPr>
            <w:r>
              <w:rPr/>
              <w:t> </w:t>
            </w:r>
          </w:p>
        </w:tc>
        <w:tc>
          <w:tcPr>
            <w:tcW w:w="846" w:type="dxa"/>
            <w:tcBorders/>
            <w:shd w:fill="CCEEFF" w:val="clear"/>
            <w:vAlign w:val="center"/>
          </w:tcPr>
          <w:p>
            <w:pPr>
              <w:pStyle w:val="TableContents"/>
              <w:spacing w:before="0" w:after="0"/>
              <w:ind w:left="0" w:right="0" w:hanging="0"/>
              <w:jc w:val="right"/>
              <w:rPr/>
            </w:pPr>
            <w:r>
              <w:rPr/>
              <w:t>78</w:t>
            </w:r>
          </w:p>
        </w:tc>
        <w:tc>
          <w:tcPr>
            <w:tcW w:w="137" w:type="dxa"/>
            <w:tcBorders/>
            <w:shd w:fill="CCEEFF" w:val="clear"/>
            <w:vAlign w:val="center"/>
          </w:tcPr>
          <w:p>
            <w:pPr>
              <w:pStyle w:val="TableContents"/>
              <w:spacing w:before="0" w:after="0"/>
              <w:ind w:left="0" w:right="0" w:hanging="0"/>
              <w:rPr/>
            </w:pPr>
            <w:r>
              <w:rPr/>
              <w:t> </w:t>
            </w:r>
          </w:p>
        </w:tc>
      </w:tr>
      <w:tr>
        <w:trPr/>
        <w:tc>
          <w:tcPr>
            <w:tcW w:w="976" w:type="dxa"/>
            <w:tcBorders/>
            <w:shd w:fill="FFFFFF" w:val="clear"/>
            <w:vAlign w:val="center"/>
          </w:tcPr>
          <w:p>
            <w:pPr>
              <w:pStyle w:val="TableContents"/>
              <w:spacing w:before="0" w:after="0"/>
              <w:ind w:left="0" w:right="0" w:hanging="0"/>
              <w:jc w:val="both"/>
              <w:rPr/>
            </w:pPr>
            <w:hyperlink w:anchor="i16">
              <w:r>
                <w:rPr>
                  <w:rStyle w:val="InternetLink"/>
                </w:rPr>
                <w:t>Item 16.</w:t>
              </w:r>
            </w:hyperlink>
          </w:p>
        </w:tc>
        <w:tc>
          <w:tcPr>
            <w:tcW w:w="8156" w:type="dxa"/>
            <w:tcBorders/>
            <w:shd w:fill="FFFFFF" w:val="clear"/>
            <w:vAlign w:val="center"/>
          </w:tcPr>
          <w:p>
            <w:pPr>
              <w:pStyle w:val="TableContents"/>
              <w:spacing w:before="0" w:after="0"/>
              <w:ind w:left="0" w:right="0" w:hanging="0"/>
              <w:jc w:val="both"/>
              <w:rPr/>
            </w:pPr>
            <w:hyperlink w:anchor="i16">
              <w:r>
                <w:rPr>
                  <w:rStyle w:val="InternetLink"/>
                </w:rPr>
                <w:t>Form 10-K Summary.</w:t>
              </w:r>
            </w:hyperlink>
          </w:p>
        </w:tc>
        <w:tc>
          <w:tcPr>
            <w:tcW w:w="90" w:type="dxa"/>
            <w:tcBorders/>
            <w:shd w:fill="FFFFFF" w:val="clear"/>
            <w:vAlign w:val="center"/>
          </w:tcPr>
          <w:p>
            <w:pPr>
              <w:pStyle w:val="TableContents"/>
              <w:spacing w:before="0" w:after="0"/>
              <w:ind w:left="0" w:right="0" w:hanging="0"/>
              <w:rPr/>
            </w:pPr>
            <w:r>
              <w:rPr/>
              <w:t> </w:t>
            </w:r>
          </w:p>
        </w:tc>
        <w:tc>
          <w:tcPr>
            <w:tcW w:w="846" w:type="dxa"/>
            <w:tcBorders/>
            <w:shd w:fill="FFFFFF" w:val="clear"/>
            <w:vAlign w:val="center"/>
          </w:tcPr>
          <w:p>
            <w:pPr>
              <w:pStyle w:val="TableContents"/>
              <w:spacing w:before="0" w:after="0"/>
              <w:ind w:left="0" w:right="0" w:hanging="0"/>
              <w:jc w:val="right"/>
              <w:rPr/>
            </w:pPr>
            <w:r>
              <w:rPr/>
              <w:t>78</w:t>
            </w:r>
          </w:p>
        </w:tc>
        <w:tc>
          <w:tcPr>
            <w:tcW w:w="137" w:type="dxa"/>
            <w:tcBorders/>
            <w:shd w:fill="FFFFFF" w:val="clear"/>
            <w:vAlign w:val="center"/>
          </w:tcPr>
          <w:p>
            <w:pPr>
              <w:pStyle w:val="TableContents"/>
              <w:spacing w:before="0" w:after="0"/>
              <w:ind w:left="0" w:right="0" w:hanging="0"/>
              <w:rPr/>
            </w:pPr>
            <w:r>
              <w:rPr/>
              <w:t> </w:t>
            </w:r>
          </w:p>
        </w:tc>
      </w:tr>
      <w:tr>
        <w:trPr/>
        <w:tc>
          <w:tcPr>
            <w:tcW w:w="9132" w:type="dxa"/>
            <w:gridSpan w:val="2"/>
            <w:tcBorders/>
            <w:shd w:fill="CCEEFF" w:val="clear"/>
            <w:vAlign w:val="center"/>
          </w:tcPr>
          <w:p>
            <w:pPr>
              <w:pStyle w:val="TableContents"/>
              <w:spacing w:before="0" w:after="0"/>
              <w:ind w:left="0" w:right="0" w:hanging="0"/>
              <w:jc w:val="both"/>
              <w:rPr/>
            </w:pPr>
            <w:hyperlink w:anchor="sig">
              <w:r>
                <w:rPr>
                  <w:rStyle w:val="StrongEmphasis"/>
                </w:rPr>
                <w:t>Signatures</w:t>
              </w:r>
            </w:hyperlink>
          </w:p>
        </w:tc>
        <w:tc>
          <w:tcPr>
            <w:tcW w:w="90" w:type="dxa"/>
            <w:tcBorders/>
            <w:shd w:fill="CCEEFF" w:val="clear"/>
            <w:vAlign w:val="center"/>
          </w:tcPr>
          <w:p>
            <w:pPr>
              <w:pStyle w:val="TableContents"/>
              <w:spacing w:before="0" w:after="0"/>
              <w:ind w:left="0" w:right="0" w:hanging="0"/>
              <w:rPr/>
            </w:pPr>
            <w:r>
              <w:rPr/>
              <w:t> </w:t>
            </w:r>
          </w:p>
        </w:tc>
        <w:tc>
          <w:tcPr>
            <w:tcW w:w="846" w:type="dxa"/>
            <w:tcBorders/>
            <w:shd w:fill="CCEEFF" w:val="clear"/>
            <w:vAlign w:val="center"/>
          </w:tcPr>
          <w:p>
            <w:pPr>
              <w:pStyle w:val="TableContents"/>
              <w:spacing w:before="0" w:after="0"/>
              <w:ind w:left="0" w:right="0" w:hanging="0"/>
              <w:jc w:val="right"/>
              <w:rPr/>
            </w:pPr>
            <w:r>
              <w:rPr/>
              <w:t>79</w:t>
            </w:r>
          </w:p>
        </w:tc>
        <w:tc>
          <w:tcPr>
            <w:tcW w:w="137"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u w:val="single"/>
        </w:rPr>
        <w:t>PART I</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u w:val="single"/>
        </w:rPr>
        <w:t>Forward-Looking Statements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This Annual Report on Form 10-K (the “Annual Report”) contains forward</w:t>
        <w:noBreakHyphen/>
        <w:t>looking statements within the meaning of the Private Securities Litigation Reform Act of 1995. The events described in forward</w:t>
        <w:noBreakHyphen/>
        <w:t>looking statements contained in this Annual Report may not occur. Generally, these statements relate to business plans or strategies, projected or anticipated results or other consequences of our plans or strategies, projected or anticipated results from acquisitions to be made by us, or projections involving anticipated revenues, earnings, costs or other aspects of our operating results. The words “may,” “will,” “expect,” “believe,” “anticipate,” “project,” “plan,” “intend,” “estimate,” and “continue,” and their opposites and similar expressions are intended to identify forward</w:t>
        <w:noBreakHyphen/>
        <w:t>looking statements. We caution you that these statements are not guarantees of future performance or events and are subject to a number of uncertainties, risks and other influences, many of which are beyond our control, which may influence the accuracy of the statements and the projections upon which the statements are based. Factors which may cause actual results and outcomes to differ materially from those contained in the forward-looking statements include, but are not limited to, the risks and uncertainties discussed in Part I Item 1A (“Risk Factors”) of this Annual Report under “Factors That May Affect Future Results and Financial Condition.”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Any one or more of these uncertainties, risks and other influences could materially affect our results of operations and whether forward</w:t>
        <w:noBreakHyphen/>
        <w:t>looking statements made by us ultimately prove to be accurate. Our actual results, performance and achievements could differ materially from those expressed or implied in these forward</w:t>
        <w:noBreakHyphen/>
        <w:t>looking statements. We undertake no obligation to publicly update or revise any forward</w:t>
        <w:noBreakHyphen/>
        <w:t>looking statements, whether from new information, future events or otherwise except as required by law.</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2</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both"/>
        <w:rPr/>
      </w:pPr>
      <w:bookmarkStart w:id="1" w:name="i1"/>
      <w:bookmarkEnd w:id="1"/>
      <w:r>
        <w:rPr>
          <w:rStyle w:val="StrongEmphasis"/>
          <w:rFonts w:ascii="times new roman" w:hAnsi="times new roman"/>
          <w:sz w:val="20"/>
          <w:u w:val="single"/>
        </w:rPr>
        <w:t>ITEM 1.</w:t>
      </w:r>
      <w:r>
        <w:rPr>
          <w:rFonts w:ascii="times new roman" w:hAnsi="times new roman"/>
          <w:sz w:val="20"/>
        </w:rPr>
        <w:t xml:space="preserve"> </w:t>
      </w:r>
      <w:r>
        <w:rPr>
          <w:rStyle w:val="StrongEmphasis"/>
          <w:rFonts w:ascii="times new roman" w:hAnsi="times new roman"/>
          <w:sz w:val="20"/>
          <w:u w:val="single"/>
        </w:rPr>
        <w:t>BUSINESS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 xml:space="preserve">(a) </w:t>
      </w:r>
      <w:r>
        <w:rPr>
          <w:rStyle w:val="StrongEmphasis"/>
          <w:rFonts w:ascii="times new roman" w:hAnsi="times new roman"/>
          <w:sz w:val="20"/>
          <w:u w:val="single"/>
        </w:rPr>
        <w:t>Business Development</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General</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As used in this Annual Report, references to the “Company,” “we,” “us,” or “our” refer to Kingstone Companies, Inc. (“Kingstone”) and its subsidiaries.</w:t>
      </w:r>
    </w:p>
    <w:p>
      <w:pPr>
        <w:pStyle w:val="TextBody"/>
        <w:spacing w:before="0" w:after="0"/>
        <w:ind w:left="0" w:right="0" w:firstLine="675"/>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We offer property and casualty insurance products to individuals through our wholly owned subsidiary, Kingstone Insurance Company (“KICO”), domiciled in the state of New York. KICO is a licensed property and casualty insurance company in New York, New Jersey, Connecticut, Massachusetts, Pennsylvania, Rhode Island, Maine, and New Hampshire. KICO is currently offering its property and casualty insurance products in New York, New Jersey, Rhode Island, Massachusetts and Connecticut. Although in 2020 KICO wrote 80% of its direct written premiums in New York, we believe that New Jersey, Connecticut, Massachusetts, and Rhode Island will represent an increasing portion of the total over the coming years.</w:t>
      </w:r>
    </w:p>
    <w:p>
      <w:pPr>
        <w:pStyle w:val="TextBody"/>
        <w:spacing w:before="0" w:after="0"/>
        <w:ind w:left="0" w:right="0" w:firstLine="675"/>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 xml:space="preserve">In addition, through our subsidiary, Cosi Agency, Inc. (“Cosi”), a multi-state licensed general agency, we access alternative distribution channels. Through Cosi, we have the opportunity to partner with name-brand carriers and access nationwide insurance agencies. See “Distribution” below for a discussion of our distribution channels. Cosi receives commission revenue from KICO for the policies it places with others and pays commissions to these agencies. Cosi retains the profit between the commission revenue received and the commission expense paid. Net Cosi revenue is deducted against commission expense and Cosi related expenses are included in other operating expenses. Cosi related operating expenses are not included in our stand-alone insurance underwriting business and, accordingly, its expenses are not included in the calculation of our combined ratio as described below. </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Recent Developments</w:t>
      </w:r>
    </w:p>
    <w:p>
      <w:pPr>
        <w:pStyle w:val="TextBody"/>
        <w:spacing w:before="0" w:after="0"/>
        <w:ind w:left="0" w:right="0" w:hanging="0"/>
        <w:jc w:val="both"/>
        <w:rPr/>
      </w:pPr>
      <w:r>
        <w:rPr/>
        <w:t> </w:t>
      </w:r>
    </w:p>
    <w:p>
      <w:pPr>
        <w:pStyle w:val="TextBody"/>
        <w:spacing w:before="0" w:after="0"/>
        <w:ind w:left="0" w:right="0" w:firstLine="675"/>
        <w:jc w:val="both"/>
        <w:rPr/>
      </w:pPr>
      <w:r>
        <w:rPr>
          <w:rStyle w:val="Emphasis"/>
          <w:rFonts w:ascii="times new roman" w:hAnsi="times new roman"/>
          <w:sz w:val="20"/>
        </w:rPr>
        <w:t>Developments During 2020</w:t>
      </w:r>
    </w:p>
    <w:p>
      <w:pPr>
        <w:pStyle w:val="TextBody"/>
        <w:spacing w:before="0" w:after="0"/>
        <w:ind w:left="0" w:right="0" w:hanging="0"/>
        <w:jc w:val="both"/>
        <w:rPr/>
      </w:pPr>
      <w:r>
        <w:rPr/>
        <w:t> </w:t>
      </w:r>
    </w:p>
    <w:tbl>
      <w:tblPr>
        <w:tblW w:w="2815" w:type="dxa"/>
        <w:jc w:val="left"/>
        <w:tblInd w:w="0" w:type="dxa"/>
        <w:tblCellMar>
          <w:top w:w="0" w:type="dxa"/>
          <w:left w:w="0" w:type="dxa"/>
          <w:bottom w:w="0" w:type="dxa"/>
          <w:right w:w="0" w:type="dxa"/>
        </w:tblCellMar>
      </w:tblPr>
      <w:tblGrid>
        <w:gridCol w:w="105"/>
        <w:gridCol w:w="155"/>
        <w:gridCol w:w="2555"/>
      </w:tblGrid>
      <w:tr>
        <w:trPr/>
        <w:tc>
          <w:tcPr>
            <w:tcW w:w="105" w:type="dxa"/>
            <w:tcBorders/>
            <w:shd w:fill="auto" w:val="clear"/>
            <w:vAlign w:val="center"/>
          </w:tcPr>
          <w:p>
            <w:pPr>
              <w:pStyle w:val="TableContents"/>
              <w:spacing w:before="0" w:after="0"/>
              <w:ind w:left="0" w:right="0" w:hanging="0"/>
              <w:rPr/>
            </w:pPr>
            <w:r>
              <w:rPr/>
              <w:t> </w:t>
            </w:r>
          </w:p>
        </w:tc>
        <w:tc>
          <w:tcPr>
            <w:tcW w:w="155" w:type="dxa"/>
            <w:tcBorders/>
            <w:shd w:fill="auto" w:val="clear"/>
            <w:vAlign w:val="center"/>
          </w:tcPr>
          <w:p>
            <w:pPr>
              <w:pStyle w:val="TableContents"/>
              <w:spacing w:before="0" w:after="0"/>
              <w:ind w:left="0" w:right="0" w:hanging="0"/>
              <w:rPr>
                <w:rFonts w:ascii="symbol" w:hAnsi="symbol"/>
              </w:rPr>
            </w:pPr>
            <w:r>
              <w:rPr>
                <w:rFonts w:ascii="symbol" w:hAnsi="symbol"/>
              </w:rPr>
              <w:t>·</w:t>
            </w:r>
          </w:p>
        </w:tc>
        <w:tc>
          <w:tcPr>
            <w:tcW w:w="2555" w:type="dxa"/>
            <w:tcBorders/>
            <w:shd w:fill="auto" w:val="clear"/>
            <w:vAlign w:val="center"/>
          </w:tcPr>
          <w:p>
            <w:pPr>
              <w:pStyle w:val="TableContents"/>
              <w:spacing w:before="0" w:after="283"/>
              <w:rPr/>
            </w:pPr>
            <w:r>
              <w:rPr>
                <w:rStyle w:val="Emphasis"/>
              </w:rPr>
              <w:t>Quota Share Reinsurance</w:t>
            </w:r>
          </w:p>
        </w:tc>
      </w:tr>
    </w:tbl>
    <w:p>
      <w:pPr>
        <w:pStyle w:val="TextBody"/>
        <w:spacing w:before="0" w:after="0"/>
        <w:ind w:left="0" w:right="0" w:hanging="0"/>
        <w:jc w:val="both"/>
        <w:rPr/>
      </w:pPr>
      <w:r>
        <w:rPr/>
        <w:t>  </w:t>
      </w:r>
    </w:p>
    <w:p>
      <w:pPr>
        <w:pStyle w:val="TextBody"/>
        <w:spacing w:before="0" w:after="0"/>
        <w:ind w:left="0" w:right="0" w:hanging="0"/>
        <w:jc w:val="both"/>
        <w:rPr/>
      </w:pPr>
      <w:r>
        <w:rPr>
          <w:rStyle w:val="Emphasis"/>
        </w:rPr>
        <w:t xml:space="preserve">            </w:t>
      </w:r>
      <w:r>
        <w:rPr>
          <w:rFonts w:ascii="times new roman" w:hAnsi="times new roman"/>
          <w:sz w:val="20"/>
        </w:rPr>
        <w:t>Effective December 30, 2020, KICO terminated the 25% quota share reinsurance treaty for its personal lines business, which primarily consisted of homeowners’ policies, covering the period December 15, 2019 through December 30, 2020.</w:t>
      </w:r>
    </w:p>
    <w:p>
      <w:pPr>
        <w:pStyle w:val="TextBody"/>
        <w:spacing w:before="0" w:after="0"/>
        <w:ind w:left="0" w:right="0" w:hanging="0"/>
        <w:jc w:val="both"/>
        <w:rPr/>
      </w:pPr>
      <w:r>
        <w:rPr/>
        <w:t> </w:t>
      </w:r>
    </w:p>
    <w:tbl>
      <w:tblPr>
        <w:tblW w:w="3760" w:type="dxa"/>
        <w:jc w:val="left"/>
        <w:tblInd w:w="0" w:type="dxa"/>
        <w:tblCellMar>
          <w:top w:w="0" w:type="dxa"/>
          <w:left w:w="0" w:type="dxa"/>
          <w:bottom w:w="0" w:type="dxa"/>
          <w:right w:w="0" w:type="dxa"/>
        </w:tblCellMar>
      </w:tblPr>
      <w:tblGrid>
        <w:gridCol w:w="105"/>
        <w:gridCol w:w="155"/>
        <w:gridCol w:w="3500"/>
      </w:tblGrid>
      <w:tr>
        <w:trPr/>
        <w:tc>
          <w:tcPr>
            <w:tcW w:w="105" w:type="dxa"/>
            <w:tcBorders/>
            <w:shd w:fill="auto" w:val="clear"/>
            <w:vAlign w:val="center"/>
          </w:tcPr>
          <w:p>
            <w:pPr>
              <w:pStyle w:val="TableContents"/>
              <w:spacing w:before="0" w:after="0"/>
              <w:ind w:left="0" w:right="0" w:hanging="0"/>
              <w:rPr/>
            </w:pPr>
            <w:r>
              <w:rPr/>
              <w:t> </w:t>
            </w:r>
          </w:p>
        </w:tc>
        <w:tc>
          <w:tcPr>
            <w:tcW w:w="155" w:type="dxa"/>
            <w:tcBorders/>
            <w:shd w:fill="auto" w:val="clear"/>
            <w:vAlign w:val="center"/>
          </w:tcPr>
          <w:p>
            <w:pPr>
              <w:pStyle w:val="TableContents"/>
              <w:spacing w:before="0" w:after="0"/>
              <w:ind w:left="0" w:right="0" w:hanging="0"/>
              <w:rPr>
                <w:rFonts w:ascii="symbol" w:hAnsi="symbol"/>
              </w:rPr>
            </w:pPr>
            <w:r>
              <w:rPr>
                <w:rFonts w:ascii="symbol" w:hAnsi="symbol"/>
              </w:rPr>
              <w:t>·</w:t>
            </w:r>
          </w:p>
        </w:tc>
        <w:tc>
          <w:tcPr>
            <w:tcW w:w="3500" w:type="dxa"/>
            <w:tcBorders/>
            <w:shd w:fill="auto" w:val="clear"/>
            <w:vAlign w:val="center"/>
          </w:tcPr>
          <w:p>
            <w:pPr>
              <w:pStyle w:val="TableContents"/>
              <w:spacing w:before="0" w:after="283"/>
              <w:rPr/>
            </w:pPr>
            <w:r>
              <w:rPr>
                <w:rStyle w:val="Emphasis"/>
              </w:rPr>
              <w:t>Catastrophe Reinsurance Coverage</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Effective July 1, 2020, KICO decreased the top limit of its catastrophe reinsurance coverage from $610,000,000 to $485,000,000, which, at the time, equated to more than a 1-in-130 year storm event according to the primary industry catastrophe model that we follow.</w:t>
      </w:r>
    </w:p>
    <w:p>
      <w:pPr>
        <w:pStyle w:val="TextBody"/>
        <w:spacing w:before="0" w:after="0"/>
        <w:ind w:left="0" w:right="0" w:firstLine="720"/>
        <w:jc w:val="both"/>
        <w:rPr/>
      </w:pPr>
      <w:r>
        <w:rPr/>
        <w:t> </w:t>
      </w:r>
    </w:p>
    <w:tbl>
      <w:tblPr>
        <w:tblW w:w="1975" w:type="dxa"/>
        <w:jc w:val="left"/>
        <w:tblInd w:w="0" w:type="dxa"/>
        <w:tblCellMar>
          <w:top w:w="0" w:type="dxa"/>
          <w:left w:w="0" w:type="dxa"/>
          <w:bottom w:w="0" w:type="dxa"/>
          <w:right w:w="0" w:type="dxa"/>
        </w:tblCellMar>
      </w:tblPr>
      <w:tblGrid>
        <w:gridCol w:w="105"/>
        <w:gridCol w:w="155"/>
        <w:gridCol w:w="1715"/>
      </w:tblGrid>
      <w:tr>
        <w:trPr/>
        <w:tc>
          <w:tcPr>
            <w:tcW w:w="105" w:type="dxa"/>
            <w:tcBorders/>
            <w:shd w:fill="auto" w:val="clear"/>
            <w:vAlign w:val="center"/>
          </w:tcPr>
          <w:p>
            <w:pPr>
              <w:pStyle w:val="TableContents"/>
              <w:spacing w:before="0" w:after="0"/>
              <w:ind w:left="0" w:right="0" w:hanging="0"/>
              <w:rPr/>
            </w:pPr>
            <w:r>
              <w:rPr/>
              <w:t> </w:t>
            </w:r>
          </w:p>
        </w:tc>
        <w:tc>
          <w:tcPr>
            <w:tcW w:w="155" w:type="dxa"/>
            <w:tcBorders/>
            <w:shd w:fill="auto" w:val="clear"/>
            <w:vAlign w:val="center"/>
          </w:tcPr>
          <w:p>
            <w:pPr>
              <w:pStyle w:val="TableContents"/>
              <w:spacing w:before="0" w:after="0"/>
              <w:ind w:left="0" w:right="0" w:hanging="0"/>
              <w:rPr>
                <w:rFonts w:ascii="symbol" w:hAnsi="symbol"/>
              </w:rPr>
            </w:pPr>
            <w:r>
              <w:rPr>
                <w:rFonts w:ascii="symbol" w:hAnsi="symbol"/>
              </w:rPr>
              <w:t>·</w:t>
            </w:r>
          </w:p>
        </w:tc>
        <w:tc>
          <w:tcPr>
            <w:tcW w:w="1715" w:type="dxa"/>
            <w:tcBorders/>
            <w:shd w:fill="auto" w:val="clear"/>
            <w:vAlign w:val="center"/>
          </w:tcPr>
          <w:p>
            <w:pPr>
              <w:pStyle w:val="TableContents"/>
              <w:spacing w:before="0" w:after="283"/>
              <w:rPr/>
            </w:pPr>
            <w:r>
              <w:rPr>
                <w:rStyle w:val="Emphasis"/>
              </w:rPr>
              <w:t>A.M. Best Rating</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July 2020, A.M. Best downgraded KICO’s financial strength rating from A- (excellent) to B++ (Good) as a result of KICO’s revision to its catastrophe reinsurance program effective July 1, 2020 as described above.</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3</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firstLine="675"/>
        <w:jc w:val="both"/>
        <w:rPr/>
      </w:pPr>
      <w:r>
        <w:rPr>
          <w:rStyle w:val="Emphasis"/>
          <w:rFonts w:ascii="times new roman" w:hAnsi="times new roman"/>
          <w:sz w:val="20"/>
        </w:rPr>
        <w:t>Developments During 2019</w:t>
      </w:r>
    </w:p>
    <w:p>
      <w:pPr>
        <w:pStyle w:val="TextBody"/>
        <w:spacing w:before="0" w:after="0"/>
        <w:ind w:left="0" w:right="0" w:firstLine="675"/>
        <w:jc w:val="both"/>
        <w:rPr/>
      </w:pPr>
      <w:r>
        <w:rPr/>
        <w:t> </w:t>
      </w:r>
    </w:p>
    <w:tbl>
      <w:tblPr>
        <w:tblW w:w="2815" w:type="dxa"/>
        <w:jc w:val="left"/>
        <w:tblInd w:w="0" w:type="dxa"/>
        <w:tblCellMar>
          <w:top w:w="0" w:type="dxa"/>
          <w:left w:w="0" w:type="dxa"/>
          <w:bottom w:w="0" w:type="dxa"/>
          <w:right w:w="0" w:type="dxa"/>
        </w:tblCellMar>
      </w:tblPr>
      <w:tblGrid>
        <w:gridCol w:w="105"/>
        <w:gridCol w:w="155"/>
        <w:gridCol w:w="2555"/>
      </w:tblGrid>
      <w:tr>
        <w:trPr/>
        <w:tc>
          <w:tcPr>
            <w:tcW w:w="105" w:type="dxa"/>
            <w:tcBorders/>
            <w:shd w:fill="auto" w:val="clear"/>
            <w:vAlign w:val="center"/>
          </w:tcPr>
          <w:p>
            <w:pPr>
              <w:pStyle w:val="TableContents"/>
              <w:spacing w:before="0" w:after="0"/>
              <w:ind w:left="0" w:right="0" w:hanging="0"/>
              <w:rPr/>
            </w:pPr>
            <w:r>
              <w:rPr/>
              <w:t> </w:t>
            </w:r>
          </w:p>
        </w:tc>
        <w:tc>
          <w:tcPr>
            <w:tcW w:w="155" w:type="dxa"/>
            <w:tcBorders/>
            <w:shd w:fill="auto" w:val="clear"/>
            <w:vAlign w:val="center"/>
          </w:tcPr>
          <w:p>
            <w:pPr>
              <w:pStyle w:val="TableContents"/>
              <w:spacing w:before="0" w:after="0"/>
              <w:ind w:left="0" w:right="0" w:hanging="0"/>
              <w:rPr>
                <w:rFonts w:ascii="symbol" w:hAnsi="symbol"/>
              </w:rPr>
            </w:pPr>
            <w:r>
              <w:rPr>
                <w:rFonts w:ascii="symbol" w:hAnsi="symbol"/>
              </w:rPr>
              <w:t>·</w:t>
            </w:r>
          </w:p>
        </w:tc>
        <w:tc>
          <w:tcPr>
            <w:tcW w:w="2555" w:type="dxa"/>
            <w:tcBorders/>
            <w:shd w:fill="auto" w:val="clear"/>
            <w:vAlign w:val="center"/>
          </w:tcPr>
          <w:p>
            <w:pPr>
              <w:pStyle w:val="TableContents"/>
              <w:spacing w:before="0" w:after="283"/>
              <w:rPr/>
            </w:pPr>
            <w:r>
              <w:rPr>
                <w:rStyle w:val="Emphasis"/>
              </w:rPr>
              <w:t>Quota Share Reinsurance</w:t>
            </w:r>
          </w:p>
        </w:tc>
      </w:tr>
    </w:tbl>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 xml:space="preserve">Effective December 15, 2019, KICO entered into a 25% quota share reinsurance treaty for its personal lines business, which primarily consists of homeowners’ policies, covering the period from December 15, 2019 through December 31, 2020 (“2019/2020 Treaty”). </w:t>
      </w:r>
    </w:p>
    <w:p>
      <w:pPr>
        <w:pStyle w:val="TextBody"/>
        <w:spacing w:before="0" w:after="0"/>
        <w:ind w:left="0" w:right="0" w:firstLine="675"/>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In addition to the 2019/2020 Treaty, KICO’s quota share reinsurance treaties in effect during the year ended December 31, 2019 for its personal lines business were covered under a treaty covering a two-year period from July 1, 2017 through June 30, 2019 (“2017/2019 Treaty”). Effective July 1, 2019, the 2017/2019 Treaty expired on a run-off basis.</w:t>
      </w:r>
    </w:p>
    <w:p>
      <w:pPr>
        <w:pStyle w:val="TextBody"/>
        <w:spacing w:before="0" w:after="0"/>
        <w:ind w:left="0" w:right="0" w:firstLine="675"/>
        <w:jc w:val="both"/>
        <w:rPr/>
      </w:pPr>
      <w:r>
        <w:rPr/>
        <w:t> </w:t>
      </w:r>
    </w:p>
    <w:tbl>
      <w:tblPr>
        <w:tblW w:w="3760" w:type="dxa"/>
        <w:jc w:val="left"/>
        <w:tblInd w:w="0" w:type="dxa"/>
        <w:tblCellMar>
          <w:top w:w="0" w:type="dxa"/>
          <w:left w:w="0" w:type="dxa"/>
          <w:bottom w:w="0" w:type="dxa"/>
          <w:right w:w="0" w:type="dxa"/>
        </w:tblCellMar>
      </w:tblPr>
      <w:tblGrid>
        <w:gridCol w:w="105"/>
        <w:gridCol w:w="155"/>
        <w:gridCol w:w="3500"/>
      </w:tblGrid>
      <w:tr>
        <w:trPr/>
        <w:tc>
          <w:tcPr>
            <w:tcW w:w="105" w:type="dxa"/>
            <w:tcBorders/>
            <w:shd w:fill="auto" w:val="clear"/>
            <w:vAlign w:val="center"/>
          </w:tcPr>
          <w:p>
            <w:pPr>
              <w:pStyle w:val="TableContents"/>
              <w:spacing w:before="0" w:after="0"/>
              <w:ind w:left="0" w:right="0" w:hanging="0"/>
              <w:rPr/>
            </w:pPr>
            <w:r>
              <w:rPr/>
              <w:t> </w:t>
            </w:r>
          </w:p>
        </w:tc>
        <w:tc>
          <w:tcPr>
            <w:tcW w:w="155" w:type="dxa"/>
            <w:tcBorders/>
            <w:shd w:fill="auto" w:val="clear"/>
            <w:vAlign w:val="center"/>
          </w:tcPr>
          <w:p>
            <w:pPr>
              <w:pStyle w:val="TableContents"/>
              <w:spacing w:before="0" w:after="0"/>
              <w:ind w:left="0" w:right="0" w:hanging="0"/>
              <w:rPr>
                <w:rFonts w:ascii="symbol" w:hAnsi="symbol"/>
              </w:rPr>
            </w:pPr>
            <w:r>
              <w:rPr>
                <w:rFonts w:ascii="symbol" w:hAnsi="symbol"/>
              </w:rPr>
              <w:t>·</w:t>
            </w:r>
          </w:p>
        </w:tc>
        <w:tc>
          <w:tcPr>
            <w:tcW w:w="3500" w:type="dxa"/>
            <w:tcBorders/>
            <w:shd w:fill="auto" w:val="clear"/>
            <w:vAlign w:val="center"/>
          </w:tcPr>
          <w:p>
            <w:pPr>
              <w:pStyle w:val="TableContents"/>
              <w:spacing w:before="0" w:after="283"/>
              <w:rPr/>
            </w:pPr>
            <w:r>
              <w:rPr>
                <w:rStyle w:val="Emphasis"/>
              </w:rPr>
              <w:t>Catastrophe Reinsurance Coverage</w:t>
            </w:r>
          </w:p>
        </w:tc>
      </w:tr>
    </w:tbl>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Effective July 1, 2019, KICO increased the top limit of its catastrophe reinsurance coverage from $450,000,000 to $610,000,000, which, at the time, equated to more than a 1-in-250 year storm event according to the primary industry catastrophe model that we follow.</w:t>
      </w:r>
    </w:p>
    <w:p>
      <w:pPr>
        <w:pStyle w:val="TextBody"/>
        <w:spacing w:before="0" w:after="0"/>
        <w:ind w:left="0" w:right="0" w:firstLine="675"/>
        <w:jc w:val="both"/>
        <w:rPr/>
      </w:pPr>
      <w:r>
        <w:rPr/>
        <w:t> </w:t>
      </w:r>
    </w:p>
    <w:tbl>
      <w:tblPr>
        <w:tblW w:w="2980" w:type="dxa"/>
        <w:jc w:val="left"/>
        <w:tblInd w:w="0" w:type="dxa"/>
        <w:tblCellMar>
          <w:top w:w="0" w:type="dxa"/>
          <w:left w:w="0" w:type="dxa"/>
          <w:bottom w:w="0" w:type="dxa"/>
          <w:right w:w="0" w:type="dxa"/>
        </w:tblCellMar>
      </w:tblPr>
      <w:tblGrid>
        <w:gridCol w:w="105"/>
        <w:gridCol w:w="155"/>
        <w:gridCol w:w="2720"/>
      </w:tblGrid>
      <w:tr>
        <w:trPr/>
        <w:tc>
          <w:tcPr>
            <w:tcW w:w="105" w:type="dxa"/>
            <w:tcBorders/>
            <w:shd w:fill="auto" w:val="clear"/>
            <w:vAlign w:val="center"/>
          </w:tcPr>
          <w:p>
            <w:pPr>
              <w:pStyle w:val="TableContents"/>
              <w:spacing w:before="0" w:after="0"/>
              <w:ind w:left="0" w:right="0" w:hanging="0"/>
              <w:rPr/>
            </w:pPr>
            <w:r>
              <w:rPr/>
              <w:t> </w:t>
            </w:r>
          </w:p>
        </w:tc>
        <w:tc>
          <w:tcPr>
            <w:tcW w:w="155" w:type="dxa"/>
            <w:tcBorders/>
            <w:shd w:fill="auto" w:val="clear"/>
            <w:vAlign w:val="center"/>
          </w:tcPr>
          <w:p>
            <w:pPr>
              <w:pStyle w:val="TableContents"/>
              <w:spacing w:before="0" w:after="0"/>
              <w:ind w:left="0" w:right="0" w:hanging="0"/>
              <w:rPr>
                <w:rFonts w:ascii="symbol" w:hAnsi="symbol"/>
              </w:rPr>
            </w:pPr>
            <w:r>
              <w:rPr>
                <w:rFonts w:ascii="symbol" w:hAnsi="symbol"/>
              </w:rPr>
              <w:t>·</w:t>
            </w:r>
          </w:p>
        </w:tc>
        <w:tc>
          <w:tcPr>
            <w:tcW w:w="2720" w:type="dxa"/>
            <w:tcBorders/>
            <w:shd w:fill="auto" w:val="clear"/>
            <w:vAlign w:val="center"/>
          </w:tcPr>
          <w:p>
            <w:pPr>
              <w:pStyle w:val="TableContents"/>
              <w:spacing w:before="0" w:after="283"/>
              <w:rPr/>
            </w:pPr>
            <w:r>
              <w:rPr>
                <w:rStyle w:val="Emphasis"/>
              </w:rPr>
              <w:t>Expansion into Connecticut</w:t>
            </w:r>
          </w:p>
        </w:tc>
      </w:tr>
    </w:tbl>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In the first quarter of 2019, KICO’s homeowners insurance product was launched in Connecticut.</w:t>
      </w:r>
    </w:p>
    <w:p>
      <w:pPr>
        <w:pStyle w:val="TextBody"/>
        <w:spacing w:before="0" w:after="0"/>
        <w:ind w:left="0" w:right="0" w:firstLine="675"/>
        <w:jc w:val="both"/>
        <w:rPr/>
      </w:pPr>
      <w:r>
        <w:rPr/>
        <w:t> </w:t>
      </w:r>
    </w:p>
    <w:tbl>
      <w:tblPr>
        <w:tblW w:w="3700" w:type="dxa"/>
        <w:jc w:val="left"/>
        <w:tblInd w:w="0" w:type="dxa"/>
        <w:tblCellMar>
          <w:top w:w="0" w:type="dxa"/>
          <w:left w:w="0" w:type="dxa"/>
          <w:bottom w:w="0" w:type="dxa"/>
          <w:right w:w="0" w:type="dxa"/>
        </w:tblCellMar>
      </w:tblPr>
      <w:tblGrid>
        <w:gridCol w:w="105"/>
        <w:gridCol w:w="155"/>
        <w:gridCol w:w="3440"/>
      </w:tblGrid>
      <w:tr>
        <w:trPr/>
        <w:tc>
          <w:tcPr>
            <w:tcW w:w="105" w:type="dxa"/>
            <w:tcBorders/>
            <w:shd w:fill="auto" w:val="clear"/>
            <w:vAlign w:val="center"/>
          </w:tcPr>
          <w:p>
            <w:pPr>
              <w:pStyle w:val="TableContents"/>
              <w:spacing w:before="0" w:after="0"/>
              <w:ind w:left="0" w:right="0" w:hanging="0"/>
              <w:rPr/>
            </w:pPr>
            <w:r>
              <w:rPr/>
              <w:t> </w:t>
            </w:r>
          </w:p>
        </w:tc>
        <w:tc>
          <w:tcPr>
            <w:tcW w:w="155" w:type="dxa"/>
            <w:tcBorders/>
            <w:shd w:fill="auto" w:val="clear"/>
            <w:vAlign w:val="center"/>
          </w:tcPr>
          <w:p>
            <w:pPr>
              <w:pStyle w:val="TableContents"/>
              <w:spacing w:before="0" w:after="0"/>
              <w:ind w:left="0" w:right="0" w:hanging="0"/>
              <w:rPr>
                <w:rFonts w:ascii="symbol" w:hAnsi="symbol"/>
              </w:rPr>
            </w:pPr>
            <w:r>
              <w:rPr>
                <w:rFonts w:ascii="symbol" w:hAnsi="symbol"/>
              </w:rPr>
              <w:t>·</w:t>
            </w:r>
          </w:p>
        </w:tc>
        <w:tc>
          <w:tcPr>
            <w:tcW w:w="3440" w:type="dxa"/>
            <w:tcBorders/>
            <w:shd w:fill="auto" w:val="clear"/>
            <w:vAlign w:val="center"/>
          </w:tcPr>
          <w:p>
            <w:pPr>
              <w:pStyle w:val="TableContents"/>
              <w:spacing w:before="0" w:after="283"/>
              <w:rPr/>
            </w:pPr>
            <w:r>
              <w:rPr>
                <w:rStyle w:val="Emphasis"/>
              </w:rPr>
              <w:t>Exit Commercial Liability Business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July 2019, due to the poor performance of our commercial liability business, we made the decision to no longer underwrite commercial lines or commercial umbrella risks.</w:t>
      </w:r>
    </w:p>
    <w:p>
      <w:pPr>
        <w:pStyle w:val="TextBody"/>
        <w:spacing w:before="0" w:after="0"/>
        <w:ind w:left="0" w:right="0" w:firstLine="720"/>
        <w:jc w:val="both"/>
        <w:rPr/>
      </w:pPr>
      <w:r>
        <w:rPr/>
        <w:t> </w:t>
      </w:r>
    </w:p>
    <w:p>
      <w:pPr>
        <w:pStyle w:val="TextBody"/>
        <w:spacing w:before="0" w:after="0"/>
        <w:ind w:left="0" w:right="0" w:hanging="0"/>
        <w:jc w:val="both"/>
        <w:rPr/>
      </w:pPr>
      <w:r>
        <w:rPr>
          <w:rStyle w:val="StrongEmphasis"/>
          <w:rFonts w:ascii="times new roman" w:hAnsi="times new roman"/>
          <w:sz w:val="20"/>
        </w:rPr>
        <w:t xml:space="preserve">(b) </w:t>
      </w:r>
      <w:r>
        <w:rPr>
          <w:rStyle w:val="StrongEmphasis"/>
          <w:rFonts w:ascii="times new roman" w:hAnsi="times new roman"/>
          <w:sz w:val="20"/>
          <w:u w:val="single"/>
        </w:rPr>
        <w:t>Business</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 xml:space="preserve">Property and Casualty Insurance </w:t>
      </w:r>
    </w:p>
    <w:p>
      <w:pPr>
        <w:pStyle w:val="TextBody"/>
        <w:spacing w:before="0" w:after="0"/>
        <w:ind w:left="0" w:right="0" w:hanging="0"/>
        <w:jc w:val="both"/>
        <w:rPr/>
      </w:pPr>
      <w:r>
        <w:rPr/>
        <w:t> </w:t>
      </w:r>
    </w:p>
    <w:p>
      <w:pPr>
        <w:pStyle w:val="TextBody"/>
        <w:spacing w:before="0" w:after="0"/>
        <w:ind w:left="0" w:right="0" w:firstLine="675"/>
        <w:jc w:val="both"/>
        <w:rPr/>
      </w:pPr>
      <w:r>
        <w:rPr>
          <w:rStyle w:val="Emphasis"/>
          <w:rFonts w:ascii="times new roman" w:hAnsi="times new roman"/>
          <w:sz w:val="20"/>
        </w:rPr>
        <w:t>Overview</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Property and casualty insurance companies provide policies in exchange for premiums paid by their customers (the “insureds”). An insurance policy is a contract between the insurance company and its insureds where the insurance company agrees to pay for losses that are covered under the contract. Such contracts are subject to legal interpretation by courts, sometimes involving legislative rulings and/or arbitration. Property insurance generally covers the financial consequences of accidental losses to the insured’s property, such as a home and the personal property in it, or a business owner’s building, inventory and equipment. Casualty insurance (also referred to as liability insurance) generally covers the financial consequences related to the legal liability of an individual or an organization resulting from negligent acts and omissions that cause bodily injury and/or property damage to a third party. Claims for property coverage generally are reported and settled in a relatively short period of time, whereas those for casualty coverage may take many years to settle.</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4</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We generate revenues from earned premiums, ceding commissions from quota share reinsurance, net investment income generated from our investment portfolio, and net realized gains and losses on investment securities. We also collect a variety of policy fees including installment fees, reinstatement fees, and non-sufficient fund fees related to situations involving extended premium payment plans. Earned premiums represent premiums received from insureds, which are recognized as revenue over the period of time that coverage is provided (i.e., ratably over the life of the policy). All of our policies are 12 month policies; therefore, a significant period of time can elapse between the receipt of insurance premiums and the payment of claims. During this time, KICO invests the premiums, earning investment income and generating net realized and unrealized gains and losses on associated investments.</w:t>
      </w:r>
    </w:p>
    <w:p>
      <w:pPr>
        <w:pStyle w:val="TextBody"/>
        <w:spacing w:before="0" w:after="0"/>
        <w:ind w:left="0" w:right="0" w:firstLine="675"/>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Insurance companies incur a significant amount of their total expenses from insured losses, which are commonly referred to as claims. In settling insured losses, various loss adjustment expenses (“LAE”) are incurred such as insurance adjusters’ fees and legal expenses. In addition, insurance companies incur policy acquisition expenses, such as commissions paid to producers, premium taxes, and other expenses related to the underwriting process, including their employees’ compensation and benefits.</w:t>
      </w:r>
    </w:p>
    <w:p>
      <w:pPr>
        <w:pStyle w:val="TextBody"/>
        <w:spacing w:before="0" w:after="0"/>
        <w:ind w:left="0" w:right="0" w:firstLine="675"/>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The key measure of relative underwriting performance for an insurance company is the combined ratio. An insurance company’s combined ratio is calculated by taking the ratio of incurred loss and LAE to earned premiums (the “loss and LAE ratio”) and adding it to the ratio of policy acquisition and other underwriting expenses to earned premiums (the “expense ratio”). A combined ratio under 100% indicates that an insurance company is generating an underwriting profit prior to the impact of investment income. After considering investment income and investment gains or losses, insurance companies operating at a combined ratio of greater than 100% can also be profitable.</w:t>
      </w:r>
    </w:p>
    <w:p>
      <w:pPr>
        <w:pStyle w:val="TextBody"/>
        <w:spacing w:before="0" w:after="0"/>
        <w:ind w:left="0" w:right="0" w:firstLine="675"/>
        <w:jc w:val="both"/>
        <w:rPr/>
      </w:pPr>
      <w:r>
        <w:rPr/>
        <w:t> </w:t>
      </w:r>
    </w:p>
    <w:p>
      <w:pPr>
        <w:pStyle w:val="TextBody"/>
        <w:spacing w:before="0" w:after="0"/>
        <w:ind w:left="0" w:right="0" w:firstLine="675"/>
        <w:jc w:val="both"/>
        <w:rPr/>
      </w:pPr>
      <w:r>
        <w:rPr>
          <w:rStyle w:val="Emphasis"/>
          <w:rFonts w:ascii="times new roman" w:hAnsi="times new roman"/>
          <w:sz w:val="20"/>
        </w:rPr>
        <w:t>Business; Strategy</w:t>
      </w:r>
    </w:p>
    <w:p>
      <w:pPr>
        <w:pStyle w:val="TextBody"/>
        <w:spacing w:before="0" w:after="0"/>
        <w:ind w:left="0" w:right="0" w:firstLine="675"/>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We are a multi-line regional property and casualty insurance company writing business exclusively through retail and wholesale agents and brokers (“producers”) appointed by our wholly owned subsidiary, KICO. We are licensed to write insurance policies in New York, New Jersey, Connecticut, Maine, Massachusetts, New Hampshire, Pennsylvania and Rhode Island. We are actively writing business in New York, New Jersey, Rhode Island, Massachusetts and Connecticut.</w:t>
      </w:r>
    </w:p>
    <w:p>
      <w:pPr>
        <w:pStyle w:val="TextBody"/>
        <w:spacing w:before="0" w:after="0"/>
        <w:ind w:left="0" w:right="0" w:firstLine="675"/>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Additionally, through our subsidiary, Cosi, a multi-state licensed general agency, we access alternative distribution channels. Through Cosi, we have the opportunity to partner with name-brand carriers and access nationwide insurance agencies. See “Distribution” below for a discussion of our distribution channels.</w:t>
      </w:r>
    </w:p>
    <w:p>
      <w:pPr>
        <w:pStyle w:val="TextBody"/>
        <w:spacing w:before="0" w:after="0"/>
        <w:ind w:left="0" w:right="0" w:firstLine="675"/>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 xml:space="preserve">We seek to deliver an attractive return on capital and to provide consistent earnings growth through underwriting profits and income from our investment portfolio. Our goal is to allocate capital efficiently to those lines of business that generate sustainable underwriting profits and to avoid lines of business for which an underwriting profit is not likely. Our strategy is to be the preferred multi-line property and casualty insurance company for selected producers in the geographic markets in which we operate. We believe producers place profitable business with us because we provide excellent, consistent service to insureds and claimants. Producers also value our financial stability coupled with competitive rate and commission structures. </w:t>
      </w:r>
    </w:p>
    <w:p>
      <w:pPr>
        <w:pStyle w:val="TextBody"/>
        <w:spacing w:before="0" w:after="0"/>
        <w:ind w:left="0" w:right="0" w:firstLine="675"/>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Our principal objectives are to grow profitably while managing risk through prudent use of reinsurance in order to strengthen our capital base. We generate underwriting income through adequate pricing of insurance policies and by effectively managing our other underwriting and operating expenses. We are pursuing profitable growth through existing producers in existing markets, by developing new geographic markets and producer relationships, and by introducing niche products that are relevant to our producers and insureds.</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5</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firstLine="720"/>
        <w:jc w:val="both"/>
        <w:rPr/>
      </w:pPr>
      <w:r>
        <w:rPr/>
        <w:t> </w:t>
      </w:r>
      <w:r>
        <w:rPr>
          <w:rFonts w:ascii="times new roman" w:hAnsi="times new roman"/>
          <w:sz w:val="20"/>
        </w:rPr>
        <w:t>For the year ended December 31, 2020, our gross written premiums totaled $169.3 million, a decrease of 1.1% from the $171.2 million in gross written premiums for the year ended December 31, 2019. While gross written premiums were generally flat between the two years, in the year ended December 31, 2020, there was a decrease of $10.2 million of commercial lines gross written premiums as a result of our exit from this line, which was offset by an increase in the core homeowners gross written premiums of $11.2 million.</w:t>
      </w:r>
    </w:p>
    <w:p>
      <w:pPr>
        <w:pStyle w:val="TextBody"/>
        <w:spacing w:before="0" w:after="0"/>
        <w:ind w:left="0" w:right="0" w:firstLine="720"/>
        <w:jc w:val="both"/>
        <w:rPr/>
      </w:pPr>
      <w:r>
        <w:rPr/>
        <w:t> </w:t>
      </w:r>
    </w:p>
    <w:p>
      <w:pPr>
        <w:pStyle w:val="TextBody"/>
        <w:spacing w:before="0" w:after="0"/>
        <w:ind w:left="0" w:right="0" w:firstLine="720"/>
        <w:jc w:val="both"/>
        <w:rPr/>
      </w:pPr>
      <w:r>
        <w:rPr>
          <w:rStyle w:val="Emphasis"/>
          <w:rFonts w:ascii="times new roman" w:hAnsi="times new roman"/>
          <w:sz w:val="20"/>
        </w:rPr>
        <w:t>Product Lines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product lines include the following:</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 xml:space="preserve">Personal lines - </w:t>
      </w:r>
      <w:r>
        <w:rPr>
          <w:rFonts w:ascii="times new roman" w:hAnsi="times new roman"/>
          <w:sz w:val="20"/>
        </w:rPr>
        <w:t>Our largest line of business is personal lines, consisting of homeowners and dwelling fire multi-peril, cooperative/condominiums, renters, and personal umbrella policies. Personal lines policies accounted for 95.7% of our gross written premiums for the year ended December 31, 2020.</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 xml:space="preserve">Livery physical damage - </w:t>
      </w:r>
      <w:r>
        <w:rPr>
          <w:rFonts w:ascii="times new roman" w:hAnsi="times new roman"/>
          <w:sz w:val="20"/>
        </w:rPr>
        <w:t>We write for-hire vehicle physical damage only policies for livery and car service vehicles and taxicabs, primarily based in New York City. These policies insure only the physical damage portion of insurance for such vehicles, with no liability coverage included. These policies accounted for 4.2% of our gross written premiums for the year ended December 31, 2020.</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 xml:space="preserve">Commercial liability – </w:t>
      </w:r>
      <w:r>
        <w:rPr>
          <w:rFonts w:ascii="times new roman" w:hAnsi="times new roman"/>
          <w:sz w:val="20"/>
        </w:rPr>
        <w:t>Through July 2019, we offered businessowners policies, which consist primarily of small business retail, service, and office risks, with limited property exposures. We also wrote artisan’s liability policies for small independent contractors with smaller sized workforces. In addition, we wrote special multi-peril policies for larger and more specialized businessowners risks. Further, we offered commercial umbrella policies written above our supporting commercial lines policies. In July 2019, due to the poor performance of these lines, we made the decision to no longer underwrite commercial lines or commercial umbrella risks. In force policies for these lines were non-renewed at the end of their annual terms. Commercial lines policies accounted for 5.9% of our gross written premiums for the year ended December 31, 2019. We have no in force commercial lines policies as of December 31, 2020.</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Other - We write canine legal liability policies and have a small participation in mandatory state joint underwriting associations. These policies accounted for 0.1% of our gross written premiums for the year ended December 31, 2020.</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Our Competitive Strengths</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History of Growing Our Profitable Operations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KICO has been in operation in the State of New York for over 130 years. We have consistently grown the amount of profitable business that we write by introducing new products, increasing volume written with our selected producers in existing markets, and developing new producer relationships and markets. KICO has earned an underwriting profit in eight of the past ten years, including in 2012 and 2013 when our financial results were adversely impacted by Superstorm Sandy. The extensive heritage of our insurance company subsidiary and our commitment to the markets in which we operate is a competitive advantage with producers and insureds.</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Strong Producer Relationships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Within our selected producers’ offices, we compete with other property and casualty insurance carriers available to those producers. We carefully select the producers that distribute our insurance policies and continuously monitor and evaluate their performance. We believe our insurance producers value their relationships with us because we provide excellent, consistent personal service coupled with competitive rates and commission levels. We have consistently been rated by insurance producers as above average in the important areas of underwriting, claims handling and service. In the biennial performance surveys conducted by the Professional Insurance Agents of New York and New Jersey of its membership since 2010, KICO was rated as one of the top performing insurance companies in New York, twice ranking as the top rated carrier among all those surveyed.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6</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offer our selected producers access to a variety of personal lines and specialty products, including some that are unique to us. We provide a multi-policy discount on homeowners policies in order to attract and retain more of this multi-line business. We have had a consistent presence in the New York market and our producers value the longevity of the relationship. We believe that the excellent service provided to our selected producers, our broad product offerings, and our consistent prices and financial stability provide a strong foundation for continued profitable growth.</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Sophisticated Underwriting and Risk Management Practices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believe that a significant underwriting advantage exists due to our local market presence and expertise. Our underwriting process evaluates and screens out certain risks based on property reports, individual insurance scoring, and information collected from physical property inspections and driving records. We maintain certain policy exclusions that reduce our exposure to risks that can create severe losses. We target a preferred risk profile in order to reduce adverse selection from risks seeking the lowest premiums and minimal coverage levels.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Our underwriting procedures, premium rates and policy terms support the underwriting profitability of our personal lines policies. We apply premium surcharges for certain coastal properties and maintain deductibles for hurricane-prone exposures in order to provide an appropriate premium for the risk of loss. We manage coastal risk exposure through use of individual catastrophe risk scoring and prudent use of reinsurance. </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Effective Utilization of Reinsurance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reinsurance treaties allow us to limit our exposure to the financial impact of catastrophe losses and to reduce our net liability on individual risks. Our reinsurance program is structured to enable us to grow our premium volume while maintaining regulatory capital and other financial ratios within thresholds used for regulatory oversight purposes.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Our reinsurance program also provides income from ceding commissions earned pursuant to quota share reinsurance contracts. The income we earn from ceding commissions typically exceeds our fixed operating costs, which consist of other underwriting expenses. Quota share reinsurance treaties transfer a portion of the profit (or loss) associated with the subject insurance policies to the reinsurers. </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Scalable, Low-Cost Operations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We focus on efficiently managing our expenses, and invest in tools and processes that improve the effectiveness of underwriting risks and processing claims. We evaluate the costs and benefits of each new tool or process in order to achieve optimal results. While the majority of our policies are written for risks in downstate New York, our Kingston, New York location provides a low-cost operating environment.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continue to invest in improving our online application and quoting systems for our personal lines products. We have leveraged a paperless workflow management and document storage tool that has improved efficiency and reduced costs. We provide an online payment portal that allows insureds to make payments and to view policy information for all of our products in one location. Our ability to control the growth of operating and other expenses while expanding our operations and growing revenue is a key component of our business model and is important to our financial success.</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7</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2020, we implemented the Kingstone 2.0 program which is an effort to modernize our systems. In 2020 we implemented our new claims system, filed our new homeowners program in New York, and filed our new condo/tenant and dwelling fire programs in New York, introduced a new interface for our select producers and started the conversion to our new policy management system. We have been able to make these investments without an increase in underwriting expenses.</w:t>
      </w:r>
    </w:p>
    <w:p>
      <w:pPr>
        <w:pStyle w:val="TextBody"/>
        <w:spacing w:before="0" w:after="0"/>
        <w:ind w:left="0" w:right="0" w:firstLine="720"/>
        <w:jc w:val="both"/>
        <w:rPr/>
      </w:pPr>
      <w:r>
        <w:rPr/>
        <w:t> </w:t>
      </w:r>
    </w:p>
    <w:p>
      <w:pPr>
        <w:pStyle w:val="TextBody"/>
        <w:spacing w:before="0" w:after="0"/>
        <w:ind w:left="720" w:right="0" w:hanging="0"/>
        <w:jc w:val="both"/>
        <w:rPr/>
      </w:pPr>
      <w:r>
        <w:rPr>
          <w:rStyle w:val="Emphasis"/>
          <w:rFonts w:ascii="times new roman" w:hAnsi="times new roman"/>
          <w:sz w:val="20"/>
        </w:rPr>
        <w:t>Underwriting and Claims Management Philosophy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Our underwriting philosophy is to target niche segments for which we have detailed expertise and can take advantage of market conditions. We monitor results on a regular basis and our selected producers are reviewed by management on at least a quarterly basis.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believe that our rates are appropriately competitive with other carriers in our target markets. We do not seek to grow by competing based solely upon price. We seek to develop long-term relationships with our selected producers who understand and appreciate the path we have chosen. We carefully underwrite our business utilizing industry claims databases, insurance scoring reports, physical inspection of risks and other individual risk underwriting tools. We write homeowners and dwelling fire business in coastal markets and are cognizant of our exposure to hurricanes. We have mitigated this risk through appropriate catastrophe reinsurance and application of hurricane deductibles. We handle claims fairly while ensuring that coverage provisions and exclusions are properly applied. Our claims and underwriting expertise supports our ability to grow our profitable business.</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Distribution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generate business through our relationships with over 600 producers. We carefully select our producers by evaluating numerous factors such as their need for our products, premium production potential, loss history with other insurance companies that they represent, product and market knowledge, and agency size. We only distribute through agents and have never sought to distribute our products direct to the consumer. We monitor and evaluate the performance of our producers through periodic reviews of volume and profitability. Our senior executives are actively involved in managing our producer relationships.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Each producer is assigned to a staff underwriter and the producer can call that underwriter directly on any matter. We believe that the close relationship and personal service received from their underwriters is a principal reason producers place their business with us. Our producers have access to a KICO website portal that provides them the ability to quote risks for various products and to review policy forms and underwriting guidelines for all lines of business. We send out frequent “Producer Grams” in order to inform our producers of updates at KICO. In addition, we have an active Producer Council, made up of 11 active producers, to advise us on market developments; and we have at least one annual meeting with all of our producers.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During 2019, we initiated an alternative distribution program through Cosi (“Alternative Distribution”). The goal of this program is to enhance our personal lines distribution channel to include nationally recognized name-brand carriers along with nationwide call center and digital insurance agencies. While still in early stages of development, the impact of this initiative can be measured by the amount of new premiums written compared to total premiums written, which includes renewals from our independent agency network. The table below shows premiums written by distribution channel for our homeowners and dwelling fire components of personal lines.</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8</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xml:space="preserve">  </w:t>
      </w:r>
    </w:p>
    <w:tbl>
      <w:tblPr>
        <w:tblW w:w="8433" w:type="dxa"/>
        <w:jc w:val="left"/>
        <w:tblInd w:w="0" w:type="dxa"/>
        <w:tblCellMar>
          <w:top w:w="0" w:type="dxa"/>
          <w:left w:w="0" w:type="dxa"/>
          <w:bottom w:w="0" w:type="dxa"/>
          <w:right w:w="0" w:type="dxa"/>
        </w:tblCellMar>
      </w:tblPr>
      <w:tblGrid>
        <w:gridCol w:w="3650"/>
        <w:gridCol w:w="90"/>
        <w:gridCol w:w="175"/>
        <w:gridCol w:w="859"/>
        <w:gridCol w:w="93"/>
        <w:gridCol w:w="93"/>
        <w:gridCol w:w="106"/>
        <w:gridCol w:w="708"/>
        <w:gridCol w:w="245"/>
        <w:gridCol w:w="90"/>
        <w:gridCol w:w="175"/>
        <w:gridCol w:w="859"/>
        <w:gridCol w:w="93"/>
        <w:gridCol w:w="93"/>
        <w:gridCol w:w="106"/>
        <w:gridCol w:w="708"/>
        <w:gridCol w:w="290"/>
      </w:tblGrid>
      <w:tr>
        <w:trPr/>
        <w:tc>
          <w:tcPr>
            <w:tcW w:w="365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034" w:type="dxa"/>
            <w:gridSpan w:val="6"/>
            <w:tcBorders/>
            <w:shd w:fill="auto" w:val="clear"/>
            <w:vAlign w:val="center"/>
          </w:tcPr>
          <w:p>
            <w:pPr>
              <w:pStyle w:val="TableContents"/>
              <w:spacing w:before="0" w:after="0"/>
              <w:ind w:left="0" w:right="0" w:hanging="0"/>
              <w:jc w:val="center"/>
              <w:rPr/>
            </w:pPr>
            <w:r>
              <w:rPr/>
              <w:t>Year ended</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034" w:type="dxa"/>
            <w:gridSpan w:val="6"/>
            <w:tcBorders/>
            <w:shd w:fill="auto" w:val="clear"/>
            <w:vAlign w:val="center"/>
          </w:tcPr>
          <w:p>
            <w:pPr>
              <w:pStyle w:val="TableContents"/>
              <w:spacing w:before="0" w:after="0"/>
              <w:ind w:left="0" w:right="0" w:hanging="0"/>
              <w:jc w:val="center"/>
              <w:rPr/>
            </w:pPr>
            <w:r>
              <w:rPr/>
              <w:t>Year ended</w:t>
            </w:r>
          </w:p>
        </w:tc>
        <w:tc>
          <w:tcPr>
            <w:tcW w:w="290" w:type="dxa"/>
            <w:tcBorders/>
            <w:shd w:fill="auto" w:val="clear"/>
            <w:vAlign w:val="center"/>
          </w:tcPr>
          <w:p>
            <w:pPr>
              <w:pStyle w:val="TableContents"/>
              <w:spacing w:before="0" w:after="0"/>
              <w:ind w:left="0" w:right="0" w:hanging="0"/>
              <w:rPr/>
            </w:pPr>
            <w:r>
              <w:rPr/>
              <w:t> </w:t>
            </w:r>
          </w:p>
        </w:tc>
      </w:tr>
      <w:tr>
        <w:trPr/>
        <w:tc>
          <w:tcPr>
            <w:tcW w:w="3650" w:type="dxa"/>
            <w:tcBorders/>
            <w:shd w:fill="auto" w:val="clear"/>
            <w:vAlign w:val="center"/>
          </w:tcPr>
          <w:p>
            <w:pPr>
              <w:pStyle w:val="TableContents"/>
              <w:spacing w:before="0" w:after="0"/>
              <w:ind w:left="0" w:right="0" w:hanging="0"/>
              <w:rPr/>
            </w:pPr>
            <w:r>
              <w:rPr/>
              <w:t xml:space="preserve">($ in thousands) </w:t>
            </w:r>
          </w:p>
        </w:tc>
        <w:tc>
          <w:tcPr>
            <w:tcW w:w="90" w:type="dxa"/>
            <w:tcBorders/>
            <w:shd w:fill="auto" w:val="clear"/>
            <w:vAlign w:val="center"/>
          </w:tcPr>
          <w:p>
            <w:pPr>
              <w:pStyle w:val="TableContents"/>
              <w:spacing w:before="0" w:after="0"/>
              <w:ind w:left="0" w:right="0" w:hanging="0"/>
              <w:rPr/>
            </w:pPr>
            <w:r>
              <w:rPr/>
              <w:t> </w:t>
            </w:r>
          </w:p>
        </w:tc>
        <w:tc>
          <w:tcPr>
            <w:tcW w:w="2034"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t>December 31, 2020</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034"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t>December 31, 2019</w:t>
            </w:r>
          </w:p>
        </w:tc>
        <w:tc>
          <w:tcPr>
            <w:tcW w:w="290" w:type="dxa"/>
            <w:tcBorders/>
            <w:shd w:fill="auto" w:val="clear"/>
            <w:vAlign w:val="center"/>
          </w:tcPr>
          <w:p>
            <w:pPr>
              <w:pStyle w:val="TableContents"/>
              <w:spacing w:before="0" w:after="0"/>
              <w:ind w:left="0" w:right="0" w:hanging="0"/>
              <w:rPr/>
            </w:pPr>
            <w:r>
              <w:rPr/>
              <w:t> </w:t>
            </w:r>
          </w:p>
        </w:tc>
      </w:tr>
      <w:tr>
        <w:trPr/>
        <w:tc>
          <w:tcPr>
            <w:tcW w:w="365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34" w:type="dxa"/>
            <w:gridSpan w:val="2"/>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0"/>
              <w:ind w:left="0" w:right="0" w:hanging="0"/>
              <w:rPr/>
            </w:pPr>
            <w:r>
              <w:rPr/>
              <w:t> </w:t>
            </w:r>
          </w:p>
        </w:tc>
        <w:tc>
          <w:tcPr>
            <w:tcW w:w="93" w:type="dxa"/>
            <w:tcBorders/>
            <w:shd w:fill="auto" w:val="clear"/>
            <w:vAlign w:val="center"/>
          </w:tcPr>
          <w:p>
            <w:pPr>
              <w:pStyle w:val="TableContents"/>
              <w:spacing w:before="0" w:after="0"/>
              <w:ind w:left="0" w:right="0" w:hanging="0"/>
              <w:rPr/>
            </w:pPr>
            <w:r>
              <w:rPr/>
              <w:t> </w:t>
            </w:r>
          </w:p>
        </w:tc>
        <w:tc>
          <w:tcPr>
            <w:tcW w:w="814" w:type="dxa"/>
            <w:gridSpan w:val="2"/>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34" w:type="dxa"/>
            <w:gridSpan w:val="2"/>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0"/>
              <w:ind w:left="0" w:right="0" w:hanging="0"/>
              <w:rPr/>
            </w:pPr>
            <w:r>
              <w:rPr/>
              <w:t> </w:t>
            </w:r>
          </w:p>
        </w:tc>
        <w:tc>
          <w:tcPr>
            <w:tcW w:w="93" w:type="dxa"/>
            <w:tcBorders/>
            <w:shd w:fill="auto" w:val="clear"/>
            <w:vAlign w:val="center"/>
          </w:tcPr>
          <w:p>
            <w:pPr>
              <w:pStyle w:val="TableContents"/>
              <w:spacing w:before="0" w:after="0"/>
              <w:ind w:left="0" w:right="0" w:hanging="0"/>
              <w:rPr/>
            </w:pPr>
            <w:r>
              <w:rPr/>
              <w:t> </w:t>
            </w:r>
          </w:p>
        </w:tc>
        <w:tc>
          <w:tcPr>
            <w:tcW w:w="814" w:type="dxa"/>
            <w:gridSpan w:val="2"/>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0"/>
              <w:ind w:left="0" w:right="0" w:hanging="0"/>
              <w:rPr/>
            </w:pPr>
            <w:r>
              <w:rPr/>
              <w:t> </w:t>
            </w:r>
          </w:p>
        </w:tc>
      </w:tr>
      <w:tr>
        <w:trPr/>
        <w:tc>
          <w:tcPr>
            <w:tcW w:w="3650" w:type="dxa"/>
            <w:tcBorders/>
            <w:shd w:fill="auto" w:val="clear"/>
            <w:vAlign w:val="center"/>
          </w:tcPr>
          <w:p>
            <w:pPr>
              <w:pStyle w:val="TableContents"/>
              <w:spacing w:before="0" w:after="0"/>
              <w:ind w:left="0" w:right="0" w:hanging="0"/>
              <w:rPr/>
            </w:pPr>
            <w:r>
              <w:rPr/>
              <w:t xml:space="preserve">Direct Written Pemiums </w:t>
            </w:r>
          </w:p>
        </w:tc>
        <w:tc>
          <w:tcPr>
            <w:tcW w:w="90" w:type="dxa"/>
            <w:tcBorders/>
            <w:shd w:fill="auto" w:val="clear"/>
            <w:vAlign w:val="center"/>
          </w:tcPr>
          <w:p>
            <w:pPr>
              <w:pStyle w:val="TableContents"/>
              <w:spacing w:before="0" w:after="0"/>
              <w:ind w:left="0" w:right="0" w:hanging="0"/>
              <w:rPr/>
            </w:pPr>
            <w:r>
              <w:rPr/>
              <w:t> </w:t>
            </w:r>
          </w:p>
        </w:tc>
        <w:tc>
          <w:tcPr>
            <w:tcW w:w="103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xml:space="preserve">Amount </w:t>
            </w:r>
          </w:p>
        </w:tc>
        <w:tc>
          <w:tcPr>
            <w:tcW w:w="93" w:type="dxa"/>
            <w:tcBorders/>
            <w:shd w:fill="auto" w:val="clear"/>
            <w:vAlign w:val="center"/>
          </w:tcPr>
          <w:p>
            <w:pPr>
              <w:pStyle w:val="TableContents"/>
              <w:spacing w:before="0" w:after="0"/>
              <w:ind w:left="0" w:right="0" w:hanging="0"/>
              <w:rPr/>
            </w:pPr>
            <w:r>
              <w:rPr/>
              <w:t> </w:t>
            </w:r>
          </w:p>
        </w:tc>
        <w:tc>
          <w:tcPr>
            <w:tcW w:w="93" w:type="dxa"/>
            <w:tcBorders/>
            <w:shd w:fill="auto" w:val="clear"/>
            <w:vAlign w:val="center"/>
          </w:tcPr>
          <w:p>
            <w:pPr>
              <w:pStyle w:val="TableContents"/>
              <w:spacing w:before="0" w:after="0"/>
              <w:ind w:left="0" w:right="0" w:hanging="0"/>
              <w:rPr/>
            </w:pPr>
            <w:r>
              <w:rPr/>
              <w:t> </w:t>
            </w:r>
          </w:p>
        </w:tc>
        <w:tc>
          <w:tcPr>
            <w:tcW w:w="81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xml:space="preserve">Percent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3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xml:space="preserve">Amount </w:t>
            </w:r>
          </w:p>
        </w:tc>
        <w:tc>
          <w:tcPr>
            <w:tcW w:w="93" w:type="dxa"/>
            <w:tcBorders/>
            <w:shd w:fill="auto" w:val="clear"/>
            <w:vAlign w:val="center"/>
          </w:tcPr>
          <w:p>
            <w:pPr>
              <w:pStyle w:val="TableContents"/>
              <w:spacing w:before="0" w:after="0"/>
              <w:ind w:left="0" w:right="0" w:hanging="0"/>
              <w:rPr/>
            </w:pPr>
            <w:r>
              <w:rPr/>
              <w:t> </w:t>
            </w:r>
          </w:p>
        </w:tc>
        <w:tc>
          <w:tcPr>
            <w:tcW w:w="93" w:type="dxa"/>
            <w:tcBorders/>
            <w:shd w:fill="auto" w:val="clear"/>
            <w:vAlign w:val="center"/>
          </w:tcPr>
          <w:p>
            <w:pPr>
              <w:pStyle w:val="TableContents"/>
              <w:spacing w:before="0" w:after="0"/>
              <w:ind w:left="0" w:right="0" w:hanging="0"/>
              <w:rPr/>
            </w:pPr>
            <w:r>
              <w:rPr/>
              <w:t> </w:t>
            </w:r>
          </w:p>
        </w:tc>
        <w:tc>
          <w:tcPr>
            <w:tcW w:w="81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xml:space="preserve">Percent </w:t>
            </w:r>
          </w:p>
        </w:tc>
        <w:tc>
          <w:tcPr>
            <w:tcW w:w="290" w:type="dxa"/>
            <w:tcBorders/>
            <w:shd w:fill="auto" w:val="clear"/>
            <w:vAlign w:val="center"/>
          </w:tcPr>
          <w:p>
            <w:pPr>
              <w:pStyle w:val="TableContents"/>
              <w:spacing w:before="0" w:after="0"/>
              <w:ind w:left="0" w:right="0" w:hanging="0"/>
              <w:rPr/>
            </w:pPr>
            <w:r>
              <w:rPr/>
              <w:t> </w:t>
            </w:r>
          </w:p>
        </w:tc>
      </w:tr>
      <w:tr>
        <w:trPr/>
        <w:tc>
          <w:tcPr>
            <w:tcW w:w="365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34" w:type="dxa"/>
            <w:gridSpan w:val="2"/>
            <w:tcBorders/>
            <w:shd w:fill="auto" w:val="clear"/>
            <w:vAlign w:val="center"/>
          </w:tcPr>
          <w:p>
            <w:pPr>
              <w:pStyle w:val="TableContents"/>
              <w:spacing w:before="0" w:after="0"/>
              <w:ind w:left="0" w:right="0" w:hanging="0"/>
              <w:rPr/>
            </w:pPr>
            <w:r>
              <w:rPr/>
              <w:t> </w:t>
            </w:r>
          </w:p>
        </w:tc>
        <w:tc>
          <w:tcPr>
            <w:tcW w:w="93" w:type="dxa"/>
            <w:tcBorders/>
            <w:shd w:fill="auto" w:val="clear"/>
            <w:vAlign w:val="center"/>
          </w:tcPr>
          <w:p>
            <w:pPr>
              <w:pStyle w:val="TableContents"/>
              <w:spacing w:before="0" w:after="0"/>
              <w:ind w:left="0" w:right="0" w:hanging="0"/>
              <w:rPr/>
            </w:pPr>
            <w:r>
              <w:rPr/>
              <w:t> </w:t>
            </w:r>
          </w:p>
        </w:tc>
        <w:tc>
          <w:tcPr>
            <w:tcW w:w="93" w:type="dxa"/>
            <w:tcBorders/>
            <w:shd w:fill="auto" w:val="clear"/>
            <w:vAlign w:val="center"/>
          </w:tcPr>
          <w:p>
            <w:pPr>
              <w:pStyle w:val="TableContents"/>
              <w:spacing w:before="0" w:after="0"/>
              <w:ind w:left="0" w:right="0" w:hanging="0"/>
              <w:rPr/>
            </w:pPr>
            <w:r>
              <w:rPr/>
              <w:t> </w:t>
            </w:r>
          </w:p>
        </w:tc>
        <w:tc>
          <w:tcPr>
            <w:tcW w:w="814"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34" w:type="dxa"/>
            <w:gridSpan w:val="2"/>
            <w:tcBorders/>
            <w:shd w:fill="auto" w:val="clear"/>
            <w:vAlign w:val="center"/>
          </w:tcPr>
          <w:p>
            <w:pPr>
              <w:pStyle w:val="TableContents"/>
              <w:spacing w:before="0" w:after="0"/>
              <w:ind w:left="0" w:right="0" w:hanging="0"/>
              <w:rPr/>
            </w:pPr>
            <w:r>
              <w:rPr/>
              <w:t> </w:t>
            </w:r>
          </w:p>
        </w:tc>
        <w:tc>
          <w:tcPr>
            <w:tcW w:w="93" w:type="dxa"/>
            <w:tcBorders/>
            <w:shd w:fill="auto" w:val="clear"/>
            <w:vAlign w:val="center"/>
          </w:tcPr>
          <w:p>
            <w:pPr>
              <w:pStyle w:val="TableContents"/>
              <w:spacing w:before="0" w:after="0"/>
              <w:ind w:left="0" w:right="0" w:hanging="0"/>
              <w:rPr/>
            </w:pPr>
            <w:r>
              <w:rPr/>
              <w:t> </w:t>
            </w:r>
          </w:p>
        </w:tc>
        <w:tc>
          <w:tcPr>
            <w:tcW w:w="93" w:type="dxa"/>
            <w:tcBorders/>
            <w:shd w:fill="auto" w:val="clear"/>
            <w:vAlign w:val="center"/>
          </w:tcPr>
          <w:p>
            <w:pPr>
              <w:pStyle w:val="TableContents"/>
              <w:spacing w:before="0" w:after="0"/>
              <w:ind w:left="0" w:right="0" w:hanging="0"/>
              <w:rPr/>
            </w:pPr>
            <w:r>
              <w:rPr/>
              <w:t> </w:t>
            </w:r>
          </w:p>
        </w:tc>
        <w:tc>
          <w:tcPr>
            <w:tcW w:w="814" w:type="dxa"/>
            <w:gridSpan w:val="2"/>
            <w:tcBorders/>
            <w:shd w:fill="auto" w:val="clear"/>
            <w:vAlign w:val="center"/>
          </w:tcPr>
          <w:p>
            <w:pPr>
              <w:pStyle w:val="TableContents"/>
              <w:spacing w:before="0" w:after="0"/>
              <w:ind w:left="0" w:right="0" w:hanging="0"/>
              <w:rPr/>
            </w:pPr>
            <w:r>
              <w:rPr/>
              <w:t> </w:t>
            </w:r>
          </w:p>
        </w:tc>
        <w:tc>
          <w:tcPr>
            <w:tcW w:w="290" w:type="dxa"/>
            <w:tcBorders/>
            <w:shd w:fill="auto" w:val="clear"/>
            <w:vAlign w:val="center"/>
          </w:tcPr>
          <w:p>
            <w:pPr>
              <w:pStyle w:val="TableContents"/>
              <w:spacing w:before="0" w:after="0"/>
              <w:ind w:left="0" w:right="0" w:hanging="0"/>
              <w:rPr/>
            </w:pPr>
            <w:r>
              <w:rPr/>
              <w:t> </w:t>
            </w:r>
          </w:p>
        </w:tc>
      </w:tr>
      <w:tr>
        <w:trPr/>
        <w:tc>
          <w:tcPr>
            <w:tcW w:w="3650" w:type="dxa"/>
            <w:tcBorders/>
            <w:shd w:fill="CCEEFF" w:val="clear"/>
            <w:vAlign w:val="center"/>
          </w:tcPr>
          <w:p>
            <w:pPr>
              <w:pStyle w:val="TableContents"/>
              <w:spacing w:before="0" w:after="0"/>
              <w:ind w:left="225" w:right="0" w:hanging="0"/>
              <w:rPr/>
            </w:pPr>
            <w:r>
              <w:rPr/>
              <w:t xml:space="preserve">Core Independent </w:t>
            </w:r>
          </w:p>
        </w:tc>
        <w:tc>
          <w:tcPr>
            <w:tcW w:w="90" w:type="dxa"/>
            <w:tcBorders/>
            <w:shd w:fill="CCEEFF" w:val="clear"/>
            <w:vAlign w:val="center"/>
          </w:tcPr>
          <w:p>
            <w:pPr>
              <w:pStyle w:val="TableContents"/>
              <w:spacing w:before="0" w:after="0"/>
              <w:ind w:left="0" w:right="0" w:hanging="0"/>
              <w:rPr/>
            </w:pPr>
            <w:r>
              <w:rPr/>
              <w:t> </w:t>
            </w:r>
          </w:p>
        </w:tc>
        <w:tc>
          <w:tcPr>
            <w:tcW w:w="175" w:type="dxa"/>
            <w:tcBorders/>
            <w:shd w:fill="CCEEFF" w:val="clear"/>
            <w:vAlign w:val="center"/>
          </w:tcPr>
          <w:p>
            <w:pPr>
              <w:pStyle w:val="TableContents"/>
              <w:spacing w:before="0" w:after="283"/>
              <w:rPr/>
            </w:pPr>
            <w:r>
              <w:rPr/>
              <w:t>$</w:t>
            </w:r>
          </w:p>
        </w:tc>
        <w:tc>
          <w:tcPr>
            <w:tcW w:w="859" w:type="dxa"/>
            <w:tcBorders/>
            <w:shd w:fill="CCEEFF" w:val="clear"/>
            <w:vAlign w:val="center"/>
          </w:tcPr>
          <w:p>
            <w:pPr>
              <w:pStyle w:val="TableContents"/>
              <w:spacing w:before="0" w:after="283"/>
              <w:jc w:val="right"/>
              <w:rPr/>
            </w:pPr>
            <w:r>
              <w:rPr/>
              <w:t>123,755</w:t>
            </w:r>
          </w:p>
        </w:tc>
        <w:tc>
          <w:tcPr>
            <w:tcW w:w="93" w:type="dxa"/>
            <w:tcBorders/>
            <w:shd w:fill="CCEEFF" w:val="clear"/>
            <w:vAlign w:val="center"/>
          </w:tcPr>
          <w:p>
            <w:pPr>
              <w:pStyle w:val="TableContents"/>
              <w:spacing w:before="0" w:after="0"/>
              <w:ind w:left="0" w:right="0" w:hanging="0"/>
              <w:rPr/>
            </w:pPr>
            <w:r>
              <w:rPr/>
              <w:t> </w:t>
            </w:r>
          </w:p>
        </w:tc>
        <w:tc>
          <w:tcPr>
            <w:tcW w:w="93" w:type="dxa"/>
            <w:tcBorders/>
            <w:shd w:fill="CCEEFF" w:val="clear"/>
            <w:vAlign w:val="center"/>
          </w:tcPr>
          <w:p>
            <w:pPr>
              <w:pStyle w:val="TableContents"/>
              <w:spacing w:before="0" w:after="0"/>
              <w:ind w:left="0" w:right="0" w:hanging="0"/>
              <w:rPr/>
            </w:pPr>
            <w:r>
              <w:rPr/>
              <w:t> </w:t>
            </w:r>
          </w:p>
        </w:tc>
        <w:tc>
          <w:tcPr>
            <w:tcW w:w="106" w:type="dxa"/>
            <w:tcBorders/>
            <w:shd w:fill="CCEEFF" w:val="clear"/>
            <w:vAlign w:val="center"/>
          </w:tcPr>
          <w:p>
            <w:pPr>
              <w:pStyle w:val="TableContents"/>
              <w:spacing w:before="0" w:after="0"/>
              <w:ind w:left="0" w:right="0" w:hanging="0"/>
              <w:rPr/>
            </w:pPr>
            <w:r>
              <w:rPr/>
              <w:t> </w:t>
            </w:r>
          </w:p>
        </w:tc>
        <w:tc>
          <w:tcPr>
            <w:tcW w:w="708" w:type="dxa"/>
            <w:tcBorders/>
            <w:shd w:fill="CCEEFF" w:val="clear"/>
            <w:vAlign w:val="center"/>
          </w:tcPr>
          <w:p>
            <w:pPr>
              <w:pStyle w:val="TableContents"/>
              <w:spacing w:before="0" w:after="283"/>
              <w:jc w:val="right"/>
              <w:rPr/>
            </w:pPr>
            <w:r>
              <w:rPr/>
              <w:t>76.4</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5" w:type="dxa"/>
            <w:tcBorders/>
            <w:shd w:fill="CCEEFF" w:val="clear"/>
            <w:vAlign w:val="center"/>
          </w:tcPr>
          <w:p>
            <w:pPr>
              <w:pStyle w:val="TableContents"/>
              <w:spacing w:before="0" w:after="283"/>
              <w:rPr/>
            </w:pPr>
            <w:r>
              <w:rPr/>
              <w:t>$</w:t>
            </w:r>
          </w:p>
        </w:tc>
        <w:tc>
          <w:tcPr>
            <w:tcW w:w="859" w:type="dxa"/>
            <w:tcBorders/>
            <w:shd w:fill="CCEEFF" w:val="clear"/>
            <w:vAlign w:val="center"/>
          </w:tcPr>
          <w:p>
            <w:pPr>
              <w:pStyle w:val="TableContents"/>
              <w:spacing w:before="0" w:after="283"/>
              <w:jc w:val="right"/>
              <w:rPr/>
            </w:pPr>
            <w:r>
              <w:rPr/>
              <w:t>120,625</w:t>
            </w:r>
          </w:p>
        </w:tc>
        <w:tc>
          <w:tcPr>
            <w:tcW w:w="93" w:type="dxa"/>
            <w:tcBorders/>
            <w:shd w:fill="CCEEFF" w:val="clear"/>
            <w:vAlign w:val="center"/>
          </w:tcPr>
          <w:p>
            <w:pPr>
              <w:pStyle w:val="TableContents"/>
              <w:spacing w:before="0" w:after="0"/>
              <w:ind w:left="0" w:right="0" w:hanging="0"/>
              <w:rPr/>
            </w:pPr>
            <w:r>
              <w:rPr/>
              <w:t> </w:t>
            </w:r>
          </w:p>
        </w:tc>
        <w:tc>
          <w:tcPr>
            <w:tcW w:w="93" w:type="dxa"/>
            <w:tcBorders/>
            <w:shd w:fill="CCEEFF" w:val="clear"/>
            <w:vAlign w:val="center"/>
          </w:tcPr>
          <w:p>
            <w:pPr>
              <w:pStyle w:val="TableContents"/>
              <w:spacing w:before="0" w:after="0"/>
              <w:ind w:left="0" w:right="0" w:hanging="0"/>
              <w:rPr/>
            </w:pPr>
            <w:r>
              <w:rPr/>
              <w:t> </w:t>
            </w:r>
          </w:p>
        </w:tc>
        <w:tc>
          <w:tcPr>
            <w:tcW w:w="106" w:type="dxa"/>
            <w:tcBorders/>
            <w:shd w:fill="CCEEFF" w:val="clear"/>
            <w:vAlign w:val="center"/>
          </w:tcPr>
          <w:p>
            <w:pPr>
              <w:pStyle w:val="TableContents"/>
              <w:spacing w:before="0" w:after="0"/>
              <w:ind w:left="0" w:right="0" w:hanging="0"/>
              <w:rPr/>
            </w:pPr>
            <w:r>
              <w:rPr/>
              <w:t> </w:t>
            </w:r>
          </w:p>
        </w:tc>
        <w:tc>
          <w:tcPr>
            <w:tcW w:w="708" w:type="dxa"/>
            <w:tcBorders/>
            <w:shd w:fill="CCEEFF" w:val="clear"/>
            <w:vAlign w:val="center"/>
          </w:tcPr>
          <w:p>
            <w:pPr>
              <w:pStyle w:val="TableContents"/>
              <w:spacing w:before="0" w:after="283"/>
              <w:jc w:val="right"/>
              <w:rPr/>
            </w:pPr>
            <w:r>
              <w:rPr/>
              <w:t>80.6</w:t>
            </w:r>
          </w:p>
        </w:tc>
        <w:tc>
          <w:tcPr>
            <w:tcW w:w="290" w:type="dxa"/>
            <w:tcBorders/>
            <w:shd w:fill="CCEEFF" w:val="clear"/>
            <w:vAlign w:val="center"/>
          </w:tcPr>
          <w:p>
            <w:pPr>
              <w:pStyle w:val="TableContents"/>
              <w:spacing w:before="0" w:after="283"/>
              <w:rPr/>
            </w:pPr>
            <w:r>
              <w:rPr/>
              <w:t>%</w:t>
            </w:r>
          </w:p>
        </w:tc>
      </w:tr>
      <w:tr>
        <w:trPr/>
        <w:tc>
          <w:tcPr>
            <w:tcW w:w="3650" w:type="dxa"/>
            <w:tcBorders/>
            <w:shd w:fill="FFFFFF" w:val="clear"/>
            <w:vAlign w:val="center"/>
          </w:tcPr>
          <w:p>
            <w:pPr>
              <w:pStyle w:val="TableContents"/>
              <w:spacing w:before="0" w:after="0"/>
              <w:ind w:left="225" w:right="0" w:hanging="0"/>
              <w:rPr/>
            </w:pPr>
            <w:r>
              <w:rPr/>
              <w:t xml:space="preserve">Expansion Independent (1) </w:t>
            </w:r>
          </w:p>
        </w:tc>
        <w:tc>
          <w:tcPr>
            <w:tcW w:w="90" w:type="dxa"/>
            <w:tcBorders/>
            <w:shd w:fill="FFFFFF" w:val="clear"/>
            <w:vAlign w:val="center"/>
          </w:tcPr>
          <w:p>
            <w:pPr>
              <w:pStyle w:val="TableContents"/>
              <w:spacing w:before="0" w:after="0"/>
              <w:ind w:left="0" w:right="0" w:hanging="0"/>
              <w:rPr/>
            </w:pPr>
            <w:r>
              <w:rPr/>
              <w:t> </w:t>
            </w:r>
          </w:p>
        </w:tc>
        <w:tc>
          <w:tcPr>
            <w:tcW w:w="175" w:type="dxa"/>
            <w:tcBorders/>
            <w:shd w:fill="FFFFFF" w:val="clear"/>
            <w:vAlign w:val="center"/>
          </w:tcPr>
          <w:p>
            <w:pPr>
              <w:pStyle w:val="TableContents"/>
              <w:spacing w:before="0" w:after="0"/>
              <w:ind w:left="0" w:right="0" w:hanging="0"/>
              <w:rPr/>
            </w:pPr>
            <w:r>
              <w:rPr/>
              <w:t> </w:t>
            </w:r>
          </w:p>
        </w:tc>
        <w:tc>
          <w:tcPr>
            <w:tcW w:w="859" w:type="dxa"/>
            <w:tcBorders/>
            <w:shd w:fill="FFFFFF" w:val="clear"/>
            <w:vAlign w:val="center"/>
          </w:tcPr>
          <w:p>
            <w:pPr>
              <w:pStyle w:val="TableContents"/>
              <w:spacing w:before="0" w:after="283"/>
              <w:jc w:val="right"/>
              <w:rPr/>
            </w:pPr>
            <w:r>
              <w:rPr/>
              <w:t>30,953</w:t>
            </w:r>
          </w:p>
        </w:tc>
        <w:tc>
          <w:tcPr>
            <w:tcW w:w="93" w:type="dxa"/>
            <w:tcBorders/>
            <w:shd w:fill="FFFFFF" w:val="clear"/>
            <w:vAlign w:val="center"/>
          </w:tcPr>
          <w:p>
            <w:pPr>
              <w:pStyle w:val="TableContents"/>
              <w:spacing w:before="0" w:after="0"/>
              <w:ind w:left="0" w:right="0" w:hanging="0"/>
              <w:rPr/>
            </w:pPr>
            <w:r>
              <w:rPr/>
              <w:t> </w:t>
            </w:r>
          </w:p>
        </w:tc>
        <w:tc>
          <w:tcPr>
            <w:tcW w:w="93" w:type="dxa"/>
            <w:tcBorders/>
            <w:shd w:fill="FFFFFF" w:val="clear"/>
            <w:vAlign w:val="center"/>
          </w:tcPr>
          <w:p>
            <w:pPr>
              <w:pStyle w:val="TableContents"/>
              <w:spacing w:before="0" w:after="0"/>
              <w:ind w:left="0" w:right="0" w:hanging="0"/>
              <w:rPr/>
            </w:pPr>
            <w:r>
              <w:rPr/>
              <w:t> </w:t>
            </w:r>
          </w:p>
        </w:tc>
        <w:tc>
          <w:tcPr>
            <w:tcW w:w="106" w:type="dxa"/>
            <w:tcBorders/>
            <w:shd w:fill="FFFFFF" w:val="clear"/>
            <w:vAlign w:val="center"/>
          </w:tcPr>
          <w:p>
            <w:pPr>
              <w:pStyle w:val="TableContents"/>
              <w:spacing w:before="0" w:after="0"/>
              <w:ind w:left="0" w:right="0" w:hanging="0"/>
              <w:rPr/>
            </w:pPr>
            <w:r>
              <w:rPr/>
              <w:t> </w:t>
            </w:r>
          </w:p>
        </w:tc>
        <w:tc>
          <w:tcPr>
            <w:tcW w:w="708" w:type="dxa"/>
            <w:tcBorders/>
            <w:shd w:fill="FFFFFF" w:val="clear"/>
            <w:vAlign w:val="center"/>
          </w:tcPr>
          <w:p>
            <w:pPr>
              <w:pStyle w:val="TableContents"/>
              <w:spacing w:before="0" w:after="283"/>
              <w:jc w:val="right"/>
              <w:rPr/>
            </w:pPr>
            <w:r>
              <w:rPr/>
              <w:t>19.1</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5" w:type="dxa"/>
            <w:tcBorders/>
            <w:shd w:fill="FFFFFF" w:val="clear"/>
            <w:vAlign w:val="center"/>
          </w:tcPr>
          <w:p>
            <w:pPr>
              <w:pStyle w:val="TableContents"/>
              <w:spacing w:before="0" w:after="0"/>
              <w:ind w:left="0" w:right="0" w:hanging="0"/>
              <w:rPr/>
            </w:pPr>
            <w:r>
              <w:rPr/>
              <w:t> </w:t>
            </w:r>
          </w:p>
        </w:tc>
        <w:tc>
          <w:tcPr>
            <w:tcW w:w="859" w:type="dxa"/>
            <w:tcBorders/>
            <w:shd w:fill="FFFFFF" w:val="clear"/>
            <w:vAlign w:val="center"/>
          </w:tcPr>
          <w:p>
            <w:pPr>
              <w:pStyle w:val="TableContents"/>
              <w:spacing w:before="0" w:after="283"/>
              <w:jc w:val="right"/>
              <w:rPr/>
            </w:pPr>
            <w:r>
              <w:rPr/>
              <w:t>24,253</w:t>
            </w:r>
          </w:p>
        </w:tc>
        <w:tc>
          <w:tcPr>
            <w:tcW w:w="93" w:type="dxa"/>
            <w:tcBorders/>
            <w:shd w:fill="FFFFFF" w:val="clear"/>
            <w:vAlign w:val="center"/>
          </w:tcPr>
          <w:p>
            <w:pPr>
              <w:pStyle w:val="TableContents"/>
              <w:spacing w:before="0" w:after="0"/>
              <w:ind w:left="0" w:right="0" w:hanging="0"/>
              <w:rPr/>
            </w:pPr>
            <w:r>
              <w:rPr/>
              <w:t> </w:t>
            </w:r>
          </w:p>
        </w:tc>
        <w:tc>
          <w:tcPr>
            <w:tcW w:w="93" w:type="dxa"/>
            <w:tcBorders/>
            <w:shd w:fill="FFFFFF" w:val="clear"/>
            <w:vAlign w:val="center"/>
          </w:tcPr>
          <w:p>
            <w:pPr>
              <w:pStyle w:val="TableContents"/>
              <w:spacing w:before="0" w:after="0"/>
              <w:ind w:left="0" w:right="0" w:hanging="0"/>
              <w:rPr/>
            </w:pPr>
            <w:r>
              <w:rPr/>
              <w:t> </w:t>
            </w:r>
          </w:p>
        </w:tc>
        <w:tc>
          <w:tcPr>
            <w:tcW w:w="106" w:type="dxa"/>
            <w:tcBorders/>
            <w:shd w:fill="FFFFFF" w:val="clear"/>
            <w:vAlign w:val="center"/>
          </w:tcPr>
          <w:p>
            <w:pPr>
              <w:pStyle w:val="TableContents"/>
              <w:spacing w:before="0" w:after="0"/>
              <w:ind w:left="0" w:right="0" w:hanging="0"/>
              <w:rPr/>
            </w:pPr>
            <w:r>
              <w:rPr/>
              <w:t> </w:t>
            </w:r>
          </w:p>
        </w:tc>
        <w:tc>
          <w:tcPr>
            <w:tcW w:w="708" w:type="dxa"/>
            <w:tcBorders/>
            <w:shd w:fill="FFFFFF" w:val="clear"/>
            <w:vAlign w:val="center"/>
          </w:tcPr>
          <w:p>
            <w:pPr>
              <w:pStyle w:val="TableContents"/>
              <w:spacing w:before="0" w:after="283"/>
              <w:jc w:val="right"/>
              <w:rPr/>
            </w:pPr>
            <w:r>
              <w:rPr/>
              <w:t>16.2</w:t>
            </w:r>
          </w:p>
        </w:tc>
        <w:tc>
          <w:tcPr>
            <w:tcW w:w="290" w:type="dxa"/>
            <w:tcBorders/>
            <w:shd w:fill="FFFFFF" w:val="clear"/>
            <w:vAlign w:val="center"/>
          </w:tcPr>
          <w:p>
            <w:pPr>
              <w:pStyle w:val="TableContents"/>
              <w:spacing w:before="0" w:after="283"/>
              <w:rPr/>
            </w:pPr>
            <w:r>
              <w:rPr/>
              <w:t>%</w:t>
            </w:r>
          </w:p>
        </w:tc>
      </w:tr>
      <w:tr>
        <w:trPr/>
        <w:tc>
          <w:tcPr>
            <w:tcW w:w="3650" w:type="dxa"/>
            <w:tcBorders/>
            <w:shd w:fill="CCEEFF" w:val="clear"/>
            <w:vAlign w:val="center"/>
          </w:tcPr>
          <w:p>
            <w:pPr>
              <w:pStyle w:val="TableContents"/>
              <w:spacing w:before="0" w:after="0"/>
              <w:ind w:left="225" w:right="0" w:hanging="0"/>
              <w:rPr/>
            </w:pPr>
            <w:r>
              <w:rPr/>
              <w:t xml:space="preserve">Alternative Distribution through Cosi </w:t>
            </w:r>
          </w:p>
        </w:tc>
        <w:tc>
          <w:tcPr>
            <w:tcW w:w="90" w:type="dxa"/>
            <w:tcBorders/>
            <w:shd w:fill="CCEEFF" w:val="clear"/>
            <w:vAlign w:val="center"/>
          </w:tcPr>
          <w:p>
            <w:pPr>
              <w:pStyle w:val="TableContents"/>
              <w:spacing w:before="0" w:after="0"/>
              <w:ind w:left="0" w:right="0" w:hanging="0"/>
              <w:rPr/>
            </w:pPr>
            <w:r>
              <w:rPr/>
              <w:t> </w:t>
            </w:r>
          </w:p>
        </w:tc>
        <w:tc>
          <w:tcPr>
            <w:tcW w:w="17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59" w:type="dxa"/>
            <w:tcBorders>
              <w:bottom w:val="single" w:sz="2" w:space="0" w:color="000000"/>
            </w:tcBorders>
            <w:shd w:fill="CCEEFF" w:val="clear"/>
            <w:tcMar>
              <w:bottom w:w="28" w:type="dxa"/>
            </w:tcMar>
            <w:vAlign w:val="center"/>
          </w:tcPr>
          <w:p>
            <w:pPr>
              <w:pStyle w:val="TableContents"/>
              <w:spacing w:before="0" w:after="283"/>
              <w:jc w:val="right"/>
              <w:rPr/>
            </w:pPr>
            <w:r>
              <w:rPr/>
              <w:t>7,233</w:t>
            </w:r>
          </w:p>
        </w:tc>
        <w:tc>
          <w:tcPr>
            <w:tcW w:w="93" w:type="dxa"/>
            <w:tcBorders/>
            <w:shd w:fill="CCEEFF" w:val="clear"/>
            <w:vAlign w:val="center"/>
          </w:tcPr>
          <w:p>
            <w:pPr>
              <w:pStyle w:val="TableContents"/>
              <w:spacing w:before="0" w:after="0"/>
              <w:ind w:left="0" w:right="0" w:hanging="0"/>
              <w:rPr/>
            </w:pPr>
            <w:r>
              <w:rPr/>
              <w:t> </w:t>
            </w:r>
          </w:p>
        </w:tc>
        <w:tc>
          <w:tcPr>
            <w:tcW w:w="93" w:type="dxa"/>
            <w:tcBorders/>
            <w:shd w:fill="CCEEFF" w:val="clear"/>
            <w:vAlign w:val="center"/>
          </w:tcPr>
          <w:p>
            <w:pPr>
              <w:pStyle w:val="TableContents"/>
              <w:spacing w:before="0" w:after="0"/>
              <w:ind w:left="0" w:right="0" w:hanging="0"/>
              <w:rPr/>
            </w:pPr>
            <w:r>
              <w:rPr/>
              <w:t> </w:t>
            </w:r>
          </w:p>
        </w:tc>
        <w:tc>
          <w:tcPr>
            <w:tcW w:w="10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08" w:type="dxa"/>
            <w:tcBorders>
              <w:bottom w:val="single" w:sz="2" w:space="0" w:color="000000"/>
            </w:tcBorders>
            <w:shd w:fill="CCEEFF" w:val="clear"/>
            <w:tcMar>
              <w:bottom w:w="28" w:type="dxa"/>
            </w:tcMar>
            <w:vAlign w:val="center"/>
          </w:tcPr>
          <w:p>
            <w:pPr>
              <w:pStyle w:val="TableContents"/>
              <w:spacing w:before="0" w:after="283"/>
              <w:jc w:val="right"/>
              <w:rPr/>
            </w:pPr>
            <w:r>
              <w:rPr/>
              <w:t>4.5</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59" w:type="dxa"/>
            <w:tcBorders>
              <w:bottom w:val="single" w:sz="2" w:space="0" w:color="000000"/>
            </w:tcBorders>
            <w:shd w:fill="CCEEFF" w:val="clear"/>
            <w:tcMar>
              <w:bottom w:w="28" w:type="dxa"/>
            </w:tcMar>
            <w:vAlign w:val="center"/>
          </w:tcPr>
          <w:p>
            <w:pPr>
              <w:pStyle w:val="TableContents"/>
              <w:spacing w:before="0" w:after="283"/>
              <w:jc w:val="right"/>
              <w:rPr/>
            </w:pPr>
            <w:r>
              <w:rPr/>
              <w:t>4,799</w:t>
            </w:r>
          </w:p>
        </w:tc>
        <w:tc>
          <w:tcPr>
            <w:tcW w:w="93" w:type="dxa"/>
            <w:tcBorders/>
            <w:shd w:fill="CCEEFF" w:val="clear"/>
            <w:vAlign w:val="center"/>
          </w:tcPr>
          <w:p>
            <w:pPr>
              <w:pStyle w:val="TableContents"/>
              <w:spacing w:before="0" w:after="0"/>
              <w:ind w:left="0" w:right="0" w:hanging="0"/>
              <w:rPr/>
            </w:pPr>
            <w:r>
              <w:rPr/>
              <w:t> </w:t>
            </w:r>
          </w:p>
        </w:tc>
        <w:tc>
          <w:tcPr>
            <w:tcW w:w="93" w:type="dxa"/>
            <w:tcBorders/>
            <w:shd w:fill="CCEEFF" w:val="clear"/>
            <w:vAlign w:val="center"/>
          </w:tcPr>
          <w:p>
            <w:pPr>
              <w:pStyle w:val="TableContents"/>
              <w:spacing w:before="0" w:after="0"/>
              <w:ind w:left="0" w:right="0" w:hanging="0"/>
              <w:rPr/>
            </w:pPr>
            <w:r>
              <w:rPr/>
              <w:t> </w:t>
            </w:r>
          </w:p>
        </w:tc>
        <w:tc>
          <w:tcPr>
            <w:tcW w:w="10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08" w:type="dxa"/>
            <w:tcBorders>
              <w:bottom w:val="single" w:sz="2" w:space="0" w:color="000000"/>
            </w:tcBorders>
            <w:shd w:fill="CCEEFF" w:val="clear"/>
            <w:tcMar>
              <w:bottom w:w="28" w:type="dxa"/>
            </w:tcMar>
            <w:vAlign w:val="center"/>
          </w:tcPr>
          <w:p>
            <w:pPr>
              <w:pStyle w:val="TableContents"/>
              <w:spacing w:before="0" w:after="283"/>
              <w:jc w:val="right"/>
              <w:rPr/>
            </w:pPr>
            <w:r>
              <w:rPr/>
              <w:t>3.2</w:t>
            </w:r>
          </w:p>
        </w:tc>
        <w:tc>
          <w:tcPr>
            <w:tcW w:w="290" w:type="dxa"/>
            <w:tcBorders/>
            <w:shd w:fill="CCEEFF" w:val="clear"/>
            <w:vAlign w:val="center"/>
          </w:tcPr>
          <w:p>
            <w:pPr>
              <w:pStyle w:val="TableContents"/>
              <w:spacing w:before="0" w:after="283"/>
              <w:rPr/>
            </w:pPr>
            <w:r>
              <w:rPr/>
              <w:t>%</w:t>
            </w:r>
          </w:p>
        </w:tc>
      </w:tr>
      <w:tr>
        <w:trPr/>
        <w:tc>
          <w:tcPr>
            <w:tcW w:w="3650" w:type="dxa"/>
            <w:tcBorders/>
            <w:shd w:fill="FFFFFF" w:val="clear"/>
            <w:vAlign w:val="center"/>
          </w:tcPr>
          <w:p>
            <w:pPr>
              <w:pStyle w:val="TableContents"/>
              <w:spacing w:before="0" w:after="0"/>
              <w:ind w:left="225" w:right="0" w:hanging="0"/>
              <w:rPr/>
            </w:pPr>
            <w:r>
              <w:rPr/>
              <w:t xml:space="preserve">Total </w:t>
            </w:r>
          </w:p>
        </w:tc>
        <w:tc>
          <w:tcPr>
            <w:tcW w:w="90" w:type="dxa"/>
            <w:tcBorders/>
            <w:shd w:fill="FFFFFF" w:val="clear"/>
            <w:vAlign w:val="center"/>
          </w:tcPr>
          <w:p>
            <w:pPr>
              <w:pStyle w:val="TableContents"/>
              <w:spacing w:before="0" w:after="0"/>
              <w:ind w:left="0" w:right="0" w:hanging="0"/>
              <w:rPr/>
            </w:pPr>
            <w:r>
              <w:rPr/>
              <w:t> </w:t>
            </w:r>
          </w:p>
        </w:tc>
        <w:tc>
          <w:tcPr>
            <w:tcW w:w="175" w:type="dxa"/>
            <w:tcBorders>
              <w:bottom w:val="double" w:sz="6" w:space="0" w:color="000000"/>
            </w:tcBorders>
            <w:shd w:fill="FFFFFF" w:val="clear"/>
            <w:tcMar>
              <w:bottom w:w="28" w:type="dxa"/>
            </w:tcMar>
            <w:vAlign w:val="center"/>
          </w:tcPr>
          <w:p>
            <w:pPr>
              <w:pStyle w:val="TableContents"/>
              <w:spacing w:before="0" w:after="283"/>
              <w:rPr/>
            </w:pPr>
            <w:r>
              <w:rPr/>
              <w:t>$</w:t>
            </w:r>
          </w:p>
        </w:tc>
        <w:tc>
          <w:tcPr>
            <w:tcW w:w="859" w:type="dxa"/>
            <w:tcBorders>
              <w:bottom w:val="double" w:sz="6" w:space="0" w:color="000000"/>
            </w:tcBorders>
            <w:shd w:fill="FFFFFF" w:val="clear"/>
            <w:tcMar>
              <w:bottom w:w="28" w:type="dxa"/>
            </w:tcMar>
            <w:vAlign w:val="center"/>
          </w:tcPr>
          <w:p>
            <w:pPr>
              <w:pStyle w:val="TableContents"/>
              <w:spacing w:before="0" w:after="283"/>
              <w:jc w:val="right"/>
              <w:rPr/>
            </w:pPr>
            <w:r>
              <w:rPr/>
              <w:t>161,941</w:t>
            </w:r>
          </w:p>
        </w:tc>
        <w:tc>
          <w:tcPr>
            <w:tcW w:w="93" w:type="dxa"/>
            <w:tcBorders/>
            <w:shd w:fill="FFFFFF" w:val="clear"/>
            <w:vAlign w:val="center"/>
          </w:tcPr>
          <w:p>
            <w:pPr>
              <w:pStyle w:val="TableContents"/>
              <w:spacing w:before="0" w:after="0"/>
              <w:ind w:left="0" w:right="0" w:hanging="0"/>
              <w:rPr/>
            </w:pPr>
            <w:r>
              <w:rPr/>
              <w:t> </w:t>
            </w:r>
          </w:p>
        </w:tc>
        <w:tc>
          <w:tcPr>
            <w:tcW w:w="93" w:type="dxa"/>
            <w:tcBorders/>
            <w:shd w:fill="FFFFFF" w:val="clear"/>
            <w:vAlign w:val="center"/>
          </w:tcPr>
          <w:p>
            <w:pPr>
              <w:pStyle w:val="TableContents"/>
              <w:spacing w:before="0" w:after="0"/>
              <w:ind w:left="0" w:right="0" w:hanging="0"/>
              <w:rPr/>
            </w:pPr>
            <w:r>
              <w:rPr/>
              <w:t> </w:t>
            </w:r>
          </w:p>
        </w:tc>
        <w:tc>
          <w:tcPr>
            <w:tcW w:w="106" w:type="dxa"/>
            <w:tcBorders>
              <w:bottom w:val="double" w:sz="6" w:space="0" w:color="000000"/>
            </w:tcBorders>
            <w:shd w:fill="FFFFFF" w:val="clear"/>
            <w:tcMar>
              <w:bottom w:w="28" w:type="dxa"/>
            </w:tcMar>
            <w:vAlign w:val="center"/>
          </w:tcPr>
          <w:p>
            <w:pPr>
              <w:pStyle w:val="TableContents"/>
              <w:spacing w:before="0" w:after="0"/>
              <w:ind w:left="0" w:right="0" w:hanging="0"/>
              <w:rPr/>
            </w:pPr>
            <w:r>
              <w:rPr/>
              <w:t> </w:t>
            </w:r>
          </w:p>
        </w:tc>
        <w:tc>
          <w:tcPr>
            <w:tcW w:w="708" w:type="dxa"/>
            <w:tcBorders>
              <w:bottom w:val="double" w:sz="6" w:space="0" w:color="000000"/>
            </w:tcBorders>
            <w:shd w:fill="FFFFFF" w:val="clear"/>
            <w:tcMar>
              <w:bottom w:w="28" w:type="dxa"/>
            </w:tcMar>
            <w:vAlign w:val="center"/>
          </w:tcPr>
          <w:p>
            <w:pPr>
              <w:pStyle w:val="TableContents"/>
              <w:spacing w:before="0" w:after="283"/>
              <w:jc w:val="right"/>
              <w:rPr/>
            </w:pPr>
            <w:r>
              <w:rPr/>
              <w:t>100.0</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5" w:type="dxa"/>
            <w:tcBorders>
              <w:bottom w:val="double" w:sz="6" w:space="0" w:color="000000"/>
            </w:tcBorders>
            <w:shd w:fill="FFFFFF" w:val="clear"/>
            <w:tcMar>
              <w:bottom w:w="28" w:type="dxa"/>
            </w:tcMar>
            <w:vAlign w:val="center"/>
          </w:tcPr>
          <w:p>
            <w:pPr>
              <w:pStyle w:val="TableContents"/>
              <w:spacing w:before="0" w:after="283"/>
              <w:rPr/>
            </w:pPr>
            <w:r>
              <w:rPr/>
              <w:t>$</w:t>
            </w:r>
          </w:p>
        </w:tc>
        <w:tc>
          <w:tcPr>
            <w:tcW w:w="859" w:type="dxa"/>
            <w:tcBorders>
              <w:bottom w:val="double" w:sz="6" w:space="0" w:color="000000"/>
            </w:tcBorders>
            <w:shd w:fill="FFFFFF" w:val="clear"/>
            <w:tcMar>
              <w:bottom w:w="28" w:type="dxa"/>
            </w:tcMar>
            <w:vAlign w:val="center"/>
          </w:tcPr>
          <w:p>
            <w:pPr>
              <w:pStyle w:val="TableContents"/>
              <w:spacing w:before="0" w:after="283"/>
              <w:jc w:val="right"/>
              <w:rPr/>
            </w:pPr>
            <w:r>
              <w:rPr/>
              <w:t>149,677</w:t>
            </w:r>
          </w:p>
        </w:tc>
        <w:tc>
          <w:tcPr>
            <w:tcW w:w="93" w:type="dxa"/>
            <w:tcBorders/>
            <w:shd w:fill="FFFFFF" w:val="clear"/>
            <w:vAlign w:val="center"/>
          </w:tcPr>
          <w:p>
            <w:pPr>
              <w:pStyle w:val="TableContents"/>
              <w:spacing w:before="0" w:after="0"/>
              <w:ind w:left="0" w:right="0" w:hanging="0"/>
              <w:rPr/>
            </w:pPr>
            <w:r>
              <w:rPr/>
              <w:t> </w:t>
            </w:r>
          </w:p>
        </w:tc>
        <w:tc>
          <w:tcPr>
            <w:tcW w:w="93" w:type="dxa"/>
            <w:tcBorders/>
            <w:shd w:fill="FFFFFF" w:val="clear"/>
            <w:vAlign w:val="center"/>
          </w:tcPr>
          <w:p>
            <w:pPr>
              <w:pStyle w:val="TableContents"/>
              <w:spacing w:before="0" w:after="0"/>
              <w:ind w:left="0" w:right="0" w:hanging="0"/>
              <w:rPr/>
            </w:pPr>
            <w:r>
              <w:rPr/>
              <w:t> </w:t>
            </w:r>
          </w:p>
        </w:tc>
        <w:tc>
          <w:tcPr>
            <w:tcW w:w="106" w:type="dxa"/>
            <w:tcBorders>
              <w:bottom w:val="double" w:sz="6" w:space="0" w:color="000000"/>
            </w:tcBorders>
            <w:shd w:fill="FFFFFF" w:val="clear"/>
            <w:tcMar>
              <w:bottom w:w="28" w:type="dxa"/>
            </w:tcMar>
            <w:vAlign w:val="center"/>
          </w:tcPr>
          <w:p>
            <w:pPr>
              <w:pStyle w:val="TableContents"/>
              <w:spacing w:before="0" w:after="0"/>
              <w:ind w:left="0" w:right="0" w:hanging="0"/>
              <w:rPr/>
            </w:pPr>
            <w:r>
              <w:rPr/>
              <w:t> </w:t>
            </w:r>
          </w:p>
        </w:tc>
        <w:tc>
          <w:tcPr>
            <w:tcW w:w="708" w:type="dxa"/>
            <w:tcBorders>
              <w:bottom w:val="double" w:sz="6" w:space="0" w:color="000000"/>
            </w:tcBorders>
            <w:shd w:fill="FFFFFF" w:val="clear"/>
            <w:tcMar>
              <w:bottom w:w="28" w:type="dxa"/>
            </w:tcMar>
            <w:vAlign w:val="center"/>
          </w:tcPr>
          <w:p>
            <w:pPr>
              <w:pStyle w:val="TableContents"/>
              <w:spacing w:before="0" w:after="283"/>
              <w:jc w:val="right"/>
              <w:rPr/>
            </w:pPr>
            <w:r>
              <w:rPr/>
              <w:t>100.0</w:t>
            </w:r>
          </w:p>
        </w:tc>
        <w:tc>
          <w:tcPr>
            <w:tcW w:w="290" w:type="dxa"/>
            <w:tcBorders/>
            <w:shd w:fill="FFFFFF" w:val="clear"/>
            <w:vAlign w:val="center"/>
          </w:tcPr>
          <w:p>
            <w:pPr>
              <w:pStyle w:val="TableContents"/>
              <w:spacing w:before="0" w:after="283"/>
              <w:rPr/>
            </w:pPr>
            <w:r>
              <w:rPr/>
              <w:t>%</w:t>
            </w:r>
          </w:p>
        </w:tc>
      </w:tr>
    </w:tbl>
    <w:p>
      <w:pPr>
        <w:pStyle w:val="TextBody"/>
        <w:spacing w:before="0" w:after="0"/>
        <w:ind w:left="0" w:right="0" w:hanging="0"/>
        <w:jc w:val="both"/>
        <w:rPr/>
      </w:pPr>
      <w:r>
        <w:rPr/>
        <w:t> </w:t>
      </w:r>
    </w:p>
    <w:tbl>
      <w:tblPr>
        <w:tblW w:w="2560" w:type="dxa"/>
        <w:jc w:val="left"/>
        <w:tblInd w:w="0" w:type="dxa"/>
        <w:tblCellMar>
          <w:top w:w="0" w:type="dxa"/>
          <w:left w:w="0" w:type="dxa"/>
          <w:bottom w:w="0" w:type="dxa"/>
          <w:right w:w="0" w:type="dxa"/>
        </w:tblCellMar>
      </w:tblPr>
      <w:tblGrid>
        <w:gridCol w:w="395"/>
        <w:gridCol w:w="2165"/>
      </w:tblGrid>
      <w:tr>
        <w:trPr/>
        <w:tc>
          <w:tcPr>
            <w:tcW w:w="395" w:type="dxa"/>
            <w:tcBorders/>
            <w:shd w:fill="auto" w:val="clear"/>
            <w:vAlign w:val="center"/>
          </w:tcPr>
          <w:p>
            <w:pPr>
              <w:pStyle w:val="TableContents"/>
              <w:spacing w:before="0" w:after="0"/>
              <w:ind w:left="0" w:right="0" w:hanging="0"/>
              <w:rPr/>
            </w:pPr>
            <w:r>
              <w:rPr/>
              <w:t xml:space="preserve">(1) </w:t>
            </w:r>
          </w:p>
        </w:tc>
        <w:tc>
          <w:tcPr>
            <w:tcW w:w="2165" w:type="dxa"/>
            <w:tcBorders/>
            <w:shd w:fill="auto" w:val="clear"/>
            <w:vAlign w:val="center"/>
          </w:tcPr>
          <w:p>
            <w:pPr>
              <w:pStyle w:val="TableContents"/>
              <w:spacing w:before="0" w:after="283"/>
              <w:rPr/>
            </w:pPr>
            <w:r>
              <w:rPr/>
              <w:t>Outside of New York</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For the years ended December 31, 2020 and 2019, Alternative Distribution comprised of 4.5% and 3.2% respectively, of direct written premiums for our homeowners and dwelling fire components of personal lines.</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Competition; Market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insurance industry is highly competitive. We constantly assess and make projections of market conditions and appropriate prices for our products, but we cannot fully know our profitability until all claims have been reported and settled.</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policyholders are located primarily in the downstate regions of New York State, but we are actively growing into other Northeast markets, including New Jersey and Rhode Island during 2017 followed by Massachusetts in 2018 and Connecticut in 2019. In addition, we are licensed to write insurance policies in Maine, New Hampshire and Pennsylvania. These homeowners markets align well with the niche markets that have generated profitable results in New York, and we believe that our market expertise can be effectively utilized in new markets.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In 2019, KICO was the 14th largest writer of homeowners insurance in the State of New York, according to data compiled by SNL Financial LLC. Based on the same data, in 2019, we had a 1.6% market share for this business. We compete with large national carriers as well as regional and local carriers in the property and casualty marketplace in New York and other states. We believe that many national and regional carriers have chosen to limit their rate of premium growth or to decrease their presence in Northeastern states due to the relatively high coastal population and associated catastrophe risk that exists in the region.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Given present market conditions, we believe that we have the opportunity to continue expanding the size of our personal lines business in New York, New Jersey, and other northeastern states in which we are licensed. </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Loss and Loss Adjustment Expense Reserves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are required to establish reserves for unpaid losses, including reserves for claims loss adjustment expenses (“LAE”), which represent the expenses of settling and adjusting those claims. These reserves are balance sheet liabilities representing estimates of future amounts required to pay losses and loss expenses for claims that have occurred at or before the balance sheet date, whether already known to us or not yet reported. We establish these reserves after considering all information known to us as of the date they are recorded.</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Loss reserves fall into two categories: case reserves for reported losses and LAE associated with specific reported claims, and reserves for losses and LAE that are incurred but not reported (“IBNR”). We establish these two categories of loss reserves as follows:</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9</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Reserves for reported losses</w:t>
      </w:r>
      <w:r>
        <w:rPr>
          <w:rFonts w:ascii="times new roman" w:hAnsi="times new roman"/>
          <w:sz w:val="20"/>
        </w:rPr>
        <w:t xml:space="preserve"> - When a claim is received, we establish a case reserve for the estimated amount of its ultimate settlement and its estimated loss expenses. We establish case reserves based upon the known facts about each claim at the time it is received and we may subsequently adjust case reserves as additional facts and information about the claim develops.</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IBNR reserves</w:t>
      </w:r>
      <w:r>
        <w:rPr>
          <w:rFonts w:ascii="times new roman" w:hAnsi="times new roman"/>
          <w:sz w:val="20"/>
        </w:rPr>
        <w:t xml:space="preserve"> - We also estimate reserves for loss and LAE amounts incurred but not reported (“IBNR”). IBNR reserves are calculated in bulk as an estimate of ultimate losses and LAE less reported losses and LAE. There are two types of IBNR; the first is a provision for claims that have occurred but are not yet reported or known. We refer to this as ‘Pure’ IBNR, and due to the fact that we write primarily quickly reported property lines of business, this type of IBNR does not make up a large portion of KICO’s total IBNR. The second type of IBNR is a provision for expected future development on known claims, from the evaluation date until the time claims are settled and closed. We refer to this as ‘Case Development’ IBNR and it makes up the majority of the IBNR that KICO records. Ultimate losses driving the determination of appropriate IBNR levels are projected by using generally accepted actuarial techniques.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The liability for loss and LAE represents our best estimate of the ultimate cost of all reported and unreported losses that are unpaid as of the balance sheet evaluation date. The liability for loss and LAE is estimated on an undiscounted basis, using individual case-based valuations, statistical analyses, and various actuarial procedures. The projection of future claim payments and reporting patterns is based on an analysis of our historical experience, supplemented by analyses of industry loss data. We believe that the reserves for loss and LAE are adequate to cover the ultimate cost of losses and claims to date. However, because of uncertainty from various sources, including changes in claims settlement patterns and handling procedures, litigation trends, judicial decisions, and economic conditions, actual loss experience may not conform to the assumptions used in determining the estimated amounts for such liabilities at the balance sheet date. As adjustments to these estimates become necessary, they are reflected in the period in which the estimates are changed. Because of the nature of the business historically written, we believe that we have limited exposure to asbestos and environmental claim liabilities.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engage an independent external actuarial specialist (the ‘Appointed Actuary’) to opine on our recorded statutory reserves. The Appointed Actuary estimates a range of ultimate losses, along with a range and recommended central estimate of IBNR reserve amounts. Our carried IBNR reserves are based on an internal actuarial analysis and reflect management’s best estimate of unpaid loss and LAE liabilities, and fall within the range of those determined as reasonable by the Appointed Actuary.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See “Management’s Discussion and Analysis of Financial Condition and Results of Operations – Principal Revenue and Expense Items” in Item 7 of this Annual Report and Note 2 and Note 11 in the accompanying Consolidated Financial Statements for additional information and details regarding loss and LAE reserves. </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 xml:space="preserve">Reconciliation of Loss and Loss Adjustment Expenses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table below shows the reconciliation of loss and LAE on a gross and net basis, reflecting changes in losses incurred and paid losses:</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10</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tbl>
      <w:tblPr>
        <w:tblW w:w="6455" w:type="dxa"/>
        <w:jc w:val="left"/>
        <w:tblInd w:w="0" w:type="dxa"/>
        <w:tblCellMar>
          <w:top w:w="0" w:type="dxa"/>
          <w:left w:w="0" w:type="dxa"/>
          <w:bottom w:w="0" w:type="dxa"/>
          <w:right w:w="0" w:type="dxa"/>
        </w:tblCellMar>
      </w:tblPr>
      <w:tblGrid>
        <w:gridCol w:w="3230"/>
        <w:gridCol w:w="90"/>
        <w:gridCol w:w="170"/>
        <w:gridCol w:w="1205"/>
        <w:gridCol w:w="125"/>
        <w:gridCol w:w="90"/>
        <w:gridCol w:w="170"/>
        <w:gridCol w:w="1205"/>
        <w:gridCol w:w="170"/>
      </w:tblGrid>
      <w:tr>
        <w:trPr/>
        <w:tc>
          <w:tcPr>
            <w:tcW w:w="323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965" w:type="dxa"/>
            <w:gridSpan w:val="6"/>
            <w:tcBorders/>
            <w:shd w:fill="auto" w:val="clear"/>
            <w:vAlign w:val="center"/>
          </w:tcPr>
          <w:p>
            <w:pPr>
              <w:pStyle w:val="TableContents"/>
              <w:spacing w:before="0" w:after="0"/>
              <w:ind w:left="0" w:right="0" w:hanging="0"/>
              <w:jc w:val="center"/>
              <w:rPr/>
            </w:pPr>
            <w:r>
              <w:rPr>
                <w:rStyle w:val="StrongEmphasis"/>
              </w:rPr>
              <w:t> </w:t>
            </w:r>
            <w:r>
              <w:rPr>
                <w:rStyle w:val="StrongEmphasis"/>
              </w:rPr>
              <w:t xml:space="preserve">Years ended </w:t>
            </w:r>
          </w:p>
        </w:tc>
        <w:tc>
          <w:tcPr>
            <w:tcW w:w="170" w:type="dxa"/>
            <w:tcBorders/>
            <w:shd w:fill="auto" w:val="clear"/>
            <w:vAlign w:val="center"/>
          </w:tcPr>
          <w:p>
            <w:pPr>
              <w:pStyle w:val="TableContents"/>
              <w:spacing w:before="0" w:after="0"/>
              <w:ind w:left="0" w:right="0" w:hanging="0"/>
              <w:rPr/>
            </w:pPr>
            <w:r>
              <w:rPr/>
              <w:t> </w:t>
            </w:r>
          </w:p>
        </w:tc>
      </w:tr>
      <w:tr>
        <w:trPr/>
        <w:tc>
          <w:tcPr>
            <w:tcW w:w="323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965"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Pr>
              <w:t xml:space="preserve">December 31, </w:t>
            </w:r>
          </w:p>
        </w:tc>
        <w:tc>
          <w:tcPr>
            <w:tcW w:w="170" w:type="dxa"/>
            <w:tcBorders/>
            <w:shd w:fill="auto" w:val="clear"/>
            <w:vAlign w:val="center"/>
          </w:tcPr>
          <w:p>
            <w:pPr>
              <w:pStyle w:val="TableContents"/>
              <w:spacing w:before="0" w:after="0"/>
              <w:ind w:left="0" w:right="0" w:hanging="0"/>
              <w:rPr/>
            </w:pPr>
            <w:r>
              <w:rPr/>
              <w:t> </w:t>
            </w:r>
          </w:p>
        </w:tc>
      </w:tr>
      <w:tr>
        <w:trPr/>
        <w:tc>
          <w:tcPr>
            <w:tcW w:w="323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2020</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2019</w:t>
            </w:r>
          </w:p>
        </w:tc>
        <w:tc>
          <w:tcPr>
            <w:tcW w:w="170" w:type="dxa"/>
            <w:tcBorders/>
            <w:shd w:fill="auto" w:val="clear"/>
            <w:vAlign w:val="center"/>
          </w:tcPr>
          <w:p>
            <w:pPr>
              <w:pStyle w:val="TableContents"/>
              <w:spacing w:before="0" w:after="0"/>
              <w:ind w:left="0" w:right="0" w:hanging="0"/>
              <w:rPr/>
            </w:pPr>
            <w:r>
              <w:rPr/>
              <w:t> </w:t>
            </w:r>
          </w:p>
        </w:tc>
      </w:tr>
      <w:tr>
        <w:trPr/>
        <w:tc>
          <w:tcPr>
            <w:tcW w:w="323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0"/>
              <w:ind w:left="0" w:right="0" w:hanging="0"/>
              <w:rPr/>
            </w:pPr>
            <w:r>
              <w:rPr/>
              <w:t> </w:t>
            </w:r>
          </w:p>
        </w:tc>
      </w:tr>
      <w:tr>
        <w:trPr/>
        <w:tc>
          <w:tcPr>
            <w:tcW w:w="3230" w:type="dxa"/>
            <w:tcBorders/>
            <w:shd w:fill="CCEEFF" w:val="clear"/>
            <w:vAlign w:val="center"/>
          </w:tcPr>
          <w:p>
            <w:pPr>
              <w:pStyle w:val="TableContents"/>
              <w:spacing w:before="0" w:after="0"/>
              <w:ind w:left="0" w:right="0" w:hanging="0"/>
              <w:rPr/>
            </w:pPr>
            <w:r>
              <w:rPr/>
              <w:t xml:space="preserve">Balance at beginning of period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05" w:type="dxa"/>
            <w:tcBorders/>
            <w:shd w:fill="CCEEFF" w:val="clear"/>
            <w:vAlign w:val="center"/>
          </w:tcPr>
          <w:p>
            <w:pPr>
              <w:pStyle w:val="TableContents"/>
              <w:spacing w:before="0" w:after="283"/>
              <w:jc w:val="right"/>
              <w:rPr/>
            </w:pPr>
            <w:r>
              <w:rPr/>
              <w:t>80,498,611</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05" w:type="dxa"/>
            <w:tcBorders/>
            <w:shd w:fill="CCEEFF" w:val="clear"/>
            <w:vAlign w:val="center"/>
          </w:tcPr>
          <w:p>
            <w:pPr>
              <w:pStyle w:val="TableContents"/>
              <w:spacing w:before="0" w:after="283"/>
              <w:jc w:val="right"/>
              <w:rPr/>
            </w:pPr>
            <w:r>
              <w:rPr/>
              <w:t>56,197,106</w:t>
            </w:r>
          </w:p>
        </w:tc>
        <w:tc>
          <w:tcPr>
            <w:tcW w:w="170" w:type="dxa"/>
            <w:tcBorders/>
            <w:shd w:fill="CCEEFF" w:val="clear"/>
            <w:vAlign w:val="center"/>
          </w:tcPr>
          <w:p>
            <w:pPr>
              <w:pStyle w:val="TableContents"/>
              <w:spacing w:before="0" w:after="0"/>
              <w:ind w:left="0" w:right="0" w:hanging="0"/>
              <w:rPr/>
            </w:pPr>
            <w:r>
              <w:rPr/>
              <w:t> </w:t>
            </w:r>
          </w:p>
        </w:tc>
      </w:tr>
      <w:tr>
        <w:trPr/>
        <w:tc>
          <w:tcPr>
            <w:tcW w:w="3230" w:type="dxa"/>
            <w:tcBorders/>
            <w:shd w:fill="FFFFFF" w:val="clear"/>
            <w:vAlign w:val="center"/>
          </w:tcPr>
          <w:p>
            <w:pPr>
              <w:pStyle w:val="TableContents"/>
              <w:spacing w:before="0" w:after="0"/>
              <w:ind w:left="0" w:right="0" w:hanging="0"/>
              <w:rPr/>
            </w:pPr>
            <w:r>
              <w:rPr/>
              <w:t xml:space="preserve">Less reinsurance recoverables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(15,728,224</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(15,671,247</w:t>
            </w:r>
          </w:p>
        </w:tc>
        <w:tc>
          <w:tcPr>
            <w:tcW w:w="170" w:type="dxa"/>
            <w:tcBorders/>
            <w:shd w:fill="FFFFFF" w:val="clear"/>
            <w:vAlign w:val="center"/>
          </w:tcPr>
          <w:p>
            <w:pPr>
              <w:pStyle w:val="TableContents"/>
              <w:spacing w:before="0" w:after="283"/>
              <w:rPr/>
            </w:pPr>
            <w:r>
              <w:rPr/>
              <w:t>)</w:t>
            </w:r>
          </w:p>
        </w:tc>
      </w:tr>
      <w:tr>
        <w:trPr/>
        <w:tc>
          <w:tcPr>
            <w:tcW w:w="3230" w:type="dxa"/>
            <w:tcBorders/>
            <w:shd w:fill="CCEEFF" w:val="clear"/>
            <w:vAlign w:val="center"/>
          </w:tcPr>
          <w:p>
            <w:pPr>
              <w:pStyle w:val="TableContents"/>
              <w:spacing w:before="0" w:after="0"/>
              <w:ind w:left="0" w:right="0" w:hanging="0"/>
              <w:rPr/>
            </w:pPr>
            <w:r>
              <w:rPr/>
              <w:t xml:space="preserve">Net balance, beginning of period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CCEEFF" w:val="clear"/>
            <w:tcMar>
              <w:bottom w:w="28" w:type="dxa"/>
            </w:tcMar>
            <w:vAlign w:val="center"/>
          </w:tcPr>
          <w:p>
            <w:pPr>
              <w:pStyle w:val="TableContents"/>
              <w:spacing w:before="0" w:after="283"/>
              <w:jc w:val="right"/>
              <w:rPr/>
            </w:pPr>
            <w:r>
              <w:rPr/>
              <w:t>64,770,387</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CCEEFF" w:val="clear"/>
            <w:tcMar>
              <w:bottom w:w="28" w:type="dxa"/>
            </w:tcMar>
            <w:vAlign w:val="center"/>
          </w:tcPr>
          <w:p>
            <w:pPr>
              <w:pStyle w:val="TableContents"/>
              <w:spacing w:before="0" w:after="283"/>
              <w:jc w:val="right"/>
              <w:rPr/>
            </w:pPr>
            <w:r>
              <w:rPr/>
              <w:t>40,525,859</w:t>
            </w:r>
          </w:p>
        </w:tc>
        <w:tc>
          <w:tcPr>
            <w:tcW w:w="170" w:type="dxa"/>
            <w:tcBorders/>
            <w:shd w:fill="CCEEFF" w:val="clear"/>
            <w:vAlign w:val="center"/>
          </w:tcPr>
          <w:p>
            <w:pPr>
              <w:pStyle w:val="TableContents"/>
              <w:spacing w:before="0" w:after="0"/>
              <w:ind w:left="0" w:right="0" w:hanging="0"/>
              <w:rPr/>
            </w:pPr>
            <w:r>
              <w:rPr/>
              <w:t> </w:t>
            </w:r>
          </w:p>
        </w:tc>
      </w:tr>
      <w:tr>
        <w:trPr/>
        <w:tc>
          <w:tcPr>
            <w:tcW w:w="32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3230" w:type="dxa"/>
            <w:tcBorders/>
            <w:shd w:fill="CCEEFF" w:val="clear"/>
            <w:vAlign w:val="center"/>
          </w:tcPr>
          <w:p>
            <w:pPr>
              <w:pStyle w:val="TableContents"/>
              <w:spacing w:before="0" w:after="0"/>
              <w:ind w:left="0" w:right="0" w:hanging="0"/>
              <w:rPr/>
            </w:pPr>
            <w:r>
              <w:rPr/>
              <w:t xml:space="preserve">Incurred related to: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3230" w:type="dxa"/>
            <w:tcBorders/>
            <w:shd w:fill="FFFFFF" w:val="clear"/>
            <w:vAlign w:val="center"/>
          </w:tcPr>
          <w:p>
            <w:pPr>
              <w:pStyle w:val="TableContents"/>
              <w:spacing w:before="0" w:after="0"/>
              <w:ind w:left="0" w:right="0" w:hanging="0"/>
              <w:rPr/>
            </w:pPr>
            <w:r>
              <w:rPr/>
              <w:t xml:space="preserve">Current year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66,389,907</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79,044,301</w:t>
            </w:r>
          </w:p>
        </w:tc>
        <w:tc>
          <w:tcPr>
            <w:tcW w:w="170" w:type="dxa"/>
            <w:tcBorders/>
            <w:shd w:fill="FFFFFF" w:val="clear"/>
            <w:vAlign w:val="center"/>
          </w:tcPr>
          <w:p>
            <w:pPr>
              <w:pStyle w:val="TableContents"/>
              <w:spacing w:before="0" w:after="0"/>
              <w:ind w:left="0" w:right="0" w:hanging="0"/>
              <w:rPr/>
            </w:pPr>
            <w:r>
              <w:rPr/>
              <w:t> </w:t>
            </w:r>
          </w:p>
        </w:tc>
      </w:tr>
      <w:tr>
        <w:trPr/>
        <w:tc>
          <w:tcPr>
            <w:tcW w:w="3230" w:type="dxa"/>
            <w:tcBorders/>
            <w:shd w:fill="CCEEFF" w:val="clear"/>
            <w:vAlign w:val="center"/>
          </w:tcPr>
          <w:p>
            <w:pPr>
              <w:pStyle w:val="TableContents"/>
              <w:spacing w:before="0" w:after="0"/>
              <w:ind w:left="0" w:right="0" w:hanging="0"/>
              <w:rPr/>
            </w:pPr>
            <w:r>
              <w:rPr/>
              <w:t xml:space="preserve">Prior years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CCEEFF" w:val="clear"/>
            <w:tcMar>
              <w:bottom w:w="28" w:type="dxa"/>
            </w:tcMar>
            <w:vAlign w:val="center"/>
          </w:tcPr>
          <w:p>
            <w:pPr>
              <w:pStyle w:val="TableContents"/>
              <w:spacing w:before="0" w:after="283"/>
              <w:jc w:val="right"/>
              <w:rPr/>
            </w:pPr>
            <w:r>
              <w:rPr/>
              <w:t>41,165</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CCEEFF" w:val="clear"/>
            <w:tcMar>
              <w:bottom w:w="28" w:type="dxa"/>
            </w:tcMar>
            <w:vAlign w:val="center"/>
          </w:tcPr>
          <w:p>
            <w:pPr>
              <w:pStyle w:val="TableContents"/>
              <w:spacing w:before="0" w:after="283"/>
              <w:jc w:val="right"/>
              <w:rPr/>
            </w:pPr>
            <w:r>
              <w:rPr/>
              <w:t>11,138,023</w:t>
            </w:r>
          </w:p>
        </w:tc>
        <w:tc>
          <w:tcPr>
            <w:tcW w:w="170" w:type="dxa"/>
            <w:tcBorders/>
            <w:shd w:fill="CCEEFF" w:val="clear"/>
            <w:vAlign w:val="center"/>
          </w:tcPr>
          <w:p>
            <w:pPr>
              <w:pStyle w:val="TableContents"/>
              <w:spacing w:before="0" w:after="0"/>
              <w:ind w:left="0" w:right="0" w:hanging="0"/>
              <w:rPr/>
            </w:pPr>
            <w:r>
              <w:rPr/>
              <w:t> </w:t>
            </w:r>
          </w:p>
        </w:tc>
      </w:tr>
      <w:tr>
        <w:trPr/>
        <w:tc>
          <w:tcPr>
            <w:tcW w:w="3230" w:type="dxa"/>
            <w:tcBorders/>
            <w:shd w:fill="FFFFFF" w:val="clear"/>
            <w:vAlign w:val="center"/>
          </w:tcPr>
          <w:p>
            <w:pPr>
              <w:pStyle w:val="TableContents"/>
              <w:spacing w:before="0" w:after="0"/>
              <w:ind w:left="0" w:right="0" w:hanging="0"/>
              <w:rPr/>
            </w:pPr>
            <w:r>
              <w:rPr/>
              <w:t xml:space="preserve">Total incurred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66,431,072</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90,182,324</w:t>
            </w:r>
          </w:p>
        </w:tc>
        <w:tc>
          <w:tcPr>
            <w:tcW w:w="170" w:type="dxa"/>
            <w:tcBorders/>
            <w:shd w:fill="FFFFFF" w:val="clear"/>
            <w:vAlign w:val="center"/>
          </w:tcPr>
          <w:p>
            <w:pPr>
              <w:pStyle w:val="TableContents"/>
              <w:spacing w:before="0" w:after="0"/>
              <w:ind w:left="0" w:right="0" w:hanging="0"/>
              <w:rPr/>
            </w:pPr>
            <w:r>
              <w:rPr/>
              <w:t> </w:t>
            </w:r>
          </w:p>
        </w:tc>
      </w:tr>
      <w:tr>
        <w:trPr/>
        <w:tc>
          <w:tcPr>
            <w:tcW w:w="32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3230" w:type="dxa"/>
            <w:tcBorders/>
            <w:shd w:fill="FFFFFF" w:val="clear"/>
            <w:vAlign w:val="center"/>
          </w:tcPr>
          <w:p>
            <w:pPr>
              <w:pStyle w:val="TableContents"/>
              <w:spacing w:before="0" w:after="0"/>
              <w:ind w:left="0" w:right="0" w:hanging="0"/>
              <w:rPr/>
            </w:pPr>
            <w:r>
              <w:rPr/>
              <w:t xml:space="preserve">Paid related to: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3230" w:type="dxa"/>
            <w:tcBorders/>
            <w:shd w:fill="CCEEFF" w:val="clear"/>
            <w:vAlign w:val="center"/>
          </w:tcPr>
          <w:p>
            <w:pPr>
              <w:pStyle w:val="TableContents"/>
              <w:spacing w:before="0" w:after="0"/>
              <w:ind w:left="0" w:right="0" w:hanging="0"/>
              <w:rPr/>
            </w:pPr>
            <w:r>
              <w:rPr/>
              <w:t xml:space="preserve">Current year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41,100,578</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42,861,207</w:t>
            </w:r>
          </w:p>
        </w:tc>
        <w:tc>
          <w:tcPr>
            <w:tcW w:w="170" w:type="dxa"/>
            <w:tcBorders/>
            <w:shd w:fill="CCEEFF" w:val="clear"/>
            <w:vAlign w:val="center"/>
          </w:tcPr>
          <w:p>
            <w:pPr>
              <w:pStyle w:val="TableContents"/>
              <w:spacing w:before="0" w:after="0"/>
              <w:ind w:left="0" w:right="0" w:hanging="0"/>
              <w:rPr/>
            </w:pPr>
            <w:r>
              <w:rPr/>
              <w:t> </w:t>
            </w:r>
          </w:p>
        </w:tc>
      </w:tr>
      <w:tr>
        <w:trPr/>
        <w:tc>
          <w:tcPr>
            <w:tcW w:w="3230" w:type="dxa"/>
            <w:tcBorders/>
            <w:shd w:fill="FFFFFF" w:val="clear"/>
            <w:vAlign w:val="center"/>
          </w:tcPr>
          <w:p>
            <w:pPr>
              <w:pStyle w:val="TableContents"/>
              <w:spacing w:before="0" w:after="0"/>
              <w:ind w:left="0" w:right="0" w:hanging="0"/>
              <w:rPr/>
            </w:pPr>
            <w:r>
              <w:rPr/>
              <w:t xml:space="preserve">Prior years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27,453,904</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23,076,589</w:t>
            </w:r>
          </w:p>
        </w:tc>
        <w:tc>
          <w:tcPr>
            <w:tcW w:w="170" w:type="dxa"/>
            <w:tcBorders/>
            <w:shd w:fill="FFFFFF" w:val="clear"/>
            <w:vAlign w:val="center"/>
          </w:tcPr>
          <w:p>
            <w:pPr>
              <w:pStyle w:val="TableContents"/>
              <w:spacing w:before="0" w:after="0"/>
              <w:ind w:left="0" w:right="0" w:hanging="0"/>
              <w:rPr/>
            </w:pPr>
            <w:r>
              <w:rPr/>
              <w:t> </w:t>
            </w:r>
          </w:p>
        </w:tc>
      </w:tr>
      <w:tr>
        <w:trPr/>
        <w:tc>
          <w:tcPr>
            <w:tcW w:w="3230" w:type="dxa"/>
            <w:tcBorders/>
            <w:shd w:fill="CCEEFF" w:val="clear"/>
            <w:vAlign w:val="center"/>
          </w:tcPr>
          <w:p>
            <w:pPr>
              <w:pStyle w:val="TableContents"/>
              <w:spacing w:before="0" w:after="0"/>
              <w:ind w:left="0" w:right="0" w:hanging="0"/>
              <w:rPr/>
            </w:pPr>
            <w:r>
              <w:rPr/>
              <w:t xml:space="preserve">Total paid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CCEEFF" w:val="clear"/>
            <w:tcMar>
              <w:bottom w:w="28" w:type="dxa"/>
            </w:tcMar>
            <w:vAlign w:val="center"/>
          </w:tcPr>
          <w:p>
            <w:pPr>
              <w:pStyle w:val="TableContents"/>
              <w:spacing w:before="0" w:after="283"/>
              <w:jc w:val="right"/>
              <w:rPr/>
            </w:pPr>
            <w:r>
              <w:rPr/>
              <w:t>68,554,482</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CCEEFF" w:val="clear"/>
            <w:tcMar>
              <w:bottom w:w="28" w:type="dxa"/>
            </w:tcMar>
            <w:vAlign w:val="center"/>
          </w:tcPr>
          <w:p>
            <w:pPr>
              <w:pStyle w:val="TableContents"/>
              <w:spacing w:before="0" w:after="283"/>
              <w:jc w:val="right"/>
              <w:rPr/>
            </w:pPr>
            <w:r>
              <w:rPr/>
              <w:t>65,937,796</w:t>
            </w:r>
          </w:p>
        </w:tc>
        <w:tc>
          <w:tcPr>
            <w:tcW w:w="170" w:type="dxa"/>
            <w:tcBorders/>
            <w:shd w:fill="CCEEFF" w:val="clear"/>
            <w:vAlign w:val="center"/>
          </w:tcPr>
          <w:p>
            <w:pPr>
              <w:pStyle w:val="TableContents"/>
              <w:spacing w:before="0" w:after="0"/>
              <w:ind w:left="0" w:right="0" w:hanging="0"/>
              <w:rPr/>
            </w:pPr>
            <w:r>
              <w:rPr/>
              <w:t> </w:t>
            </w:r>
          </w:p>
        </w:tc>
      </w:tr>
      <w:tr>
        <w:trPr/>
        <w:tc>
          <w:tcPr>
            <w:tcW w:w="32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3230" w:type="dxa"/>
            <w:tcBorders/>
            <w:shd w:fill="CCEEFF" w:val="clear"/>
            <w:vAlign w:val="center"/>
          </w:tcPr>
          <w:p>
            <w:pPr>
              <w:pStyle w:val="TableContents"/>
              <w:spacing w:before="0" w:after="0"/>
              <w:ind w:left="0" w:right="0" w:hanging="0"/>
              <w:rPr/>
            </w:pPr>
            <w:r>
              <w:rPr/>
              <w:t xml:space="preserve">Net balance at end of period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62,646,977</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64,770,387</w:t>
            </w:r>
          </w:p>
        </w:tc>
        <w:tc>
          <w:tcPr>
            <w:tcW w:w="170" w:type="dxa"/>
            <w:tcBorders/>
            <w:shd w:fill="CCEEFF" w:val="clear"/>
            <w:vAlign w:val="center"/>
          </w:tcPr>
          <w:p>
            <w:pPr>
              <w:pStyle w:val="TableContents"/>
              <w:spacing w:before="0" w:after="0"/>
              <w:ind w:left="0" w:right="0" w:hanging="0"/>
              <w:rPr/>
            </w:pPr>
            <w:r>
              <w:rPr/>
              <w:t> </w:t>
            </w:r>
          </w:p>
        </w:tc>
      </w:tr>
      <w:tr>
        <w:trPr/>
        <w:tc>
          <w:tcPr>
            <w:tcW w:w="3230" w:type="dxa"/>
            <w:tcBorders/>
            <w:shd w:fill="FFFFFF" w:val="clear"/>
            <w:vAlign w:val="center"/>
          </w:tcPr>
          <w:p>
            <w:pPr>
              <w:pStyle w:val="TableContents"/>
              <w:spacing w:before="0" w:after="0"/>
              <w:ind w:left="0" w:right="0" w:hanging="0"/>
              <w:rPr/>
            </w:pPr>
            <w:r>
              <w:rPr/>
              <w:t xml:space="preserve">Add reinsurance recoverables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20,154,251</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15,728,224</w:t>
            </w:r>
          </w:p>
        </w:tc>
        <w:tc>
          <w:tcPr>
            <w:tcW w:w="170" w:type="dxa"/>
            <w:tcBorders/>
            <w:shd w:fill="FFFFFF" w:val="clear"/>
            <w:vAlign w:val="center"/>
          </w:tcPr>
          <w:p>
            <w:pPr>
              <w:pStyle w:val="TableContents"/>
              <w:spacing w:before="0" w:after="0"/>
              <w:ind w:left="0" w:right="0" w:hanging="0"/>
              <w:rPr/>
            </w:pPr>
            <w:r>
              <w:rPr/>
              <w:t> </w:t>
            </w:r>
          </w:p>
        </w:tc>
      </w:tr>
      <w:tr>
        <w:trPr/>
        <w:tc>
          <w:tcPr>
            <w:tcW w:w="3230" w:type="dxa"/>
            <w:tcBorders/>
            <w:shd w:fill="CCEEFF" w:val="clear"/>
            <w:vAlign w:val="center"/>
          </w:tcPr>
          <w:p>
            <w:pPr>
              <w:pStyle w:val="TableContents"/>
              <w:spacing w:before="0" w:after="0"/>
              <w:ind w:left="0" w:right="0" w:hanging="0"/>
              <w:rPr/>
            </w:pPr>
            <w:r>
              <w:rPr/>
              <w:t xml:space="preserve">Balance at end of period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05" w:type="dxa"/>
            <w:tcBorders>
              <w:bottom w:val="double" w:sz="6" w:space="0" w:color="000000"/>
            </w:tcBorders>
            <w:shd w:fill="CCEEFF" w:val="clear"/>
            <w:tcMar>
              <w:bottom w:w="28" w:type="dxa"/>
            </w:tcMar>
            <w:vAlign w:val="center"/>
          </w:tcPr>
          <w:p>
            <w:pPr>
              <w:pStyle w:val="TableContents"/>
              <w:spacing w:before="0" w:after="283"/>
              <w:jc w:val="right"/>
              <w:rPr/>
            </w:pPr>
            <w:r>
              <w:rPr/>
              <w:t>82,801,228</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05" w:type="dxa"/>
            <w:tcBorders>
              <w:bottom w:val="double" w:sz="6" w:space="0" w:color="000000"/>
            </w:tcBorders>
            <w:shd w:fill="CCEEFF" w:val="clear"/>
            <w:tcMar>
              <w:bottom w:w="28" w:type="dxa"/>
            </w:tcMar>
            <w:vAlign w:val="center"/>
          </w:tcPr>
          <w:p>
            <w:pPr>
              <w:pStyle w:val="TableContents"/>
              <w:spacing w:before="0" w:after="283"/>
              <w:jc w:val="right"/>
              <w:rPr/>
            </w:pPr>
            <w:r>
              <w:rPr/>
              <w:t>80,498,611</w:t>
            </w:r>
          </w:p>
        </w:tc>
        <w:tc>
          <w:tcPr>
            <w:tcW w:w="170"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claims reserving practices are designed to set reserves that, in the aggregate, are adequate to pay all claims at their ultimate settlement value.</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Loss and Loss Adjustment Expenses Development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The table below shows the net loss development of reserves held as of each calendar year-end from 2011 through 2020.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first section of the table reflects the changes in our loss and LAE reserves after each subsequent calendar year of development. The table displays the re-estimated values of incurred losses and LAE at each succeeding calendar year-end, including payments made during the years indicated. The second section of the table shows by year the cumulative amounts of loss and LAE payments, net of amounts recoverable from reinsurers, as of the end of each succeeding year. An example with respect to the net loss and LAE reserves of $7,280,000 as of December 31, 2010 is as follows. By December 31, 2012 (two years later), $4,947,000 had actually been paid in settlement of the claims that relate to liabilities as of December 31, 2010. The re-estimated ultimate reserves for those claims as of December 31, 2012 (two years later) had grown to $8,289,000.</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The “cumulative redundancy (deficiency)” represents, as of December 31, 2020, the difference between the latest re-estimated liability and the amounts as originally estimated. A redundancy means that the original estimate was higher than the current estimate. A deficiency means that the current estimate is higher than the original estimate.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11</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tbl>
      <w:tblPr>
        <w:tblW w:w="12575" w:type="dxa"/>
        <w:jc w:val="left"/>
        <w:tblInd w:w="0" w:type="dxa"/>
        <w:tblCellMar>
          <w:top w:w="0" w:type="dxa"/>
          <w:left w:w="0" w:type="dxa"/>
          <w:bottom w:w="28" w:type="dxa"/>
          <w:right w:w="0" w:type="dxa"/>
        </w:tblCellMar>
      </w:tblPr>
      <w:tblGrid>
        <w:gridCol w:w="1250"/>
        <w:gridCol w:w="90"/>
        <w:gridCol w:w="90"/>
        <w:gridCol w:w="710"/>
        <w:gridCol w:w="125"/>
        <w:gridCol w:w="90"/>
        <w:gridCol w:w="90"/>
        <w:gridCol w:w="710"/>
        <w:gridCol w:w="125"/>
        <w:gridCol w:w="90"/>
        <w:gridCol w:w="90"/>
        <w:gridCol w:w="710"/>
        <w:gridCol w:w="125"/>
        <w:gridCol w:w="90"/>
        <w:gridCol w:w="90"/>
        <w:gridCol w:w="710"/>
        <w:gridCol w:w="125"/>
        <w:gridCol w:w="90"/>
        <w:gridCol w:w="90"/>
        <w:gridCol w:w="710"/>
        <w:gridCol w:w="125"/>
        <w:gridCol w:w="90"/>
        <w:gridCol w:w="90"/>
        <w:gridCol w:w="710"/>
        <w:gridCol w:w="125"/>
        <w:gridCol w:w="90"/>
        <w:gridCol w:w="90"/>
        <w:gridCol w:w="710"/>
        <w:gridCol w:w="125"/>
        <w:gridCol w:w="90"/>
        <w:gridCol w:w="90"/>
        <w:gridCol w:w="785"/>
        <w:gridCol w:w="125"/>
        <w:gridCol w:w="90"/>
        <w:gridCol w:w="90"/>
        <w:gridCol w:w="785"/>
        <w:gridCol w:w="125"/>
        <w:gridCol w:w="90"/>
        <w:gridCol w:w="90"/>
        <w:gridCol w:w="710"/>
        <w:gridCol w:w="125"/>
        <w:gridCol w:w="90"/>
        <w:gridCol w:w="90"/>
        <w:gridCol w:w="710"/>
        <w:gridCol w:w="135"/>
      </w:tblGrid>
      <w:tr>
        <w:trPr/>
        <w:tc>
          <w:tcPr>
            <w:tcW w:w="1250" w:type="dxa"/>
            <w:tcBorders>
              <w:bottom w:val="single" w:sz="2" w:space="0" w:color="000000"/>
            </w:tcBorders>
            <w:shd w:fill="auto" w:val="clear"/>
            <w:vAlign w:val="center"/>
          </w:tcPr>
          <w:p>
            <w:pPr>
              <w:pStyle w:val="TableContents"/>
              <w:spacing w:before="0" w:after="0"/>
              <w:ind w:left="0" w:right="0" w:hanging="0"/>
              <w:rPr/>
            </w:pPr>
            <w:r>
              <w:rPr>
                <w:rStyle w:val="StrongEmphasis"/>
              </w:rPr>
              <w:t>(in thousands of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800"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Pr>
              <w:t>2010</w:t>
            </w:r>
          </w:p>
        </w:tc>
        <w:tc>
          <w:tcPr>
            <w:tcW w:w="1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800"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Pr>
              <w:t>2011</w:t>
            </w:r>
          </w:p>
        </w:tc>
        <w:tc>
          <w:tcPr>
            <w:tcW w:w="1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800"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Pr>
              <w:t>2012</w:t>
            </w:r>
          </w:p>
        </w:tc>
        <w:tc>
          <w:tcPr>
            <w:tcW w:w="1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800"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Pr>
              <w:t>2013</w:t>
            </w:r>
          </w:p>
        </w:tc>
        <w:tc>
          <w:tcPr>
            <w:tcW w:w="1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800"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Pr>
              <w:t>2014</w:t>
            </w:r>
          </w:p>
        </w:tc>
        <w:tc>
          <w:tcPr>
            <w:tcW w:w="1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800"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Pr>
              <w:t>2015</w:t>
            </w:r>
          </w:p>
        </w:tc>
        <w:tc>
          <w:tcPr>
            <w:tcW w:w="1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800"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Pr>
              <w:t>2016</w:t>
            </w:r>
          </w:p>
        </w:tc>
        <w:tc>
          <w:tcPr>
            <w:tcW w:w="1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875"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Pr>
              <w:t>2017</w:t>
            </w:r>
          </w:p>
        </w:tc>
        <w:tc>
          <w:tcPr>
            <w:tcW w:w="1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875"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Pr>
              <w:t>2018</w:t>
            </w:r>
          </w:p>
        </w:tc>
        <w:tc>
          <w:tcPr>
            <w:tcW w:w="1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800"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Pr>
              <w:t>2019</w:t>
            </w:r>
          </w:p>
        </w:tc>
        <w:tc>
          <w:tcPr>
            <w:tcW w:w="1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800"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Pr>
              <w:t>2020</w:t>
            </w:r>
          </w:p>
        </w:tc>
        <w:tc>
          <w:tcPr>
            <w:tcW w:w="135" w:type="dxa"/>
            <w:tcBorders/>
            <w:shd w:fill="auto" w:val="clear"/>
            <w:tcMar>
              <w:bottom w:w="0" w:type="dxa"/>
            </w:tcMar>
            <w:vAlign w:val="center"/>
          </w:tcPr>
          <w:p>
            <w:pPr>
              <w:pStyle w:val="TableContents"/>
              <w:spacing w:before="0" w:after="0"/>
              <w:ind w:left="0" w:right="0" w:hanging="0"/>
              <w:rPr/>
            </w:pPr>
            <w:r>
              <w:rPr/>
              <w:t> </w:t>
            </w:r>
          </w:p>
        </w:tc>
      </w:tr>
      <w:tr>
        <w:trPr/>
        <w:tc>
          <w:tcPr>
            <w:tcW w:w="1250" w:type="dxa"/>
            <w:tcBorders/>
            <w:shd w:fill="CCEEFF" w:val="clear"/>
            <w:tcMar>
              <w:bottom w:w="0" w:type="dxa"/>
            </w:tcMar>
            <w:vAlign w:val="center"/>
          </w:tcPr>
          <w:p>
            <w:pPr>
              <w:pStyle w:val="TableContents"/>
              <w:spacing w:before="0" w:after="0"/>
              <w:ind w:left="0" w:right="0" w:hanging="0"/>
              <w:rPr/>
            </w:pPr>
            <w:r>
              <w:rPr/>
              <w:t>Reserve for loss and loss adjustment expenses, net of reinsurance recoverables</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7,280</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8,520</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12,065</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17,139</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21,663</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23,170</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25,960</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32,051</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40,526</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64,770</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62,647</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1250" w:type="dxa"/>
            <w:tcBorders/>
            <w:shd w:fill="FFFFFF" w:val="clear"/>
            <w:tcMar>
              <w:bottom w:w="0" w:type="dxa"/>
            </w:tcMar>
            <w:vAlign w:val="center"/>
          </w:tcPr>
          <w:p>
            <w:pPr>
              <w:pStyle w:val="TableContents"/>
              <w:spacing w:before="0" w:after="0"/>
              <w:ind w:left="0" w:right="0" w:hanging="0"/>
              <w:rPr/>
            </w:pPr>
            <w:r>
              <w:rPr/>
              <w:t>Net reserve estimated as of One year later</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7,483</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9,261</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13,886</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18,903</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21,200</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23,107</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25,899</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33,203</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51,664</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64,811</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35" w:type="dxa"/>
            <w:tcBorders/>
            <w:shd w:fill="FFFFFF" w:val="clear"/>
            <w:tcMar>
              <w:bottom w:w="0" w:type="dxa"/>
            </w:tcMar>
            <w:vAlign w:val="center"/>
          </w:tcPr>
          <w:p>
            <w:pPr>
              <w:pStyle w:val="TableContents"/>
              <w:spacing w:before="0" w:after="0"/>
              <w:ind w:left="0" w:right="0" w:hanging="0"/>
              <w:rPr/>
            </w:pPr>
            <w:r>
              <w:rPr/>
              <w:t> </w:t>
            </w:r>
          </w:p>
        </w:tc>
      </w:tr>
      <w:tr>
        <w:trPr/>
        <w:tc>
          <w:tcPr>
            <w:tcW w:w="1250" w:type="dxa"/>
            <w:tcBorders/>
            <w:shd w:fill="CCEEFF" w:val="clear"/>
            <w:tcMar>
              <w:bottom w:w="0" w:type="dxa"/>
            </w:tcMar>
            <w:vAlign w:val="center"/>
          </w:tcPr>
          <w:p>
            <w:pPr>
              <w:pStyle w:val="TableContents"/>
              <w:spacing w:before="0" w:after="0"/>
              <w:ind w:left="0" w:right="0" w:hanging="0"/>
              <w:rPr/>
            </w:pPr>
            <w:r>
              <w:rPr/>
              <w:t>Two years later</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8,289</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11,022</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16,875</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18,332</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21,501</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24,413</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26,970</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42,723</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55,145</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1250" w:type="dxa"/>
            <w:tcBorders/>
            <w:shd w:fill="FFFFFF" w:val="clear"/>
            <w:tcMar>
              <w:bottom w:w="0" w:type="dxa"/>
            </w:tcMar>
            <w:vAlign w:val="center"/>
          </w:tcPr>
          <w:p>
            <w:pPr>
              <w:pStyle w:val="TableContents"/>
              <w:spacing w:before="0" w:after="0"/>
              <w:ind w:left="0" w:right="0" w:hanging="0"/>
              <w:rPr/>
            </w:pPr>
            <w:r>
              <w:rPr/>
              <w:t>Three years later</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9,170</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12,968</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16,624</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18,687</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22,576</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25,509</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33,298</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43,780</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35" w:type="dxa"/>
            <w:tcBorders/>
            <w:shd w:fill="FFFFFF" w:val="clear"/>
            <w:tcMar>
              <w:bottom w:w="0" w:type="dxa"/>
            </w:tcMar>
            <w:vAlign w:val="center"/>
          </w:tcPr>
          <w:p>
            <w:pPr>
              <w:pStyle w:val="TableContents"/>
              <w:spacing w:before="0" w:after="0"/>
              <w:ind w:left="0" w:right="0" w:hanging="0"/>
              <w:rPr/>
            </w:pPr>
            <w:r>
              <w:rPr/>
              <w:t> </w:t>
            </w:r>
          </w:p>
        </w:tc>
      </w:tr>
      <w:tr>
        <w:trPr/>
        <w:tc>
          <w:tcPr>
            <w:tcW w:w="1250" w:type="dxa"/>
            <w:tcBorders/>
            <w:shd w:fill="CCEEFF" w:val="clear"/>
            <w:tcMar>
              <w:bottom w:w="0" w:type="dxa"/>
            </w:tcMar>
            <w:vAlign w:val="center"/>
          </w:tcPr>
          <w:p>
            <w:pPr>
              <w:pStyle w:val="TableContents"/>
              <w:spacing w:before="0" w:after="0"/>
              <w:ind w:left="0" w:right="0" w:hanging="0"/>
              <w:rPr/>
            </w:pPr>
            <w:r>
              <w:rPr/>
              <w:t>Four years later</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10,128</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12,552</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16,767</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19,386</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23,243</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28,638</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33,342</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1250" w:type="dxa"/>
            <w:tcBorders/>
            <w:shd w:fill="FFFFFF" w:val="clear"/>
            <w:tcMar>
              <w:bottom w:w="0" w:type="dxa"/>
            </w:tcMar>
            <w:vAlign w:val="center"/>
          </w:tcPr>
          <w:p>
            <w:pPr>
              <w:pStyle w:val="TableContents"/>
              <w:spacing w:before="0" w:after="0"/>
              <w:ind w:left="0" w:right="0" w:hanging="0"/>
              <w:rPr/>
            </w:pPr>
            <w:r>
              <w:rPr/>
              <w:t>Five years later</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9,925</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12,440</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16,985</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19,449</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25,442</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28,506</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35" w:type="dxa"/>
            <w:tcBorders/>
            <w:shd w:fill="FFFFFF" w:val="clear"/>
            <w:tcMar>
              <w:bottom w:w="0" w:type="dxa"/>
            </w:tcMar>
            <w:vAlign w:val="center"/>
          </w:tcPr>
          <w:p>
            <w:pPr>
              <w:pStyle w:val="TableContents"/>
              <w:spacing w:before="0" w:after="0"/>
              <w:ind w:left="0" w:right="0" w:hanging="0"/>
              <w:rPr/>
            </w:pPr>
            <w:r>
              <w:rPr/>
              <w:t> </w:t>
            </w:r>
          </w:p>
        </w:tc>
      </w:tr>
      <w:tr>
        <w:trPr/>
        <w:tc>
          <w:tcPr>
            <w:tcW w:w="1250" w:type="dxa"/>
            <w:tcBorders/>
            <w:shd w:fill="CCEEFF" w:val="clear"/>
            <w:tcMar>
              <w:bottom w:w="0" w:type="dxa"/>
            </w:tcMar>
            <w:vAlign w:val="center"/>
          </w:tcPr>
          <w:p>
            <w:pPr>
              <w:pStyle w:val="TableContents"/>
              <w:spacing w:before="0" w:after="0"/>
              <w:ind w:left="0" w:right="0" w:hanging="0"/>
              <w:rPr/>
            </w:pPr>
            <w:r>
              <w:rPr/>
              <w:t>Six years later</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9,932</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12,367</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16,959</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20,265</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25,353</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1250" w:type="dxa"/>
            <w:tcBorders/>
            <w:shd w:fill="FFFFFF" w:val="clear"/>
            <w:tcMar>
              <w:bottom w:w="0" w:type="dxa"/>
            </w:tcMar>
            <w:vAlign w:val="center"/>
          </w:tcPr>
          <w:p>
            <w:pPr>
              <w:pStyle w:val="TableContents"/>
              <w:spacing w:before="0" w:after="0"/>
              <w:ind w:left="0" w:right="0" w:hanging="0"/>
              <w:rPr/>
            </w:pPr>
            <w:r>
              <w:rPr/>
              <w:t>Seven years later</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9,779</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12,307</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17,198</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20,069</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35" w:type="dxa"/>
            <w:tcBorders/>
            <w:shd w:fill="FFFFFF" w:val="clear"/>
            <w:tcMar>
              <w:bottom w:w="0" w:type="dxa"/>
            </w:tcMar>
            <w:vAlign w:val="center"/>
          </w:tcPr>
          <w:p>
            <w:pPr>
              <w:pStyle w:val="TableContents"/>
              <w:spacing w:before="0" w:after="0"/>
              <w:ind w:left="0" w:right="0" w:hanging="0"/>
              <w:rPr/>
            </w:pPr>
            <w:r>
              <w:rPr/>
              <w:t> </w:t>
            </w:r>
          </w:p>
        </w:tc>
      </w:tr>
      <w:tr>
        <w:trPr/>
        <w:tc>
          <w:tcPr>
            <w:tcW w:w="1250" w:type="dxa"/>
            <w:tcBorders/>
            <w:shd w:fill="CCEEFF" w:val="clear"/>
            <w:tcMar>
              <w:bottom w:w="0" w:type="dxa"/>
            </w:tcMar>
            <w:vAlign w:val="center"/>
          </w:tcPr>
          <w:p>
            <w:pPr>
              <w:pStyle w:val="TableContents"/>
              <w:spacing w:before="0" w:after="0"/>
              <w:ind w:left="0" w:right="0" w:hanging="0"/>
              <w:rPr/>
            </w:pPr>
            <w:r>
              <w:rPr/>
              <w:t>Eight years later</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9,676</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12,317</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17,089</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1250" w:type="dxa"/>
            <w:tcBorders/>
            <w:shd w:fill="FFFFFF" w:val="clear"/>
            <w:tcMar>
              <w:bottom w:w="0" w:type="dxa"/>
            </w:tcMar>
            <w:vAlign w:val="center"/>
          </w:tcPr>
          <w:p>
            <w:pPr>
              <w:pStyle w:val="TableContents"/>
              <w:spacing w:before="0" w:after="0"/>
              <w:ind w:left="0" w:right="0" w:hanging="0"/>
              <w:rPr/>
            </w:pPr>
            <w:r>
              <w:rPr/>
              <w:t>Nine years later</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9,736</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12,325</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35" w:type="dxa"/>
            <w:tcBorders/>
            <w:shd w:fill="FFFFFF" w:val="clear"/>
            <w:tcMar>
              <w:bottom w:w="0" w:type="dxa"/>
            </w:tcMar>
            <w:vAlign w:val="center"/>
          </w:tcPr>
          <w:p>
            <w:pPr>
              <w:pStyle w:val="TableContents"/>
              <w:spacing w:before="0" w:after="0"/>
              <w:ind w:left="0" w:right="0" w:hanging="0"/>
              <w:rPr/>
            </w:pPr>
            <w:r>
              <w:rPr/>
              <w:t> </w:t>
            </w:r>
          </w:p>
        </w:tc>
      </w:tr>
      <w:tr>
        <w:trPr/>
        <w:tc>
          <w:tcPr>
            <w:tcW w:w="1250" w:type="dxa"/>
            <w:tcBorders/>
            <w:shd w:fill="CCEEFF" w:val="clear"/>
            <w:tcMar>
              <w:bottom w:w="0" w:type="dxa"/>
            </w:tcMar>
            <w:vAlign w:val="center"/>
          </w:tcPr>
          <w:p>
            <w:pPr>
              <w:pStyle w:val="TableContents"/>
              <w:spacing w:before="0" w:after="0"/>
              <w:ind w:left="0" w:right="0" w:hanging="0"/>
              <w:rPr/>
            </w:pPr>
            <w:r>
              <w:rPr/>
              <w:t>Ten years later</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9,728</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1250" w:type="dxa"/>
            <w:tcBorders/>
            <w:shd w:fill="FFFFFF" w:val="clear"/>
            <w:tcMar>
              <w:bottom w:w="0" w:type="dxa"/>
            </w:tcMar>
            <w:vAlign w:val="center"/>
          </w:tcPr>
          <w:p>
            <w:pPr>
              <w:pStyle w:val="TableContents"/>
              <w:spacing w:before="0" w:after="0"/>
              <w:ind w:left="0" w:right="0" w:hanging="0"/>
              <w:rPr/>
            </w:pPr>
            <w:r>
              <w:rPr/>
              <w:t>Net cumulative redundancy (deficiency)</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(2,448</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(3,805</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(5,024</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(2,930</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(3,690</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(5,336</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(7,382</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(11,729</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(14,619</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(41</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35" w:type="dxa"/>
            <w:tcBorders/>
            <w:shd w:fill="FFFFFF" w:val="clear"/>
            <w:tcMar>
              <w:bottom w:w="0" w:type="dxa"/>
            </w:tcM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tbl>
      <w:tblPr>
        <w:tblW w:w="12965" w:type="dxa"/>
        <w:jc w:val="left"/>
        <w:tblInd w:w="0" w:type="dxa"/>
        <w:tblCellMar>
          <w:top w:w="0" w:type="dxa"/>
          <w:left w:w="0" w:type="dxa"/>
          <w:bottom w:w="28" w:type="dxa"/>
          <w:right w:w="0" w:type="dxa"/>
        </w:tblCellMar>
      </w:tblPr>
      <w:tblGrid>
        <w:gridCol w:w="1415"/>
        <w:gridCol w:w="90"/>
        <w:gridCol w:w="90"/>
        <w:gridCol w:w="710"/>
        <w:gridCol w:w="125"/>
        <w:gridCol w:w="90"/>
        <w:gridCol w:w="90"/>
        <w:gridCol w:w="710"/>
        <w:gridCol w:w="125"/>
        <w:gridCol w:w="90"/>
        <w:gridCol w:w="90"/>
        <w:gridCol w:w="785"/>
        <w:gridCol w:w="125"/>
        <w:gridCol w:w="90"/>
        <w:gridCol w:w="90"/>
        <w:gridCol w:w="710"/>
        <w:gridCol w:w="125"/>
        <w:gridCol w:w="90"/>
        <w:gridCol w:w="90"/>
        <w:gridCol w:w="710"/>
        <w:gridCol w:w="125"/>
        <w:gridCol w:w="90"/>
        <w:gridCol w:w="90"/>
        <w:gridCol w:w="785"/>
        <w:gridCol w:w="125"/>
        <w:gridCol w:w="90"/>
        <w:gridCol w:w="90"/>
        <w:gridCol w:w="785"/>
        <w:gridCol w:w="125"/>
        <w:gridCol w:w="90"/>
        <w:gridCol w:w="90"/>
        <w:gridCol w:w="785"/>
        <w:gridCol w:w="125"/>
        <w:gridCol w:w="90"/>
        <w:gridCol w:w="90"/>
        <w:gridCol w:w="785"/>
        <w:gridCol w:w="125"/>
        <w:gridCol w:w="90"/>
        <w:gridCol w:w="90"/>
        <w:gridCol w:w="710"/>
        <w:gridCol w:w="125"/>
        <w:gridCol w:w="90"/>
        <w:gridCol w:w="90"/>
        <w:gridCol w:w="710"/>
        <w:gridCol w:w="135"/>
      </w:tblGrid>
      <w:tr>
        <w:trPr/>
        <w:tc>
          <w:tcPr>
            <w:tcW w:w="1415" w:type="dxa"/>
            <w:tcBorders>
              <w:bottom w:val="single" w:sz="2" w:space="0" w:color="000000"/>
            </w:tcBorders>
            <w:shd w:fill="auto" w:val="clear"/>
            <w:vAlign w:val="center"/>
          </w:tcPr>
          <w:p>
            <w:pPr>
              <w:pStyle w:val="TableContents"/>
              <w:spacing w:before="0" w:after="0"/>
              <w:ind w:left="0" w:right="0" w:hanging="0"/>
              <w:rPr/>
            </w:pPr>
            <w:r>
              <w:rPr>
                <w:rStyle w:val="StrongEmphasis"/>
              </w:rPr>
              <w:t>(in thousands of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800"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Pr>
              <w:t>2010</w:t>
            </w:r>
          </w:p>
        </w:tc>
        <w:tc>
          <w:tcPr>
            <w:tcW w:w="1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800"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Pr>
              <w:t>2011</w:t>
            </w:r>
          </w:p>
        </w:tc>
        <w:tc>
          <w:tcPr>
            <w:tcW w:w="1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875"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Pr>
              <w:t>2012</w:t>
            </w:r>
          </w:p>
        </w:tc>
        <w:tc>
          <w:tcPr>
            <w:tcW w:w="1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800"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Pr>
              <w:t>2013</w:t>
            </w:r>
          </w:p>
        </w:tc>
        <w:tc>
          <w:tcPr>
            <w:tcW w:w="1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800"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Pr>
              <w:t>2014</w:t>
            </w:r>
          </w:p>
        </w:tc>
        <w:tc>
          <w:tcPr>
            <w:tcW w:w="1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875"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Pr>
              <w:t>2015</w:t>
            </w:r>
          </w:p>
        </w:tc>
        <w:tc>
          <w:tcPr>
            <w:tcW w:w="1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875"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Pr>
              <w:t>2016</w:t>
            </w:r>
          </w:p>
        </w:tc>
        <w:tc>
          <w:tcPr>
            <w:tcW w:w="1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875"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Pr>
              <w:t>2017</w:t>
            </w:r>
          </w:p>
        </w:tc>
        <w:tc>
          <w:tcPr>
            <w:tcW w:w="1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875"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Pr>
              <w:t>2018</w:t>
            </w:r>
          </w:p>
        </w:tc>
        <w:tc>
          <w:tcPr>
            <w:tcW w:w="1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800"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Pr>
              <w:t>2019</w:t>
            </w:r>
          </w:p>
        </w:tc>
        <w:tc>
          <w:tcPr>
            <w:tcW w:w="1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800"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Pr>
              <w:t>2020</w:t>
            </w:r>
          </w:p>
        </w:tc>
        <w:tc>
          <w:tcPr>
            <w:tcW w:w="135" w:type="dxa"/>
            <w:tcBorders/>
            <w:shd w:fill="auto" w:val="clear"/>
            <w:tcMar>
              <w:bottom w:w="0" w:type="dxa"/>
            </w:tcMar>
            <w:vAlign w:val="center"/>
          </w:tcPr>
          <w:p>
            <w:pPr>
              <w:pStyle w:val="TableContents"/>
              <w:spacing w:before="0" w:after="0"/>
              <w:ind w:left="0" w:right="0" w:hanging="0"/>
              <w:rPr/>
            </w:pPr>
            <w:r>
              <w:rPr/>
              <w:t> </w:t>
            </w:r>
          </w:p>
        </w:tc>
      </w:tr>
      <w:tr>
        <w:trPr/>
        <w:tc>
          <w:tcPr>
            <w:tcW w:w="4410" w:type="dxa"/>
            <w:gridSpan w:val="12"/>
            <w:tcBorders/>
            <w:shd w:fill="auto" w:val="clear"/>
            <w:tcMar>
              <w:bottom w:w="0" w:type="dxa"/>
            </w:tcMar>
            <w:vAlign w:val="center"/>
          </w:tcPr>
          <w:p>
            <w:pPr>
              <w:pStyle w:val="TableContents"/>
              <w:spacing w:before="0" w:after="0"/>
              <w:ind w:left="0" w:right="0" w:hanging="0"/>
              <w:rPr/>
            </w:pPr>
            <w:r>
              <w:rPr/>
              <w:t>Cumulative amount of reserve paid, net of reinsurance recoverable through</w:t>
            </w:r>
          </w:p>
        </w:tc>
        <w:tc>
          <w:tcPr>
            <w:tcW w:w="1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800" w:type="dxa"/>
            <w:gridSpan w:val="2"/>
            <w:tcBorders/>
            <w:shd w:fill="auto" w:val="clear"/>
            <w:tcMar>
              <w:bottom w:w="0" w:type="dxa"/>
            </w:tcMar>
            <w:vAlign w:val="center"/>
          </w:tcPr>
          <w:p>
            <w:pPr>
              <w:pStyle w:val="TableContents"/>
              <w:spacing w:before="0" w:after="0"/>
              <w:ind w:left="0" w:right="0" w:hanging="0"/>
              <w:rPr/>
            </w:pPr>
            <w:r>
              <w:rPr/>
              <w:t> </w:t>
            </w:r>
          </w:p>
        </w:tc>
        <w:tc>
          <w:tcPr>
            <w:tcW w:w="1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800" w:type="dxa"/>
            <w:gridSpan w:val="2"/>
            <w:tcBorders/>
            <w:shd w:fill="auto" w:val="clear"/>
            <w:tcMar>
              <w:bottom w:w="0" w:type="dxa"/>
            </w:tcMar>
            <w:vAlign w:val="center"/>
          </w:tcPr>
          <w:p>
            <w:pPr>
              <w:pStyle w:val="TableContents"/>
              <w:spacing w:before="0" w:after="0"/>
              <w:ind w:left="0" w:right="0" w:hanging="0"/>
              <w:rPr/>
            </w:pPr>
            <w:r>
              <w:rPr/>
              <w:t> </w:t>
            </w:r>
          </w:p>
        </w:tc>
        <w:tc>
          <w:tcPr>
            <w:tcW w:w="1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875" w:type="dxa"/>
            <w:gridSpan w:val="2"/>
            <w:tcBorders/>
            <w:shd w:fill="auto" w:val="clear"/>
            <w:tcMar>
              <w:bottom w:w="0" w:type="dxa"/>
            </w:tcMar>
            <w:vAlign w:val="center"/>
          </w:tcPr>
          <w:p>
            <w:pPr>
              <w:pStyle w:val="TableContents"/>
              <w:spacing w:before="0" w:after="0"/>
              <w:ind w:left="0" w:right="0" w:hanging="0"/>
              <w:rPr/>
            </w:pPr>
            <w:r>
              <w:rPr/>
              <w:t> </w:t>
            </w:r>
          </w:p>
        </w:tc>
        <w:tc>
          <w:tcPr>
            <w:tcW w:w="1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875" w:type="dxa"/>
            <w:gridSpan w:val="2"/>
            <w:tcBorders/>
            <w:shd w:fill="auto" w:val="clear"/>
            <w:tcMar>
              <w:bottom w:w="0" w:type="dxa"/>
            </w:tcMar>
            <w:vAlign w:val="center"/>
          </w:tcPr>
          <w:p>
            <w:pPr>
              <w:pStyle w:val="TableContents"/>
              <w:spacing w:before="0" w:after="0"/>
              <w:ind w:left="0" w:right="0" w:hanging="0"/>
              <w:rPr/>
            </w:pPr>
            <w:r>
              <w:rPr/>
              <w:t> </w:t>
            </w:r>
          </w:p>
        </w:tc>
        <w:tc>
          <w:tcPr>
            <w:tcW w:w="1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875" w:type="dxa"/>
            <w:gridSpan w:val="2"/>
            <w:tcBorders/>
            <w:shd w:fill="auto" w:val="clear"/>
            <w:tcMar>
              <w:bottom w:w="0" w:type="dxa"/>
            </w:tcMar>
            <w:vAlign w:val="center"/>
          </w:tcPr>
          <w:p>
            <w:pPr>
              <w:pStyle w:val="TableContents"/>
              <w:spacing w:before="0" w:after="0"/>
              <w:ind w:left="0" w:right="0" w:hanging="0"/>
              <w:rPr/>
            </w:pPr>
            <w:r>
              <w:rPr/>
              <w:t> </w:t>
            </w:r>
          </w:p>
        </w:tc>
        <w:tc>
          <w:tcPr>
            <w:tcW w:w="1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875" w:type="dxa"/>
            <w:gridSpan w:val="2"/>
            <w:tcBorders/>
            <w:shd w:fill="auto" w:val="clear"/>
            <w:tcMar>
              <w:bottom w:w="0" w:type="dxa"/>
            </w:tcMar>
            <w:vAlign w:val="center"/>
          </w:tcPr>
          <w:p>
            <w:pPr>
              <w:pStyle w:val="TableContents"/>
              <w:spacing w:before="0" w:after="0"/>
              <w:ind w:left="0" w:right="0" w:hanging="0"/>
              <w:rPr/>
            </w:pPr>
            <w:r>
              <w:rPr/>
              <w:t> </w:t>
            </w:r>
          </w:p>
        </w:tc>
        <w:tc>
          <w:tcPr>
            <w:tcW w:w="1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800" w:type="dxa"/>
            <w:gridSpan w:val="2"/>
            <w:tcBorders/>
            <w:shd w:fill="auto" w:val="clear"/>
            <w:tcMar>
              <w:bottom w:w="0" w:type="dxa"/>
            </w:tcMar>
            <w:vAlign w:val="center"/>
          </w:tcPr>
          <w:p>
            <w:pPr>
              <w:pStyle w:val="TableContents"/>
              <w:spacing w:before="0" w:after="0"/>
              <w:ind w:left="0" w:right="0" w:hanging="0"/>
              <w:rPr/>
            </w:pPr>
            <w:r>
              <w:rPr/>
              <w:t> </w:t>
            </w:r>
          </w:p>
        </w:tc>
        <w:tc>
          <w:tcPr>
            <w:tcW w:w="1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800" w:type="dxa"/>
            <w:gridSpan w:val="2"/>
            <w:tcBorders/>
            <w:shd w:fill="auto" w:val="clear"/>
            <w:tcMar>
              <w:bottom w:w="0" w:type="dxa"/>
            </w:tcMar>
            <w:vAlign w:val="center"/>
          </w:tcPr>
          <w:p>
            <w:pPr>
              <w:pStyle w:val="TableContents"/>
              <w:spacing w:before="0" w:after="0"/>
              <w:ind w:left="0" w:right="0" w:hanging="0"/>
              <w:rPr/>
            </w:pPr>
            <w:r>
              <w:rPr/>
              <w:t> </w:t>
            </w:r>
          </w:p>
        </w:tc>
        <w:tc>
          <w:tcPr>
            <w:tcW w:w="135" w:type="dxa"/>
            <w:tcBorders/>
            <w:shd w:fill="auto" w:val="clear"/>
            <w:tcMar>
              <w:bottom w:w="0" w:type="dxa"/>
            </w:tcMar>
            <w:vAlign w:val="center"/>
          </w:tcPr>
          <w:p>
            <w:pPr>
              <w:pStyle w:val="TableContents"/>
              <w:spacing w:before="0" w:after="0"/>
              <w:ind w:left="0" w:right="0" w:hanging="0"/>
              <w:rPr/>
            </w:pPr>
            <w:r>
              <w:rPr/>
              <w:t> </w:t>
            </w:r>
          </w:p>
        </w:tc>
      </w:tr>
      <w:tr>
        <w:trPr/>
        <w:tc>
          <w:tcPr>
            <w:tcW w:w="1415" w:type="dxa"/>
            <w:tcBorders/>
            <w:shd w:fill="CCEEFF" w:val="clear"/>
            <w:tcMar>
              <w:bottom w:w="0" w:type="dxa"/>
            </w:tcMar>
            <w:vAlign w:val="center"/>
          </w:tcPr>
          <w:p>
            <w:pPr>
              <w:pStyle w:val="TableContents"/>
              <w:spacing w:before="0" w:after="0"/>
              <w:ind w:left="0" w:right="0" w:hanging="0"/>
              <w:rPr/>
            </w:pPr>
            <w:r>
              <w:rPr/>
              <w:t>One year later</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3,201</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3,237</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4,804</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6,156</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8,500</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8,503</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9,900</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15,795</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23,075</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27,454</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800" w:type="dxa"/>
            <w:gridSpan w:val="2"/>
            <w:tcBorders/>
            <w:shd w:fill="CCEEFF" w:val="clear"/>
            <w:tcMar>
              <w:bottom w:w="0" w:type="dxa"/>
            </w:tcMar>
            <w:vAlign w:val="center"/>
          </w:tcPr>
          <w:p>
            <w:pPr>
              <w:pStyle w:val="TableContents"/>
              <w:spacing w:before="0" w:after="0"/>
              <w:ind w:left="0" w:right="0" w:hanging="0"/>
              <w:rPr/>
            </w:pPr>
            <w:r>
              <w:rPr/>
              <w:t> </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1415" w:type="dxa"/>
            <w:tcBorders/>
            <w:shd w:fill="FFFFFF" w:val="clear"/>
            <w:tcMar>
              <w:bottom w:w="0" w:type="dxa"/>
            </w:tcMar>
            <w:vAlign w:val="center"/>
          </w:tcPr>
          <w:p>
            <w:pPr>
              <w:pStyle w:val="TableContents"/>
              <w:spacing w:before="0" w:after="0"/>
              <w:ind w:left="0" w:right="0" w:hanging="0"/>
              <w:rPr/>
            </w:pPr>
            <w:r>
              <w:rPr/>
              <w:t>Two years later</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4,947</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5,661</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8,833</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10,629</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12,853</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14,456</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17,187</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26,168</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35,924</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800" w:type="dxa"/>
            <w:gridSpan w:val="2"/>
            <w:tcBorders/>
            <w:shd w:fill="FFFFFF" w:val="clear"/>
            <w:tcMar>
              <w:bottom w:w="0" w:type="dxa"/>
            </w:tcMar>
            <w:vAlign w:val="center"/>
          </w:tcPr>
          <w:p>
            <w:pPr>
              <w:pStyle w:val="TableContents"/>
              <w:spacing w:before="0" w:after="0"/>
              <w:ind w:left="0" w:right="0" w:hanging="0"/>
              <w:rPr/>
            </w:pPr>
            <w:r>
              <w:rPr/>
              <w:t> </w:t>
            </w:r>
          </w:p>
        </w:tc>
        <w:tc>
          <w:tcPr>
            <w:tcW w:w="135" w:type="dxa"/>
            <w:tcBorders/>
            <w:shd w:fill="FFFFFF" w:val="clear"/>
            <w:tcMar>
              <w:bottom w:w="0" w:type="dxa"/>
            </w:tcMar>
            <w:vAlign w:val="center"/>
          </w:tcPr>
          <w:p>
            <w:pPr>
              <w:pStyle w:val="TableContents"/>
              <w:spacing w:before="0" w:after="0"/>
              <w:ind w:left="0" w:right="0" w:hanging="0"/>
              <w:rPr/>
            </w:pPr>
            <w:r>
              <w:rPr/>
              <w:t> </w:t>
            </w:r>
          </w:p>
        </w:tc>
      </w:tr>
      <w:tr>
        <w:trPr/>
        <w:tc>
          <w:tcPr>
            <w:tcW w:w="1415" w:type="dxa"/>
            <w:tcBorders/>
            <w:shd w:fill="CCEEFF" w:val="clear"/>
            <w:tcMar>
              <w:bottom w:w="0" w:type="dxa"/>
            </w:tcMar>
            <w:vAlign w:val="center"/>
          </w:tcPr>
          <w:p>
            <w:pPr>
              <w:pStyle w:val="TableContents"/>
              <w:spacing w:before="0" w:after="0"/>
              <w:ind w:left="0" w:right="0" w:hanging="0"/>
              <w:rPr/>
            </w:pPr>
            <w:r>
              <w:rPr/>
              <w:t>Three years later</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6,199</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8,221</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11,873</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13,571</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16,564</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19,533</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23,484</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32,704</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800" w:type="dxa"/>
            <w:gridSpan w:val="2"/>
            <w:tcBorders/>
            <w:shd w:fill="CCEEFF" w:val="clear"/>
            <w:tcMar>
              <w:bottom w:w="0" w:type="dxa"/>
            </w:tcMar>
            <w:vAlign w:val="center"/>
          </w:tcPr>
          <w:p>
            <w:pPr>
              <w:pStyle w:val="TableContents"/>
              <w:spacing w:before="0" w:after="0"/>
              <w:ind w:left="0" w:right="0" w:hanging="0"/>
              <w:rPr/>
            </w:pPr>
            <w:r>
              <w:rPr/>
              <w:t> </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1415" w:type="dxa"/>
            <w:tcBorders/>
            <w:shd w:fill="FFFFFF" w:val="clear"/>
            <w:tcMar>
              <w:bottom w:w="0" w:type="dxa"/>
            </w:tcMar>
            <w:vAlign w:val="center"/>
          </w:tcPr>
          <w:p>
            <w:pPr>
              <w:pStyle w:val="TableContents"/>
              <w:spacing w:before="0" w:after="0"/>
              <w:ind w:left="0" w:right="0" w:hanging="0"/>
              <w:rPr/>
            </w:pPr>
            <w:r>
              <w:rPr/>
              <w:t>Four years later</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7,737</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10,100</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13,785</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16,166</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19,838</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22,816</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27,203</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800" w:type="dxa"/>
            <w:gridSpan w:val="2"/>
            <w:tcBorders/>
            <w:shd w:fill="FFFFFF" w:val="clear"/>
            <w:tcMar>
              <w:bottom w:w="0" w:type="dxa"/>
            </w:tcMar>
            <w:vAlign w:val="center"/>
          </w:tcPr>
          <w:p>
            <w:pPr>
              <w:pStyle w:val="TableContents"/>
              <w:spacing w:before="0" w:after="0"/>
              <w:ind w:left="0" w:right="0" w:hanging="0"/>
              <w:rPr/>
            </w:pPr>
            <w:r>
              <w:rPr/>
              <w:t> </w:t>
            </w:r>
          </w:p>
        </w:tc>
        <w:tc>
          <w:tcPr>
            <w:tcW w:w="135" w:type="dxa"/>
            <w:tcBorders/>
            <w:shd w:fill="FFFFFF" w:val="clear"/>
            <w:tcMar>
              <w:bottom w:w="0" w:type="dxa"/>
            </w:tcMar>
            <w:vAlign w:val="center"/>
          </w:tcPr>
          <w:p>
            <w:pPr>
              <w:pStyle w:val="TableContents"/>
              <w:spacing w:before="0" w:after="0"/>
              <w:ind w:left="0" w:right="0" w:hanging="0"/>
              <w:rPr/>
            </w:pPr>
            <w:r>
              <w:rPr/>
              <w:t> </w:t>
            </w:r>
          </w:p>
        </w:tc>
      </w:tr>
      <w:tr>
        <w:trPr/>
        <w:tc>
          <w:tcPr>
            <w:tcW w:w="1415" w:type="dxa"/>
            <w:tcBorders/>
            <w:shd w:fill="CCEEFF" w:val="clear"/>
            <w:tcMar>
              <w:bottom w:w="0" w:type="dxa"/>
            </w:tcMar>
            <w:vAlign w:val="center"/>
          </w:tcPr>
          <w:p>
            <w:pPr>
              <w:pStyle w:val="TableContents"/>
              <w:spacing w:before="0" w:after="0"/>
              <w:ind w:left="0" w:right="0" w:hanging="0"/>
              <w:rPr/>
            </w:pPr>
            <w:r>
              <w:rPr/>
              <w:t>Five years later</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8,585</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10,903</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15,479</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17,262</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21,976</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25,210</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800" w:type="dxa"/>
            <w:gridSpan w:val="2"/>
            <w:tcBorders/>
            <w:shd w:fill="CCEEFF" w:val="clear"/>
            <w:tcMar>
              <w:bottom w:w="0" w:type="dxa"/>
            </w:tcMar>
            <w:vAlign w:val="center"/>
          </w:tcPr>
          <w:p>
            <w:pPr>
              <w:pStyle w:val="TableContents"/>
              <w:spacing w:before="0" w:after="0"/>
              <w:ind w:left="0" w:right="0" w:hanging="0"/>
              <w:rPr/>
            </w:pPr>
            <w:r>
              <w:rPr/>
              <w:t> </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1415" w:type="dxa"/>
            <w:tcBorders/>
            <w:shd w:fill="FFFFFF" w:val="clear"/>
            <w:tcMar>
              <w:bottom w:w="0" w:type="dxa"/>
            </w:tcMar>
            <w:vAlign w:val="center"/>
          </w:tcPr>
          <w:p>
            <w:pPr>
              <w:pStyle w:val="TableContents"/>
              <w:spacing w:before="0" w:after="0"/>
              <w:ind w:left="0" w:right="0" w:hanging="0"/>
              <w:rPr/>
            </w:pPr>
            <w:r>
              <w:rPr/>
              <w:t>Six years later</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8,941</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11,417</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15,882</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18,265</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23,280</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800" w:type="dxa"/>
            <w:gridSpan w:val="2"/>
            <w:tcBorders/>
            <w:shd w:fill="FFFFFF" w:val="clear"/>
            <w:tcMar>
              <w:bottom w:w="0" w:type="dxa"/>
            </w:tcMar>
            <w:vAlign w:val="center"/>
          </w:tcPr>
          <w:p>
            <w:pPr>
              <w:pStyle w:val="TableContents"/>
              <w:spacing w:before="0" w:after="0"/>
              <w:ind w:left="0" w:right="0" w:hanging="0"/>
              <w:rPr/>
            </w:pPr>
            <w:r>
              <w:rPr/>
              <w:t> </w:t>
            </w:r>
          </w:p>
        </w:tc>
        <w:tc>
          <w:tcPr>
            <w:tcW w:w="135" w:type="dxa"/>
            <w:tcBorders/>
            <w:shd w:fill="FFFFFF" w:val="clear"/>
            <w:tcMar>
              <w:bottom w:w="0" w:type="dxa"/>
            </w:tcMar>
            <w:vAlign w:val="center"/>
          </w:tcPr>
          <w:p>
            <w:pPr>
              <w:pStyle w:val="TableContents"/>
              <w:spacing w:before="0" w:after="0"/>
              <w:ind w:left="0" w:right="0" w:hanging="0"/>
              <w:rPr/>
            </w:pPr>
            <w:r>
              <w:rPr/>
              <w:t> </w:t>
            </w:r>
          </w:p>
        </w:tc>
      </w:tr>
      <w:tr>
        <w:trPr/>
        <w:tc>
          <w:tcPr>
            <w:tcW w:w="1415" w:type="dxa"/>
            <w:tcBorders/>
            <w:shd w:fill="CCEEFF" w:val="clear"/>
            <w:tcMar>
              <w:bottom w:w="0" w:type="dxa"/>
            </w:tcMar>
            <w:vAlign w:val="center"/>
          </w:tcPr>
          <w:p>
            <w:pPr>
              <w:pStyle w:val="TableContents"/>
              <w:spacing w:before="0" w:after="0"/>
              <w:ind w:left="0" w:right="0" w:hanging="0"/>
              <w:rPr/>
            </w:pPr>
            <w:r>
              <w:rPr/>
              <w:t>Seven years later</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9,275</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11,725</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16,152</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18,954</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800" w:type="dxa"/>
            <w:gridSpan w:val="2"/>
            <w:tcBorders/>
            <w:shd w:fill="CCEEFF" w:val="clear"/>
            <w:tcMar>
              <w:bottom w:w="0" w:type="dxa"/>
            </w:tcMar>
            <w:vAlign w:val="center"/>
          </w:tcPr>
          <w:p>
            <w:pPr>
              <w:pStyle w:val="TableContents"/>
              <w:spacing w:before="0" w:after="0"/>
              <w:ind w:left="0" w:right="0" w:hanging="0"/>
              <w:rPr/>
            </w:pPr>
            <w:r>
              <w:rPr/>
              <w:t> </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1415" w:type="dxa"/>
            <w:tcBorders/>
            <w:shd w:fill="FFFFFF" w:val="clear"/>
            <w:tcMar>
              <w:bottom w:w="0" w:type="dxa"/>
            </w:tcMar>
            <w:vAlign w:val="center"/>
          </w:tcPr>
          <w:p>
            <w:pPr>
              <w:pStyle w:val="TableContents"/>
              <w:spacing w:before="0" w:after="0"/>
              <w:ind w:left="0" w:right="0" w:hanging="0"/>
              <w:rPr/>
            </w:pPr>
            <w:r>
              <w:rPr/>
              <w:t>Eight years later</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9,559</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11,864</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16,516</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800" w:type="dxa"/>
            <w:gridSpan w:val="2"/>
            <w:tcBorders/>
            <w:shd w:fill="FFFFFF" w:val="clear"/>
            <w:tcMar>
              <w:bottom w:w="0" w:type="dxa"/>
            </w:tcMar>
            <w:vAlign w:val="center"/>
          </w:tcPr>
          <w:p>
            <w:pPr>
              <w:pStyle w:val="TableContents"/>
              <w:spacing w:before="0" w:after="0"/>
              <w:ind w:left="0" w:right="0" w:hanging="0"/>
              <w:rPr/>
            </w:pPr>
            <w:r>
              <w:rPr/>
              <w:t> </w:t>
            </w:r>
          </w:p>
        </w:tc>
        <w:tc>
          <w:tcPr>
            <w:tcW w:w="135" w:type="dxa"/>
            <w:tcBorders/>
            <w:shd w:fill="FFFFFF" w:val="clear"/>
            <w:tcMar>
              <w:bottom w:w="0" w:type="dxa"/>
            </w:tcMar>
            <w:vAlign w:val="center"/>
          </w:tcPr>
          <w:p>
            <w:pPr>
              <w:pStyle w:val="TableContents"/>
              <w:spacing w:before="0" w:after="0"/>
              <w:ind w:left="0" w:right="0" w:hanging="0"/>
              <w:rPr/>
            </w:pPr>
            <w:r>
              <w:rPr/>
              <w:t> </w:t>
            </w:r>
          </w:p>
        </w:tc>
      </w:tr>
      <w:tr>
        <w:trPr/>
        <w:tc>
          <w:tcPr>
            <w:tcW w:w="1415" w:type="dxa"/>
            <w:tcBorders/>
            <w:shd w:fill="CCEEFF" w:val="clear"/>
            <w:tcMar>
              <w:bottom w:w="0" w:type="dxa"/>
            </w:tcMar>
            <w:vAlign w:val="center"/>
          </w:tcPr>
          <w:p>
            <w:pPr>
              <w:pStyle w:val="TableContents"/>
              <w:spacing w:before="0" w:after="0"/>
              <w:ind w:left="0" w:right="0" w:hanging="0"/>
              <w:rPr/>
            </w:pPr>
            <w:r>
              <w:rPr/>
              <w:t>Nine years later</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9,629</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12,205</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800" w:type="dxa"/>
            <w:gridSpan w:val="2"/>
            <w:tcBorders/>
            <w:shd w:fill="CCEEFF" w:val="clear"/>
            <w:tcMar>
              <w:bottom w:w="0" w:type="dxa"/>
            </w:tcMar>
            <w:vAlign w:val="center"/>
          </w:tcPr>
          <w:p>
            <w:pPr>
              <w:pStyle w:val="TableContents"/>
              <w:spacing w:before="0" w:after="0"/>
              <w:ind w:left="0" w:right="0" w:hanging="0"/>
              <w:rPr/>
            </w:pPr>
            <w:r>
              <w:rPr/>
              <w:t> </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1415" w:type="dxa"/>
            <w:tcBorders/>
            <w:shd w:fill="FFFFFF" w:val="clear"/>
            <w:tcMar>
              <w:bottom w:w="0" w:type="dxa"/>
            </w:tcMar>
            <w:vAlign w:val="center"/>
          </w:tcPr>
          <w:p>
            <w:pPr>
              <w:pStyle w:val="TableContents"/>
              <w:spacing w:before="0" w:after="0"/>
              <w:ind w:left="0" w:right="0" w:hanging="0"/>
              <w:rPr/>
            </w:pPr>
            <w:r>
              <w:rPr/>
              <w:t>Ten years later</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9,630</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800" w:type="dxa"/>
            <w:gridSpan w:val="2"/>
            <w:tcBorders/>
            <w:shd w:fill="FFFFFF" w:val="clear"/>
            <w:tcMar>
              <w:bottom w:w="0" w:type="dxa"/>
            </w:tcMar>
            <w:vAlign w:val="center"/>
          </w:tcPr>
          <w:p>
            <w:pPr>
              <w:pStyle w:val="TableContents"/>
              <w:spacing w:before="0" w:after="0"/>
              <w:ind w:left="0" w:right="0" w:hanging="0"/>
              <w:rPr/>
            </w:pPr>
            <w:r>
              <w:rPr/>
              <w:t> </w:t>
            </w:r>
          </w:p>
        </w:tc>
        <w:tc>
          <w:tcPr>
            <w:tcW w:w="135" w:type="dxa"/>
            <w:tcBorders/>
            <w:shd w:fill="FFFFFF" w:val="clear"/>
            <w:tcMar>
              <w:bottom w:w="0" w:type="dxa"/>
            </w:tcMar>
            <w:vAlign w:val="center"/>
          </w:tcPr>
          <w:p>
            <w:pPr>
              <w:pStyle w:val="TableContents"/>
              <w:spacing w:before="0" w:after="0"/>
              <w:ind w:left="0" w:right="0" w:hanging="0"/>
              <w:rPr/>
            </w:pPr>
            <w:r>
              <w:rPr/>
              <w:t> </w:t>
            </w:r>
          </w:p>
        </w:tc>
      </w:tr>
      <w:tr>
        <w:trPr/>
        <w:tc>
          <w:tcPr>
            <w:tcW w:w="141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800" w:type="dxa"/>
            <w:gridSpan w:val="2"/>
            <w:tcBorders/>
            <w:shd w:fill="CCEEFF" w:val="clear"/>
            <w:tcMar>
              <w:bottom w:w="0" w:type="dxa"/>
            </w:tcMar>
            <w:vAlign w:val="center"/>
          </w:tcPr>
          <w:p>
            <w:pPr>
              <w:pStyle w:val="TableContents"/>
              <w:spacing w:before="0" w:after="0"/>
              <w:ind w:left="0" w:right="0" w:hanging="0"/>
              <w:rPr/>
            </w:pPr>
            <w:r>
              <w:rPr/>
              <w:t> </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1415" w:type="dxa"/>
            <w:tcBorders/>
            <w:shd w:fill="FFFFFF" w:val="clear"/>
            <w:tcMar>
              <w:bottom w:w="0" w:type="dxa"/>
            </w:tcMar>
            <w:vAlign w:val="center"/>
          </w:tcPr>
          <w:p>
            <w:pPr>
              <w:pStyle w:val="TableContents"/>
              <w:spacing w:before="0" w:after="0"/>
              <w:ind w:left="0" w:right="0" w:hanging="0"/>
              <w:rPr/>
            </w:pPr>
            <w:r>
              <w:rPr/>
              <w:t>Net reserve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800" w:type="dxa"/>
            <w:gridSpan w:val="2"/>
            <w:tcBorders/>
            <w:shd w:fill="FFFFFF" w:val="clear"/>
            <w:tcMar>
              <w:bottom w:w="0" w:type="dxa"/>
            </w:tcMar>
            <w:vAlign w:val="center"/>
          </w:tcPr>
          <w:p>
            <w:pPr>
              <w:pStyle w:val="TableContents"/>
              <w:spacing w:before="0" w:after="0"/>
              <w:ind w:left="0" w:right="0" w:hanging="0"/>
              <w:rPr/>
            </w:pPr>
            <w:r>
              <w:rPr/>
              <w:t> </w:t>
            </w:r>
          </w:p>
        </w:tc>
        <w:tc>
          <w:tcPr>
            <w:tcW w:w="135" w:type="dxa"/>
            <w:tcBorders/>
            <w:shd w:fill="FFFFFF" w:val="clear"/>
            <w:tcMar>
              <w:bottom w:w="0" w:type="dxa"/>
            </w:tcMar>
            <w:vAlign w:val="center"/>
          </w:tcPr>
          <w:p>
            <w:pPr>
              <w:pStyle w:val="TableContents"/>
              <w:spacing w:before="0" w:after="0"/>
              <w:ind w:left="0" w:right="0" w:hanging="0"/>
              <w:rPr/>
            </w:pPr>
            <w:r>
              <w:rPr/>
              <w:t> </w:t>
            </w:r>
          </w:p>
        </w:tc>
      </w:tr>
      <w:tr>
        <w:trPr/>
        <w:tc>
          <w:tcPr>
            <w:tcW w:w="1415" w:type="dxa"/>
            <w:tcBorders/>
            <w:shd w:fill="CCEEFF" w:val="clear"/>
            <w:tcMar>
              <w:bottom w:w="0" w:type="dxa"/>
            </w:tcMar>
            <w:vAlign w:val="center"/>
          </w:tcPr>
          <w:p>
            <w:pPr>
              <w:pStyle w:val="TableContents"/>
              <w:spacing w:before="0" w:after="0"/>
              <w:ind w:left="0" w:right="0" w:hanging="0"/>
              <w:rPr/>
            </w:pPr>
            <w:r>
              <w:rPr/>
              <w:t>December 31,</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7,280</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8,520</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12,065</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17,139</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21,663</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23,170</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25,960</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32,051</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40,526</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64,770</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62,647</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1415" w:type="dxa"/>
            <w:tcBorders/>
            <w:shd w:fill="FFFFFF" w:val="clear"/>
            <w:tcMar>
              <w:bottom w:w="0" w:type="dxa"/>
            </w:tcMar>
            <w:vAlign w:val="center"/>
          </w:tcPr>
          <w:p>
            <w:pPr>
              <w:pStyle w:val="TableContents"/>
              <w:spacing w:before="0" w:after="0"/>
              <w:ind w:left="0" w:right="0" w:hanging="0"/>
              <w:rPr/>
            </w:pPr>
            <w:r>
              <w:rPr/>
              <w:t>* Reinsurance Recoverable</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10,432</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9,960</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18,420</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17,364</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18,250</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16,707</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15,777</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16,749</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15,671</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15,728</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20,154</w:t>
            </w:r>
          </w:p>
        </w:tc>
        <w:tc>
          <w:tcPr>
            <w:tcW w:w="135" w:type="dxa"/>
            <w:tcBorders/>
            <w:shd w:fill="FFFFFF" w:val="clear"/>
            <w:tcMar>
              <w:bottom w:w="0" w:type="dxa"/>
            </w:tcMar>
            <w:vAlign w:val="center"/>
          </w:tcPr>
          <w:p>
            <w:pPr>
              <w:pStyle w:val="TableContents"/>
              <w:spacing w:before="0" w:after="0"/>
              <w:ind w:left="0" w:right="0" w:hanging="0"/>
              <w:rPr/>
            </w:pPr>
            <w:r>
              <w:rPr/>
              <w:t> </w:t>
            </w:r>
          </w:p>
        </w:tc>
      </w:tr>
      <w:tr>
        <w:trPr/>
        <w:tc>
          <w:tcPr>
            <w:tcW w:w="1415" w:type="dxa"/>
            <w:tcBorders/>
            <w:shd w:fill="CCEEFF" w:val="clear"/>
            <w:tcMar>
              <w:bottom w:w="0" w:type="dxa"/>
            </w:tcMar>
            <w:vAlign w:val="center"/>
          </w:tcPr>
          <w:p>
            <w:pPr>
              <w:pStyle w:val="TableContents"/>
              <w:spacing w:before="0" w:after="0"/>
              <w:ind w:left="0" w:right="0" w:hanging="0"/>
              <w:rPr/>
            </w:pPr>
            <w:r>
              <w:rPr/>
              <w:t>* Gross reserves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CCEEFF" w:val="clear"/>
            <w:vAlign w:val="center"/>
          </w:tcPr>
          <w:p>
            <w:pPr>
              <w:pStyle w:val="TableContents"/>
              <w:spacing w:before="0" w:after="0"/>
              <w:ind w:left="0" w:right="0" w:hanging="0"/>
              <w:rPr/>
            </w:pPr>
            <w:r>
              <w:rPr/>
              <w:t> </w:t>
            </w:r>
          </w:p>
        </w:tc>
        <w:tc>
          <w:tcPr>
            <w:tcW w:w="710" w:type="dxa"/>
            <w:tcBorders>
              <w:bottom w:val="single" w:sz="2" w:space="0" w:color="000000"/>
            </w:tcBorders>
            <w:shd w:fill="CCEEFF" w:val="cle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CCEEFF" w:val="clear"/>
            <w:vAlign w:val="center"/>
          </w:tcPr>
          <w:p>
            <w:pPr>
              <w:pStyle w:val="TableContents"/>
              <w:spacing w:before="0" w:after="0"/>
              <w:ind w:left="0" w:right="0" w:hanging="0"/>
              <w:rPr/>
            </w:pPr>
            <w:r>
              <w:rPr/>
              <w:t> </w:t>
            </w:r>
          </w:p>
        </w:tc>
        <w:tc>
          <w:tcPr>
            <w:tcW w:w="710" w:type="dxa"/>
            <w:tcBorders>
              <w:bottom w:val="single" w:sz="2" w:space="0" w:color="000000"/>
            </w:tcBorders>
            <w:shd w:fill="CCEEFF" w:val="cle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CCEEFF" w:val="clear"/>
            <w:vAlign w:val="center"/>
          </w:tcPr>
          <w:p>
            <w:pPr>
              <w:pStyle w:val="TableContents"/>
              <w:spacing w:before="0" w:after="0"/>
              <w:ind w:left="0" w:right="0" w:hanging="0"/>
              <w:rPr/>
            </w:pPr>
            <w:r>
              <w:rPr/>
              <w:t> </w:t>
            </w:r>
          </w:p>
        </w:tc>
        <w:tc>
          <w:tcPr>
            <w:tcW w:w="785" w:type="dxa"/>
            <w:tcBorders>
              <w:bottom w:val="single" w:sz="2" w:space="0" w:color="000000"/>
            </w:tcBorders>
            <w:shd w:fill="CCEEFF" w:val="cle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CCEEFF" w:val="clear"/>
            <w:vAlign w:val="center"/>
          </w:tcPr>
          <w:p>
            <w:pPr>
              <w:pStyle w:val="TableContents"/>
              <w:spacing w:before="0" w:after="0"/>
              <w:ind w:left="0" w:right="0" w:hanging="0"/>
              <w:rPr/>
            </w:pPr>
            <w:r>
              <w:rPr/>
              <w:t> </w:t>
            </w:r>
          </w:p>
        </w:tc>
        <w:tc>
          <w:tcPr>
            <w:tcW w:w="710" w:type="dxa"/>
            <w:tcBorders>
              <w:bottom w:val="single" w:sz="2" w:space="0" w:color="000000"/>
            </w:tcBorders>
            <w:shd w:fill="CCEEFF" w:val="cle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CCEEFF" w:val="clear"/>
            <w:vAlign w:val="center"/>
          </w:tcPr>
          <w:p>
            <w:pPr>
              <w:pStyle w:val="TableContents"/>
              <w:spacing w:before="0" w:after="0"/>
              <w:ind w:left="0" w:right="0" w:hanging="0"/>
              <w:rPr/>
            </w:pPr>
            <w:r>
              <w:rPr/>
              <w:t> </w:t>
            </w:r>
          </w:p>
        </w:tc>
        <w:tc>
          <w:tcPr>
            <w:tcW w:w="710" w:type="dxa"/>
            <w:tcBorders>
              <w:bottom w:val="single" w:sz="2" w:space="0" w:color="000000"/>
            </w:tcBorders>
            <w:shd w:fill="CCEEFF" w:val="cle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CCEEFF" w:val="clear"/>
            <w:vAlign w:val="center"/>
          </w:tcPr>
          <w:p>
            <w:pPr>
              <w:pStyle w:val="TableContents"/>
              <w:spacing w:before="0" w:after="0"/>
              <w:ind w:left="0" w:right="0" w:hanging="0"/>
              <w:rPr/>
            </w:pPr>
            <w:r>
              <w:rPr/>
              <w:t> </w:t>
            </w:r>
          </w:p>
        </w:tc>
        <w:tc>
          <w:tcPr>
            <w:tcW w:w="785" w:type="dxa"/>
            <w:tcBorders>
              <w:bottom w:val="single" w:sz="2" w:space="0" w:color="000000"/>
            </w:tcBorders>
            <w:shd w:fill="CCEEFF" w:val="cle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CCEEFF" w:val="clear"/>
            <w:vAlign w:val="center"/>
          </w:tcPr>
          <w:p>
            <w:pPr>
              <w:pStyle w:val="TableContents"/>
              <w:spacing w:before="0" w:after="0"/>
              <w:ind w:left="0" w:right="0" w:hanging="0"/>
              <w:rPr/>
            </w:pPr>
            <w:r>
              <w:rPr/>
              <w:t> </w:t>
            </w:r>
          </w:p>
        </w:tc>
        <w:tc>
          <w:tcPr>
            <w:tcW w:w="785" w:type="dxa"/>
            <w:tcBorders>
              <w:bottom w:val="single" w:sz="2" w:space="0" w:color="000000"/>
            </w:tcBorders>
            <w:shd w:fill="CCEEFF" w:val="cle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CCEEFF" w:val="clear"/>
            <w:vAlign w:val="center"/>
          </w:tcPr>
          <w:p>
            <w:pPr>
              <w:pStyle w:val="TableContents"/>
              <w:spacing w:before="0" w:after="0"/>
              <w:ind w:left="0" w:right="0" w:hanging="0"/>
              <w:rPr/>
            </w:pPr>
            <w:r>
              <w:rPr/>
              <w:t> </w:t>
            </w:r>
          </w:p>
        </w:tc>
        <w:tc>
          <w:tcPr>
            <w:tcW w:w="785" w:type="dxa"/>
            <w:tcBorders>
              <w:bottom w:val="single" w:sz="2" w:space="0" w:color="000000"/>
            </w:tcBorders>
            <w:shd w:fill="CCEEFF" w:val="cle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CCEEFF" w:val="clear"/>
            <w:vAlign w:val="center"/>
          </w:tcPr>
          <w:p>
            <w:pPr>
              <w:pStyle w:val="TableContents"/>
              <w:spacing w:before="0" w:after="0"/>
              <w:ind w:left="0" w:right="0" w:hanging="0"/>
              <w:rPr/>
            </w:pPr>
            <w:r>
              <w:rPr/>
              <w:t> </w:t>
            </w:r>
          </w:p>
        </w:tc>
        <w:tc>
          <w:tcPr>
            <w:tcW w:w="785" w:type="dxa"/>
            <w:tcBorders>
              <w:bottom w:val="single" w:sz="2" w:space="0" w:color="000000"/>
            </w:tcBorders>
            <w:shd w:fill="CCEEFF" w:val="cle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CCEEFF" w:val="clear"/>
            <w:vAlign w:val="center"/>
          </w:tcPr>
          <w:p>
            <w:pPr>
              <w:pStyle w:val="TableContents"/>
              <w:spacing w:before="0" w:after="0"/>
              <w:ind w:left="0" w:right="0" w:hanging="0"/>
              <w:rPr/>
            </w:pPr>
            <w:r>
              <w:rPr/>
              <w:t> </w:t>
            </w:r>
          </w:p>
        </w:tc>
        <w:tc>
          <w:tcPr>
            <w:tcW w:w="710" w:type="dxa"/>
            <w:tcBorders>
              <w:bottom w:val="single" w:sz="2" w:space="0" w:color="000000"/>
            </w:tcBorders>
            <w:shd w:fill="CCEEFF" w:val="cle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CCEEFF" w:val="clear"/>
            <w:vAlign w:val="center"/>
          </w:tcPr>
          <w:p>
            <w:pPr>
              <w:pStyle w:val="TableContents"/>
              <w:spacing w:before="0" w:after="0"/>
              <w:ind w:left="0" w:right="0" w:hanging="0"/>
              <w:rPr/>
            </w:pPr>
            <w:r>
              <w:rPr/>
              <w:t> </w:t>
            </w:r>
          </w:p>
        </w:tc>
        <w:tc>
          <w:tcPr>
            <w:tcW w:w="710" w:type="dxa"/>
            <w:tcBorders>
              <w:bottom w:val="single" w:sz="2" w:space="0" w:color="000000"/>
            </w:tcBorders>
            <w:shd w:fill="CCEEFF" w:val="clear"/>
            <w:vAlign w:val="center"/>
          </w:tcPr>
          <w:p>
            <w:pPr>
              <w:pStyle w:val="TableContents"/>
              <w:spacing w:before="0" w:after="0"/>
              <w:ind w:left="0" w:right="0" w:hanging="0"/>
              <w:rPr/>
            </w:pPr>
            <w:r>
              <w:rPr/>
              <w:t> </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1415" w:type="dxa"/>
            <w:tcBorders/>
            <w:shd w:fill="FFFFFF" w:val="clear"/>
            <w:tcMar>
              <w:bottom w:w="0" w:type="dxa"/>
            </w:tcMar>
            <w:vAlign w:val="center"/>
          </w:tcPr>
          <w:p>
            <w:pPr>
              <w:pStyle w:val="TableContents"/>
              <w:spacing w:before="0" w:after="0"/>
              <w:ind w:left="0" w:right="0" w:hanging="0"/>
              <w:rPr/>
            </w:pPr>
            <w:r>
              <w:rPr/>
              <w:t xml:space="preserve">  </w:t>
            </w:r>
            <w:r>
              <w:rPr/>
              <w:t>December 31,</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10" w:type="dxa"/>
            <w:tcBorders>
              <w:bottom w:val="double" w:sz="6" w:space="0" w:color="000000"/>
            </w:tcBorders>
            <w:shd w:fill="FFFFFF" w:val="clear"/>
            <w:vAlign w:val="center"/>
          </w:tcPr>
          <w:p>
            <w:pPr>
              <w:pStyle w:val="TableContents"/>
              <w:spacing w:before="0" w:after="283"/>
              <w:jc w:val="right"/>
              <w:rPr/>
            </w:pPr>
            <w:r>
              <w:rPr/>
              <w:t>17,712</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10" w:type="dxa"/>
            <w:tcBorders>
              <w:bottom w:val="double" w:sz="6" w:space="0" w:color="000000"/>
            </w:tcBorders>
            <w:shd w:fill="FFFFFF" w:val="clear"/>
            <w:vAlign w:val="center"/>
          </w:tcPr>
          <w:p>
            <w:pPr>
              <w:pStyle w:val="TableContents"/>
              <w:spacing w:before="0" w:after="283"/>
              <w:jc w:val="right"/>
              <w:rPr/>
            </w:pPr>
            <w:r>
              <w:rPr/>
              <w:t>18,480</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85" w:type="dxa"/>
            <w:tcBorders>
              <w:bottom w:val="double" w:sz="6" w:space="0" w:color="000000"/>
            </w:tcBorders>
            <w:shd w:fill="FFFFFF" w:val="clear"/>
            <w:vAlign w:val="center"/>
          </w:tcPr>
          <w:p>
            <w:pPr>
              <w:pStyle w:val="TableContents"/>
              <w:spacing w:before="0" w:after="283"/>
              <w:jc w:val="right"/>
              <w:rPr/>
            </w:pPr>
            <w:r>
              <w:rPr/>
              <w:t>30,485</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10" w:type="dxa"/>
            <w:tcBorders>
              <w:bottom w:val="double" w:sz="6" w:space="0" w:color="000000"/>
            </w:tcBorders>
            <w:shd w:fill="FFFFFF" w:val="clear"/>
            <w:vAlign w:val="center"/>
          </w:tcPr>
          <w:p>
            <w:pPr>
              <w:pStyle w:val="TableContents"/>
              <w:spacing w:before="0" w:after="283"/>
              <w:jc w:val="right"/>
              <w:rPr/>
            </w:pPr>
            <w:r>
              <w:rPr/>
              <w:t>34,503</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10" w:type="dxa"/>
            <w:tcBorders>
              <w:bottom w:val="double" w:sz="6" w:space="0" w:color="000000"/>
            </w:tcBorders>
            <w:shd w:fill="FFFFFF" w:val="clear"/>
            <w:vAlign w:val="center"/>
          </w:tcPr>
          <w:p>
            <w:pPr>
              <w:pStyle w:val="TableContents"/>
              <w:spacing w:before="0" w:after="283"/>
              <w:jc w:val="right"/>
              <w:rPr/>
            </w:pPr>
            <w:r>
              <w:rPr/>
              <w:t>39,913</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85" w:type="dxa"/>
            <w:tcBorders>
              <w:bottom w:val="double" w:sz="6" w:space="0" w:color="000000"/>
            </w:tcBorders>
            <w:shd w:fill="FFFFFF" w:val="clear"/>
            <w:vAlign w:val="center"/>
          </w:tcPr>
          <w:p>
            <w:pPr>
              <w:pStyle w:val="TableContents"/>
              <w:spacing w:before="0" w:after="283"/>
              <w:jc w:val="right"/>
              <w:rPr/>
            </w:pPr>
            <w:r>
              <w:rPr/>
              <w:t>39,877</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85" w:type="dxa"/>
            <w:tcBorders>
              <w:bottom w:val="double" w:sz="6" w:space="0" w:color="000000"/>
            </w:tcBorders>
            <w:shd w:fill="FFFFFF" w:val="clear"/>
            <w:vAlign w:val="center"/>
          </w:tcPr>
          <w:p>
            <w:pPr>
              <w:pStyle w:val="TableContents"/>
              <w:spacing w:before="0" w:after="283"/>
              <w:jc w:val="right"/>
              <w:rPr/>
            </w:pPr>
            <w:r>
              <w:rPr/>
              <w:t>41,737</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85" w:type="dxa"/>
            <w:tcBorders>
              <w:bottom w:val="double" w:sz="6" w:space="0" w:color="000000"/>
            </w:tcBorders>
            <w:shd w:fill="FFFFFF" w:val="clear"/>
            <w:vAlign w:val="center"/>
          </w:tcPr>
          <w:p>
            <w:pPr>
              <w:pStyle w:val="TableContents"/>
              <w:spacing w:before="0" w:after="283"/>
              <w:jc w:val="right"/>
              <w:rPr/>
            </w:pPr>
            <w:r>
              <w:rPr/>
              <w:t>48,800</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85" w:type="dxa"/>
            <w:tcBorders>
              <w:bottom w:val="double" w:sz="6" w:space="0" w:color="000000"/>
            </w:tcBorders>
            <w:shd w:fill="FFFFFF" w:val="clear"/>
            <w:vAlign w:val="center"/>
          </w:tcPr>
          <w:p>
            <w:pPr>
              <w:pStyle w:val="TableContents"/>
              <w:spacing w:before="0" w:after="283"/>
              <w:jc w:val="right"/>
              <w:rPr/>
            </w:pPr>
            <w:r>
              <w:rPr/>
              <w:t>56,197</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10" w:type="dxa"/>
            <w:tcBorders>
              <w:bottom w:val="double" w:sz="6" w:space="0" w:color="000000"/>
            </w:tcBorders>
            <w:shd w:fill="FFFFFF" w:val="clear"/>
            <w:vAlign w:val="center"/>
          </w:tcPr>
          <w:p>
            <w:pPr>
              <w:pStyle w:val="TableContents"/>
              <w:spacing w:before="0" w:after="283"/>
              <w:jc w:val="right"/>
              <w:rPr/>
            </w:pPr>
            <w:r>
              <w:rPr/>
              <w:t>80,499</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10" w:type="dxa"/>
            <w:tcBorders>
              <w:bottom w:val="double" w:sz="6" w:space="0" w:color="000000"/>
            </w:tcBorders>
            <w:shd w:fill="FFFFFF" w:val="clear"/>
            <w:vAlign w:val="center"/>
          </w:tcPr>
          <w:p>
            <w:pPr>
              <w:pStyle w:val="TableContents"/>
              <w:spacing w:before="0" w:after="283"/>
              <w:jc w:val="right"/>
              <w:rPr/>
            </w:pPr>
            <w:r>
              <w:rPr/>
              <w:t>82,801</w:t>
            </w:r>
          </w:p>
        </w:tc>
        <w:tc>
          <w:tcPr>
            <w:tcW w:w="135" w:type="dxa"/>
            <w:tcBorders/>
            <w:shd w:fill="FFFFFF" w:val="clear"/>
            <w:tcMar>
              <w:bottom w:w="0" w:type="dxa"/>
            </w:tcMar>
            <w:vAlign w:val="center"/>
          </w:tcPr>
          <w:p>
            <w:pPr>
              <w:pStyle w:val="TableContents"/>
              <w:spacing w:before="0" w:after="0"/>
              <w:ind w:left="0" w:right="0" w:hanging="0"/>
              <w:rPr/>
            </w:pPr>
            <w:r>
              <w:rPr/>
              <w:t> </w:t>
            </w:r>
          </w:p>
        </w:tc>
      </w:tr>
      <w:tr>
        <w:trPr/>
        <w:tc>
          <w:tcPr>
            <w:tcW w:w="141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1415" w:type="dxa"/>
            <w:tcBorders/>
            <w:shd w:fill="FFFFFF" w:val="clear"/>
            <w:tcMar>
              <w:bottom w:w="0" w:type="dxa"/>
            </w:tcMar>
            <w:vAlign w:val="center"/>
          </w:tcPr>
          <w:p>
            <w:pPr>
              <w:pStyle w:val="TableContents"/>
              <w:spacing w:before="0" w:after="0"/>
              <w:ind w:left="0" w:right="0" w:hanging="0"/>
              <w:rPr/>
            </w:pPr>
            <w:r>
              <w:rPr/>
              <w:t>Net re-estimated reserve</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9,728</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12,325</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17,089</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20,069</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25,353</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28,506</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33,342</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43,780</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55,145</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64,811</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35" w:type="dxa"/>
            <w:tcBorders/>
            <w:shd w:fill="FFFFFF" w:val="clear"/>
            <w:tcMar>
              <w:bottom w:w="0" w:type="dxa"/>
            </w:tcMar>
            <w:vAlign w:val="center"/>
          </w:tcPr>
          <w:p>
            <w:pPr>
              <w:pStyle w:val="TableContents"/>
              <w:spacing w:before="0" w:after="0"/>
              <w:ind w:left="0" w:right="0" w:hanging="0"/>
              <w:rPr/>
            </w:pPr>
            <w:r>
              <w:rPr/>
              <w:t> </w:t>
            </w:r>
          </w:p>
        </w:tc>
      </w:tr>
      <w:tr>
        <w:trPr/>
        <w:tc>
          <w:tcPr>
            <w:tcW w:w="1415" w:type="dxa"/>
            <w:tcBorders/>
            <w:shd w:fill="CCEEFF" w:val="clear"/>
            <w:tcMar>
              <w:bottom w:w="0" w:type="dxa"/>
            </w:tcMar>
            <w:vAlign w:val="center"/>
          </w:tcPr>
          <w:p>
            <w:pPr>
              <w:pStyle w:val="TableContents"/>
              <w:spacing w:before="0" w:after="0"/>
              <w:ind w:left="0" w:right="0" w:hanging="0"/>
              <w:rPr/>
            </w:pPr>
            <w:r>
              <w:rPr/>
              <w:t>Re-estimated reinsurance recoverable</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CCEEFF" w:val="clear"/>
            <w:vAlign w:val="center"/>
          </w:tcPr>
          <w:p>
            <w:pPr>
              <w:pStyle w:val="TableContents"/>
              <w:spacing w:before="0" w:after="0"/>
              <w:ind w:left="0" w:right="0" w:hanging="0"/>
              <w:rPr/>
            </w:pPr>
            <w:r>
              <w:rPr/>
              <w:t> </w:t>
            </w:r>
          </w:p>
        </w:tc>
        <w:tc>
          <w:tcPr>
            <w:tcW w:w="710" w:type="dxa"/>
            <w:tcBorders>
              <w:bottom w:val="single" w:sz="2" w:space="0" w:color="000000"/>
            </w:tcBorders>
            <w:shd w:fill="CCEEFF" w:val="clear"/>
            <w:vAlign w:val="center"/>
          </w:tcPr>
          <w:p>
            <w:pPr>
              <w:pStyle w:val="TableContents"/>
              <w:spacing w:before="0" w:after="283"/>
              <w:jc w:val="right"/>
              <w:rPr/>
            </w:pPr>
            <w:r>
              <w:rPr/>
              <w:t>13,140</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CCEEFF" w:val="clear"/>
            <w:vAlign w:val="center"/>
          </w:tcPr>
          <w:p>
            <w:pPr>
              <w:pStyle w:val="TableContents"/>
              <w:spacing w:before="0" w:after="0"/>
              <w:ind w:left="0" w:right="0" w:hanging="0"/>
              <w:rPr/>
            </w:pPr>
            <w:r>
              <w:rPr/>
              <w:t> </w:t>
            </w:r>
          </w:p>
        </w:tc>
        <w:tc>
          <w:tcPr>
            <w:tcW w:w="710" w:type="dxa"/>
            <w:tcBorders>
              <w:bottom w:val="single" w:sz="2" w:space="0" w:color="000000"/>
            </w:tcBorders>
            <w:shd w:fill="CCEEFF" w:val="clear"/>
            <w:vAlign w:val="center"/>
          </w:tcPr>
          <w:p>
            <w:pPr>
              <w:pStyle w:val="TableContents"/>
              <w:spacing w:before="0" w:after="283"/>
              <w:jc w:val="right"/>
              <w:rPr/>
            </w:pPr>
            <w:r>
              <w:rPr/>
              <w:t>13,577</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CCEEFF" w:val="clear"/>
            <w:vAlign w:val="center"/>
          </w:tcPr>
          <w:p>
            <w:pPr>
              <w:pStyle w:val="TableContents"/>
              <w:spacing w:before="0" w:after="0"/>
              <w:ind w:left="0" w:right="0" w:hanging="0"/>
              <w:rPr/>
            </w:pPr>
            <w:r>
              <w:rPr/>
              <w:t> </w:t>
            </w:r>
          </w:p>
        </w:tc>
        <w:tc>
          <w:tcPr>
            <w:tcW w:w="785" w:type="dxa"/>
            <w:tcBorders>
              <w:bottom w:val="single" w:sz="2" w:space="0" w:color="000000"/>
            </w:tcBorders>
            <w:shd w:fill="CCEEFF" w:val="clear"/>
            <w:vAlign w:val="center"/>
          </w:tcPr>
          <w:p>
            <w:pPr>
              <w:pStyle w:val="TableContents"/>
              <w:spacing w:before="0" w:after="283"/>
              <w:jc w:val="right"/>
              <w:rPr/>
            </w:pPr>
            <w:r>
              <w:rPr/>
              <w:t>28,342</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CCEEFF" w:val="clear"/>
            <w:vAlign w:val="center"/>
          </w:tcPr>
          <w:p>
            <w:pPr>
              <w:pStyle w:val="TableContents"/>
              <w:spacing w:before="0" w:after="0"/>
              <w:ind w:left="0" w:right="0" w:hanging="0"/>
              <w:rPr/>
            </w:pPr>
            <w:r>
              <w:rPr/>
              <w:t> </w:t>
            </w:r>
          </w:p>
        </w:tc>
        <w:tc>
          <w:tcPr>
            <w:tcW w:w="710" w:type="dxa"/>
            <w:tcBorders>
              <w:bottom w:val="single" w:sz="2" w:space="0" w:color="000000"/>
            </w:tcBorders>
            <w:shd w:fill="CCEEFF" w:val="clear"/>
            <w:vAlign w:val="center"/>
          </w:tcPr>
          <w:p>
            <w:pPr>
              <w:pStyle w:val="TableContents"/>
              <w:spacing w:before="0" w:after="283"/>
              <w:jc w:val="right"/>
              <w:rPr/>
            </w:pPr>
            <w:r>
              <w:rPr/>
              <w:t>22,512</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CCEEFF" w:val="clear"/>
            <w:vAlign w:val="center"/>
          </w:tcPr>
          <w:p>
            <w:pPr>
              <w:pStyle w:val="TableContents"/>
              <w:spacing w:before="0" w:after="0"/>
              <w:ind w:left="0" w:right="0" w:hanging="0"/>
              <w:rPr/>
            </w:pPr>
            <w:r>
              <w:rPr/>
              <w:t> </w:t>
            </w:r>
          </w:p>
        </w:tc>
        <w:tc>
          <w:tcPr>
            <w:tcW w:w="710" w:type="dxa"/>
            <w:tcBorders>
              <w:bottom w:val="single" w:sz="2" w:space="0" w:color="000000"/>
            </w:tcBorders>
            <w:shd w:fill="CCEEFF" w:val="clear"/>
            <w:vAlign w:val="center"/>
          </w:tcPr>
          <w:p>
            <w:pPr>
              <w:pStyle w:val="TableContents"/>
              <w:spacing w:before="0" w:after="283"/>
              <w:jc w:val="right"/>
              <w:rPr/>
            </w:pPr>
            <w:r>
              <w:rPr/>
              <w:t>23,667</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CCEEFF" w:val="clear"/>
            <w:vAlign w:val="center"/>
          </w:tcPr>
          <w:p>
            <w:pPr>
              <w:pStyle w:val="TableContents"/>
              <w:spacing w:before="0" w:after="0"/>
              <w:ind w:left="0" w:right="0" w:hanging="0"/>
              <w:rPr/>
            </w:pPr>
            <w:r>
              <w:rPr/>
              <w:t> </w:t>
            </w:r>
          </w:p>
        </w:tc>
        <w:tc>
          <w:tcPr>
            <w:tcW w:w="785" w:type="dxa"/>
            <w:tcBorders>
              <w:bottom w:val="single" w:sz="2" w:space="0" w:color="000000"/>
            </w:tcBorders>
            <w:shd w:fill="CCEEFF" w:val="clear"/>
            <w:vAlign w:val="center"/>
          </w:tcPr>
          <w:p>
            <w:pPr>
              <w:pStyle w:val="TableContents"/>
              <w:spacing w:before="0" w:after="283"/>
              <w:jc w:val="right"/>
              <w:rPr/>
            </w:pPr>
            <w:r>
              <w:rPr/>
              <w:t>21,667</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CCEEFF" w:val="clear"/>
            <w:vAlign w:val="center"/>
          </w:tcPr>
          <w:p>
            <w:pPr>
              <w:pStyle w:val="TableContents"/>
              <w:spacing w:before="0" w:after="0"/>
              <w:ind w:left="0" w:right="0" w:hanging="0"/>
              <w:rPr/>
            </w:pPr>
            <w:r>
              <w:rPr/>
              <w:t> </w:t>
            </w:r>
          </w:p>
        </w:tc>
        <w:tc>
          <w:tcPr>
            <w:tcW w:w="785" w:type="dxa"/>
            <w:tcBorders>
              <w:bottom w:val="single" w:sz="2" w:space="0" w:color="000000"/>
            </w:tcBorders>
            <w:shd w:fill="CCEEFF" w:val="clear"/>
            <w:vAlign w:val="center"/>
          </w:tcPr>
          <w:p>
            <w:pPr>
              <w:pStyle w:val="TableContents"/>
              <w:spacing w:before="0" w:after="283"/>
              <w:jc w:val="right"/>
              <w:rPr/>
            </w:pPr>
            <w:r>
              <w:rPr/>
              <w:t>21,300</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CCEEFF" w:val="clear"/>
            <w:vAlign w:val="center"/>
          </w:tcPr>
          <w:p>
            <w:pPr>
              <w:pStyle w:val="TableContents"/>
              <w:spacing w:before="0" w:after="0"/>
              <w:ind w:left="0" w:right="0" w:hanging="0"/>
              <w:rPr/>
            </w:pPr>
            <w:r>
              <w:rPr/>
              <w:t> </w:t>
            </w:r>
          </w:p>
        </w:tc>
        <w:tc>
          <w:tcPr>
            <w:tcW w:w="785" w:type="dxa"/>
            <w:tcBorders>
              <w:bottom w:val="single" w:sz="2" w:space="0" w:color="000000"/>
            </w:tcBorders>
            <w:shd w:fill="CCEEFF" w:val="clear"/>
            <w:vAlign w:val="center"/>
          </w:tcPr>
          <w:p>
            <w:pPr>
              <w:pStyle w:val="TableContents"/>
              <w:spacing w:before="0" w:after="283"/>
              <w:jc w:val="right"/>
              <w:rPr/>
            </w:pPr>
            <w:r>
              <w:rPr/>
              <w:t>21,264</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CCEEFF" w:val="clear"/>
            <w:vAlign w:val="center"/>
          </w:tcPr>
          <w:p>
            <w:pPr>
              <w:pStyle w:val="TableContents"/>
              <w:spacing w:before="0" w:after="0"/>
              <w:ind w:left="0" w:right="0" w:hanging="0"/>
              <w:rPr/>
            </w:pPr>
            <w:r>
              <w:rPr/>
              <w:t> </w:t>
            </w:r>
          </w:p>
        </w:tc>
        <w:tc>
          <w:tcPr>
            <w:tcW w:w="785" w:type="dxa"/>
            <w:tcBorders>
              <w:bottom w:val="single" w:sz="2" w:space="0" w:color="000000"/>
            </w:tcBorders>
            <w:shd w:fill="CCEEFF" w:val="clear"/>
            <w:vAlign w:val="center"/>
          </w:tcPr>
          <w:p>
            <w:pPr>
              <w:pStyle w:val="TableContents"/>
              <w:spacing w:before="0" w:after="283"/>
              <w:jc w:val="right"/>
              <w:rPr/>
            </w:pPr>
            <w:r>
              <w:rPr/>
              <w:t>19,551</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CCEEFF" w:val="clear"/>
            <w:vAlign w:val="center"/>
          </w:tcPr>
          <w:p>
            <w:pPr>
              <w:pStyle w:val="TableContents"/>
              <w:spacing w:before="0" w:after="0"/>
              <w:ind w:left="0" w:right="0" w:hanging="0"/>
              <w:rPr/>
            </w:pPr>
            <w:r>
              <w:rPr/>
              <w:t> </w:t>
            </w:r>
          </w:p>
        </w:tc>
        <w:tc>
          <w:tcPr>
            <w:tcW w:w="710" w:type="dxa"/>
            <w:tcBorders>
              <w:bottom w:val="single" w:sz="2" w:space="0" w:color="000000"/>
            </w:tcBorders>
            <w:shd w:fill="CCEEFF" w:val="clear"/>
            <w:vAlign w:val="center"/>
          </w:tcPr>
          <w:p>
            <w:pPr>
              <w:pStyle w:val="TableContents"/>
              <w:spacing w:before="0" w:after="283"/>
              <w:jc w:val="right"/>
              <w:rPr/>
            </w:pPr>
            <w:r>
              <w:rPr/>
              <w:t>16,496</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1415" w:type="dxa"/>
            <w:tcBorders/>
            <w:shd w:fill="FFFFFF" w:val="clear"/>
            <w:tcMar>
              <w:bottom w:w="0" w:type="dxa"/>
            </w:tcMar>
            <w:vAlign w:val="center"/>
          </w:tcPr>
          <w:p>
            <w:pPr>
              <w:pStyle w:val="TableContents"/>
              <w:spacing w:before="0" w:after="0"/>
              <w:ind w:left="0" w:right="0" w:hanging="0"/>
              <w:rPr/>
            </w:pPr>
            <w:r>
              <w:rPr/>
              <w:t>Gross re-estimated reserve</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10" w:type="dxa"/>
            <w:tcBorders>
              <w:bottom w:val="double" w:sz="6" w:space="0" w:color="000000"/>
            </w:tcBorders>
            <w:shd w:fill="FFFFFF" w:val="clear"/>
            <w:vAlign w:val="center"/>
          </w:tcPr>
          <w:p>
            <w:pPr>
              <w:pStyle w:val="TableContents"/>
              <w:spacing w:before="0" w:after="283"/>
              <w:jc w:val="right"/>
              <w:rPr/>
            </w:pPr>
            <w:r>
              <w:rPr/>
              <w:t>22,868</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10" w:type="dxa"/>
            <w:tcBorders>
              <w:bottom w:val="double" w:sz="6" w:space="0" w:color="000000"/>
            </w:tcBorders>
            <w:shd w:fill="FFFFFF" w:val="clear"/>
            <w:vAlign w:val="center"/>
          </w:tcPr>
          <w:p>
            <w:pPr>
              <w:pStyle w:val="TableContents"/>
              <w:spacing w:before="0" w:after="283"/>
              <w:jc w:val="right"/>
              <w:rPr/>
            </w:pPr>
            <w:r>
              <w:rPr/>
              <w:t>25,902</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85" w:type="dxa"/>
            <w:tcBorders>
              <w:bottom w:val="double" w:sz="6" w:space="0" w:color="000000"/>
            </w:tcBorders>
            <w:shd w:fill="FFFFFF" w:val="clear"/>
            <w:vAlign w:val="center"/>
          </w:tcPr>
          <w:p>
            <w:pPr>
              <w:pStyle w:val="TableContents"/>
              <w:spacing w:before="0" w:after="283"/>
              <w:jc w:val="right"/>
              <w:rPr/>
            </w:pPr>
            <w:r>
              <w:rPr/>
              <w:t>45,431</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10" w:type="dxa"/>
            <w:tcBorders>
              <w:bottom w:val="double" w:sz="6" w:space="0" w:color="000000"/>
            </w:tcBorders>
            <w:shd w:fill="FFFFFF" w:val="clear"/>
            <w:vAlign w:val="center"/>
          </w:tcPr>
          <w:p>
            <w:pPr>
              <w:pStyle w:val="TableContents"/>
              <w:spacing w:before="0" w:after="283"/>
              <w:jc w:val="right"/>
              <w:rPr/>
            </w:pPr>
            <w:r>
              <w:rPr/>
              <w:t>42,581</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10" w:type="dxa"/>
            <w:tcBorders>
              <w:bottom w:val="double" w:sz="6" w:space="0" w:color="000000"/>
            </w:tcBorders>
            <w:shd w:fill="FFFFFF" w:val="clear"/>
            <w:vAlign w:val="center"/>
          </w:tcPr>
          <w:p>
            <w:pPr>
              <w:pStyle w:val="TableContents"/>
              <w:spacing w:before="0" w:after="283"/>
              <w:jc w:val="right"/>
              <w:rPr/>
            </w:pPr>
            <w:r>
              <w:rPr/>
              <w:t>49,020</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85" w:type="dxa"/>
            <w:tcBorders>
              <w:bottom w:val="double" w:sz="6" w:space="0" w:color="000000"/>
            </w:tcBorders>
            <w:shd w:fill="FFFFFF" w:val="clear"/>
            <w:vAlign w:val="center"/>
          </w:tcPr>
          <w:p>
            <w:pPr>
              <w:pStyle w:val="TableContents"/>
              <w:spacing w:before="0" w:after="283"/>
              <w:jc w:val="right"/>
              <w:rPr/>
            </w:pPr>
            <w:r>
              <w:rPr/>
              <w:t>50,173</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85" w:type="dxa"/>
            <w:tcBorders>
              <w:bottom w:val="double" w:sz="6" w:space="0" w:color="000000"/>
            </w:tcBorders>
            <w:shd w:fill="FFFFFF" w:val="clear"/>
            <w:vAlign w:val="center"/>
          </w:tcPr>
          <w:p>
            <w:pPr>
              <w:pStyle w:val="TableContents"/>
              <w:spacing w:before="0" w:after="283"/>
              <w:jc w:val="right"/>
              <w:rPr/>
            </w:pPr>
            <w:r>
              <w:rPr/>
              <w:t>54,642</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85" w:type="dxa"/>
            <w:tcBorders>
              <w:bottom w:val="double" w:sz="6" w:space="0" w:color="000000"/>
            </w:tcBorders>
            <w:shd w:fill="FFFFFF" w:val="clear"/>
            <w:vAlign w:val="center"/>
          </w:tcPr>
          <w:p>
            <w:pPr>
              <w:pStyle w:val="TableContents"/>
              <w:spacing w:before="0" w:after="283"/>
              <w:jc w:val="right"/>
              <w:rPr/>
            </w:pPr>
            <w:r>
              <w:rPr/>
              <w:t>65,044</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85" w:type="dxa"/>
            <w:tcBorders>
              <w:bottom w:val="double" w:sz="6" w:space="0" w:color="000000"/>
            </w:tcBorders>
            <w:shd w:fill="FFFFFF" w:val="clear"/>
            <w:vAlign w:val="center"/>
          </w:tcPr>
          <w:p>
            <w:pPr>
              <w:pStyle w:val="TableContents"/>
              <w:spacing w:before="0" w:after="283"/>
              <w:jc w:val="right"/>
              <w:rPr/>
            </w:pPr>
            <w:r>
              <w:rPr/>
              <w:t>74,696</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10" w:type="dxa"/>
            <w:tcBorders>
              <w:bottom w:val="double" w:sz="6" w:space="0" w:color="000000"/>
            </w:tcBorders>
            <w:shd w:fill="FFFFFF" w:val="clear"/>
            <w:vAlign w:val="center"/>
          </w:tcPr>
          <w:p>
            <w:pPr>
              <w:pStyle w:val="TableContents"/>
              <w:spacing w:before="0" w:after="283"/>
              <w:jc w:val="right"/>
              <w:rPr/>
            </w:pPr>
            <w:r>
              <w:rPr/>
              <w:t>81,307</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35" w:type="dxa"/>
            <w:tcBorders/>
            <w:shd w:fill="FFFFFF" w:val="clear"/>
            <w:tcMar>
              <w:bottom w:w="0" w:type="dxa"/>
            </w:tcMar>
            <w:vAlign w:val="center"/>
          </w:tcPr>
          <w:p>
            <w:pPr>
              <w:pStyle w:val="TableContents"/>
              <w:spacing w:before="0" w:after="0"/>
              <w:ind w:left="0" w:right="0" w:hanging="0"/>
              <w:rPr/>
            </w:pPr>
            <w:r>
              <w:rPr/>
              <w:t> </w:t>
            </w:r>
          </w:p>
        </w:tc>
      </w:tr>
      <w:tr>
        <w:trPr/>
        <w:tc>
          <w:tcPr>
            <w:tcW w:w="141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1415" w:type="dxa"/>
            <w:tcBorders/>
            <w:shd w:fill="FFFFFF" w:val="clear"/>
            <w:tcMar>
              <w:bottom w:w="0" w:type="dxa"/>
            </w:tcMar>
            <w:vAlign w:val="center"/>
          </w:tcPr>
          <w:p>
            <w:pPr>
              <w:pStyle w:val="TableContents"/>
              <w:spacing w:before="0" w:after="0"/>
              <w:ind w:left="0" w:right="0" w:hanging="0"/>
              <w:rPr/>
            </w:pPr>
            <w:r>
              <w:rPr/>
              <w:t>Gross cumulative redundancy (deficiency)</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10" w:type="dxa"/>
            <w:tcBorders>
              <w:bottom w:val="double" w:sz="6" w:space="0" w:color="000000"/>
            </w:tcBorders>
            <w:shd w:fill="FFFFFF" w:val="clear"/>
            <w:vAlign w:val="center"/>
          </w:tcPr>
          <w:p>
            <w:pPr>
              <w:pStyle w:val="TableContents"/>
              <w:spacing w:before="0" w:after="283"/>
              <w:jc w:val="right"/>
              <w:rPr/>
            </w:pPr>
            <w:r>
              <w:rPr/>
              <w:t>(5,156</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10" w:type="dxa"/>
            <w:tcBorders>
              <w:bottom w:val="double" w:sz="6" w:space="0" w:color="000000"/>
            </w:tcBorders>
            <w:shd w:fill="FFFFFF" w:val="clear"/>
            <w:vAlign w:val="center"/>
          </w:tcPr>
          <w:p>
            <w:pPr>
              <w:pStyle w:val="TableContents"/>
              <w:spacing w:before="0" w:after="283"/>
              <w:jc w:val="right"/>
              <w:rPr/>
            </w:pPr>
            <w:r>
              <w:rPr/>
              <w:t>(7,422</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85" w:type="dxa"/>
            <w:tcBorders>
              <w:bottom w:val="double" w:sz="6" w:space="0" w:color="000000"/>
            </w:tcBorders>
            <w:shd w:fill="FFFFFF" w:val="clear"/>
            <w:vAlign w:val="center"/>
          </w:tcPr>
          <w:p>
            <w:pPr>
              <w:pStyle w:val="TableContents"/>
              <w:spacing w:before="0" w:after="283"/>
              <w:jc w:val="right"/>
              <w:rPr/>
            </w:pPr>
            <w:r>
              <w:rPr/>
              <w:t>(14,946</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10" w:type="dxa"/>
            <w:tcBorders>
              <w:bottom w:val="double" w:sz="6" w:space="0" w:color="000000"/>
            </w:tcBorders>
            <w:shd w:fill="FFFFFF" w:val="clear"/>
            <w:vAlign w:val="center"/>
          </w:tcPr>
          <w:p>
            <w:pPr>
              <w:pStyle w:val="TableContents"/>
              <w:spacing w:before="0" w:after="283"/>
              <w:jc w:val="right"/>
              <w:rPr/>
            </w:pPr>
            <w:r>
              <w:rPr/>
              <w:t>(8,078</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10" w:type="dxa"/>
            <w:tcBorders>
              <w:bottom w:val="double" w:sz="6" w:space="0" w:color="000000"/>
            </w:tcBorders>
            <w:shd w:fill="FFFFFF" w:val="clear"/>
            <w:vAlign w:val="center"/>
          </w:tcPr>
          <w:p>
            <w:pPr>
              <w:pStyle w:val="TableContents"/>
              <w:spacing w:before="0" w:after="283"/>
              <w:jc w:val="right"/>
              <w:rPr/>
            </w:pPr>
            <w:r>
              <w:rPr/>
              <w:t>(9,107</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85" w:type="dxa"/>
            <w:tcBorders>
              <w:bottom w:val="double" w:sz="6" w:space="0" w:color="000000"/>
            </w:tcBorders>
            <w:shd w:fill="FFFFFF" w:val="clear"/>
            <w:vAlign w:val="center"/>
          </w:tcPr>
          <w:p>
            <w:pPr>
              <w:pStyle w:val="TableContents"/>
              <w:spacing w:before="0" w:after="283"/>
              <w:jc w:val="right"/>
              <w:rPr/>
            </w:pPr>
            <w:r>
              <w:rPr/>
              <w:t>(10,296</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85" w:type="dxa"/>
            <w:tcBorders>
              <w:bottom w:val="double" w:sz="6" w:space="0" w:color="000000"/>
            </w:tcBorders>
            <w:shd w:fill="FFFFFF" w:val="clear"/>
            <w:vAlign w:val="center"/>
          </w:tcPr>
          <w:p>
            <w:pPr>
              <w:pStyle w:val="TableContents"/>
              <w:spacing w:before="0" w:after="283"/>
              <w:jc w:val="right"/>
              <w:rPr/>
            </w:pPr>
            <w:r>
              <w:rPr/>
              <w:t>(12,905</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85" w:type="dxa"/>
            <w:tcBorders>
              <w:bottom w:val="double" w:sz="6" w:space="0" w:color="000000"/>
            </w:tcBorders>
            <w:shd w:fill="FFFFFF" w:val="clear"/>
            <w:vAlign w:val="center"/>
          </w:tcPr>
          <w:p>
            <w:pPr>
              <w:pStyle w:val="TableContents"/>
              <w:spacing w:before="0" w:after="283"/>
              <w:jc w:val="right"/>
              <w:rPr/>
            </w:pPr>
            <w:r>
              <w:rPr/>
              <w:t>(16,244</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85" w:type="dxa"/>
            <w:tcBorders>
              <w:bottom w:val="double" w:sz="6" w:space="0" w:color="000000"/>
            </w:tcBorders>
            <w:shd w:fill="FFFFFF" w:val="clear"/>
            <w:vAlign w:val="center"/>
          </w:tcPr>
          <w:p>
            <w:pPr>
              <w:pStyle w:val="TableContents"/>
              <w:spacing w:before="0" w:after="283"/>
              <w:jc w:val="right"/>
              <w:rPr/>
            </w:pPr>
            <w:r>
              <w:rPr/>
              <w:t>(18,499</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10" w:type="dxa"/>
            <w:tcBorders>
              <w:bottom w:val="double" w:sz="6" w:space="0" w:color="000000"/>
            </w:tcBorders>
            <w:shd w:fill="FFFFFF" w:val="clear"/>
            <w:vAlign w:val="center"/>
          </w:tcPr>
          <w:p>
            <w:pPr>
              <w:pStyle w:val="TableContents"/>
              <w:spacing w:before="0" w:after="283"/>
              <w:jc w:val="right"/>
              <w:rPr/>
            </w:pPr>
            <w:r>
              <w:rPr/>
              <w:t>(808</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35" w:type="dxa"/>
            <w:tcBorders/>
            <w:shd w:fill="FFFFFF" w:val="clear"/>
            <w:tcMar>
              <w:bottom w:w="0" w:type="dxa"/>
            </w:tcMar>
            <w:vAlign w:val="center"/>
          </w:tcPr>
          <w:p>
            <w:pPr>
              <w:pStyle w:val="TableContents"/>
              <w:spacing w:before="0" w:after="0"/>
              <w:ind w:left="0" w:right="0" w:hanging="0"/>
              <w:rPr/>
            </w:pPr>
            <w:r>
              <w:rPr/>
              <w:t> </w:t>
            </w:r>
          </w:p>
        </w:tc>
      </w:tr>
      <w:tr>
        <w:trPr/>
        <w:tc>
          <w:tcPr>
            <w:tcW w:w="141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35" w:type="dxa"/>
            <w:tcBorders/>
            <w:shd w:fill="FFFFFF" w:val="clear"/>
            <w:tcMar>
              <w:bottom w:w="0" w:type="dxa"/>
            </w:tcMar>
            <w:vAlign w:val="center"/>
          </w:tcPr>
          <w:p>
            <w:pPr>
              <w:pStyle w:val="TableContents"/>
              <w:spacing w:before="0" w:after="0"/>
              <w:ind w:left="0" w:right="0" w:hanging="0"/>
              <w:rPr/>
            </w:pPr>
            <w:r>
              <w:rPr/>
              <w:t> </w:t>
            </w:r>
          </w:p>
        </w:tc>
      </w:tr>
      <w:tr>
        <w:trPr/>
        <w:tc>
          <w:tcPr>
            <w:tcW w:w="2305" w:type="dxa"/>
            <w:gridSpan w:val="4"/>
            <w:tcBorders/>
            <w:shd w:fill="FFFFFF" w:val="clear"/>
            <w:tcMar>
              <w:bottom w:w="0" w:type="dxa"/>
            </w:tcMar>
            <w:vAlign w:val="center"/>
          </w:tcPr>
          <w:p>
            <w:pPr>
              <w:pStyle w:val="TableContents"/>
              <w:spacing w:before="0" w:after="0"/>
              <w:ind w:left="0" w:right="0" w:hanging="0"/>
              <w:rPr/>
            </w:pPr>
            <w:r>
              <w:rPr>
                <w:rStyle w:val="Emphasis"/>
              </w:rPr>
              <w:t>(Components may not sum to totals due to rounding)</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950" w:type="dxa"/>
            <w:gridSpan w:val="7"/>
            <w:tcBorders/>
            <w:shd w:fill="FFFFFF" w:val="clear"/>
            <w:tcMar>
              <w:bottom w:w="0" w:type="dxa"/>
            </w:tcM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12</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both"/>
        <w:rPr/>
      </w:pPr>
      <w:r>
        <w:rPr>
          <w:rStyle w:val="Emphasis"/>
          <w:rFonts w:ascii="times new roman" w:hAnsi="times new roman"/>
          <w:sz w:val="20"/>
        </w:rPr>
        <w:t>Reinsurance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purchase reinsurance to reduce our net liability on individual risks, to protect against possible catastrophes, to remain within a target ratio of net premiums written to policyholders’ surplus, and to expand our underwriting capacity. Participation in reinsurance arrangements does not relieve us from our obligations to policyholders. Our reinsurance program is structured to reflect our obligations and goals.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Reinsurance via quota share allows a carrier to write business without increasing its underwriting leverage above a level determined by management. The business written under a quota share reinsurance structure obligates a reinsurer to assume some portion of the risks involved, and gives the reinsurer the profit (or loss) associated with such in exchange for a ceding commission.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Effective December 15, 2019, we entered into a quota share reinsurance treaty for our personal lines business, which primarily consists of homeowners’ policies, which covered the period from December 15, 2019 through December 30, 2020 (“2019/2020 Treaty”). Effective December 31, 2020, the 2019/2020 Treaty expired on a cut-off basis; this treaty was not renewed. In addition to the 2019/2020 Treaty, our quota share reinsurance treaties in effect during the year ended December 31, 2019 for our personal lines business were covered under a treaty covering a two-year period from July 1, 2017 through June 30, 2019 (“2017/2019 Treaty”). The treaty in effect during the year ended December 31, 2019 was covered under the July 1, 2018 through June 30, 2019 treaty year (“2018/2019 Treaty Year”).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Excess of loss contracts provide coverage for individual loss occurrences exceeding a certain threshold. The quota share reinsurance treaties inure to the benefit of our excess of loss treaties, as the maximum net retention on any single risk occurrence is first limited through the excess of loss treaty, and then that loss is shared again through the quota share reinsurance treaty. Our maximum net retention under the quota share and excess of loss treaties for any one personal lines occurrence for dates of loss on or after December 15, 2019 through December 30, 2020 was $750,000. Effective December 31, 2020, our maximum net retention increased to $1,000,000. Our maximum net retention under the excess of loss treaties for any one commercial general liability occurrence for dates of loss on or after July 1, 2020 is $750,000.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We earned ceding commission revenue under the quota share reinsurance treaties based on a provisional commission rate on all premiums ceded to the reinsurers as adjusted by a sliding scale based on the ultimate treaty year loss ratios on the policies reinsured under each agreement. The sliding scale provided minimum and maximum ceding commission rates in relation to specified ultimate loss ratios.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Under the 2019/2020 Treaty, KICO received a fixed provisional rate with no adjustment for sliding scale contingent commissions. Under the 2017/2019 Treaty, KICO received a higher upfront fixed provisional rate than in prior years’ treaties. In exchange for the higher provisional rate, KICO had a reduced opportunity to earn sliding scale contingent commissions.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2019/2020 Treaty and 2017/2019 Treaty are on a “net” of catastrophe reinsurance basis, as opposed to the “gross” arrangement that existed in prior treaties. Under a “net” arrangement, all catastrophe reinsurance coverage is purchased directly by us. Since we pay for all of the catastrophe coverage, none of the losses covered under a catastrophic event will be included in the quota share ceded amounts, drastically reducing the adverse impact that a catastrophic event can have on ceding commissions.</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13</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2020, we purchased catastrophe reinsurance to provide coverage of up to $485,000,000 for losses associated with a single event. One of the most commonly used catastrophe forecasting models prepared for us indicates that the catastrophe reinsurance treaties provide coverage in excess of our estimated probable maximum loss associated with a single more than one-in-130 year storm event. The direct retention for any single catastrophe event is $10,000,000. For the period December 15, 2019 through December 30, 2020 losses on personal lines policies were subject to the 25% quota share treaty, which resulted in a net retention by us of $5,625,000 of exposure per catastrophe occurrence. Effective July 1, 2020, we have reinstatement premium protection on the first $70,000,000 layer of catastrophe coverage in excess of $10.000,000. This protects us from having to pay an additional premium to reinstate catastrophe coverage for an event up to this level.</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See “Management’s Discussion and Analysis of Financial Condition and Results of Operations – Principal Revenue and Expense Items” in Item 7 of this Annual Report and Note 2 and Note 11 in the accompanying Consolidated Financial Statements for additional information. </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Ratings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Many insurance buyers, agents, brokers and secured lenders use the ratings assigned by A.M. Best and other agencies to assist them in assessing the financial strength and overall quality of the companies with which they do business and from which they are considering purchasing insurance or in determining the financial strength of the company that provides insurance with respect to the collateral they hold. A.M. Best financial strength ratings are derived from an in-depth evaluation of an insurance company’s balance sheet strengths, operating performances and business profiles. A.M. Best evaluates, among other factors, the company’s capitalization, underwriting leverage, financial leverage, asset leverage, capital structure, quality and appropriateness of reinsurance, adequacy of reserves, quality and diversification of assets, liquidity, profitability, spread of risk, revenue composition, market position, management, market risk and event risk. A.M. Best financial strength ratings are intended to provide an independent opinion of an insurer’s ability to meet its obligations to policyholders and are not an evaluation directed at investors.</w:t>
      </w:r>
    </w:p>
    <w:p>
      <w:pPr>
        <w:pStyle w:val="TextBody"/>
        <w:spacing w:before="0" w:after="0"/>
        <w:ind w:left="0" w:right="0" w:hanging="0"/>
        <w:jc w:val="both"/>
        <w:rPr/>
      </w:pPr>
      <w:r>
        <w:rPr/>
        <w:t> </w:t>
      </w:r>
    </w:p>
    <w:p>
      <w:pPr>
        <w:pStyle w:val="TextBody"/>
        <w:spacing w:before="0" w:after="0"/>
        <w:ind w:left="0" w:right="0" w:firstLine="720"/>
        <w:jc w:val="both"/>
        <w:rPr/>
      </w:pPr>
      <w:r>
        <w:rPr/>
        <w:t> </w:t>
      </w:r>
      <w:r>
        <w:rPr>
          <w:rFonts w:ascii="times new roman" w:hAnsi="times new roman"/>
          <w:sz w:val="20"/>
        </w:rPr>
        <w:t xml:space="preserve">Kingstone has a financial strength rating from A.M. Best of B++ (Good). Other ratings assigned to KICO and Kingstone by A.M. Best and Kroll Bond Rating Agency are as follows: </w:t>
      </w:r>
    </w:p>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5862"/>
        <w:gridCol w:w="2097"/>
        <w:gridCol w:w="90"/>
        <w:gridCol w:w="2156"/>
      </w:tblGrid>
      <w:tr>
        <w:trPr/>
        <w:tc>
          <w:tcPr>
            <w:tcW w:w="5862" w:type="dxa"/>
            <w:tcBorders/>
            <w:shd w:fill="auto" w:val="clear"/>
            <w:vAlign w:val="center"/>
          </w:tcPr>
          <w:p>
            <w:pPr>
              <w:pStyle w:val="TableContents"/>
              <w:spacing w:before="0" w:after="0"/>
              <w:ind w:left="0" w:right="0" w:hanging="0"/>
              <w:rPr/>
            </w:pPr>
            <w:r>
              <w:rPr/>
              <w:t> </w:t>
            </w:r>
          </w:p>
        </w:tc>
        <w:tc>
          <w:tcPr>
            <w:tcW w:w="2097"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2156" w:type="dxa"/>
            <w:tcBorders/>
            <w:shd w:fill="auto" w:val="clear"/>
            <w:vAlign w:val="center"/>
          </w:tcPr>
          <w:p>
            <w:pPr>
              <w:pStyle w:val="TableContents"/>
              <w:spacing w:before="0" w:after="0"/>
              <w:ind w:left="0" w:right="0" w:hanging="0"/>
              <w:jc w:val="center"/>
              <w:rPr/>
            </w:pPr>
            <w:r>
              <w:rPr>
                <w:rStyle w:val="StrongEmphasis"/>
              </w:rPr>
              <w:t> </w:t>
            </w:r>
            <w:r>
              <w:rPr>
                <w:rStyle w:val="StrongEmphasis"/>
              </w:rPr>
              <w:t xml:space="preserve">Kingstone </w:t>
            </w:r>
          </w:p>
        </w:tc>
      </w:tr>
      <w:tr>
        <w:trPr/>
        <w:tc>
          <w:tcPr>
            <w:tcW w:w="5862" w:type="dxa"/>
            <w:tcBorders/>
            <w:shd w:fill="auto" w:val="clear"/>
            <w:vAlign w:val="center"/>
          </w:tcPr>
          <w:p>
            <w:pPr>
              <w:pStyle w:val="TableContents"/>
              <w:spacing w:before="0" w:after="0"/>
              <w:ind w:left="0" w:right="0" w:hanging="0"/>
              <w:rPr/>
            </w:pPr>
            <w:r>
              <w:rPr/>
              <w:t> </w:t>
            </w:r>
          </w:p>
        </w:tc>
        <w:tc>
          <w:tcPr>
            <w:tcW w:w="2097"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Pr>
              <w:t xml:space="preserve">KICO </w:t>
            </w:r>
          </w:p>
        </w:tc>
        <w:tc>
          <w:tcPr>
            <w:tcW w:w="90"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p>
        </w:tc>
        <w:tc>
          <w:tcPr>
            <w:tcW w:w="215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Pr>
              <w:t xml:space="preserve">Companies </w:t>
            </w:r>
          </w:p>
        </w:tc>
      </w:tr>
      <w:tr>
        <w:trPr/>
        <w:tc>
          <w:tcPr>
            <w:tcW w:w="5862" w:type="dxa"/>
            <w:tcBorders/>
            <w:shd w:fill="auto" w:val="clear"/>
            <w:vAlign w:val="center"/>
          </w:tcPr>
          <w:p>
            <w:pPr>
              <w:pStyle w:val="TableContents"/>
              <w:spacing w:before="0" w:after="0"/>
              <w:ind w:left="0" w:right="0" w:hanging="0"/>
              <w:rPr/>
            </w:pPr>
            <w:r>
              <w:rPr/>
              <w:t> </w:t>
            </w:r>
          </w:p>
        </w:tc>
        <w:tc>
          <w:tcPr>
            <w:tcW w:w="2097"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2156" w:type="dxa"/>
            <w:tcBorders/>
            <w:shd w:fill="auto" w:val="clear"/>
            <w:vAlign w:val="center"/>
          </w:tcPr>
          <w:p>
            <w:pPr>
              <w:pStyle w:val="TableContents"/>
              <w:spacing w:before="0" w:after="0"/>
              <w:ind w:left="0" w:right="0" w:hanging="0"/>
              <w:jc w:val="center"/>
              <w:rPr/>
            </w:pPr>
            <w:r>
              <w:rPr/>
              <w:t> </w:t>
            </w:r>
          </w:p>
        </w:tc>
      </w:tr>
      <w:tr>
        <w:trPr/>
        <w:tc>
          <w:tcPr>
            <w:tcW w:w="5862" w:type="dxa"/>
            <w:tcBorders/>
            <w:shd w:fill="CCEEFF" w:val="clear"/>
            <w:vAlign w:val="center"/>
          </w:tcPr>
          <w:p>
            <w:pPr>
              <w:pStyle w:val="TableContents"/>
              <w:spacing w:before="0" w:after="0"/>
              <w:ind w:left="0" w:right="0" w:hanging="0"/>
              <w:rPr/>
            </w:pPr>
            <w:r>
              <w:rPr/>
              <w:t> </w:t>
            </w:r>
            <w:r>
              <w:rPr/>
              <w:t xml:space="preserve">A.M. Best Long-Term issuer credit rating (ICR) </w:t>
            </w:r>
          </w:p>
        </w:tc>
        <w:tc>
          <w:tcPr>
            <w:tcW w:w="2097" w:type="dxa"/>
            <w:tcBorders/>
            <w:shd w:fill="CCEEFF" w:val="clear"/>
            <w:vAlign w:val="center"/>
          </w:tcPr>
          <w:p>
            <w:pPr>
              <w:pStyle w:val="TableContents"/>
              <w:spacing w:before="0" w:after="0"/>
              <w:ind w:left="0" w:right="0" w:hanging="0"/>
              <w:jc w:val="right"/>
              <w:rPr/>
            </w:pPr>
            <w:r>
              <w:rPr/>
              <w:t> </w:t>
            </w:r>
            <w:r>
              <w:rPr/>
              <w:t xml:space="preserve">bbb (negative outlook) </w:t>
            </w:r>
          </w:p>
        </w:tc>
        <w:tc>
          <w:tcPr>
            <w:tcW w:w="90" w:type="dxa"/>
            <w:tcBorders/>
            <w:shd w:fill="CCEEFF" w:val="clear"/>
            <w:vAlign w:val="center"/>
          </w:tcPr>
          <w:p>
            <w:pPr>
              <w:pStyle w:val="TableContents"/>
              <w:spacing w:before="0" w:after="0"/>
              <w:ind w:left="0" w:right="0" w:hanging="0"/>
              <w:rPr/>
            </w:pPr>
            <w:r>
              <w:rPr/>
              <w:t> </w:t>
            </w:r>
          </w:p>
        </w:tc>
        <w:tc>
          <w:tcPr>
            <w:tcW w:w="2156" w:type="dxa"/>
            <w:tcBorders/>
            <w:shd w:fill="CCEEFF" w:val="clear"/>
            <w:vAlign w:val="center"/>
          </w:tcPr>
          <w:p>
            <w:pPr>
              <w:pStyle w:val="TableContents"/>
              <w:spacing w:before="0" w:after="0"/>
              <w:ind w:left="0" w:right="0" w:hanging="0"/>
              <w:jc w:val="right"/>
              <w:rPr/>
            </w:pPr>
            <w:r>
              <w:rPr/>
              <w:t> </w:t>
            </w:r>
            <w:r>
              <w:rPr/>
              <w:t xml:space="preserve">bb (negative outlook) </w:t>
            </w:r>
          </w:p>
        </w:tc>
      </w:tr>
      <w:tr>
        <w:trPr/>
        <w:tc>
          <w:tcPr>
            <w:tcW w:w="5862" w:type="dxa"/>
            <w:tcBorders/>
            <w:shd w:fill="FFFFFF" w:val="clear"/>
            <w:vAlign w:val="center"/>
          </w:tcPr>
          <w:p>
            <w:pPr>
              <w:pStyle w:val="TableContents"/>
              <w:spacing w:before="0" w:after="0"/>
              <w:ind w:left="0" w:right="0" w:hanging="0"/>
              <w:rPr/>
            </w:pPr>
            <w:r>
              <w:rPr/>
              <w:t> </w:t>
            </w:r>
            <w:r>
              <w:rPr/>
              <w:t xml:space="preserve">A.M. Best Long-Term issue credit rating (IR) </w:t>
            </w:r>
          </w:p>
        </w:tc>
        <w:tc>
          <w:tcPr>
            <w:tcW w:w="2097" w:type="dxa"/>
            <w:tcBorders/>
            <w:shd w:fill="FFFFFF" w:val="clear"/>
            <w:vAlign w:val="center"/>
          </w:tcPr>
          <w:p>
            <w:pPr>
              <w:pStyle w:val="TableContents"/>
              <w:spacing w:before="0" w:after="0"/>
              <w:ind w:left="0" w:right="0" w:hanging="0"/>
              <w:jc w:val="right"/>
              <w:rPr/>
            </w:pPr>
            <w:r>
              <w:rPr/>
              <w:t> </w:t>
            </w:r>
          </w:p>
        </w:tc>
        <w:tc>
          <w:tcPr>
            <w:tcW w:w="90" w:type="dxa"/>
            <w:tcBorders/>
            <w:shd w:fill="FFFFFF" w:val="clear"/>
            <w:vAlign w:val="center"/>
          </w:tcPr>
          <w:p>
            <w:pPr>
              <w:pStyle w:val="TableContents"/>
              <w:spacing w:before="0" w:after="0"/>
              <w:ind w:left="0" w:right="0" w:hanging="0"/>
              <w:jc w:val="right"/>
              <w:rPr/>
            </w:pPr>
            <w:r>
              <w:rPr/>
              <w:t> </w:t>
            </w:r>
          </w:p>
        </w:tc>
        <w:tc>
          <w:tcPr>
            <w:tcW w:w="2156" w:type="dxa"/>
            <w:tcBorders/>
            <w:shd w:fill="FFFFFF" w:val="clear"/>
            <w:vAlign w:val="center"/>
          </w:tcPr>
          <w:p>
            <w:pPr>
              <w:pStyle w:val="TableContents"/>
              <w:spacing w:before="0" w:after="0"/>
              <w:ind w:left="0" w:right="0" w:hanging="0"/>
              <w:jc w:val="right"/>
              <w:rPr/>
            </w:pPr>
            <w:r>
              <w:rPr/>
              <w:t> </w:t>
            </w:r>
          </w:p>
        </w:tc>
      </w:tr>
      <w:tr>
        <w:trPr/>
        <w:tc>
          <w:tcPr>
            <w:tcW w:w="5862" w:type="dxa"/>
            <w:tcBorders/>
            <w:shd w:fill="CCEEFF" w:val="clear"/>
            <w:vAlign w:val="center"/>
          </w:tcPr>
          <w:p>
            <w:pPr>
              <w:pStyle w:val="TableContents"/>
              <w:spacing w:before="0" w:after="0"/>
              <w:ind w:left="0" w:right="0" w:firstLine="180"/>
              <w:rPr/>
            </w:pPr>
            <w:r>
              <w:rPr/>
              <w:t> </w:t>
            </w:r>
            <w:r>
              <w:rPr/>
              <w:t xml:space="preserve">$30.0 million, 5.50% senior unsecured notes due Dec. 30, 2022  </w:t>
            </w:r>
          </w:p>
        </w:tc>
        <w:tc>
          <w:tcPr>
            <w:tcW w:w="2097" w:type="dxa"/>
            <w:tcBorders/>
            <w:shd w:fill="CCEEFF" w:val="clear"/>
            <w:vAlign w:val="center"/>
          </w:tcPr>
          <w:p>
            <w:pPr>
              <w:pStyle w:val="TableContents"/>
              <w:spacing w:before="0" w:after="0"/>
              <w:ind w:left="0" w:right="0" w:hanging="0"/>
              <w:jc w:val="right"/>
              <w:rPr/>
            </w:pPr>
            <w:r>
              <w:rPr/>
              <w:t> </w:t>
            </w:r>
            <w:r>
              <w:rPr/>
              <w:t xml:space="preserve">n/a </w:t>
            </w:r>
          </w:p>
        </w:tc>
        <w:tc>
          <w:tcPr>
            <w:tcW w:w="90" w:type="dxa"/>
            <w:tcBorders/>
            <w:shd w:fill="CCEEFF" w:val="clear"/>
            <w:vAlign w:val="center"/>
          </w:tcPr>
          <w:p>
            <w:pPr>
              <w:pStyle w:val="TableContents"/>
              <w:spacing w:before="0" w:after="0"/>
              <w:ind w:left="0" w:right="0" w:hanging="0"/>
              <w:rPr/>
            </w:pPr>
            <w:r>
              <w:rPr/>
              <w:t> </w:t>
            </w:r>
          </w:p>
        </w:tc>
        <w:tc>
          <w:tcPr>
            <w:tcW w:w="2156" w:type="dxa"/>
            <w:tcBorders/>
            <w:shd w:fill="CCEEFF" w:val="clear"/>
            <w:vAlign w:val="center"/>
          </w:tcPr>
          <w:p>
            <w:pPr>
              <w:pStyle w:val="TableContents"/>
              <w:spacing w:before="0" w:after="0"/>
              <w:ind w:left="0" w:right="0" w:hanging="0"/>
              <w:jc w:val="right"/>
              <w:rPr/>
            </w:pPr>
            <w:r>
              <w:rPr/>
              <w:t> </w:t>
            </w:r>
            <w:r>
              <w:rPr/>
              <w:t xml:space="preserve">bb (negative outlook) </w:t>
            </w:r>
          </w:p>
        </w:tc>
      </w:tr>
      <w:tr>
        <w:trPr/>
        <w:tc>
          <w:tcPr>
            <w:tcW w:w="5862" w:type="dxa"/>
            <w:tcBorders/>
            <w:shd w:fill="FFFFFF" w:val="clear"/>
            <w:vAlign w:val="center"/>
          </w:tcPr>
          <w:p>
            <w:pPr>
              <w:pStyle w:val="TableContents"/>
              <w:spacing w:before="0" w:after="0"/>
              <w:ind w:left="0" w:right="0" w:hanging="0"/>
              <w:rPr/>
            </w:pPr>
            <w:r>
              <w:rPr/>
              <w:t> </w:t>
            </w:r>
            <w:r>
              <w:rPr/>
              <w:t xml:space="preserve">Kroll Bond Rating Agency insurance financial strength rating (IFSR) </w:t>
            </w:r>
          </w:p>
        </w:tc>
        <w:tc>
          <w:tcPr>
            <w:tcW w:w="2097" w:type="dxa"/>
            <w:tcBorders/>
            <w:shd w:fill="FFFFFF" w:val="clear"/>
            <w:vAlign w:val="center"/>
          </w:tcPr>
          <w:p>
            <w:pPr>
              <w:pStyle w:val="TableContents"/>
              <w:spacing w:before="0" w:after="0"/>
              <w:ind w:left="0" w:right="0" w:hanging="0"/>
              <w:jc w:val="right"/>
              <w:rPr/>
            </w:pPr>
            <w:r>
              <w:rPr/>
              <w:t> </w:t>
            </w:r>
            <w:r>
              <w:rPr/>
              <w:t xml:space="preserve">A- (stable outlook) </w:t>
            </w:r>
          </w:p>
        </w:tc>
        <w:tc>
          <w:tcPr>
            <w:tcW w:w="90" w:type="dxa"/>
            <w:tcBorders/>
            <w:shd w:fill="FFFFFF" w:val="clear"/>
            <w:vAlign w:val="center"/>
          </w:tcPr>
          <w:p>
            <w:pPr>
              <w:pStyle w:val="TableContents"/>
              <w:spacing w:before="0" w:after="0"/>
              <w:ind w:left="0" w:right="0" w:hanging="0"/>
              <w:rPr/>
            </w:pPr>
            <w:r>
              <w:rPr/>
              <w:t> </w:t>
            </w:r>
          </w:p>
        </w:tc>
        <w:tc>
          <w:tcPr>
            <w:tcW w:w="2156" w:type="dxa"/>
            <w:tcBorders/>
            <w:shd w:fill="FFFFFF" w:val="clear"/>
            <w:vAlign w:val="center"/>
          </w:tcPr>
          <w:p>
            <w:pPr>
              <w:pStyle w:val="TableContents"/>
              <w:spacing w:before="0" w:after="0"/>
              <w:ind w:left="0" w:right="0" w:hanging="0"/>
              <w:jc w:val="right"/>
              <w:rPr/>
            </w:pPr>
            <w:r>
              <w:rPr/>
              <w:t> </w:t>
            </w:r>
            <w:r>
              <w:rPr/>
              <w:t xml:space="preserve">n/a </w:t>
            </w:r>
          </w:p>
        </w:tc>
      </w:tr>
      <w:tr>
        <w:trPr/>
        <w:tc>
          <w:tcPr>
            <w:tcW w:w="5862" w:type="dxa"/>
            <w:tcBorders/>
            <w:shd w:fill="CCEEFF" w:val="clear"/>
            <w:vAlign w:val="center"/>
          </w:tcPr>
          <w:p>
            <w:pPr>
              <w:pStyle w:val="TableContents"/>
              <w:spacing w:before="0" w:after="0"/>
              <w:ind w:left="0" w:right="0" w:hanging="0"/>
              <w:rPr/>
            </w:pPr>
            <w:r>
              <w:rPr/>
              <w:t> </w:t>
            </w:r>
            <w:r>
              <w:rPr/>
              <w:t xml:space="preserve">Kroll Bond Rating Agency issuer rating </w:t>
            </w:r>
          </w:p>
        </w:tc>
        <w:tc>
          <w:tcPr>
            <w:tcW w:w="2097" w:type="dxa"/>
            <w:tcBorders/>
            <w:shd w:fill="CCEEFF" w:val="clear"/>
            <w:vAlign w:val="center"/>
          </w:tcPr>
          <w:p>
            <w:pPr>
              <w:pStyle w:val="TableContents"/>
              <w:spacing w:before="0" w:after="0"/>
              <w:ind w:left="0" w:right="0" w:hanging="0"/>
              <w:jc w:val="right"/>
              <w:rPr/>
            </w:pPr>
            <w:r>
              <w:rPr/>
              <w:t> </w:t>
            </w:r>
            <w:r>
              <w:rPr/>
              <w:t xml:space="preserve">n/a </w:t>
            </w:r>
          </w:p>
        </w:tc>
        <w:tc>
          <w:tcPr>
            <w:tcW w:w="90" w:type="dxa"/>
            <w:tcBorders/>
            <w:shd w:fill="CCEEFF" w:val="clear"/>
            <w:vAlign w:val="center"/>
          </w:tcPr>
          <w:p>
            <w:pPr>
              <w:pStyle w:val="TableContents"/>
              <w:spacing w:before="0" w:after="0"/>
              <w:ind w:left="0" w:right="0" w:hanging="0"/>
              <w:rPr/>
            </w:pPr>
            <w:r>
              <w:rPr/>
              <w:t> </w:t>
            </w:r>
          </w:p>
        </w:tc>
        <w:tc>
          <w:tcPr>
            <w:tcW w:w="2156" w:type="dxa"/>
            <w:tcBorders/>
            <w:shd w:fill="CCEEFF" w:val="clear"/>
            <w:vAlign w:val="center"/>
          </w:tcPr>
          <w:p>
            <w:pPr>
              <w:pStyle w:val="TableContents"/>
              <w:spacing w:before="0" w:after="0"/>
              <w:ind w:left="0" w:right="0" w:hanging="0"/>
              <w:jc w:val="right"/>
              <w:rPr/>
            </w:pPr>
            <w:r>
              <w:rPr/>
              <w:t> </w:t>
            </w:r>
            <w:r>
              <w:rPr/>
              <w:t xml:space="preserve">BBB- (stable outlook) </w:t>
            </w:r>
          </w:p>
        </w:tc>
      </w:tr>
      <w:tr>
        <w:trPr/>
        <w:tc>
          <w:tcPr>
            <w:tcW w:w="5862" w:type="dxa"/>
            <w:tcBorders/>
            <w:shd w:fill="FFFFFF" w:val="clear"/>
            <w:vAlign w:val="center"/>
          </w:tcPr>
          <w:p>
            <w:pPr>
              <w:pStyle w:val="TableContents"/>
              <w:spacing w:before="0" w:after="0"/>
              <w:ind w:left="0" w:right="0" w:firstLine="180"/>
              <w:rPr/>
            </w:pPr>
            <w:r>
              <w:rPr/>
              <w:t> </w:t>
            </w:r>
            <w:r>
              <w:rPr/>
              <w:t xml:space="preserve">$30.0 million, 5.50% senior unsecured notes due Dec. 30, 2022  </w:t>
            </w:r>
          </w:p>
        </w:tc>
        <w:tc>
          <w:tcPr>
            <w:tcW w:w="2097" w:type="dxa"/>
            <w:tcBorders/>
            <w:shd w:fill="FFFFFF" w:val="clear"/>
            <w:vAlign w:val="center"/>
          </w:tcPr>
          <w:p>
            <w:pPr>
              <w:pStyle w:val="TableContents"/>
              <w:spacing w:before="0" w:after="0"/>
              <w:ind w:left="0" w:right="0" w:hanging="0"/>
              <w:jc w:val="right"/>
              <w:rPr/>
            </w:pPr>
            <w:r>
              <w:rPr/>
              <w:t> </w:t>
            </w:r>
            <w:r>
              <w:rPr/>
              <w:t xml:space="preserve">n/a </w:t>
            </w:r>
          </w:p>
        </w:tc>
        <w:tc>
          <w:tcPr>
            <w:tcW w:w="90" w:type="dxa"/>
            <w:tcBorders/>
            <w:shd w:fill="FFFFFF" w:val="clear"/>
            <w:vAlign w:val="center"/>
          </w:tcPr>
          <w:p>
            <w:pPr>
              <w:pStyle w:val="TableContents"/>
              <w:spacing w:before="0" w:after="0"/>
              <w:ind w:left="0" w:right="0" w:hanging="0"/>
              <w:rPr/>
            </w:pPr>
            <w:r>
              <w:rPr/>
              <w:t> </w:t>
            </w:r>
          </w:p>
        </w:tc>
        <w:tc>
          <w:tcPr>
            <w:tcW w:w="2156" w:type="dxa"/>
            <w:tcBorders/>
            <w:shd w:fill="FFFFFF" w:val="clear"/>
            <w:vAlign w:val="center"/>
          </w:tcPr>
          <w:p>
            <w:pPr>
              <w:pStyle w:val="TableContents"/>
              <w:spacing w:before="0" w:after="0"/>
              <w:ind w:left="0" w:right="0" w:hanging="0"/>
              <w:jc w:val="right"/>
              <w:rPr/>
            </w:pPr>
            <w:r>
              <w:rPr/>
              <w:t> </w:t>
            </w:r>
            <w:r>
              <w:rPr/>
              <w:t xml:space="preserve">BBB- (stable outlook) </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KICO also has a Demotech financial stability rating of A (Exceptional) which generally makes its policies acceptable to mortgage lenders that require homeowners to purchase insurance from highly rated carriers.</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Catastrophe Losses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In 2020 we had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 Our predominant market, downstate New York, was affected by several events, including one large event, Tropical Storm Isaias, during 2020. The effects of this catastrophe and other minor catastrophes during the year increased our net loss ratio by 10.8 percentage points in 2020. Our predominant market, downstate New York, was affected by several events, including one large event, during the winter of 2019. These claims were primarily from losses due to frozen pipes and related water damage resulting from abnormally low temperatures for an extended period. The effects of this catastrophe and other minor catastrophes during the year increased our net loss ratio by 6.0 percentage points in 2019.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14</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Government Regulation</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Holding Company Regulation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We, as the parent of KICO, are subject to the insurance holding company laws of the state of New York. These laws generally require an insurance company to register with the New York State Department of Financial Services (the “DFS”) and to furnish annually financial and other information about the operations of companies within our holding company system. Generally, under these laws, all material transactions among companies in the holding company system to which KICO is a party must be fair and reasonable and, if material or of a specified category, require prior notice and approval or acknowledgement (absence of disapproval) by the DFS. </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 xml:space="preserve">Change of Control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The insurance holding company laws of the state of New York require approval by the DFS for any change of control of an insurer. “Control” is generally defined as the possession, direct or indirect, of the power to direct or cause the direction of the management and policies of the company, whether through the ownership of voting securities, by contract or otherwise. Control is generally presumed to exist through the direct or indirect ownership of 10% or more of the voting securities of a domestic insurance company or any entity that controls a domestic insurance company. Any future transactions that would constitute a change of control of KICO, including a change of control of Kingstone Companies, Inc., would generally require the party acquiring control to obtain the approval of the DFS (and in any other state in which KICO may operate). Obtaining these approvals may result in the material delay of, or deter, any such transaction. These laws may discourage potential acquisition proposals and may delay, deter or prevent a change of control of Kingstone Companies, Inc., including through transactions, and in particular unsolicited transactions, that some or all of our stockholders might consider to be desirable. </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 xml:space="preserve">State Insurance Regulation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Insurance companies are subject to regulation and supervision by the department of insurance in the state in which they are domiciled and, to a lesser extent, other states in which they conduct business. The primary purpose of such regulatory powers is to protect individual policyholders. State insurance authorities have broad regulatory, supervisory and administrative powers, including, among other things, the power to grant and revoke licenses to transact business, set the standards of solvency to be met and maintained, determine the nature of, and limitations on, investments and dividends, approve policy forms and rates, and in some instances to regulate unfair trade and claims practices.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KICO is required to file detailed financial statements and other reports with the insurance regulatory authorities in the states in which it is licensed to transact business. These financial statements are subject to periodic examination by the insurance regulators.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addition, many states have laws and regulations that limit an insurer’s ability to withdraw from a particular market. For example, states may limit an insurer’s ability to cancel or not renew policies. Furthermore, certain states prohibit an insurer from withdrawing from one or more lines of business written in the state, except pursuant to a plan that is approved by the insurance regulatory authority. The state regulator may reject a plan that may lead to market disruption. Laws and regulations, including those in New York, that limit cancellation and non-renewal and that subject program withdrawals to prior approval requirements may restrict the ability of KICO to exit unprofitable markets. Such laws did not affect KICO’s ability to withdraw from the commercial liability market in New York State in 2019 and the commercial auto market in New York State in 2015. In January 2019, KICO was granted permission by the Texas Department of Insurance to withdraw from the Texas insurance market for which it never commenced business since receiving its certificate of authority in August 2015.</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15</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Federal and State Legislative and Regulatory Changes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From time to time, various regulatory and legislative changes have been proposed in the insurance industry. Among the proposals that either have been or are being considered are the possible introduction of Federal regulation in addition to, or in lieu of, the current system of state regulation of insurers, and proposals in various state legislatures. Some of these proposals have been enacted to conform portions of their insurance laws and regulations to various model acts adopted by the National Association of Insurance Commissioners (the “NAIC”).</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In 2017, the DFS implemented new comprehensive cybersecurity regulations, which became effective on March 1, 2017 with transitional implementation periods. The regulations require covered entities, including KICO, to establish a cybersecurity policy, a chief information security officer, oversight over third party service providers, penetration and vulnerability assessments, secure systems to maintain an audit trail, risk assessments to include access privileges to nonpublic information, use of multi-factor authentication, and an incident response plan, among other provisions. KICO must annually certify compliance to the DFS with the applicable cybersecurity regulatory provisions. Annual certifications are due April 15.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In 2010 the Dodd-Frank Wall Street Reform and Consumer Protection Act (the “Dodd-Frank Act”) became law. It established a Federal Insurance Office (the “FIO”) within the U.S. Department of the Treasury. The FIO is initially charged with monitoring all aspects of the insurance industry (other than health insurance, certain long-term care insurance and crop insurance), gathering data, and conducting a study on methods to modernize and improve the insurance regulatory system in the United States. In December 2013, the FIO issued a report (as required under the Dodd-Frank Act) entitled “How to Modernize and Improve the System of Insurance Regulation in the United States”, which stated that, given the “uneven” progress the states have made with several near-term state reforms, should the states fail to accomplish the necessary modernization reforms in the near term, “Congress should strongly consider direct federal involvement.” The FIO continues to support the current state-based regulatory regime, but will consider federal regulation should the states fail to take steps to greater uniformity (e.g., federal licensing of insurers). In 2017, the new President indicated that the provisions of this law should be reviewed. In its September 2019 Annual Report on the Insurance Industry (the “Report”), the FIO provided an overview of its statutory responsibilities and its role. The Report then summarizes the FIO’s key activities since those described in its 2018 Annual Report on the Insurance Industry. Next, the Report provides a summary of the EO Report. Sections II through V are organized around the four key themes from the EO Report: (1) Systemic Risk and Solvency; (2) Efficient Regulation and Government Processes; (3) International Engagement; and (4) Economic Growth and Informed Choices. The Report concludes with a discussion and analysis of the insurance industry’s financial performance in calendar year 2018, its financial condition as of December 31, 2018, and the domestic insurance market outlook for 2019.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December 22, 2017, a budget reconciliation act commonly referred to as the Tax Cuts and Jobs Act (TCJA) was signed into law. Overall, the reduction of the U.S. corporate tax rate to 21 percent generally lowers the effective tax rates of insurance companies operating in the United States.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On December 20, 2020, the Terrorism Risk Insurance Program Reauthorization Act of 2019 (TRIPRA of 2019) was enacted and is now scheduled to expire on December 31, 2027. The Terrorism Risk Insurance Program serves as a federal “backstop” for insurance claims related to acts of terrorism.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16</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State Regulatory Examinations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As part of their regulatory oversight process, state regulatory authorities conduct periodic detailed examinations of the financial reporting of insurance companies domiciled in their states, generally once every three to five years. Examinations are generally carried out in cooperation with the insurance regulators of other states under guidelines promulgated by the NAIC. The New York DFS commenced its examination of KICO in 2019 as of December 31, 2018. The examination was completed on April 30, 2020.</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 xml:space="preserve">Risk-Based Capital Regulations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State regulatory authorities impose risk-based capital (“RBC”) requirements on insurance enterprises. The RBC Model serves as a benchmark for the regulation of insurance companies. RBC provides for targeted surplus levels based on formulas, which specify various weighting factors that are applied to financial balances or various levels of activity based on the perceived degree of risk, and are set forth in the RBC requirements. Such formulas focus on four general types of risk: (a) the risk with respect to the company’s assets (asset or default risk); (b) the risk of default on amounts due from reinsurers, policyholders, or other creditors (credit risk); (c) the risk of underestimating liabilities from business already written or inadequately pricing business to be written in the coming year (underwriting risk); and (d) the risk associated with items such as excessive premium growth, contingent liabilities, and other items not reflected on the balance sheet (off-balance sheet risk). The amount determined under such formulas is called the authorized control level RBC (“ACL”).</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RBC guidelines define specific capital levels based on a company’s ACL that are determined by the ratio of the company’s total adjusted capital (“TAC”) to its ACL. TAC is equal to statutory capital, plus or minus certain other specified adjustments. KICO’s TAC is above the ACL and is in compliance with New York’s RBC requirements as of December 31, 2020.</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Dividend Limitations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Our ability to receive dividends from KICO is restricted by the state laws and insurance regulations of New York. These restrictions are related to surplus and net investment income. Dividends are restricted to the lesser of 10% of surplus or 100% of investment income (on a statutory accounting basis) for the trailing 36 months, less dividends by KICO paid during such period. </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Insurance Regulatory Information System Ratios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Insurance Regulatory Information System (“IRIS”) was developed by the NAIC and is intended primarily to assist state insurance regulators in meeting their statutory mandates to oversee the financial condition of insurance companies operating in their respective states. IRIS identifies thirteen industry ratios and specifies “usual values” for each ratio. Departure from the usual values on four or more of the ratios can lead to inquiries from individual state insurance commissioners as to certain aspects of an insurer’s business. As of December 31, 2020, KICO did not have any ratios outside the usual range.</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 xml:space="preserve">Accounting Principles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Statutory accounting principles (“SAP”) are a basis of accounting developed by the NAIC. They are used to prepare the statutory financial statements of insurance companies and to assist insurance regulators in monitoring and regulating the solvency of insurance companies. SAP is primarily concerned with measuring an insurer’s policyholder surplus. Accordingly, statutory accounting focuses on valuing assets and liabilities of insurers at financial reporting dates in accordance with appropriate insurance law and regulatory provisions applicable in each insurer’s domiciliary state.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17</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Generally accepted accounting principles (“GAAP”) are concerned with a company’s solvency, but are also concerned with other financial measurements, principally results of operations and cash flows. Accordingly, GAAP gives more consideration to appropriate matching of revenue and expenses and accounting for management’s stewardship of assets than does SAP. As a direct result, different types and amounts of assets and liabilities will be reflected in financial statements prepared in accordance with GAAP as compared to SAP.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Statutory accounting practices established by the NAIC and adopted in part by New York insurance regulators determine, among other things, the amount of statutory surplus and statutory net income of KICO and thus determine, in part, the amount of funds that are available to Kingstone Companies, Inc. from which to pay dividends.</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Legal Structure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were incorporated in 1961 and assumed the name DCAP Group, Inc. in 1999. On July 1, 2009, we changed our name to Kingstone Companies, Inc.</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 xml:space="preserve">Employees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As of December 31, 2020, we had 87 employees. None of our employees are covered by a collective bargaining agreement. We believe that our relationship with our employees is good.</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 xml:space="preserve">Availability of Information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Annual Reports on Form 10-K, Quarterly Reports on Form 10-Q, Current Reports on Form 8-K, and amendments to reports filed pursuant to Sections 13(a) and 15(d) of the Securities Exchange Act of 1934, as amended (the “Exchange Act”), are filed with the U.S. Securities and Exchange Commission (the “SEC”). Such reports and other information filed by us with the SEC are available free of charge at the investor relations section of our website at www.kingstonecompanies.com as soon as reasonably practicable after such reports are electronically filed with, or furnished to, the SEC. Copies are also available, without charge, by writing to Kingstone Companies, Inc., Investor Relations, 15 Joys Lane, Kingstone, New York 12401. The SEC also maintains a website, www.sec.gov, which contains reports, proxy and information statements, and other information regarding issuers that file electronically with the SEC. The inclusion of our website address in this Annual Report does not include or incorporate by reference the information on our website into this Annual Report.</w:t>
      </w:r>
    </w:p>
    <w:p>
      <w:pPr>
        <w:pStyle w:val="TextBody"/>
        <w:spacing w:before="0" w:after="0"/>
        <w:ind w:left="0" w:right="0" w:hanging="0"/>
        <w:jc w:val="both"/>
        <w:rPr/>
      </w:pPr>
      <w:r>
        <w:rPr/>
        <w:t> </w:t>
      </w:r>
    </w:p>
    <w:p>
      <w:pPr>
        <w:pStyle w:val="TextBody"/>
        <w:spacing w:before="0" w:after="0"/>
        <w:ind w:left="0" w:right="0" w:hanging="0"/>
        <w:jc w:val="both"/>
        <w:rPr/>
      </w:pPr>
      <w:bookmarkStart w:id="2" w:name="i1A"/>
      <w:bookmarkEnd w:id="2"/>
      <w:r>
        <w:rPr>
          <w:rStyle w:val="StrongEmphasis"/>
          <w:rFonts w:ascii="times new roman" w:hAnsi="times new roman"/>
          <w:sz w:val="20"/>
          <w:u w:val="single"/>
        </w:rPr>
        <w:t>ITEM 1A</w:t>
      </w:r>
      <w:r>
        <w:rPr>
          <w:rFonts w:ascii="times new roman" w:hAnsi="times new roman"/>
          <w:sz w:val="20"/>
        </w:rPr>
        <w:t xml:space="preserve">. </w:t>
      </w:r>
      <w:r>
        <w:rPr>
          <w:rStyle w:val="StrongEmphasis"/>
          <w:rFonts w:ascii="times new roman" w:hAnsi="times new roman"/>
          <w:sz w:val="20"/>
          <w:u w:val="single"/>
        </w:rPr>
        <w:t>RISK FACTORS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Factors That May Affect Future Results and Financial Condition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Based upon the following factors, as well as other factors affecting our operating results and financial condition, past financial performance should not be considered to be a reliable indicator of future performance, and investors should not use historical trends to anticipate results or trends in future periods. These factors, among others, may affect the accuracy of certain forward-looking statements contained in this Annual Report.</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18</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u w:val="single"/>
        </w:rPr>
        <w:t xml:space="preserve">Risks Related to Our Business </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The impact of COVID-19 and related risks could materially affect our results of operations, financial position and/or liquidity.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Beginning in March 2020, the global pandemic related to the novel coronavirus COVID-19 began to impact the global economy and our results of operations. Because of the size and breadth of this pandemic, all of the direct and indirect consequences of COVID-19 are not yet known and may not emerge for some time. Risks presented by the ongoing effects of COVID-19 include, among others, the following:</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u w:val="single"/>
        </w:rPr>
        <w:t>Revenues.</w:t>
      </w:r>
      <w:r>
        <w:rPr>
          <w:rFonts w:ascii="times new roman" w:hAnsi="times new roman"/>
          <w:sz w:val="20"/>
        </w:rPr>
        <w:t xml:space="preserve"> We expect that the impact of COVID-19 on general economic activity will negatively impact our premium volumes. We began to experience this impact in March 2020 and it became more significant during the remainder of 2021. We also expect this impact will further persist but to a lesser extent for the duration of 2020, but the degree of the impact will depend on the extent and duration of the economic contraction and could be material.</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u w:val="single"/>
        </w:rPr>
        <w:t>Investments.</w:t>
      </w:r>
      <w:r>
        <w:rPr>
          <w:rFonts w:ascii="times new roman" w:hAnsi="times new roman"/>
          <w:sz w:val="20"/>
        </w:rPr>
        <w:t xml:space="preserve"> The disruption in the financial markets related to COVID-19 has contributed to net investment losses, primarily due to the impact of changes in fair value on our equity investments and in our fixed-income investment portfolio. Our corporate fixed income portfolio may be adversely impacted by ratings downgrades, increased bankruptcies and credit spread widening in distressed industries. In addition, in recent years, many state and local governments have been operating under deficits or projected deficits. These deficits may be exacerbated by the costs of responding to COVID-19 and reduced tax revenues due to adverse economic conditions. The severity and duration of these deficits could have an adverse impact on the collectability and valuation of our municipal bond portfolio. Our investment portfolio also includes mortgage-backed securities which could be adversely impacted by declines in real estate valuations and/or financial market disruption. Further disruptions in global financial markets could adversely impact our net investment income in future periods. </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u w:val="single"/>
        </w:rPr>
        <w:t>Adverse Legislative and/or Regulatory Action.</w:t>
      </w:r>
      <w:r>
        <w:rPr>
          <w:rFonts w:ascii="times new roman" w:hAnsi="times new roman"/>
          <w:sz w:val="20"/>
        </w:rPr>
        <w:t xml:space="preserve"> Federal, state and local government actions to address and contain the impact of COVID-19 may adversely affect us. For example, we may be subject to legislative and/or regulatory action that seeks to retroactively mandate coverage for losses which our insurance policies were not designed or priced to cover. Currently, in some states there is proposed legislation to require insurers to cover business interruption claims irrespective of terms, exclusions or other conditions included in the policies that would otherwise preclude coverage. Regulatory restrictions or requirements could also impact pricing, risk selection and our rights and obligations with respect to our policies and insureds, including our ability to cancel or non-renew policies and our right to collect premiums. </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u w:val="single"/>
        </w:rPr>
        <w:t>Operational Disruptions and Heightened Cybersecurity Risks.</w:t>
      </w:r>
      <w:r>
        <w:rPr>
          <w:rFonts w:ascii="times new roman" w:hAnsi="times new roman"/>
          <w:sz w:val="20"/>
        </w:rPr>
        <w:t xml:space="preserve"> Our operations could be disrupted if key members of our senior management or a significant percentage of our workforce or the workforce of our producers are unable to continue to work because of illness, government directives or otherwise. In addition, the interruption of our or their system capabilities could result in a deterioration of our ability to write and process new and renewal business, provide customer service, pay claims in a timely manner or perform other necessary business functions. Having shifted to remote working arrangements, we also face a heightened risk of cybersecurity attacks or data security incidents and are more dependent on internet and telecommunications access and capabilities.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19</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firstLine="675"/>
        <w:jc w:val="both"/>
        <w:rPr/>
      </w:pPr>
      <w:r>
        <w:rPr>
          <w:rStyle w:val="Emphasis"/>
          <w:rFonts w:ascii="times new roman" w:hAnsi="times new roman"/>
          <w:sz w:val="20"/>
          <w:u w:val="single"/>
        </w:rPr>
        <w:t>Reinsurance Risks.</w:t>
      </w:r>
      <w:r>
        <w:rPr>
          <w:rFonts w:ascii="times new roman" w:hAnsi="times new roman"/>
          <w:sz w:val="20"/>
        </w:rPr>
        <w:t xml:space="preserve"> We purchase reinsurance to reduce our net liability on individual risks, to protect against possible catastrophes, to remain within a target ratio of net premiums written to policyholders’ surplus and to expand our underwriting capacity. Participation in reinsurance arrangements does not relieve us from our obligations to policyholders. Our personal lines catastrophe reinsurance program was designed, utilizing our risk management methodology, to address our exposure to catastrophes. Market conditions beyond our control, including the effect of COVID-19 on the reinsurance market, have impacted and may continue to impact the availability and cost of the reinsurance we purchase. No assurances can be given that reinsurance will remain continuously available to us to the same extent and on the same terms and rates as currently available. For example, our ability to afford reinsurance to reduce our catastrophe risk may be dependent upon our ability to adjust premium rates for its cost, and there are no assurances that the terms and rates for our current reinsurance program will continue to be available in the future. If we are unable to maintain our current level of reinsurance or purchase new reinsurance protection in amounts that we consider sufficient and at prices that we consider acceptable, we will have to either accept an increase in our exposure risk, reduce our insurance writings or seek other alternatives. </w:t>
      </w:r>
    </w:p>
    <w:p>
      <w:pPr>
        <w:pStyle w:val="TextBody"/>
        <w:spacing w:before="0" w:after="0"/>
        <w:ind w:left="0" w:right="0" w:firstLine="675"/>
        <w:jc w:val="both"/>
        <w:rPr/>
      </w:pPr>
      <w:r>
        <w:rPr/>
        <w:t> </w:t>
      </w:r>
    </w:p>
    <w:p>
      <w:pPr>
        <w:pStyle w:val="TextBody"/>
        <w:spacing w:before="0" w:after="0"/>
        <w:ind w:left="0" w:right="0" w:firstLine="675"/>
        <w:jc w:val="both"/>
        <w:rPr/>
      </w:pPr>
      <w:r>
        <w:rPr>
          <w:rStyle w:val="Emphasis"/>
          <w:rFonts w:ascii="times new roman" w:hAnsi="times new roman"/>
          <w:sz w:val="20"/>
        </w:rPr>
        <w:t>Major public health issues could have an adverse effect on our business and operating results.</w:t>
      </w:r>
    </w:p>
    <w:p>
      <w:pPr>
        <w:pStyle w:val="TextBody"/>
        <w:spacing w:before="0" w:after="0"/>
        <w:ind w:left="0" w:right="0" w:firstLine="675"/>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Major public health issues, including a large-scale pandemic, such as the novel coronavirus COVID-19, may have a material adverse effect on our workforce and business operations and cause disruptions in commerce and reduced economic activity. Some of the assets in our investment portfolio may be adversely affected by declines in the equity markets, changes in interest rates, reduced liquidity and economic activity caused by a large-scale pandemic. Accordingly, a large-scale pandemic could have a material adverse effect on our revenue, liquidity and operating results.</w:t>
      </w:r>
    </w:p>
    <w:p>
      <w:pPr>
        <w:pStyle w:val="TextBody"/>
        <w:spacing w:before="0" w:after="0"/>
        <w:ind w:left="0" w:right="0" w:firstLine="675"/>
        <w:jc w:val="both"/>
        <w:rPr/>
      </w:pPr>
      <w:r>
        <w:rPr/>
        <w:t> </w:t>
      </w:r>
    </w:p>
    <w:p>
      <w:pPr>
        <w:pStyle w:val="TextBody"/>
        <w:spacing w:before="0" w:after="0"/>
        <w:ind w:left="0" w:right="0" w:firstLine="675"/>
        <w:jc w:val="both"/>
        <w:rPr/>
      </w:pPr>
      <w:r>
        <w:rPr>
          <w:rStyle w:val="Emphasis"/>
          <w:rFonts w:ascii="times new roman" w:hAnsi="times new roman"/>
          <w:sz w:val="20"/>
        </w:rPr>
        <w:t xml:space="preserve">As a property and casualty insurer, we may face significant losses from catastrophes and severe weather events. </w:t>
      </w:r>
    </w:p>
    <w:p>
      <w:pPr>
        <w:pStyle w:val="TextBody"/>
        <w:spacing w:before="0" w:after="0"/>
        <w:ind w:left="0" w:right="0" w:firstLine="675"/>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Because of the exposure of our property and casualty business to catastrophic events (such as Superstorm Sandy) and other severe weather events, our operating results and financial condition may vary significantly from one period to the next. Catastrophes can be caused by various natural and man-made disasters, including earthquakes, wildfires, tornadoes, hurricanes, severe winter weather, storms and certain types of terrorism. We currently have catastrophe reinsurance coverage with regard to losses of up to $485,000,000 ($475,000,000 in excess of $10,000,000). The initial $7,500,000 of losses in a catastrophe were subject to a 25% quota share reinsurance treaty through December 30, 2020, such that we retain $8,125,000 of risk per catastrophe occurrence. With respect to any additional catastrophe losses of up to $475.000,000, we are 100% reinsured under our catastrophe reinsurance program. Catastrophe coverage is limited on an annual basis to two times the per occurrence amounts. We may incur catastrophe losses in excess of: (i) those that we project would be incurred, (ii) those that external modeling firms estimate would be incurred, (iii) the average expected level used in pricing or (iv) our current reinsurance coverage limits. Despite our catastrophe management programs, we are exposed to catastrophes that could have a material adverse effect on our operating results and financial condition. Our liquidity could be constrained by a catastrophe, or multiple catastrophes, which may result in extraordinary losses or a downgrade of our financial strength ratings. In addition, the reinsurance losses that are incurred in connection with a catastrophe could have an adverse impact on the terms and conditions of future reinsurance treaties.</w:t>
      </w:r>
    </w:p>
    <w:p>
      <w:pPr>
        <w:pStyle w:val="TextBody"/>
        <w:spacing w:before="0" w:after="0"/>
        <w:ind w:left="0" w:right="0" w:firstLine="675"/>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 xml:space="preserve">In addition, we are subject to claims arising from non-catastrophic weather events such as hurricanes, tropical storms, severe winter weather, rain, hail and high winds. The incidence and severity of weather conditions are largely unpredictable. There is generally an increase in the frequency and severity of claims when severe weather conditions occur. </w:t>
      </w:r>
    </w:p>
    <w:p>
      <w:pPr>
        <w:pStyle w:val="TextBody"/>
        <w:spacing w:before="0" w:after="0"/>
        <w:ind w:left="0" w:right="0" w:firstLine="675"/>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20</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firstLine="675"/>
        <w:jc w:val="both"/>
        <w:rPr/>
      </w:pPr>
      <w:r>
        <w:rPr>
          <w:rStyle w:val="Emphasis"/>
          <w:rFonts w:ascii="times new roman" w:hAnsi="times new roman"/>
          <w:sz w:val="20"/>
        </w:rPr>
        <w:t>Unanticipated increases in the severity or frequency of claims may adversely affect our operating results and financial condition.</w:t>
      </w:r>
    </w:p>
    <w:p>
      <w:pPr>
        <w:pStyle w:val="TextBody"/>
        <w:spacing w:before="0" w:after="0"/>
        <w:ind w:left="0" w:right="0" w:firstLine="675"/>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Changes in the severity or frequency of claims may affect our profitability. Changes in homeowners claim severity are driven by inflation in the construction industry, in building materials and home furnishings, and by other economic and environmental factors, including increased demand for services and supplies in areas affected by catastrophes. Changes in bodily injury claim severity are driven primarily by inflation in the medical sector of the economy and by litigation costs. Changes in auto physical damage claim severity are driven primarily by inflation in auto repair costs, prices of auto parts and used car prices. However, changes in the level of the severity of claims are not limited to the effects of inflation and demand surge in these various sectors of the economy. Increases in claim severity can arise from unexpected events that are inherently difficult to predict, such as a change in the law or an inability to enforce exclusions and limitations contained in our policies. Although we pursue various loss management initiatives to mitigate future increases in claim severity, there can be no assurances that these initiatives will successfully identify or reduce the effect of future increases in claim severity, and a significant increase in claim frequency could have an adverse effect on our operating results and financial condition.</w:t>
      </w:r>
    </w:p>
    <w:p>
      <w:pPr>
        <w:pStyle w:val="TextBody"/>
        <w:spacing w:before="0" w:after="0"/>
        <w:ind w:left="0" w:right="0" w:hanging="0"/>
        <w:jc w:val="both"/>
        <w:rPr/>
      </w:pPr>
      <w:r>
        <w:rPr/>
        <w:t> </w:t>
      </w:r>
    </w:p>
    <w:p>
      <w:pPr>
        <w:pStyle w:val="TextBody"/>
        <w:spacing w:before="0" w:after="0"/>
        <w:ind w:left="0" w:right="0" w:firstLine="675"/>
        <w:jc w:val="both"/>
        <w:rPr/>
      </w:pPr>
      <w:r>
        <w:rPr>
          <w:rStyle w:val="Emphasis"/>
          <w:rFonts w:ascii="times new roman" w:hAnsi="times new roman"/>
          <w:sz w:val="20"/>
        </w:rPr>
        <w:t>Recent decline in the financial strength rating assigned to our insurance subsidiary by A.M. Best will impact our revenues and earnings.</w:t>
      </w:r>
    </w:p>
    <w:p>
      <w:pPr>
        <w:pStyle w:val="TextBody"/>
        <w:spacing w:before="0" w:after="0"/>
        <w:ind w:left="0" w:right="0" w:firstLine="675"/>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Financial strength ratings are an important factor influencing the competitive position of insurance companies. The objective of the rating agencies’ rating systems is to provide an opinion as to an insurer’s financial strength and ability to meet ongoing obligations to its policyholders. The ratings of Kingstone Insurance Company (“KICO”), our insurance subsidiary, reflect the rating agencies’ opinion as to its financial strength and are not evaluations directed to investors in our securities, nor are they recommendations to buy, sell or hold our securities.</w:t>
      </w:r>
    </w:p>
    <w:p>
      <w:pPr>
        <w:pStyle w:val="TextBody"/>
        <w:spacing w:before="0" w:after="0"/>
        <w:ind w:left="0" w:right="0" w:firstLine="675"/>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 xml:space="preserve">Our ratings are subject to periodic review by, and may be revised downward or revoked at the sole discretion of, the rating agencies. Our ability to write business, particularly commercial liability lines, is influenced by our financial strength rating from A.M. Best. On July 10, 2020, A.M. Best lowered the financial strength rating of KICO from “A-” (Excellent) to “B++” (Good). The outlook of A.M. Best’s credit rating is negative. A.M. Best indicated that the ratings downgrade of KICO reflects its balance sheet strength, which A.M. Best categorizes as adequate, as well as its strong operating performance, limited business profile and appropriate enterprise risk management. It stated that the ratings action was driven by a revision in KICO’s catastrophe reinsurance program effective July 1, 2020 which significantly reduces the amount of reinsurance protection previously contemplated and purchased. </w:t>
      </w:r>
    </w:p>
    <w:p>
      <w:pPr>
        <w:pStyle w:val="TextBody"/>
        <w:spacing w:before="0" w:after="0"/>
        <w:ind w:left="0" w:right="0" w:firstLine="675"/>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Management believes that A.M. Best’s financial strength rating is more significant with regard to commercial liability insurance, as opposed to personal lines business. Since we have discontinued our commercial lines business, we believe that A.M. Best’s rating action will not result in a material decrease in the amount of business that KICO will be able to write. However, the A.M Best ratings downgrade has resulted in a material decrease in the business of our subsidiary, Cosi, a multi-state licensed general agency that had partnered with name-brand carriers which require an A.M. Best “A-“ rating from its partners.</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 xml:space="preserve">Adverse capital and credit market conditions may significantly affect our ability to meet liquidity needs or our ability to obtain credit on acceptable terms. </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The capital and credit markets can experience periods of volatility and disruption. In some cases, markets have exerted downward pressure on the availability of liquidity and credit capacity. In the event that we need access to additional capital to support our operating expenses, make payments on our outstanding and any future indebtedness, pay for capital expenditures, or increase the amount of insurance that we seek to underwrite or to otherwise grow our business, our ability to obtain such capital may be limited and the cost of any such capital may be significant. Our access to additional financing will depend on a variety of factors, such as market conditions, the general availability of credit, the overall availability of credit to our industry, our credit ratings and credit capacity as well as lenders' perception of our long or short-term financial prospects. Similarly, our access to funds may be impaired if regulatory authorities or rating agencies take negative actions against us. If a combination of these factors occurs, our internal sources of liquidity may prove to be insufficient and, in such case, we may not be able to successfully obtain additional financing on favorable terms.</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21</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We are exposed to significant financial and capital markets risk which may adversely affect our results of operations, financial condition and liquidity, and our net investment income can vary from period to period.</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 xml:space="preserve">We are exposed to significant financial and capital markets risk, including changes in interest rates, equity prices, market volatility, general economic conditions, the performance of the economy in general, the performance of the specific obligors included in our portfolio, and other factors outside our control. Our exposure to interest rate risk relates primarily to the market price and cash flow variability associated with changes in interest rates. Our investment portfolio contains interest rate sensitive instruments, such as fixed income securities, which may be adversely affected by changes in interest rates from governmental monetary policies, domestic and international economic and political conditions and other factors beyond our control. A rise in interest rates would increase the net unrealized loss position of our investment portfolio, which would be offset by our ability to earn higher rates of return on funds reinvested. Conversely, a decline in interest rates would decrease the net unrealized loss position of our investment portfolio, which would be offset by lower rates of return on funds reinvested. </w:t>
      </w:r>
    </w:p>
    <w:p>
      <w:pPr>
        <w:pStyle w:val="TextBody"/>
        <w:spacing w:before="0" w:after="0"/>
        <w:ind w:left="0" w:right="0" w:firstLine="675"/>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 xml:space="preserve">In addition, market volatility can make it difficult to value certain of our securities if trading becomes less frequent. As such, valuations may include assumptions or estimates that may have significant period to period changes which could have a material adverse effect on our consolidated results of operations or financial condition. If significant, continued volatility, changes in interest rates, changes in defaults, a lack of pricing transparency, market liquidity and declines in equity prices, individually or in tandem, could have a material adverse effect on our results of operations, financial condition or cash flows through realized losses, impairments, and changes in unrealized positions. </w:t>
      </w:r>
    </w:p>
    <w:p>
      <w:pPr>
        <w:pStyle w:val="TextBody"/>
        <w:spacing w:before="0" w:after="0"/>
        <w:ind w:left="0" w:right="0" w:firstLine="675"/>
        <w:jc w:val="both"/>
        <w:rPr/>
      </w:pPr>
      <w:r>
        <w:rPr/>
        <w:t> </w:t>
      </w:r>
    </w:p>
    <w:p>
      <w:pPr>
        <w:pStyle w:val="TextBody"/>
        <w:spacing w:before="0" w:after="0"/>
        <w:ind w:left="0" w:right="0" w:firstLine="675"/>
        <w:jc w:val="both"/>
        <w:rPr/>
      </w:pPr>
      <w:r>
        <w:rPr>
          <w:rStyle w:val="Emphasis"/>
          <w:rFonts w:ascii="times new roman" w:hAnsi="times new roman"/>
          <w:sz w:val="20"/>
        </w:rPr>
        <w:t xml:space="preserve">Reinsurance may be unavailable at current levels and prices, which may limit our ability to write new business or maintain our financial strength rating from A.M. Best. </w:t>
      </w:r>
    </w:p>
    <w:p>
      <w:pPr>
        <w:pStyle w:val="TextBody"/>
        <w:spacing w:before="0" w:after="0"/>
        <w:ind w:left="0" w:right="0" w:firstLine="675"/>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We purchase reinsurance to reduce our net liability on individual risks, to protect against possible catastrophes, to remain within a target ratio of net premiums written to policyholders’ surplus and to expand our underwriting capacity. Participation in reinsurance arrangements does not relieve us from our obligations to policyholders. Our personal lines catastrophe reinsurance program was designed, utilizing our risk management methodology, to address our exposure to catastrophes. Market conditions beyond our control impact the availability and cost of the reinsurance we purchase. No assurances can be given that reinsurance will remain continuously available to us to the same extent and on the same terms and rates as currently available. For example, our ability to afford reinsurance to reduce our catastrophe risk may be dependent upon our ability to adjust premium rates for its cost, and there are no assurances that the terms and rates for our current reinsurance program will continue to be available in the future. If we are unable to maintain our current level of reinsurance or purchase new reinsurance protection in amounts that we consider sufficient and at prices that we consider acceptable, we will have to either accept an increase in our exposure risk, reduce our insurance writings or seek other alternatives. Our ability to maintain our financial strength rating from A.M. Best depends, in part, on our ability to purchase a sufficient level of catastrophe reinsurance.</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22</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firstLine="675"/>
        <w:jc w:val="both"/>
        <w:rPr/>
      </w:pPr>
      <w:r>
        <w:rPr>
          <w:rStyle w:val="Emphasis"/>
          <w:rFonts w:ascii="times new roman" w:hAnsi="times new roman"/>
          <w:sz w:val="20"/>
        </w:rPr>
        <w:t xml:space="preserve">Reinsurance subjects us to the credit risk of our reinsurers, which may have a material adverse effect on our operating results and financial condition. </w:t>
      </w:r>
    </w:p>
    <w:p>
      <w:pPr>
        <w:pStyle w:val="TextBody"/>
        <w:spacing w:before="0" w:after="0"/>
        <w:ind w:left="0" w:right="0" w:firstLine="675"/>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 xml:space="preserve">The collectability of reinsurance recoverables is subject to uncertainty arising from a number of factors, including changes in market conditions, whether insured losses meet the qualifying conditions of the reinsurance contract and whether reinsurers, or their affiliates, have the financial capacity and willingness to make payments under the terms of a reinsurance treaty or contract. Since we are primarily liable to an insured for the full amount of insurance coverage, our inability to collect a material recovery from a reinsurer could have a material adverse effect on our operating results and financial condition. </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Applicable insurance laws regarding the change of control of our company may impede potential acquisitions that our shareholders might consider desirable.</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 xml:space="preserve">We are subject to statutes and regulations of the state of New York which generally require that any person or entity desiring to acquire direct or indirect control of KICO, our insurance company subsidiary, obtain prior regulatory approval. In addition, a change of control of Kingstone Companies, Inc. would require such approval. These laws may discourage potential acquisition proposals and may delay, deter or prevent a change of control of our company, including through transactions, and in particular unsolicited transactions. Some of our shareholders might consider such transactions to be desirable. Similar regulations may apply in other states in which we may operate. </w:t>
      </w:r>
    </w:p>
    <w:p>
      <w:pPr>
        <w:pStyle w:val="TextBody"/>
        <w:spacing w:before="0" w:after="0"/>
        <w:ind w:left="0" w:right="0" w:firstLine="675"/>
        <w:jc w:val="both"/>
        <w:rPr/>
      </w:pPr>
      <w:r>
        <w:rPr/>
        <w:t> </w:t>
      </w:r>
    </w:p>
    <w:p>
      <w:pPr>
        <w:pStyle w:val="TextBody"/>
        <w:spacing w:before="0" w:after="0"/>
        <w:ind w:left="0" w:right="0" w:firstLine="675"/>
        <w:jc w:val="both"/>
        <w:rPr/>
      </w:pPr>
      <w:r>
        <w:rPr>
          <w:rStyle w:val="Emphasis"/>
          <w:rFonts w:ascii="times new roman" w:hAnsi="times new roman"/>
          <w:sz w:val="20"/>
        </w:rPr>
        <w:t>The insurance industry is subject to extensive regulation that may affect our operating costs and limit the growth of our business, and changes within this regulatory environment may adversely affect our operating costs and limit the growth of our business.</w:t>
      </w:r>
    </w:p>
    <w:p>
      <w:pPr>
        <w:pStyle w:val="TextBody"/>
        <w:spacing w:before="0" w:after="0"/>
        <w:ind w:left="0" w:right="0" w:firstLine="675"/>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We are subject to extensive laws and regulations. State insurance regulators are charged with protecting policyholders and have broad regulatory, supervisory and administrative powers over our business practices. These include, among other things, the power to grant and revoke licenses to transact business and the power to regulate and approve underwriting practices and rate changes, which may delay the implementation of premium rate changes, prevent us from making changes we believe are necessary to match rate to risk or delay or prevent our entry into new states. In addition, many states have laws and regulations that limit an insurer’s ability to cancel or not renew policies and that prohibit an insurer from withdrawing from one or more lines of business written in the state, except pursuant to a plan that is approved by state regulatory authorities. Laws and regulations that limit cancellation and non-renewal and that subject program withdrawals to prior approval requirements may restrict our ability to exit unprofitable markets.</w:t>
      </w:r>
    </w:p>
    <w:p>
      <w:pPr>
        <w:pStyle w:val="TextBody"/>
        <w:spacing w:before="0" w:after="0"/>
        <w:ind w:left="0" w:right="0" w:firstLine="675"/>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 xml:space="preserve">Because the laws and regulations under which we operate are administered and enforced by a number of different governmental authorities, including state insurance regulators, state securities administrators and the SEC, each of which exercises a degree of interpretive latitude, we are subject to the risk that compliance with any particular regulator's or enforcement authority's interpretation of a legal issue may not result in compliance with another's interpretation of the same issue, particularly when compliance is judged in hindsight. In addition, there is risk that any particular regulator's or enforcement authority's interpretation of a legal issue may change over time to our detriment, or that changes in the overall legal and regulatory environment may, even in the absence of any change to a particular regulator's or enforcement authority's interpretation of a legal issue changing, cause us to change our views regarding the actions we need to take from a legal risk management perspective, thereby necessitating changes to our practices that may, in some cases, limit our ability to grow and/or to improve the profitability of our business.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23</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 xml:space="preserve">While the United States federal government does not directly regulate the insurance industry, federal legislation and administrative policies can affect us. Congress and various federal agencies periodically discuss proposals that would provide for a federal charter for insurance companies. We cannot predict whether any such laws will be enacted or the effect that such laws would have on our business. Moreover, there can be no assurance that changes will not be made to current laws, rules and regulations, or that any other laws, rules or regulations will not be adopted in the future, that could adversely affect our business and financial condition. </w:t>
      </w:r>
    </w:p>
    <w:p>
      <w:pPr>
        <w:pStyle w:val="TextBody"/>
        <w:spacing w:before="0" w:after="0"/>
        <w:ind w:left="0" w:right="0" w:firstLine="675"/>
        <w:jc w:val="both"/>
        <w:rPr/>
      </w:pPr>
      <w:r>
        <w:rPr/>
        <w:t> </w:t>
      </w:r>
    </w:p>
    <w:p>
      <w:pPr>
        <w:pStyle w:val="TextBody"/>
        <w:spacing w:before="0" w:after="0"/>
        <w:ind w:left="0" w:right="0" w:firstLine="675"/>
        <w:jc w:val="both"/>
        <w:rPr/>
      </w:pPr>
      <w:r>
        <w:rPr>
          <w:rStyle w:val="Emphasis"/>
          <w:rFonts w:ascii="times new roman" w:hAnsi="times new roman"/>
          <w:sz w:val="20"/>
        </w:rPr>
        <w:t>We may not be able to maintain the requisite amount of risk-based capital, which may adversely affect our profitability and our ability to compete in the property and casualty insurance markets.</w:t>
      </w:r>
      <w:r>
        <w:rPr>
          <w:rStyle w:val="StrongEmphasis"/>
          <w:rFonts w:ascii="times new roman" w:hAnsi="times new roman"/>
          <w:sz w:val="20"/>
        </w:rPr>
        <w:t xml:space="preserve"> </w:t>
      </w:r>
    </w:p>
    <w:p>
      <w:pPr>
        <w:pStyle w:val="TextBody"/>
        <w:spacing w:before="0" w:after="0"/>
        <w:ind w:left="0" w:right="0" w:firstLine="675"/>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 xml:space="preserve">The DFS imposes risk-based capital requirements on insurance companies to ensure that insurance companies maintain appropriate levels of surplus to support their overall business operations and to protect customers against adverse developments, after taking into account default, credit, underwriting and off-balance sheet risks. If the amount of our capital falls below certain thresholds, we may face restrictions with respect to soliciting new business and/or keeping existing business. Similar regulations apply in other states in which we operate. </w:t>
      </w:r>
    </w:p>
    <w:p>
      <w:pPr>
        <w:pStyle w:val="TextBody"/>
        <w:spacing w:before="0" w:after="0"/>
        <w:ind w:left="0" w:right="0" w:firstLine="675"/>
        <w:jc w:val="both"/>
        <w:rPr/>
      </w:pPr>
      <w:r>
        <w:rPr/>
        <w:t> </w:t>
      </w:r>
    </w:p>
    <w:p>
      <w:pPr>
        <w:pStyle w:val="TextBody"/>
        <w:spacing w:before="0" w:after="0"/>
        <w:ind w:left="0" w:right="0" w:firstLine="675"/>
        <w:jc w:val="both"/>
        <w:rPr/>
      </w:pPr>
      <w:r>
        <w:rPr>
          <w:rStyle w:val="Emphasis"/>
          <w:rFonts w:ascii="times new roman" w:hAnsi="times new roman"/>
          <w:sz w:val="20"/>
        </w:rPr>
        <w:t xml:space="preserve">Changing climate conditions may adversely affect our financial condition, profitability or cash flows. </w:t>
      </w:r>
    </w:p>
    <w:p>
      <w:pPr>
        <w:pStyle w:val="TextBody"/>
        <w:spacing w:before="0" w:after="0"/>
        <w:ind w:left="0" w:right="0" w:firstLine="675"/>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 xml:space="preserve">We recognize the scientific view that the world is getting warmer. Climate change, to the extent it produces rising temperatures and changes in weather patterns, could impact the frequency and/or severity of weather events and affect the affordability and availability of homeowners insurance. </w:t>
      </w:r>
    </w:p>
    <w:p>
      <w:pPr>
        <w:pStyle w:val="TextBody"/>
        <w:spacing w:before="0" w:after="0"/>
        <w:ind w:left="0" w:right="0" w:firstLine="675"/>
        <w:jc w:val="both"/>
        <w:rPr/>
      </w:pPr>
      <w:r>
        <w:rPr/>
        <w:t> </w:t>
      </w:r>
    </w:p>
    <w:p>
      <w:pPr>
        <w:pStyle w:val="TextBody"/>
        <w:spacing w:before="0" w:after="0"/>
        <w:ind w:left="0" w:right="0" w:firstLine="675"/>
        <w:jc w:val="both"/>
        <w:rPr/>
      </w:pPr>
      <w:r>
        <w:rPr>
          <w:rStyle w:val="Emphasis"/>
          <w:rFonts w:ascii="times new roman" w:hAnsi="times new roman"/>
          <w:sz w:val="20"/>
        </w:rPr>
        <w:t xml:space="preserve">Our operating results and financial condition may be adversely affected by the cyclical nature of the property and casualty business. </w:t>
      </w:r>
    </w:p>
    <w:p>
      <w:pPr>
        <w:pStyle w:val="TextBody"/>
        <w:spacing w:before="0" w:after="0"/>
        <w:ind w:left="0" w:right="0" w:firstLine="675"/>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 xml:space="preserve">The property and casualty market is cyclical and has experienced periods characterized by relatively high levels of price competition, less restrictive underwriting standards and relatively low premium rates, followed by periods of relatively lower levels of competition, more selective underwriting standards and relatively high premium rates. A downturn in the profitability cycle of the property and casualty business could have a material adverse effect on our operating results and financial condition. </w:t>
      </w:r>
    </w:p>
    <w:p>
      <w:pPr>
        <w:pStyle w:val="TextBody"/>
        <w:spacing w:before="0" w:after="0"/>
        <w:ind w:left="0" w:right="0" w:firstLine="675"/>
        <w:jc w:val="both"/>
        <w:rPr/>
      </w:pPr>
      <w:r>
        <w:rPr/>
        <w:t> </w:t>
      </w:r>
    </w:p>
    <w:p>
      <w:pPr>
        <w:pStyle w:val="TextBody"/>
        <w:spacing w:before="0" w:after="0"/>
        <w:ind w:left="0" w:right="0" w:firstLine="675"/>
        <w:jc w:val="both"/>
        <w:rPr/>
      </w:pPr>
      <w:r>
        <w:rPr>
          <w:rStyle w:val="Emphasis"/>
          <w:rFonts w:ascii="times new roman" w:hAnsi="times new roman"/>
          <w:sz w:val="20"/>
        </w:rPr>
        <w:t>Because substantially all of our revenue is currently derived from sources located in New York, our business may be adversely affected by conditions in such state.</w:t>
      </w:r>
    </w:p>
    <w:p>
      <w:pPr>
        <w:pStyle w:val="TextBody"/>
        <w:spacing w:before="0" w:after="0"/>
        <w:ind w:left="0" w:right="0" w:firstLine="135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Approximately 80% of our revenue is currently derived from sources located in the State of New York and, accordingly, is affected by the prevailing regulatory, economic, demographic, competitive and other conditions in the state. Changes in any of these conditions could make it costlier or difficult for us to conduct our business. Adverse regulatory developments in New York, which could include fundamental changes to the design or implementation of the insurance regulatory framework, could have a material adverse effect on our results of operations and financial condition.</w:t>
      </w:r>
    </w:p>
    <w:p>
      <w:pPr>
        <w:pStyle w:val="TextBody"/>
        <w:spacing w:before="0" w:after="0"/>
        <w:ind w:left="0" w:right="0" w:firstLine="675"/>
        <w:jc w:val="both"/>
        <w:rPr/>
      </w:pPr>
      <w:r>
        <w:rPr/>
        <w:t> </w:t>
      </w:r>
    </w:p>
    <w:p>
      <w:pPr>
        <w:pStyle w:val="TextBody"/>
        <w:spacing w:before="0" w:after="0"/>
        <w:ind w:left="0" w:right="0" w:firstLine="675"/>
        <w:jc w:val="both"/>
        <w:rPr/>
      </w:pPr>
      <w:r>
        <w:rPr>
          <w:rStyle w:val="Emphasis"/>
          <w:rFonts w:ascii="times new roman" w:hAnsi="times new roman"/>
          <w:sz w:val="20"/>
        </w:rPr>
        <w:t xml:space="preserve">We are highly dependent on a relatively small number of insurance brokers for a large portion of our revenues. </w:t>
      </w:r>
    </w:p>
    <w:p>
      <w:pPr>
        <w:pStyle w:val="TextBody"/>
        <w:spacing w:before="0" w:after="0"/>
        <w:ind w:left="0" w:right="0" w:firstLine="675"/>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We market our insurance products primarily through insurance brokers. A large percentage of our gross premiums written are sourced through a limited number of brokers. For the year ended December 31, 2020, thirty brokers provided a total of 36.3% of our total gross premiums written. The nature of our dependency on these brokers relates to the high volume of business they consistently refer to us. Our relationship with these brokers is based on the quality of the underwriting and claims services we provide to our clients and on our financial strength ratings. Any deterioration in these factors could result in these brokers advising clients to place their risks with other insurers rather than with us. A loss of all or a substantial portion of the business provided by one or more of these brokers could have a material adverse effect on our financial condition and results of operations.</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24</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firstLine="675"/>
        <w:jc w:val="both"/>
        <w:rPr/>
      </w:pPr>
      <w:r>
        <w:rPr>
          <w:rStyle w:val="Emphasis"/>
          <w:rFonts w:ascii="times new roman" w:hAnsi="times new roman"/>
          <w:sz w:val="20"/>
        </w:rPr>
        <w:t>Actual claims incurred may exceed current reserves established for claims, which may adversely affect our operating results and financial condition</w:t>
      </w:r>
      <w:r>
        <w:rPr>
          <w:rStyle w:val="Emphasis"/>
          <w:rFonts w:ascii="times new roman" w:hAnsi="times new roman"/>
          <w:sz w:val="20"/>
        </w:rPr>
        <w:t xml:space="preserve">. </w:t>
      </w:r>
    </w:p>
    <w:p>
      <w:pPr>
        <w:pStyle w:val="TextBody"/>
        <w:spacing w:before="0" w:after="0"/>
        <w:ind w:left="0" w:right="0" w:firstLine="675"/>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Recorded claim reserves for our business are based on our best estimates of losses after considering known facts and interpretations of circumstances. Internal and external factors are considered. Internal factors include, but are not limited to, actual claims paid, pending levels of unpaid claims, product mix and contractual terms. External factors include, but are not limited to, changes in the law, court decisions, changes in regulatory requirements and economic conditions. Because reserves are estimates of the unpaid portion of losses that have occurred, the establishment of appropriate reserves, including reserves for catastrophes, is an inherently uncertain and complex process. The ultimate cost of losses may vary materially from recorded reserves, and such variance may adversely affect our operating results and financial condition.</w:t>
      </w:r>
    </w:p>
    <w:p>
      <w:pPr>
        <w:pStyle w:val="TextBody"/>
        <w:spacing w:before="0" w:after="0"/>
        <w:ind w:left="0" w:right="0" w:firstLine="675"/>
        <w:jc w:val="both"/>
        <w:rPr/>
      </w:pPr>
      <w:r>
        <w:rPr/>
        <w:t> </w:t>
      </w:r>
    </w:p>
    <w:p>
      <w:pPr>
        <w:pStyle w:val="TextBody"/>
        <w:spacing w:before="0" w:after="0"/>
        <w:ind w:left="0" w:right="0" w:firstLine="675"/>
        <w:jc w:val="both"/>
        <w:rPr/>
      </w:pPr>
      <w:r>
        <w:rPr>
          <w:rStyle w:val="Emphasis"/>
          <w:rFonts w:ascii="times new roman" w:hAnsi="times new roman"/>
          <w:sz w:val="20"/>
        </w:rPr>
        <w:t>As a holding company, we are dependent on the results of operations of our subsidiary, KICO; there are restrictions on the payment of dividends by KICO.</w:t>
      </w:r>
    </w:p>
    <w:p>
      <w:pPr>
        <w:pStyle w:val="TextBody"/>
        <w:spacing w:before="0" w:after="0"/>
        <w:ind w:left="0" w:right="0" w:firstLine="675"/>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 xml:space="preserve">We are a holding company and a legal entity separate and distinct from our operating subsidiary, KICO. As a holding company with limited operations of our own, currently the principal sources of our funds are dividends and other payments from KICO. Consequently, we must rely on KICO for our ability to repay debts (including $30,000,000 in aggregate principal amount of 5.5% Senior Unsecured Notes due December 30, 2022 (the “Notes’)), pay expenses and pay cash dividends to our shareholders. </w:t>
      </w:r>
    </w:p>
    <w:p>
      <w:pPr>
        <w:pStyle w:val="TextBody"/>
        <w:spacing w:before="0" w:after="0"/>
        <w:ind w:left="0" w:right="0" w:firstLine="675"/>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 xml:space="preserve">State insurance laws limit the ability of KICO to pay dividends and require KICO to maintain specified minimum levels of statutory capital and surplus. Maximum allowable dividends by KICO to us are restricted to the lesser of 10% of surplus or 100% of net investment income (on a statutory accounting basis) for the trailing 36 months, less dividends paid by KICO during such period. As of December 31, 2020, the maximum permissible distribution that KICO could pay without prior regulatory approval was approximately $2,560,000. The aggregate maximum amount of dividends permitted by law to be paid by an insurance company does not necessarily define an insurance company’s actual ability to pay dividends. The actual ability to pay dividends may be further constrained by business and regulatory considerations, such as the impact of dividends on surplus, by our competitive position and by the amount of premiums that we can write. State insurance regulators have broad discretion to limit the payment of dividends by insurance companies. Our ability to pay interest on the Notes as it comes due and the principal of the Notes at their maturity may be limited by these regulatory constraints. </w:t>
      </w:r>
    </w:p>
    <w:p>
      <w:pPr>
        <w:pStyle w:val="TextBody"/>
        <w:spacing w:before="0" w:after="0"/>
        <w:ind w:left="0" w:right="0" w:firstLine="675"/>
        <w:jc w:val="both"/>
        <w:rPr/>
      </w:pPr>
      <w:r>
        <w:rPr/>
        <w:t> </w:t>
      </w:r>
    </w:p>
    <w:p>
      <w:pPr>
        <w:pStyle w:val="TextBody"/>
        <w:spacing w:before="0" w:after="0"/>
        <w:ind w:left="0" w:right="0" w:firstLine="675"/>
        <w:jc w:val="both"/>
        <w:rPr/>
      </w:pPr>
      <w:r>
        <w:rPr>
          <w:rStyle w:val="Emphasis"/>
          <w:rFonts w:ascii="times new roman" w:hAnsi="times new roman"/>
          <w:sz w:val="20"/>
        </w:rPr>
        <w:t xml:space="preserve">We may not be able to generate sufficient cash to service our debt obligations, including the Notes. </w:t>
      </w:r>
    </w:p>
    <w:p>
      <w:pPr>
        <w:pStyle w:val="TextBody"/>
        <w:spacing w:before="0" w:after="0"/>
        <w:ind w:left="0" w:right="0" w:firstLine="675"/>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 xml:space="preserve">Our ability to make payments on and to refinance our indebtedness, including the Notes, will depend on our financial and operating performance, which is subject to prevailing economic and competitive conditions and to certain financial, business and other factors beyond our control. We may be unable to maintain a sufficient level of cash flows from operating activities to permit us to pay the principal, premium, if any, and interest on our indebtedness, including the Notes.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25</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firstLine="675"/>
        <w:jc w:val="both"/>
        <w:rPr/>
      </w:pPr>
      <w:r>
        <w:rPr>
          <w:rStyle w:val="Emphasis"/>
          <w:rFonts w:ascii="times new roman" w:hAnsi="times new roman"/>
          <w:sz w:val="20"/>
        </w:rPr>
        <w:t xml:space="preserve">Our future results are dependent in part on our ability to successfully operate in an insurance industry that is highly competitive. </w:t>
      </w:r>
    </w:p>
    <w:p>
      <w:pPr>
        <w:pStyle w:val="TextBody"/>
        <w:spacing w:before="0" w:after="0"/>
        <w:ind w:left="0" w:right="0" w:firstLine="675"/>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 xml:space="preserve">The insurance industry is highly competitive. Many of our competitors have well-established national reputations, substantially more capital and significantly greater marketing and management resources. Because of the competitive nature of the insurance industry, including competition for customers, agents and brokers, there can be no assurance that we will continue to effectively compete with our industry rivals, or that competitive pressures will not have a material adverse effect on our ability to grow our business and to maintain profitable operating results or financial condition. </w:t>
      </w:r>
    </w:p>
    <w:p>
      <w:pPr>
        <w:pStyle w:val="TextBody"/>
        <w:spacing w:before="0" w:after="0"/>
        <w:ind w:left="0" w:right="0" w:firstLine="675"/>
        <w:jc w:val="both"/>
        <w:rPr/>
      </w:pPr>
      <w:r>
        <w:rPr/>
        <w:t> </w:t>
      </w:r>
    </w:p>
    <w:p>
      <w:pPr>
        <w:pStyle w:val="TextBody"/>
        <w:spacing w:before="0" w:after="0"/>
        <w:ind w:left="0" w:right="0" w:firstLine="675"/>
        <w:jc w:val="both"/>
        <w:rPr/>
      </w:pPr>
      <w:r>
        <w:rPr>
          <w:rStyle w:val="Emphasis"/>
          <w:rFonts w:ascii="times new roman" w:hAnsi="times new roman"/>
          <w:sz w:val="20"/>
        </w:rPr>
        <w:t xml:space="preserve">If we lose key personnel or are unable to recruit qualified personnel, our ability to implement our business strategies could be delayed or hindered. </w:t>
      </w:r>
    </w:p>
    <w:p>
      <w:pPr>
        <w:pStyle w:val="TextBody"/>
        <w:spacing w:before="0" w:after="0"/>
        <w:ind w:left="0" w:right="0" w:firstLine="675"/>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 xml:space="preserve">Our future success will depend, in part, upon the efforts of Barry Goldstein, our President, Chief Executive Officer and Executive Chairman, and Meryl Golden, our Chief Operating Officer. The loss of Mr. Goldstein or Ms. Golden or other key personnel could prevent us from fully implementing our business strategies and could materially and adversely affect our business, financial condition and results of operations. As we continue to grow, we will need to recruit and retain additional qualified management personnel, but we may not be able to do so. Our ability to recruit and retain such personnel will depend upon a number of factors, such as our results of operations and prospects and the level of competition prevailing in the market for qualified personnel. Mr. Goldstein entered into an amended and restated employment agreement effective January 1, 2020 and expiring December 31, 2022. Ms. Golden entered into an amended and restated employment agreement effective January 1, 2021 and expiring on December 31, 2022. </w:t>
      </w:r>
    </w:p>
    <w:p>
      <w:pPr>
        <w:pStyle w:val="TextBody"/>
        <w:spacing w:before="0" w:after="0"/>
        <w:ind w:left="0" w:right="0" w:firstLine="675"/>
        <w:jc w:val="both"/>
        <w:rPr/>
      </w:pPr>
      <w:r>
        <w:rPr/>
        <w:t> </w:t>
      </w:r>
    </w:p>
    <w:p>
      <w:pPr>
        <w:pStyle w:val="TextBody"/>
        <w:spacing w:before="0" w:after="0"/>
        <w:ind w:left="0" w:right="0" w:firstLine="675"/>
        <w:jc w:val="both"/>
        <w:rPr/>
      </w:pPr>
      <w:r>
        <w:rPr>
          <w:rStyle w:val="Emphasis"/>
          <w:rFonts w:ascii="times new roman" w:hAnsi="times new roman"/>
          <w:sz w:val="20"/>
        </w:rPr>
        <w:t xml:space="preserve">Difficult conditions in the economy generally could adversely affect our business and operating results. </w:t>
      </w:r>
    </w:p>
    <w:p>
      <w:pPr>
        <w:pStyle w:val="TextBody"/>
        <w:spacing w:before="0" w:after="0"/>
        <w:ind w:left="0" w:right="0" w:firstLine="675"/>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 xml:space="preserve">As with most businesses, we believe that difficult conditions in the economy could have an adverse effect on our business and operating results. General economic conditions also could adversely affect us in the form of consumer behavior, which may include decreased demand for our products. As consumers become more cost conscious, they may choose to purchase lower levels of insurance. </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 xml:space="preserve">Changes in accounting standards issued by the Financial Accounting Standards Board or other standard-setting bodies may adversely affect our reported results of operations and financial condition.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financial statements are subject to the application of generally accepted accounting principles, which are periodically revised, interpreted and/or expanded. Accordingly, we are required to adopt new guidance or interpretations, which may have a material adverse effect on our results of operations and financial condition that is either unexpected or has a greater impact than expected.</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Our business could be adversely affected by a security breach or other attack involving our computer systems or those of one or more of our vendors.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Our business requires that we develop and maintain computer systems to run our operations and to store a significant volume of confidential data. Some of these systems rely on third-party vendors, through either a connection to, or an integration with, those third-parties’ systems. In the course of our operations, we acquire the personal confidential information of our customers and employees. We also store our intellectual property, trade secrets, and other sensitive business and financial information.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26</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All of these systems are subject to “cyber attacks” by sophisticated third parties with substantial computing resources and capabilities, and to unauthorized or illegitimate actions by employees, consultants, agents and other persons with legitimate access to our systems. Such attacks or actions may include attempts to:</w:t>
      </w:r>
    </w:p>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105"/>
        <w:gridCol w:w="155"/>
        <w:gridCol w:w="9945"/>
      </w:tblGrid>
      <w:tr>
        <w:trPr/>
        <w:tc>
          <w:tcPr>
            <w:tcW w:w="105" w:type="dxa"/>
            <w:tcBorders/>
            <w:shd w:fill="auto" w:val="clear"/>
            <w:vAlign w:val="center"/>
          </w:tcPr>
          <w:p>
            <w:pPr>
              <w:pStyle w:val="TableContents"/>
              <w:spacing w:before="0" w:after="0"/>
              <w:ind w:left="0" w:right="0" w:hanging="0"/>
              <w:rPr/>
            </w:pPr>
            <w:r>
              <w:rPr/>
              <w:t> </w:t>
            </w:r>
          </w:p>
        </w:tc>
        <w:tc>
          <w:tcPr>
            <w:tcW w:w="155" w:type="dxa"/>
            <w:tcBorders/>
            <w:shd w:fill="auto" w:val="clear"/>
            <w:vAlign w:val="center"/>
          </w:tcPr>
          <w:p>
            <w:pPr>
              <w:pStyle w:val="TableContents"/>
              <w:spacing w:before="0" w:after="0"/>
              <w:ind w:left="0" w:right="0" w:hanging="0"/>
              <w:rPr>
                <w:rFonts w:ascii="symbol" w:hAnsi="symbol"/>
              </w:rPr>
            </w:pPr>
            <w:r>
              <w:rPr>
                <w:rFonts w:ascii="symbol" w:hAnsi="symbol"/>
              </w:rPr>
              <w:t>·</w:t>
            </w:r>
          </w:p>
        </w:tc>
        <w:tc>
          <w:tcPr>
            <w:tcW w:w="9945" w:type="dxa"/>
            <w:tcBorders/>
            <w:shd w:fill="auto" w:val="clear"/>
            <w:vAlign w:val="center"/>
          </w:tcPr>
          <w:p>
            <w:pPr>
              <w:pStyle w:val="TableContents"/>
              <w:spacing w:before="0" w:after="283"/>
              <w:rPr/>
            </w:pPr>
            <w:r>
              <w:rPr/>
              <w:t>steal, corrupt, or destroy data, including our intellectual property, financial data or the personal information of our customers or employees</w:t>
            </w:r>
          </w:p>
        </w:tc>
      </w:tr>
      <w:tr>
        <w:trPr/>
        <w:tc>
          <w:tcPr>
            <w:tcW w:w="105" w:type="dxa"/>
            <w:tcBorders/>
            <w:shd w:fill="auto" w:val="clear"/>
            <w:vAlign w:val="center"/>
          </w:tcPr>
          <w:p>
            <w:pPr>
              <w:pStyle w:val="TableContents"/>
              <w:spacing w:before="0" w:after="0"/>
              <w:ind w:left="0" w:right="0" w:hanging="0"/>
              <w:rPr/>
            </w:pPr>
            <w:r>
              <w:rPr/>
              <w:t> </w:t>
            </w:r>
          </w:p>
        </w:tc>
        <w:tc>
          <w:tcPr>
            <w:tcW w:w="155" w:type="dxa"/>
            <w:tcBorders/>
            <w:shd w:fill="auto" w:val="clear"/>
            <w:vAlign w:val="center"/>
          </w:tcPr>
          <w:p>
            <w:pPr>
              <w:pStyle w:val="TableContents"/>
              <w:spacing w:before="0" w:after="0"/>
              <w:ind w:left="0" w:right="0" w:hanging="0"/>
              <w:rPr>
                <w:rFonts w:ascii="symbol" w:hAnsi="symbol"/>
              </w:rPr>
            </w:pPr>
            <w:r>
              <w:rPr>
                <w:rFonts w:ascii="symbol" w:hAnsi="symbol"/>
              </w:rPr>
              <w:t>·</w:t>
            </w:r>
          </w:p>
        </w:tc>
        <w:tc>
          <w:tcPr>
            <w:tcW w:w="9945" w:type="dxa"/>
            <w:tcBorders/>
            <w:shd w:fill="auto" w:val="clear"/>
            <w:vAlign w:val="center"/>
          </w:tcPr>
          <w:p>
            <w:pPr>
              <w:pStyle w:val="TableContents"/>
              <w:spacing w:before="0" w:after="283"/>
              <w:rPr/>
            </w:pPr>
            <w:r>
              <w:rPr/>
              <w:t>misappropriate funds</w:t>
            </w:r>
          </w:p>
        </w:tc>
      </w:tr>
      <w:tr>
        <w:trPr/>
        <w:tc>
          <w:tcPr>
            <w:tcW w:w="105" w:type="dxa"/>
            <w:tcBorders/>
            <w:shd w:fill="auto" w:val="clear"/>
            <w:vAlign w:val="center"/>
          </w:tcPr>
          <w:p>
            <w:pPr>
              <w:pStyle w:val="TableContents"/>
              <w:spacing w:before="0" w:after="0"/>
              <w:ind w:left="0" w:right="0" w:hanging="0"/>
              <w:rPr/>
            </w:pPr>
            <w:r>
              <w:rPr/>
              <w:t> </w:t>
            </w:r>
          </w:p>
        </w:tc>
        <w:tc>
          <w:tcPr>
            <w:tcW w:w="155" w:type="dxa"/>
            <w:tcBorders/>
            <w:shd w:fill="auto" w:val="clear"/>
            <w:vAlign w:val="center"/>
          </w:tcPr>
          <w:p>
            <w:pPr>
              <w:pStyle w:val="TableContents"/>
              <w:spacing w:before="0" w:after="0"/>
              <w:ind w:left="0" w:right="0" w:hanging="0"/>
              <w:rPr>
                <w:rFonts w:ascii="symbol" w:hAnsi="symbol"/>
              </w:rPr>
            </w:pPr>
            <w:r>
              <w:rPr>
                <w:rFonts w:ascii="symbol" w:hAnsi="symbol"/>
              </w:rPr>
              <w:t>·</w:t>
            </w:r>
          </w:p>
        </w:tc>
        <w:tc>
          <w:tcPr>
            <w:tcW w:w="9945" w:type="dxa"/>
            <w:tcBorders/>
            <w:shd w:fill="auto" w:val="clear"/>
            <w:vAlign w:val="center"/>
          </w:tcPr>
          <w:p>
            <w:pPr>
              <w:pStyle w:val="TableContents"/>
              <w:spacing w:before="0" w:after="283"/>
              <w:rPr/>
            </w:pPr>
            <w:r>
              <w:rPr/>
              <w:t>disrupt or shut down our systems</w:t>
            </w:r>
          </w:p>
        </w:tc>
      </w:tr>
      <w:tr>
        <w:trPr/>
        <w:tc>
          <w:tcPr>
            <w:tcW w:w="105" w:type="dxa"/>
            <w:tcBorders/>
            <w:shd w:fill="auto" w:val="clear"/>
            <w:vAlign w:val="center"/>
          </w:tcPr>
          <w:p>
            <w:pPr>
              <w:pStyle w:val="TableContents"/>
              <w:spacing w:before="0" w:after="0"/>
              <w:ind w:left="0" w:right="0" w:hanging="0"/>
              <w:rPr/>
            </w:pPr>
            <w:r>
              <w:rPr/>
              <w:t> </w:t>
            </w:r>
          </w:p>
        </w:tc>
        <w:tc>
          <w:tcPr>
            <w:tcW w:w="155" w:type="dxa"/>
            <w:tcBorders/>
            <w:shd w:fill="auto" w:val="clear"/>
            <w:vAlign w:val="center"/>
          </w:tcPr>
          <w:p>
            <w:pPr>
              <w:pStyle w:val="TableContents"/>
              <w:spacing w:before="0" w:after="0"/>
              <w:ind w:left="0" w:right="0" w:hanging="0"/>
              <w:rPr>
                <w:rFonts w:ascii="symbol" w:hAnsi="symbol"/>
              </w:rPr>
            </w:pPr>
            <w:r>
              <w:rPr>
                <w:rFonts w:ascii="symbol" w:hAnsi="symbol"/>
              </w:rPr>
              <w:t>·</w:t>
            </w:r>
          </w:p>
        </w:tc>
        <w:tc>
          <w:tcPr>
            <w:tcW w:w="9945" w:type="dxa"/>
            <w:tcBorders/>
            <w:shd w:fill="auto" w:val="clear"/>
            <w:vAlign w:val="center"/>
          </w:tcPr>
          <w:p>
            <w:pPr>
              <w:pStyle w:val="TableContents"/>
              <w:spacing w:before="0" w:after="283"/>
              <w:rPr/>
            </w:pPr>
            <w:r>
              <w:rPr/>
              <w:t>deny customers, agents, brokers, or others access to our systems, or</w:t>
            </w:r>
          </w:p>
        </w:tc>
      </w:tr>
      <w:tr>
        <w:trPr/>
        <w:tc>
          <w:tcPr>
            <w:tcW w:w="105" w:type="dxa"/>
            <w:tcBorders/>
            <w:shd w:fill="auto" w:val="clear"/>
            <w:vAlign w:val="center"/>
          </w:tcPr>
          <w:p>
            <w:pPr>
              <w:pStyle w:val="TableContents"/>
              <w:spacing w:before="0" w:after="0"/>
              <w:ind w:left="0" w:right="0" w:hanging="0"/>
              <w:rPr/>
            </w:pPr>
            <w:r>
              <w:rPr/>
              <w:t> </w:t>
            </w:r>
          </w:p>
        </w:tc>
        <w:tc>
          <w:tcPr>
            <w:tcW w:w="155" w:type="dxa"/>
            <w:tcBorders/>
            <w:shd w:fill="auto" w:val="clear"/>
            <w:vAlign w:val="center"/>
          </w:tcPr>
          <w:p>
            <w:pPr>
              <w:pStyle w:val="TableContents"/>
              <w:spacing w:before="0" w:after="0"/>
              <w:ind w:left="0" w:right="0" w:hanging="0"/>
              <w:rPr>
                <w:rFonts w:ascii="symbol" w:hAnsi="symbol"/>
              </w:rPr>
            </w:pPr>
            <w:r>
              <w:rPr>
                <w:rFonts w:ascii="symbol" w:hAnsi="symbol"/>
              </w:rPr>
              <w:t>·</w:t>
            </w:r>
          </w:p>
        </w:tc>
        <w:tc>
          <w:tcPr>
            <w:tcW w:w="9945" w:type="dxa"/>
            <w:tcBorders/>
            <w:shd w:fill="auto" w:val="clear"/>
            <w:vAlign w:val="center"/>
          </w:tcPr>
          <w:p>
            <w:pPr>
              <w:pStyle w:val="TableContents"/>
              <w:spacing w:before="0" w:after="283"/>
              <w:rPr/>
            </w:pPr>
            <w:r>
              <w:rPr/>
              <w:t>infect our systems with viruses or malware.</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While we can take defensive measures, there can be no assurance that we will be successful in preventing attacks or detecting and stopping them once they have begun. Our business could be significantly damaged by a security breach, data loss or corruption, or cyber attack. In addition to the potentially high costs of investigating and stopping such an event and implementing necessary fixes, we could incur substantial liability if confidential customer or employee information is stolen. In addition, such an event could cause a significant disruption of our ability to conduct our insurance operations. We have a cyber insurance policy to protect against the monetary impact of some of these risks. However, the occurrence of a security breach, data loss or corruption, or cyber-attack, if sufficiently severe, could have a material adverse effect on our business results.</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We rely on our information technology and telecommunication systems, and the failure of these systems could materially and adversely affect our business.</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Our business is highly dependent upon the successful and uninterrupted functioning of our information technology and telecommunications systems. We rely on these systems to support our operations. The failure of these systems could interrupt our operations and result in a material adverse effect on our business.</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u w:val="single"/>
        </w:rPr>
        <w:t xml:space="preserve">Risks Related to Our Common Stock </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 xml:space="preserve">Our stock price may fluctuate significantly and be highly volatile and this may make it difficult for shareholders to resell shares of our common stock at the volume, prices and times they find attractive. </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 xml:space="preserve">The market price of our common stock could be subject to significant fluctuations and be highly volatile, which may make it difficult for shareholders to resell shares of our common stock at the volume, prices and times they find attractive. There are many factors that will impact our stock price and trading volume, including, but not limited to, the factors listed above under “Risks Related to Our Business.” </w:t>
      </w:r>
    </w:p>
    <w:p>
      <w:pPr>
        <w:pStyle w:val="TextBody"/>
        <w:spacing w:before="0" w:after="0"/>
        <w:ind w:left="0" w:right="0" w:firstLine="675"/>
        <w:jc w:val="both"/>
        <w:rPr/>
      </w:pPr>
      <w:r>
        <w:rPr/>
        <w:t> </w:t>
      </w:r>
    </w:p>
    <w:p>
      <w:pPr>
        <w:pStyle w:val="TextBody"/>
        <w:spacing w:before="0" w:after="0"/>
        <w:ind w:left="0" w:right="0" w:firstLine="675"/>
        <w:jc w:val="both"/>
        <w:rPr/>
      </w:pPr>
      <w:r>
        <w:rPr>
          <w:rFonts w:ascii="times new roman" w:hAnsi="times new roman"/>
          <w:sz w:val="20"/>
        </w:rPr>
        <w:t>Stock markets, in general, have experienced in recent years, and continue to experience, significant price and volume volatility, and the market price of our common stock may continue to be subject to similar market fluctuations that may be unrelated to our operating performance and prospects. Increased market volatility and fluctuations could result in a substantial decline in the market price of our common stock.</w:t>
      </w:r>
      <w:r>
        <w:rPr>
          <w:rStyle w:val="Emphasis"/>
          <w:rFonts w:ascii="times new roman" w:hAnsi="times new roman"/>
          <w:sz w:val="20"/>
        </w:rPr>
        <w:t xml:space="preserve"> </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 xml:space="preserve">The trading volume in our common stock has been limited. As a result, shareholders may not experience liquidity in their investment in our common stock, thereby potentially limiting their ability to resell their shares at the volume, times and prices they find attractive. </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 xml:space="preserve">Our common stock is currently traded on The Nasdaq Capital Market (“Nasdaq”). Our common stock has substantially less liquidity than the average trading market for many other publicly traded insurance and other companies. An active trading market for our common stock may not develop or, if developed, may not be sustained. Such stocks can be more volatile than stocks trading in an active public market. Therefore, shareholders have reduced liquidity and may not be able to sell their shares at the volume, prices and times that they desire.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27</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 xml:space="preserve">There may be future issuances or resales of our common stock which may materially and adversely affect the market price of our common stock. </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 xml:space="preserve">Subject to any required state insurance regulatory approvals, we are not restricted from issuing additional shares of our common stock in the future, including securities convertible into, or exchangeable or exercisable for, shares of our common stock. Our issuance of additional shares of common stock in the future will dilute the ownership interests of our then existing shareholders. </w:t>
      </w:r>
    </w:p>
    <w:p>
      <w:pPr>
        <w:pStyle w:val="TextBody"/>
        <w:spacing w:before="0" w:after="0"/>
        <w:ind w:left="0" w:right="0" w:firstLine="675"/>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 xml:space="preserve">We have an effective registration statements on Form S-8 under the Securities Act of 1933, as amended (the “Securities Act”), an aggregate of 1,400,000 shares of our common stock issuable under our 2014 Equity Participation Plan (the “2014 Plan”).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As of December 31, 2020, options to purchase 119,966 shares of our common stock, and 370,964 shares subject to unvested restricted stock grants, were outstanding under the 2014 Plan and 843,316 shares were reserved for issuance thereunder.  We have also registered up to $39,290,000 of our securities pursuant to registration statements on Form S-3, which we may sell from time to time in one or more offerings.  The shares subject to the registration statements on Form S-3 will be freely tradeable in the public market. In addition, the shares issuable pursuant to the registration statements on Form S-8 will be freely tradable in the public market, except for shares held by our affiliates.</w:t>
      </w:r>
    </w:p>
    <w:p>
      <w:pPr>
        <w:pStyle w:val="TextBody"/>
        <w:spacing w:before="0" w:after="0"/>
        <w:ind w:left="0" w:right="0" w:firstLine="72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 xml:space="preserve">The sale of a substantial number of shares of our common stock or securities convertible into, or exchangeable or exercisable for, shares of our common stock, whether directly by us, by selling shareholders in future offerings or by our existing shareholders in the secondary market, the perception that such issuances or resales could occur or the availability for future issuances or resale of shares of our common stock or securities convertible into, or exchangeable or exercisable for, shares of our common stock could materially and adversely affect the market price of our common stock and our ability to raise capital through future offerings of equity or equity-related securities on attractive terms or at all. </w:t>
      </w:r>
    </w:p>
    <w:p>
      <w:pPr>
        <w:pStyle w:val="TextBody"/>
        <w:spacing w:before="0" w:after="0"/>
        <w:ind w:left="0" w:right="0" w:firstLine="675"/>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In addition, our board of directors is authorized to designate and issue preferred stock without further shareholder approval, and we may issue other equity and equity-related securities that are senior to our common stock in the future for a number of reasons, including, without limitation, to support operations and growth, to maintain our capital ratios, and to comply with any future changes in regulatory standards.</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 xml:space="preserve">Our executive officers and directors own a substantial number of shares of our common stock. This will enable them to significantly influence the vote on all matters submitted to a vote of our shareholders. </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 xml:space="preserve">As of March 17, 2021, our executive officers and directors beneficially owned 881,383 shares of our common, representing 8.2% of the outstanding shares of our common stock. </w:t>
      </w:r>
    </w:p>
    <w:p>
      <w:pPr>
        <w:pStyle w:val="TextBody"/>
        <w:spacing w:before="0" w:after="0"/>
        <w:ind w:left="0" w:right="0" w:firstLine="675"/>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 xml:space="preserve">Accordingly, our executive officers and directors, through their beneficial ownership of our common stock, will be able to significantly influence the vote on all matters submitted to a vote of our shareholders, including the election of directors, amendments to our restated certificate of incorporation or amended and restated bylaws, mergers or other business combination transactions and certain sales of assets outside the usual and regular course of business. The interests of our executive officers and directors may not coincide with the interests of our other shareholders, and they could take actions that advance their own interests to the detriment of our other shareholders.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28</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firstLine="675"/>
        <w:jc w:val="both"/>
        <w:rPr/>
      </w:pPr>
      <w:r>
        <w:rPr>
          <w:rStyle w:val="Emphasis"/>
          <w:rFonts w:ascii="times new roman" w:hAnsi="times new roman"/>
          <w:sz w:val="20"/>
        </w:rPr>
        <w:t xml:space="preserve">Anti-takeover provisions and the regulations to which we may be subject may make it more difficult for a third party to acquire control of us, even if the change in control would be beneficial to our shareholders. </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We are a holding company incorporated in Delaware. Anti-takeover provisions in Delaware law and our restated certificate of incorporation and bylaws, as well as regulatory approvals required under state insurance laws, could make it more difficult for a third party to acquire control of us and may prevent shareholders from receiving a premium for their shares of common stock. Our certificate of incorporation provides that our board of directors may issue up to 2,500,000 shares of preferred stock, in one or more series, without shareholder approval and with such terms, preferences, rights and privileges as the board of directors may deem appropriate. These provisions, the control of our executive officers and directors over the election of our directors, and other factors may hinder or prevent a change in control, even if the change in control would be beneficial to, or sought by, our shareholders.</w:t>
      </w:r>
    </w:p>
    <w:p>
      <w:pPr>
        <w:pStyle w:val="TextBody"/>
        <w:spacing w:before="0" w:after="0"/>
        <w:ind w:left="0" w:right="0" w:hanging="0"/>
        <w:jc w:val="both"/>
        <w:rPr/>
      </w:pPr>
      <w:r>
        <w:rPr/>
        <w:t> </w:t>
      </w:r>
    </w:p>
    <w:p>
      <w:pPr>
        <w:pStyle w:val="TextBody"/>
        <w:spacing w:before="0" w:after="0"/>
        <w:ind w:left="0" w:right="0" w:hanging="0"/>
        <w:jc w:val="both"/>
        <w:rPr/>
      </w:pPr>
      <w:bookmarkStart w:id="3" w:name="i1B"/>
      <w:bookmarkEnd w:id="3"/>
      <w:r>
        <w:rPr>
          <w:rStyle w:val="StrongEmphasis"/>
          <w:rFonts w:ascii="times new roman" w:hAnsi="times new roman"/>
          <w:sz w:val="20"/>
          <w:u w:val="single"/>
        </w:rPr>
        <w:t>ITEM 1B</w:t>
      </w:r>
      <w:r>
        <w:rPr>
          <w:rFonts w:ascii="times new roman" w:hAnsi="times new roman"/>
          <w:sz w:val="20"/>
        </w:rPr>
        <w:t xml:space="preserve">. </w:t>
      </w:r>
      <w:r>
        <w:rPr>
          <w:rStyle w:val="StrongEmphasis"/>
          <w:rFonts w:ascii="times new roman" w:hAnsi="times new roman"/>
          <w:sz w:val="20"/>
          <w:u w:val="single"/>
        </w:rPr>
        <w:t>UNRESOLVED STAFF COMMENTS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None.</w:t>
      </w:r>
    </w:p>
    <w:p>
      <w:pPr>
        <w:pStyle w:val="TextBody"/>
        <w:spacing w:before="0" w:after="0"/>
        <w:ind w:left="0" w:right="0" w:hanging="0"/>
        <w:jc w:val="both"/>
        <w:rPr/>
      </w:pPr>
      <w:r>
        <w:rPr/>
        <w:t> </w:t>
      </w:r>
    </w:p>
    <w:p>
      <w:pPr>
        <w:pStyle w:val="TextBody"/>
        <w:spacing w:before="0" w:after="0"/>
        <w:ind w:left="0" w:right="0" w:hanging="0"/>
        <w:jc w:val="both"/>
        <w:rPr/>
      </w:pPr>
      <w:bookmarkStart w:id="4" w:name="i2"/>
      <w:bookmarkEnd w:id="4"/>
      <w:r>
        <w:rPr>
          <w:rStyle w:val="StrongEmphasis"/>
          <w:rFonts w:ascii="times new roman" w:hAnsi="times new roman"/>
          <w:sz w:val="20"/>
          <w:u w:val="single"/>
        </w:rPr>
        <w:t>ITEM 2.</w:t>
      </w:r>
      <w:r>
        <w:rPr>
          <w:rStyle w:val="StrongEmphasis"/>
          <w:rFonts w:ascii="times new roman" w:hAnsi="times new roman"/>
          <w:sz w:val="20"/>
        </w:rPr>
        <w:t xml:space="preserve"> </w:t>
      </w:r>
      <w:r>
        <w:rPr>
          <w:rStyle w:val="StrongEmphasis"/>
          <w:rFonts w:ascii="times new roman" w:hAnsi="times new roman"/>
          <w:sz w:val="20"/>
          <w:u w:val="single"/>
        </w:rPr>
        <w:t>PROPERTIES</w:t>
      </w:r>
      <w:r>
        <w:rPr>
          <w:rFonts w:ascii="times new roman" w:hAnsi="times new roman"/>
          <w:sz w:val="20"/>
        </w:rPr>
        <w:t>.</w:t>
      </w:r>
      <w:r>
        <w:rPr>
          <w:rStyle w:val="StrongEmphasis"/>
          <w:rFonts w:ascii="times new roman" w:hAnsi="times new roman"/>
          <w:sz w:val="20"/>
        </w:rPr>
        <w:t xml:space="preserve">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Our principal executive offices are currently located at 15 Joys Lane, Kingston, New York 12401. Our insurance underwriting business is located principally at 15 Joys Lane, Kingston, New York 12401. Our insurance underwriting business also maintains an executive office located at 70 East Sunrise Highway, Valley Stream, New York 11581, at which we lease 4,985 square feet of space. Our licensed general agency business maintains an office located at 70 East Sunrise Highway, Valley Stream, New York 11581, at which we lease 2,323 square feet of space.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own the building at which our insurance underwriting business principally operates, free of mortgage.</w:t>
      </w:r>
    </w:p>
    <w:p>
      <w:pPr>
        <w:pStyle w:val="TextBody"/>
        <w:spacing w:before="0" w:after="0"/>
        <w:ind w:left="0" w:right="0" w:hanging="0"/>
        <w:jc w:val="both"/>
        <w:rPr/>
      </w:pPr>
      <w:r>
        <w:rPr/>
        <w:t> </w:t>
      </w:r>
    </w:p>
    <w:p>
      <w:pPr>
        <w:pStyle w:val="TextBody"/>
        <w:spacing w:before="0" w:after="0"/>
        <w:ind w:left="0" w:right="0" w:hanging="0"/>
        <w:jc w:val="both"/>
        <w:rPr/>
      </w:pPr>
      <w:bookmarkStart w:id="5" w:name="i3"/>
      <w:bookmarkEnd w:id="5"/>
      <w:r>
        <w:rPr>
          <w:rStyle w:val="StrongEmphasis"/>
          <w:rFonts w:ascii="times new roman" w:hAnsi="times new roman"/>
          <w:sz w:val="20"/>
          <w:u w:val="single"/>
        </w:rPr>
        <w:t>ITEM 3.</w:t>
      </w:r>
      <w:r>
        <w:rPr>
          <w:rStyle w:val="StrongEmphasis"/>
          <w:rFonts w:ascii="times new roman" w:hAnsi="times new roman"/>
          <w:sz w:val="20"/>
        </w:rPr>
        <w:t xml:space="preserve"> None.</w:t>
      </w:r>
    </w:p>
    <w:p>
      <w:pPr>
        <w:pStyle w:val="TextBody"/>
        <w:spacing w:before="0" w:after="0"/>
        <w:ind w:left="0" w:right="0" w:hanging="0"/>
        <w:jc w:val="both"/>
        <w:rPr/>
      </w:pPr>
      <w:r>
        <w:rPr/>
        <w:t> </w:t>
      </w:r>
    </w:p>
    <w:p>
      <w:pPr>
        <w:pStyle w:val="TextBody"/>
        <w:spacing w:before="0" w:after="0"/>
        <w:ind w:left="0" w:right="0" w:hanging="0"/>
        <w:jc w:val="both"/>
        <w:rPr/>
      </w:pPr>
      <w:bookmarkStart w:id="6" w:name="i4"/>
      <w:bookmarkEnd w:id="6"/>
      <w:r>
        <w:rPr>
          <w:rStyle w:val="StrongEmphasis"/>
          <w:rFonts w:ascii="times new roman" w:hAnsi="times new roman"/>
          <w:sz w:val="20"/>
          <w:u w:val="single"/>
        </w:rPr>
        <w:t>ITEM 4.</w:t>
      </w:r>
      <w:r>
        <w:rPr>
          <w:rStyle w:val="StrongEmphasis"/>
          <w:rFonts w:ascii="times new roman" w:hAnsi="times new roman"/>
          <w:sz w:val="20"/>
        </w:rPr>
        <w:t xml:space="preserve"> MINE SAFETY DISCLOSURE.</w:t>
      </w:r>
    </w:p>
    <w:p>
      <w:pPr>
        <w:pStyle w:val="TextBody"/>
        <w:spacing w:before="0" w:after="0"/>
        <w:ind w:left="0" w:right="0" w:hanging="0"/>
        <w:jc w:val="both"/>
        <w:rPr/>
      </w:pPr>
      <w:r>
        <w:rPr/>
        <w:t> </w:t>
      </w:r>
    </w:p>
    <w:p>
      <w:pPr>
        <w:pStyle w:val="TextBody"/>
        <w:spacing w:before="0" w:after="0"/>
        <w:ind w:left="0" w:right="0" w:firstLine="675"/>
        <w:jc w:val="both"/>
        <w:rPr/>
      </w:pPr>
      <w:r>
        <w:rPr>
          <w:rStyle w:val="StrongEmphasis"/>
          <w:rFonts w:ascii="times new roman" w:hAnsi="times new roman"/>
          <w:sz w:val="20"/>
        </w:rPr>
        <w:t>Not applicable.</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29</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u w:val="single"/>
        </w:rPr>
        <w:t>PART II</w:t>
      </w:r>
    </w:p>
    <w:p>
      <w:pPr>
        <w:pStyle w:val="TextBody"/>
        <w:spacing w:before="0" w:after="0"/>
        <w:ind w:left="0" w:right="0" w:hanging="0"/>
        <w:jc w:val="both"/>
        <w:rPr/>
      </w:pPr>
      <w:r>
        <w:rPr/>
        <w:t> </w:t>
      </w:r>
    </w:p>
    <w:p>
      <w:pPr>
        <w:pStyle w:val="TextBody"/>
        <w:spacing w:before="0" w:after="0"/>
        <w:ind w:left="0" w:right="0" w:hanging="0"/>
        <w:jc w:val="both"/>
        <w:rPr/>
      </w:pPr>
      <w:bookmarkStart w:id="7" w:name="i5"/>
      <w:bookmarkEnd w:id="7"/>
      <w:r>
        <w:rPr>
          <w:rStyle w:val="StrongEmphasis"/>
          <w:rFonts w:ascii="times new roman" w:hAnsi="times new roman"/>
          <w:sz w:val="20"/>
          <w:u w:val="single"/>
        </w:rPr>
        <w:t>ITEM 5.</w:t>
      </w:r>
      <w:r>
        <w:rPr>
          <w:rStyle w:val="StrongEmphasis"/>
          <w:rFonts w:ascii="times new roman" w:hAnsi="times new roman"/>
          <w:sz w:val="20"/>
        </w:rPr>
        <w:t xml:space="preserve"> </w:t>
      </w:r>
      <w:r>
        <w:rPr>
          <w:rStyle w:val="StrongEmphasis"/>
          <w:rFonts w:ascii="times new roman" w:hAnsi="times new roman"/>
          <w:sz w:val="20"/>
          <w:u w:val="single"/>
        </w:rPr>
        <w:t>MARKET FOR REGISTRANT’S COMMON EQUITY, RELATED STOCKHOLDER MATTERS AND ISSUER PURCHASES OF EQUITY SECURITIES</w:t>
      </w:r>
      <w:r>
        <w:rPr>
          <w:rFonts w:ascii="times new roman" w:hAnsi="times new roman"/>
          <w:sz w:val="20"/>
        </w:rPr>
        <w:t>.</w:t>
      </w:r>
      <w:r>
        <w:rPr>
          <w:rStyle w:val="StrongEmphasis"/>
          <w:rFonts w:ascii="times new roman" w:hAnsi="times new roman"/>
          <w:sz w:val="20"/>
        </w:rPr>
        <w:t xml:space="preserve"> </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Market Information</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 xml:space="preserve">Our common stock is quoted on The Nasdaq Capital Market under the symbol “KINS.” </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 xml:space="preserve">Holders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As of March 17, 2021, there were 199 record holders of our common stock. </w:t>
      </w:r>
    </w:p>
    <w:p>
      <w:pPr>
        <w:pStyle w:val="TextBody"/>
        <w:spacing w:before="0" w:after="0"/>
        <w:ind w:left="0" w:right="0" w:hanging="0"/>
        <w:rPr/>
      </w:pPr>
      <w:r>
        <w:rPr/>
        <w:t>  </w:t>
      </w:r>
    </w:p>
    <w:p>
      <w:pPr>
        <w:pStyle w:val="TextBody"/>
        <w:spacing w:before="0" w:after="0"/>
        <w:ind w:left="0" w:right="0" w:hanging="0"/>
        <w:jc w:val="both"/>
        <w:rPr/>
      </w:pPr>
      <w:r>
        <w:rPr>
          <w:rStyle w:val="StrongEmphasis"/>
          <w:rFonts w:ascii="times new roman" w:hAnsi="times new roman"/>
          <w:sz w:val="20"/>
        </w:rPr>
        <w:t>Dividends</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 xml:space="preserve">Holders of our common stock are entitled to dividends when, as and if declared by our Board of Directors out of funds legally available. We have paid a cash dividend in each quarter since September 2011. </w:t>
      </w:r>
    </w:p>
    <w:p>
      <w:pPr>
        <w:pStyle w:val="TextBody"/>
        <w:spacing w:before="0" w:after="0"/>
        <w:ind w:left="0" w:right="0" w:firstLine="675"/>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Future dividend policy will be subject to the discretion of our Board of Directors and will be contingent upon future earnings, if any, our financial condition, capital requirements, general business conditions, and other factors. Therefore, we can give no assurance that future dividends of any kind will continue to be paid to holders of our common stock.</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 xml:space="preserve">Our ability to pay dividends depends, in part, on the ability of KICO to pay dividends to us. KICO, as an insurance subsidiary, is subject to significant regulatory restrictions limiting its ability to declare and pay dividends. These restrictions are related to surplus and net investment income. Without the prior approval of the DFS, dividends are restricted to the lesser of 10% of surplus or 100% of investment income (on a statutory accounting basis) for the trailing 36 months, less dividends paid by KICO during such period. As of December 31, 2020, the maximum distribution that KICO could pay without prior regulatory approval was approximately $2,560,000, which is based on investment income for the trailing 36 months, net of dividends paid by KICO during such period. See “Business – Government Regulation” and “Management’s Discussion and Analysis of Financial Condition and Results of Operation – Liquidity” in Items 1 and 7, respectively, of this Annual Report. </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Recent Sales of Unregistered Securities</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None.</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30</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 xml:space="preserve">Issuer Purchases of Equity Securities </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The following table sets forth certain information with respect to purchases of common stock made by us during the quarter ended December 31, 2020:</w:t>
      </w:r>
    </w:p>
    <w:p>
      <w:pPr>
        <w:pStyle w:val="TextBody"/>
        <w:spacing w:before="0" w:after="0"/>
        <w:ind w:left="0" w:right="0" w:hanging="0"/>
        <w:jc w:val="both"/>
        <w:rPr/>
      </w:pPr>
      <w:r>
        <w:rPr/>
        <w:t> </w:t>
      </w:r>
    </w:p>
    <w:tbl>
      <w:tblPr>
        <w:tblW w:w="10205" w:type="dxa"/>
        <w:jc w:val="left"/>
        <w:tblInd w:w="0" w:type="dxa"/>
        <w:tblCellMar>
          <w:top w:w="0" w:type="dxa"/>
          <w:left w:w="0" w:type="dxa"/>
          <w:bottom w:w="28" w:type="dxa"/>
          <w:right w:w="0" w:type="dxa"/>
        </w:tblCellMar>
      </w:tblPr>
      <w:tblGrid>
        <w:gridCol w:w="998"/>
        <w:gridCol w:w="90"/>
        <w:gridCol w:w="189"/>
        <w:gridCol w:w="1501"/>
        <w:gridCol w:w="90"/>
        <w:gridCol w:w="90"/>
        <w:gridCol w:w="251"/>
        <w:gridCol w:w="697"/>
        <w:gridCol w:w="90"/>
        <w:gridCol w:w="90"/>
        <w:gridCol w:w="1240"/>
        <w:gridCol w:w="1728"/>
        <w:gridCol w:w="90"/>
        <w:gridCol w:w="90"/>
        <w:gridCol w:w="1185"/>
        <w:gridCol w:w="1646"/>
        <w:gridCol w:w="140"/>
      </w:tblGrid>
      <w:tr>
        <w:trPr/>
        <w:tc>
          <w:tcPr>
            <w:tcW w:w="998" w:type="dxa"/>
            <w:tcBorders>
              <w:bottom w:val="single" w:sz="2" w:space="0" w:color="000000"/>
            </w:tcBorders>
            <w:shd w:fill="auto" w:val="clear"/>
            <w:vAlign w:val="center"/>
          </w:tcPr>
          <w:p>
            <w:pPr>
              <w:pStyle w:val="TableContents"/>
              <w:spacing w:before="0" w:after="0"/>
              <w:ind w:left="0" w:right="0" w:hanging="0"/>
              <w:jc w:val="center"/>
              <w:rPr/>
            </w:pPr>
            <w:r>
              <w:rPr>
                <w:rStyle w:val="StrongEmphasis"/>
              </w:rPr>
              <w:t>Period</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690"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Pr>
              <w:t xml:space="preserve">Total </w:t>
            </w:r>
          </w:p>
          <w:p>
            <w:pPr>
              <w:pStyle w:val="TableContents"/>
              <w:spacing w:before="0" w:after="0"/>
              <w:ind w:left="0" w:right="0" w:hanging="0"/>
              <w:jc w:val="center"/>
              <w:rPr/>
            </w:pPr>
            <w:r>
              <w:rPr>
                <w:rStyle w:val="StrongEmphasis"/>
              </w:rPr>
              <w:t>Number of Shares Purchased(1)</w:t>
            </w:r>
          </w:p>
        </w:tc>
        <w:tc>
          <w:tcPr>
            <w:tcW w:w="90"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948"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Pr>
              <w:t>Average</w:t>
            </w:r>
          </w:p>
          <w:p>
            <w:pPr>
              <w:pStyle w:val="TableContents"/>
              <w:spacing w:before="0" w:after="0"/>
              <w:ind w:left="0" w:right="0" w:hanging="0"/>
              <w:jc w:val="center"/>
              <w:rPr/>
            </w:pPr>
            <w:r>
              <w:rPr>
                <w:rStyle w:val="StrongEmphasis"/>
              </w:rPr>
              <w:t>Price Paid</w:t>
            </w:r>
          </w:p>
          <w:p>
            <w:pPr>
              <w:pStyle w:val="TableContents"/>
              <w:spacing w:before="0" w:after="0"/>
              <w:ind w:left="0" w:right="0" w:hanging="0"/>
              <w:jc w:val="center"/>
              <w:rPr/>
            </w:pPr>
            <w:r>
              <w:rPr>
                <w:rStyle w:val="StrongEmphasis"/>
              </w:rPr>
              <w:t>per Share</w:t>
            </w:r>
          </w:p>
        </w:tc>
        <w:tc>
          <w:tcPr>
            <w:tcW w:w="90"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2968"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Pr>
              <w:t>Total Number of Shares Purchased as Part of Publicly Announced Plans or Programs</w:t>
            </w:r>
          </w:p>
        </w:tc>
        <w:tc>
          <w:tcPr>
            <w:tcW w:w="90"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2831"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Pr>
              <w:t>Maximum Number of Shares that May Be Purchased Under the Plans or Programs</w:t>
            </w:r>
          </w:p>
        </w:tc>
        <w:tc>
          <w:tcPr>
            <w:tcW w:w="140" w:type="dxa"/>
            <w:tcBorders/>
            <w:shd w:fill="auto" w:val="clear"/>
            <w:tcMar>
              <w:bottom w:w="0" w:type="dxa"/>
            </w:tcMar>
            <w:vAlign w:val="center"/>
          </w:tcPr>
          <w:p>
            <w:pPr>
              <w:pStyle w:val="TableContents"/>
              <w:spacing w:before="0" w:after="0"/>
              <w:ind w:left="0" w:right="0" w:hanging="0"/>
              <w:rPr/>
            </w:pPr>
            <w:r>
              <w:rPr/>
              <w:t> </w:t>
            </w:r>
          </w:p>
        </w:tc>
      </w:tr>
      <w:tr>
        <w:trPr/>
        <w:tc>
          <w:tcPr>
            <w:tcW w:w="998"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690" w:type="dxa"/>
            <w:gridSpan w:val="2"/>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948" w:type="dxa"/>
            <w:gridSpan w:val="2"/>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2968" w:type="dxa"/>
            <w:gridSpan w:val="2"/>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2831" w:type="dxa"/>
            <w:gridSpan w:val="2"/>
            <w:tcBorders/>
            <w:shd w:fill="auto" w:val="clear"/>
            <w:tcMar>
              <w:bottom w:w="0" w:type="dxa"/>
            </w:tcMar>
            <w:vAlign w:val="center"/>
          </w:tcPr>
          <w:p>
            <w:pPr>
              <w:pStyle w:val="TableContents"/>
              <w:spacing w:before="0" w:after="0"/>
              <w:ind w:left="0" w:right="0" w:hanging="0"/>
              <w:rPr/>
            </w:pPr>
            <w:r>
              <w:rPr/>
              <w:t> </w:t>
            </w:r>
          </w:p>
        </w:tc>
        <w:tc>
          <w:tcPr>
            <w:tcW w:w="140" w:type="dxa"/>
            <w:tcBorders/>
            <w:shd w:fill="auto" w:val="clear"/>
            <w:tcMar>
              <w:bottom w:w="0" w:type="dxa"/>
            </w:tcMar>
            <w:vAlign w:val="center"/>
          </w:tcPr>
          <w:p>
            <w:pPr>
              <w:pStyle w:val="TableContents"/>
              <w:spacing w:before="0" w:after="0"/>
              <w:ind w:left="0" w:right="0" w:hanging="0"/>
              <w:rPr/>
            </w:pPr>
            <w:r>
              <w:rPr/>
              <w:t> </w:t>
            </w:r>
          </w:p>
        </w:tc>
      </w:tr>
      <w:tr>
        <w:trPr/>
        <w:tc>
          <w:tcPr>
            <w:tcW w:w="998" w:type="dxa"/>
            <w:tcBorders/>
            <w:shd w:fill="CCEEFF" w:val="clear"/>
            <w:tcMar>
              <w:bottom w:w="0" w:type="dxa"/>
            </w:tcMar>
            <w:vAlign w:val="center"/>
          </w:tcPr>
          <w:p>
            <w:pPr>
              <w:pStyle w:val="TableContents"/>
              <w:spacing w:before="0" w:after="0"/>
              <w:ind w:left="0" w:right="0" w:hanging="0"/>
              <w:rPr/>
            </w:pPr>
            <w:r>
              <w:rPr/>
              <w:t>10/1/20 – 10/31/20</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89" w:type="dxa"/>
            <w:tcBorders/>
            <w:shd w:fill="CCEEFF" w:val="clear"/>
            <w:tcMar>
              <w:bottom w:w="0" w:type="dxa"/>
            </w:tcMar>
            <w:vAlign w:val="center"/>
          </w:tcPr>
          <w:p>
            <w:pPr>
              <w:pStyle w:val="TableContents"/>
              <w:spacing w:before="0" w:after="0"/>
              <w:ind w:left="0" w:right="0" w:hanging="0"/>
              <w:rPr/>
            </w:pPr>
            <w:r>
              <w:rPr/>
              <w:t> </w:t>
            </w:r>
          </w:p>
        </w:tc>
        <w:tc>
          <w:tcPr>
            <w:tcW w:w="1501" w:type="dxa"/>
            <w:tcBorders/>
            <w:shd w:fill="CCEEFF" w:val="clear"/>
            <w:tcMar>
              <w:bottom w:w="0" w:type="dxa"/>
            </w:tcMar>
            <w:vAlign w:val="center"/>
          </w:tcPr>
          <w:p>
            <w:pPr>
              <w:pStyle w:val="TableContents"/>
              <w:spacing w:before="0" w:after="283"/>
              <w:jc w:val="right"/>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251" w:type="dxa"/>
            <w:tcBorders/>
            <w:shd w:fill="CCEEFF" w:val="clear"/>
            <w:tcMar>
              <w:bottom w:w="0" w:type="dxa"/>
            </w:tcMar>
            <w:vAlign w:val="center"/>
          </w:tcPr>
          <w:p>
            <w:pPr>
              <w:pStyle w:val="TableContents"/>
              <w:spacing w:before="0" w:after="0"/>
              <w:ind w:left="0" w:right="0" w:hanging="0"/>
              <w:rPr/>
            </w:pPr>
            <w:r>
              <w:rPr/>
              <w:t> </w:t>
            </w:r>
          </w:p>
        </w:tc>
        <w:tc>
          <w:tcPr>
            <w:tcW w:w="697" w:type="dxa"/>
            <w:tcBorders/>
            <w:shd w:fill="CCEEFF" w:val="clear"/>
            <w:tcMar>
              <w:bottom w:w="0" w:type="dxa"/>
            </w:tcMar>
            <w:vAlign w:val="center"/>
          </w:tcPr>
          <w:p>
            <w:pPr>
              <w:pStyle w:val="TableContents"/>
              <w:spacing w:before="0" w:after="283"/>
              <w:jc w:val="right"/>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240" w:type="dxa"/>
            <w:tcBorders/>
            <w:shd w:fill="CCEEFF" w:val="clear"/>
            <w:tcMar>
              <w:bottom w:w="0" w:type="dxa"/>
            </w:tcMar>
            <w:vAlign w:val="center"/>
          </w:tcPr>
          <w:p>
            <w:pPr>
              <w:pStyle w:val="TableContents"/>
              <w:spacing w:before="0" w:after="0"/>
              <w:ind w:left="0" w:right="0" w:hanging="0"/>
              <w:rPr/>
            </w:pPr>
            <w:r>
              <w:rPr/>
              <w:t> </w:t>
            </w:r>
          </w:p>
        </w:tc>
        <w:tc>
          <w:tcPr>
            <w:tcW w:w="1728" w:type="dxa"/>
            <w:tcBorders/>
            <w:shd w:fill="CCEEFF" w:val="clear"/>
            <w:tcMar>
              <w:bottom w:w="0" w:type="dxa"/>
            </w:tcMar>
            <w:vAlign w:val="center"/>
          </w:tcPr>
          <w:p>
            <w:pPr>
              <w:pStyle w:val="TableContents"/>
              <w:spacing w:before="0" w:after="283"/>
              <w:jc w:val="right"/>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185" w:type="dxa"/>
            <w:tcBorders/>
            <w:shd w:fill="CCEEFF" w:val="clear"/>
            <w:tcMar>
              <w:bottom w:w="0" w:type="dxa"/>
            </w:tcMar>
            <w:vAlign w:val="center"/>
          </w:tcPr>
          <w:p>
            <w:pPr>
              <w:pStyle w:val="TableContents"/>
              <w:spacing w:before="0" w:after="0"/>
              <w:ind w:left="0" w:right="0" w:hanging="0"/>
              <w:rPr/>
            </w:pPr>
            <w:r>
              <w:rPr/>
              <w:t> </w:t>
            </w:r>
          </w:p>
        </w:tc>
        <w:tc>
          <w:tcPr>
            <w:tcW w:w="1646" w:type="dxa"/>
            <w:tcBorders/>
            <w:shd w:fill="CCEEFF" w:val="clear"/>
            <w:tcMar>
              <w:bottom w:w="0" w:type="dxa"/>
            </w:tcMar>
            <w:vAlign w:val="center"/>
          </w:tcPr>
          <w:p>
            <w:pPr>
              <w:pStyle w:val="TableContents"/>
              <w:spacing w:before="0" w:after="283"/>
              <w:jc w:val="right"/>
              <w:rPr/>
            </w:pPr>
            <w:r>
              <w:rPr/>
              <w:t>-</w:t>
            </w:r>
          </w:p>
        </w:tc>
        <w:tc>
          <w:tcPr>
            <w:tcW w:w="140" w:type="dxa"/>
            <w:tcBorders/>
            <w:shd w:fill="CCEEFF" w:val="clear"/>
            <w:tcMar>
              <w:bottom w:w="0" w:type="dxa"/>
            </w:tcMar>
            <w:vAlign w:val="center"/>
          </w:tcPr>
          <w:p>
            <w:pPr>
              <w:pStyle w:val="TableContents"/>
              <w:spacing w:before="0" w:after="0"/>
              <w:ind w:left="0" w:right="0" w:hanging="0"/>
              <w:rPr/>
            </w:pPr>
            <w:r>
              <w:rPr/>
              <w:t> </w:t>
            </w:r>
          </w:p>
        </w:tc>
      </w:tr>
      <w:tr>
        <w:trPr/>
        <w:tc>
          <w:tcPr>
            <w:tcW w:w="998" w:type="dxa"/>
            <w:tcBorders/>
            <w:shd w:fill="FFFFFF" w:val="clear"/>
            <w:tcMar>
              <w:bottom w:w="0" w:type="dxa"/>
            </w:tcMar>
            <w:vAlign w:val="center"/>
          </w:tcPr>
          <w:p>
            <w:pPr>
              <w:pStyle w:val="TableContents"/>
              <w:spacing w:before="0" w:after="0"/>
              <w:ind w:left="0" w:right="0" w:hanging="0"/>
              <w:rPr/>
            </w:pPr>
            <w:r>
              <w:rPr/>
              <w:t>11/1/20 – 11/30/20</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89" w:type="dxa"/>
            <w:tcBorders/>
            <w:shd w:fill="FFFFFF" w:val="clear"/>
            <w:tcMar>
              <w:bottom w:w="0" w:type="dxa"/>
            </w:tcMar>
            <w:vAlign w:val="center"/>
          </w:tcPr>
          <w:p>
            <w:pPr>
              <w:pStyle w:val="TableContents"/>
              <w:spacing w:before="0" w:after="0"/>
              <w:ind w:left="0" w:right="0" w:hanging="0"/>
              <w:rPr/>
            </w:pPr>
            <w:r>
              <w:rPr/>
              <w:t> </w:t>
            </w:r>
          </w:p>
        </w:tc>
        <w:tc>
          <w:tcPr>
            <w:tcW w:w="1501" w:type="dxa"/>
            <w:tcBorders/>
            <w:shd w:fill="FFFFFF" w:val="clear"/>
            <w:tcMar>
              <w:bottom w:w="0" w:type="dxa"/>
            </w:tcMar>
            <w:vAlign w:val="center"/>
          </w:tcPr>
          <w:p>
            <w:pPr>
              <w:pStyle w:val="TableContents"/>
              <w:spacing w:before="0" w:after="283"/>
              <w:jc w:val="right"/>
              <w:rPr/>
            </w:pPr>
            <w:r>
              <w:rPr/>
              <w:t>9,000</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251" w:type="dxa"/>
            <w:tcBorders/>
            <w:shd w:fill="FFFFFF" w:val="clear"/>
            <w:tcMar>
              <w:bottom w:w="0" w:type="dxa"/>
            </w:tcMar>
            <w:vAlign w:val="center"/>
          </w:tcPr>
          <w:p>
            <w:pPr>
              <w:pStyle w:val="TableContents"/>
              <w:spacing w:before="0" w:after="283"/>
              <w:rPr/>
            </w:pPr>
            <w:r>
              <w:rPr/>
              <w:t>$</w:t>
            </w:r>
          </w:p>
        </w:tc>
        <w:tc>
          <w:tcPr>
            <w:tcW w:w="697" w:type="dxa"/>
            <w:tcBorders/>
            <w:shd w:fill="FFFFFF" w:val="clear"/>
            <w:tcMar>
              <w:bottom w:w="0" w:type="dxa"/>
            </w:tcMar>
            <w:vAlign w:val="center"/>
          </w:tcPr>
          <w:p>
            <w:pPr>
              <w:pStyle w:val="TableContents"/>
              <w:spacing w:before="0" w:after="283"/>
              <w:jc w:val="right"/>
              <w:rPr/>
            </w:pPr>
            <w:r>
              <w:rPr/>
              <w:t>6.66</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240" w:type="dxa"/>
            <w:tcBorders/>
            <w:shd w:fill="FFFFFF" w:val="clear"/>
            <w:tcMar>
              <w:bottom w:w="0" w:type="dxa"/>
            </w:tcMar>
            <w:vAlign w:val="center"/>
          </w:tcPr>
          <w:p>
            <w:pPr>
              <w:pStyle w:val="TableContents"/>
              <w:spacing w:before="0" w:after="0"/>
              <w:ind w:left="0" w:right="0" w:hanging="0"/>
              <w:rPr/>
            </w:pPr>
            <w:r>
              <w:rPr/>
              <w:t> </w:t>
            </w:r>
          </w:p>
        </w:tc>
        <w:tc>
          <w:tcPr>
            <w:tcW w:w="1728" w:type="dxa"/>
            <w:tcBorders/>
            <w:shd w:fill="FFFFFF" w:val="clear"/>
            <w:tcMar>
              <w:bottom w:w="0" w:type="dxa"/>
            </w:tcMar>
            <w:vAlign w:val="center"/>
          </w:tcPr>
          <w:p>
            <w:pPr>
              <w:pStyle w:val="TableContents"/>
              <w:spacing w:before="0" w:after="283"/>
              <w:jc w:val="right"/>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185" w:type="dxa"/>
            <w:tcBorders/>
            <w:shd w:fill="FFFFFF" w:val="clear"/>
            <w:tcMar>
              <w:bottom w:w="0" w:type="dxa"/>
            </w:tcMar>
            <w:vAlign w:val="center"/>
          </w:tcPr>
          <w:p>
            <w:pPr>
              <w:pStyle w:val="TableContents"/>
              <w:spacing w:before="0" w:after="0"/>
              <w:ind w:left="0" w:right="0" w:hanging="0"/>
              <w:rPr/>
            </w:pPr>
            <w:r>
              <w:rPr/>
              <w:t> </w:t>
            </w:r>
          </w:p>
        </w:tc>
        <w:tc>
          <w:tcPr>
            <w:tcW w:w="1646" w:type="dxa"/>
            <w:tcBorders/>
            <w:shd w:fill="FFFFFF" w:val="clear"/>
            <w:tcMar>
              <w:bottom w:w="0" w:type="dxa"/>
            </w:tcMar>
            <w:vAlign w:val="center"/>
          </w:tcPr>
          <w:p>
            <w:pPr>
              <w:pStyle w:val="TableContents"/>
              <w:spacing w:before="0" w:after="283"/>
              <w:jc w:val="right"/>
              <w:rPr/>
            </w:pPr>
            <w:r>
              <w:rPr/>
              <w:t>-</w:t>
            </w:r>
          </w:p>
        </w:tc>
        <w:tc>
          <w:tcPr>
            <w:tcW w:w="140" w:type="dxa"/>
            <w:tcBorders/>
            <w:shd w:fill="FFFFFF" w:val="clear"/>
            <w:tcMar>
              <w:bottom w:w="0" w:type="dxa"/>
            </w:tcMar>
            <w:vAlign w:val="center"/>
          </w:tcPr>
          <w:p>
            <w:pPr>
              <w:pStyle w:val="TableContents"/>
              <w:spacing w:before="0" w:after="0"/>
              <w:ind w:left="0" w:right="0" w:hanging="0"/>
              <w:rPr/>
            </w:pPr>
            <w:r>
              <w:rPr/>
              <w:t> </w:t>
            </w:r>
          </w:p>
        </w:tc>
      </w:tr>
      <w:tr>
        <w:trPr/>
        <w:tc>
          <w:tcPr>
            <w:tcW w:w="998" w:type="dxa"/>
            <w:tcBorders/>
            <w:shd w:fill="CCEEFF" w:val="clear"/>
            <w:tcMar>
              <w:bottom w:w="0" w:type="dxa"/>
            </w:tcMar>
            <w:vAlign w:val="center"/>
          </w:tcPr>
          <w:p>
            <w:pPr>
              <w:pStyle w:val="TableContents"/>
              <w:spacing w:before="0" w:after="0"/>
              <w:ind w:left="0" w:right="0" w:hanging="0"/>
              <w:rPr/>
            </w:pPr>
            <w:r>
              <w:rPr/>
              <w:t>12/1/20 – 12/31/20</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89" w:type="dxa"/>
            <w:tcBorders>
              <w:bottom w:val="single" w:sz="2" w:space="0" w:color="000000"/>
            </w:tcBorders>
            <w:shd w:fill="CCEEFF" w:val="clear"/>
            <w:vAlign w:val="center"/>
          </w:tcPr>
          <w:p>
            <w:pPr>
              <w:pStyle w:val="TableContents"/>
              <w:spacing w:before="0" w:after="0"/>
              <w:ind w:left="0" w:right="0" w:hanging="0"/>
              <w:rPr/>
            </w:pPr>
            <w:r>
              <w:rPr/>
              <w:t> </w:t>
            </w:r>
          </w:p>
        </w:tc>
        <w:tc>
          <w:tcPr>
            <w:tcW w:w="1501" w:type="dxa"/>
            <w:tcBorders>
              <w:bottom w:val="single" w:sz="2" w:space="0" w:color="000000"/>
            </w:tcBorders>
            <w:shd w:fill="CCEEFF" w:val="clear"/>
            <w:vAlign w:val="center"/>
          </w:tcPr>
          <w:p>
            <w:pPr>
              <w:pStyle w:val="TableContents"/>
              <w:spacing w:before="0" w:after="283"/>
              <w:jc w:val="right"/>
              <w:rPr/>
            </w:pPr>
            <w:r>
              <w:rPr/>
              <w:t>49,383</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251" w:type="dxa"/>
            <w:tcBorders/>
            <w:shd w:fill="CCEEFF" w:val="clear"/>
            <w:tcMar>
              <w:bottom w:w="0" w:type="dxa"/>
            </w:tcMar>
            <w:vAlign w:val="center"/>
          </w:tcPr>
          <w:p>
            <w:pPr>
              <w:pStyle w:val="TableContents"/>
              <w:spacing w:before="0" w:after="283"/>
              <w:rPr/>
            </w:pPr>
            <w:r>
              <w:rPr/>
              <w:t>$</w:t>
            </w:r>
          </w:p>
        </w:tc>
        <w:tc>
          <w:tcPr>
            <w:tcW w:w="697" w:type="dxa"/>
            <w:tcBorders/>
            <w:shd w:fill="CCEEFF" w:val="clear"/>
            <w:tcMar>
              <w:bottom w:w="0" w:type="dxa"/>
            </w:tcMar>
            <w:vAlign w:val="center"/>
          </w:tcPr>
          <w:p>
            <w:pPr>
              <w:pStyle w:val="TableContents"/>
              <w:spacing w:before="0" w:after="283"/>
              <w:jc w:val="right"/>
              <w:rPr/>
            </w:pPr>
            <w:r>
              <w:rPr/>
              <w:t>6.48</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240" w:type="dxa"/>
            <w:tcBorders>
              <w:bottom w:val="single" w:sz="2" w:space="0" w:color="000000"/>
            </w:tcBorders>
            <w:shd w:fill="CCEEFF" w:val="clear"/>
            <w:vAlign w:val="center"/>
          </w:tcPr>
          <w:p>
            <w:pPr>
              <w:pStyle w:val="TableContents"/>
              <w:spacing w:before="0" w:after="0"/>
              <w:ind w:left="0" w:right="0" w:hanging="0"/>
              <w:rPr/>
            </w:pPr>
            <w:r>
              <w:rPr/>
              <w:t> </w:t>
            </w:r>
          </w:p>
        </w:tc>
        <w:tc>
          <w:tcPr>
            <w:tcW w:w="1728" w:type="dxa"/>
            <w:tcBorders>
              <w:bottom w:val="single" w:sz="2" w:space="0" w:color="000000"/>
            </w:tcBorders>
            <w:shd w:fill="CCEEFF" w:val="clear"/>
            <w:vAlign w:val="center"/>
          </w:tcPr>
          <w:p>
            <w:pPr>
              <w:pStyle w:val="TableContents"/>
              <w:spacing w:before="0" w:after="283"/>
              <w:jc w:val="right"/>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185" w:type="dxa"/>
            <w:tcBorders>
              <w:bottom w:val="single" w:sz="2" w:space="0" w:color="000000"/>
            </w:tcBorders>
            <w:shd w:fill="CCEEFF" w:val="clear"/>
            <w:vAlign w:val="center"/>
          </w:tcPr>
          <w:p>
            <w:pPr>
              <w:pStyle w:val="TableContents"/>
              <w:spacing w:before="0" w:after="0"/>
              <w:ind w:left="0" w:right="0" w:hanging="0"/>
              <w:rPr/>
            </w:pPr>
            <w:r>
              <w:rPr/>
              <w:t> </w:t>
            </w:r>
          </w:p>
        </w:tc>
        <w:tc>
          <w:tcPr>
            <w:tcW w:w="1646" w:type="dxa"/>
            <w:tcBorders>
              <w:bottom w:val="single" w:sz="2" w:space="0" w:color="000000"/>
            </w:tcBorders>
            <w:shd w:fill="CCEEFF" w:val="clear"/>
            <w:vAlign w:val="center"/>
          </w:tcPr>
          <w:p>
            <w:pPr>
              <w:pStyle w:val="TableContents"/>
              <w:spacing w:before="0" w:after="283"/>
              <w:jc w:val="right"/>
              <w:rPr/>
            </w:pPr>
            <w:r>
              <w:rPr/>
              <w:t>-</w:t>
            </w:r>
          </w:p>
        </w:tc>
        <w:tc>
          <w:tcPr>
            <w:tcW w:w="140" w:type="dxa"/>
            <w:tcBorders/>
            <w:shd w:fill="CCEEFF" w:val="clear"/>
            <w:tcMar>
              <w:bottom w:w="0" w:type="dxa"/>
            </w:tcMar>
            <w:vAlign w:val="center"/>
          </w:tcPr>
          <w:p>
            <w:pPr>
              <w:pStyle w:val="TableContents"/>
              <w:spacing w:before="0" w:after="0"/>
              <w:ind w:left="0" w:right="0" w:hanging="0"/>
              <w:rPr/>
            </w:pPr>
            <w:r>
              <w:rPr/>
              <w:t> </w:t>
            </w:r>
          </w:p>
        </w:tc>
      </w:tr>
      <w:tr>
        <w:trPr/>
        <w:tc>
          <w:tcPr>
            <w:tcW w:w="998" w:type="dxa"/>
            <w:tcBorders/>
            <w:shd w:fill="FFFFFF" w:val="clear"/>
            <w:tcMar>
              <w:bottom w:w="0" w:type="dxa"/>
            </w:tcMar>
            <w:vAlign w:val="center"/>
          </w:tcPr>
          <w:p>
            <w:pPr>
              <w:pStyle w:val="TableContents"/>
              <w:spacing w:before="0" w:after="0"/>
              <w:ind w:left="0" w:right="0" w:hanging="0"/>
              <w:rPr/>
            </w:pPr>
            <w:r>
              <w:rPr/>
              <w:t>Total</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89" w:type="dxa"/>
            <w:tcBorders>
              <w:bottom w:val="double" w:sz="6" w:space="0" w:color="000000"/>
            </w:tcBorders>
            <w:shd w:fill="FFFFFF" w:val="clear"/>
            <w:vAlign w:val="center"/>
          </w:tcPr>
          <w:p>
            <w:pPr>
              <w:pStyle w:val="TableContents"/>
              <w:spacing w:before="0" w:after="0"/>
              <w:ind w:left="0" w:right="0" w:hanging="0"/>
              <w:rPr/>
            </w:pPr>
            <w:r>
              <w:rPr/>
              <w:t> </w:t>
            </w:r>
          </w:p>
        </w:tc>
        <w:tc>
          <w:tcPr>
            <w:tcW w:w="1501" w:type="dxa"/>
            <w:tcBorders>
              <w:bottom w:val="double" w:sz="6" w:space="0" w:color="000000"/>
            </w:tcBorders>
            <w:shd w:fill="FFFFFF" w:val="clear"/>
            <w:vAlign w:val="center"/>
          </w:tcPr>
          <w:p>
            <w:pPr>
              <w:pStyle w:val="TableContents"/>
              <w:spacing w:before="0" w:after="283"/>
              <w:jc w:val="right"/>
              <w:rPr/>
            </w:pPr>
            <w:r>
              <w:rPr/>
              <w:t>58,383</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251" w:type="dxa"/>
            <w:tcBorders/>
            <w:shd w:fill="FFFFFF" w:val="clear"/>
            <w:tcMar>
              <w:bottom w:w="0" w:type="dxa"/>
            </w:tcMar>
            <w:vAlign w:val="center"/>
          </w:tcPr>
          <w:p>
            <w:pPr>
              <w:pStyle w:val="TableContents"/>
              <w:spacing w:before="0" w:after="283"/>
              <w:rPr/>
            </w:pPr>
            <w:r>
              <w:rPr/>
              <w:t>$</w:t>
            </w:r>
          </w:p>
        </w:tc>
        <w:tc>
          <w:tcPr>
            <w:tcW w:w="697" w:type="dxa"/>
            <w:tcBorders/>
            <w:shd w:fill="FFFFFF" w:val="clear"/>
            <w:tcMar>
              <w:bottom w:w="0" w:type="dxa"/>
            </w:tcMar>
            <w:vAlign w:val="center"/>
          </w:tcPr>
          <w:p>
            <w:pPr>
              <w:pStyle w:val="TableContents"/>
              <w:spacing w:before="0" w:after="283"/>
              <w:jc w:val="right"/>
              <w:rPr/>
            </w:pPr>
            <w:r>
              <w:rPr/>
              <w:t>6.54</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240" w:type="dxa"/>
            <w:tcBorders>
              <w:bottom w:val="double" w:sz="6" w:space="0" w:color="000000"/>
            </w:tcBorders>
            <w:shd w:fill="FFFFFF" w:val="clear"/>
            <w:vAlign w:val="center"/>
          </w:tcPr>
          <w:p>
            <w:pPr>
              <w:pStyle w:val="TableContents"/>
              <w:spacing w:before="0" w:after="0"/>
              <w:ind w:left="0" w:right="0" w:hanging="0"/>
              <w:rPr/>
            </w:pPr>
            <w:r>
              <w:rPr/>
              <w:t> </w:t>
            </w:r>
          </w:p>
        </w:tc>
        <w:tc>
          <w:tcPr>
            <w:tcW w:w="1728" w:type="dxa"/>
            <w:tcBorders>
              <w:bottom w:val="double" w:sz="6" w:space="0" w:color="000000"/>
            </w:tcBorders>
            <w:shd w:fill="FFFFFF" w:val="clear"/>
            <w:vAlign w:val="center"/>
          </w:tcPr>
          <w:p>
            <w:pPr>
              <w:pStyle w:val="TableContents"/>
              <w:spacing w:before="0" w:after="283"/>
              <w:jc w:val="right"/>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185" w:type="dxa"/>
            <w:tcBorders>
              <w:bottom w:val="double" w:sz="6" w:space="0" w:color="000000"/>
            </w:tcBorders>
            <w:shd w:fill="FFFFFF" w:val="clear"/>
            <w:vAlign w:val="center"/>
          </w:tcPr>
          <w:p>
            <w:pPr>
              <w:pStyle w:val="TableContents"/>
              <w:spacing w:before="0" w:after="0"/>
              <w:ind w:left="0" w:right="0" w:hanging="0"/>
              <w:rPr/>
            </w:pPr>
            <w:r>
              <w:rPr/>
              <w:t> </w:t>
            </w:r>
          </w:p>
        </w:tc>
        <w:tc>
          <w:tcPr>
            <w:tcW w:w="1646" w:type="dxa"/>
            <w:tcBorders>
              <w:bottom w:val="double" w:sz="6" w:space="0" w:color="000000"/>
            </w:tcBorders>
            <w:shd w:fill="FFFFFF" w:val="clear"/>
            <w:vAlign w:val="center"/>
          </w:tcPr>
          <w:p>
            <w:pPr>
              <w:pStyle w:val="TableContents"/>
              <w:spacing w:before="0" w:after="283"/>
              <w:jc w:val="right"/>
              <w:rPr/>
            </w:pPr>
            <w:r>
              <w:rPr/>
              <w:t>-</w:t>
            </w:r>
          </w:p>
        </w:tc>
        <w:tc>
          <w:tcPr>
            <w:tcW w:w="140" w:type="dxa"/>
            <w:tcBorders/>
            <w:shd w:fill="FFFFFF" w:val="clear"/>
            <w:tcMar>
              <w:bottom w:w="0" w:type="dxa"/>
            </w:tcM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tbl>
      <w:tblPr>
        <w:tblW w:w="5800" w:type="dxa"/>
        <w:jc w:val="left"/>
        <w:tblInd w:w="0" w:type="dxa"/>
        <w:tblCellMar>
          <w:top w:w="0" w:type="dxa"/>
          <w:left w:w="0" w:type="dxa"/>
          <w:bottom w:w="0" w:type="dxa"/>
          <w:right w:w="0" w:type="dxa"/>
        </w:tblCellMar>
      </w:tblPr>
      <w:tblGrid>
        <w:gridCol w:w="395"/>
        <w:gridCol w:w="5405"/>
      </w:tblGrid>
      <w:tr>
        <w:trPr/>
        <w:tc>
          <w:tcPr>
            <w:tcW w:w="395" w:type="dxa"/>
            <w:tcBorders/>
            <w:shd w:fill="auto" w:val="clear"/>
            <w:vAlign w:val="center"/>
          </w:tcPr>
          <w:p>
            <w:pPr>
              <w:pStyle w:val="TableContents"/>
              <w:spacing w:before="0" w:after="0"/>
              <w:ind w:left="0" w:right="0" w:hanging="0"/>
              <w:rPr/>
            </w:pPr>
            <w:r>
              <w:rPr/>
              <w:t xml:space="preserve">(1) </w:t>
            </w:r>
          </w:p>
        </w:tc>
        <w:tc>
          <w:tcPr>
            <w:tcW w:w="5405" w:type="dxa"/>
            <w:tcBorders/>
            <w:shd w:fill="auto" w:val="clear"/>
            <w:vAlign w:val="center"/>
          </w:tcPr>
          <w:p>
            <w:pPr>
              <w:pStyle w:val="TableContents"/>
              <w:spacing w:before="0" w:after="283"/>
              <w:rPr/>
            </w:pPr>
            <w:r>
              <w:rPr/>
              <w:t>Purchases were made by us in open market transactions.</w:t>
            </w:r>
          </w:p>
        </w:tc>
      </w:tr>
    </w:tbl>
    <w:p>
      <w:pPr>
        <w:pStyle w:val="TextBody"/>
        <w:spacing w:before="0" w:after="0"/>
        <w:ind w:left="0" w:right="0" w:hanging="0"/>
        <w:jc w:val="both"/>
        <w:rPr/>
      </w:pPr>
      <w:r>
        <w:rPr/>
        <w:t>  </w:t>
      </w:r>
    </w:p>
    <w:p>
      <w:pPr>
        <w:pStyle w:val="TextBody"/>
        <w:spacing w:before="0" w:after="0"/>
        <w:ind w:left="0" w:right="0" w:hanging="0"/>
        <w:jc w:val="both"/>
        <w:rPr/>
      </w:pPr>
      <w:bookmarkStart w:id="8" w:name="i6"/>
      <w:bookmarkEnd w:id="8"/>
      <w:r>
        <w:rPr>
          <w:rStyle w:val="StrongEmphasis"/>
          <w:rFonts w:ascii="times new roman" w:hAnsi="times new roman"/>
          <w:sz w:val="20"/>
          <w:u w:val="single"/>
        </w:rPr>
        <w:t>ITEM 6</w:t>
      </w:r>
      <w:r>
        <w:rPr>
          <w:rFonts w:ascii="times new roman" w:hAnsi="times new roman"/>
          <w:sz w:val="20"/>
        </w:rPr>
        <w:t xml:space="preserve">. </w:t>
      </w:r>
      <w:r>
        <w:rPr>
          <w:rStyle w:val="StrongEmphasis"/>
          <w:rFonts w:ascii="times new roman" w:hAnsi="times new roman"/>
          <w:sz w:val="20"/>
          <w:u w:val="single"/>
        </w:rPr>
        <w:t>SELECTED FINANCIAL DATA</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This item is not applicable to smaller reporting companies.</w:t>
      </w:r>
    </w:p>
    <w:p>
      <w:pPr>
        <w:pStyle w:val="TextBody"/>
        <w:spacing w:before="0" w:after="0"/>
        <w:ind w:left="0" w:right="0" w:hanging="0"/>
        <w:jc w:val="both"/>
        <w:rPr/>
      </w:pPr>
      <w:r>
        <w:rPr/>
        <w:t> </w:t>
      </w:r>
    </w:p>
    <w:p>
      <w:pPr>
        <w:pStyle w:val="TextBody"/>
        <w:spacing w:before="0" w:after="0"/>
        <w:ind w:left="0" w:right="0" w:hanging="0"/>
        <w:jc w:val="both"/>
        <w:rPr/>
      </w:pPr>
      <w:bookmarkStart w:id="9" w:name="i7"/>
      <w:bookmarkEnd w:id="9"/>
      <w:r>
        <w:rPr>
          <w:rStyle w:val="StrongEmphasis"/>
          <w:rFonts w:ascii="times new roman" w:hAnsi="times new roman"/>
          <w:sz w:val="20"/>
          <w:u w:val="single"/>
        </w:rPr>
        <w:t>ITEM 7</w:t>
      </w:r>
      <w:r>
        <w:rPr>
          <w:rStyle w:val="StrongEmphasis"/>
          <w:rFonts w:ascii="times new roman" w:hAnsi="times new roman"/>
          <w:sz w:val="20"/>
        </w:rPr>
        <w:t xml:space="preserve">. </w:t>
      </w:r>
      <w:r>
        <w:rPr>
          <w:rStyle w:val="StrongEmphasis"/>
          <w:rFonts w:ascii="times new roman" w:hAnsi="times new roman"/>
          <w:sz w:val="20"/>
          <w:u w:val="single"/>
        </w:rPr>
        <w:t>MANAGEMENT’S DISCUSSION AND ANALYSIS OF FINANCIAL CONDITION AND RESULTS OF OPERATIONS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Overview</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offer property and casualty insurance products to individuals through our wholly owned subsidiary, Kingstone Insurance Company (“KICO”). KICO’s insureds are located primarily in downstate New York, consisting of New York City, Long Island and Westchester County, although we are actively writing business in New Jersey, Rhode Island, Connecticut and Massachusetts. We are licensed in the States of New York, New Jersey, Rhode Island, Connecticut, Massachusetts, Pennsylvania, Maine, and New Hampshire. For the year ended December 31, 2020, 80.0% of KICO’s direct written premiums came from the New York policies.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addition, through our subsidiary, Cosi Agency, Inc. (“Cosi”), a multi-state licensed general agency, we access alternative distribution channels. Through Cosi, we have the opportunity to partner with name-brand carriers and access nationwide insurance agencies. See “Distribution Channels” below for a discussion of our distribution channels. Cosi receives commission revenue from KICO for the policies it places with others and pays commissions to these agencies. Cosi retains the profit between the commission revenue received and the commission expense paid. Net Cosi revenue is eliminated against commission expense and Cosi related operating expenses are included in other operating expenses. Cosi related operating expenses are not included in our stand-alone insurance underwriting business and, accordingly, its expenses are not included in the calculation of our combined ratio as described below.</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31</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derive substantially all of our revenue from KICO, which includes revenues from earned premiums, ceding commissions from quota share reinsurance, net investment income generated from its portfolio, and net realized gains and losses on investment securities. All of KICO’s insurance policies are written for a one-year term. Earned premiums represent premiums received from insureds, which are recognized as revenue over the period of time that insurance coverage is provided (i.e., ratably over the one-year life of the policy). A significant period of time can elapse from the receipt of insurance premiums to the payment of insurance claims. During this time, KICO invests the premiums, earns investment income and generates net realized and unrealized investment gains and losses on investments. Our holding company earns investment income from its cash holdings and may also generate net realized and unrealized investment gains and losses on future investments.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expenses include the insurance underwriting expenses of KICO and other operating expenses. Insurance companies incur a significant amount of their total expenses from losses incurred by policyholders, which are referred to as claims. In settling these claims, various loss adjustment expenses (“LAE”) are incurred such as insurance adjusters’ fees and legal expenses. In addition, insurance companies incur policy acquisition costs. Policy acquisition costs include commissions paid to producers, premium taxes, and other expenses related to the underwriting process, including employees’ compensation and benefits.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Other operating expenses include our corporate expenses as a holding company and operating expenses of Cosi. These corporate expenses include legal and auditing fees, executive employment costs, and other costs directly associated with being a public company. Cosi operating expenses primarily include employment, occupancy and consulting costs.</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 xml:space="preserve">Principal Revenue and Expense Items </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Net premiums earned:</w:t>
      </w:r>
      <w:r>
        <w:rPr>
          <w:rFonts w:ascii="times new roman" w:hAnsi="times new roman"/>
          <w:sz w:val="20"/>
        </w:rPr>
        <w:t xml:space="preserve"> Net premiums earned is the earned portion of our written premiums, less that portion of premium that is ceded to third party reinsurers under reinsurance agreements. The amount ceded under these reinsurance agreements is based on a contractual formula contained in the individual reinsurance agreement. Insurance premiums are earned on a pro rata basis over the term of the policy. At the end of each reporting period, premiums written that are not earned are classified as unearned premiums and are earned in subsequent periods over the remaining term of the policy. Our insurance policies have a term of one year. Accordingly, for a one-year policy written on July 1, 2020, we would earn half of the premiums in 2020 and the other half in 2021. </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Ceding commission revenue:</w:t>
      </w:r>
      <w:r>
        <w:rPr>
          <w:rFonts w:ascii="times new roman" w:hAnsi="times new roman"/>
          <w:sz w:val="20"/>
        </w:rPr>
        <w:t xml:space="preserve"> Commissions on reinsurance premiums ceded to quota share treaties are earned in a manner consistent with the recognition of the direct acquisition costs of the underlying insurance policies, generally on a pro-rata basis over the terms of the policies reinsured. </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Net investment income and net gains (losses) on investments:</w:t>
      </w:r>
      <w:r>
        <w:rPr>
          <w:rFonts w:ascii="times new roman" w:hAnsi="times new roman"/>
          <w:sz w:val="20"/>
        </w:rPr>
        <w:t xml:space="preserve"> We invest in cash and cash equivalents, short-term investments, fixed-maturity and equity securities, and other investments. Our net investment income includes interest and dividends earned on our invested assets, less investment expenses. Net realized gains and losses on our investments are reported separately from our net investment income. Net realized gains occur when our investment securities are sold for more than their costs or amortized costs, as applicable. Net realized losses occur when our investment securities are sold for less than their costs or amortized costs, as applicable, or are written down as a result of other-than-temporary impairment. We classify our fixed-maturity securities as either available-for-sale or held-to-maturity. Net unrealized gains (losses) on those securities classified as available-for-sale are reported separately within accumulated other comprehensive income on our balance sheet while our equity securities and other investments report changes in fair value through earnings. See Note 2 in the accompanying consolidated financial statements for further discussion over our accounting policies following Item 16 of this Annual Report. </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Other income:</w:t>
      </w:r>
      <w:r>
        <w:rPr>
          <w:rFonts w:ascii="times new roman" w:hAnsi="times new roman"/>
          <w:sz w:val="20"/>
        </w:rPr>
        <w:t xml:space="preserve"> We recognize installment fee income and fees charged to reinstate a policy after it has been cancelled for non-payment.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32</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Loss and loss adjustment expenses incurred:</w:t>
      </w:r>
      <w:r>
        <w:rPr>
          <w:rFonts w:ascii="times new roman" w:hAnsi="times new roman"/>
          <w:sz w:val="20"/>
        </w:rPr>
        <w:t xml:space="preserve"> Loss and LAE incurred represent our largest expense item, and for any given reporting period include estimates of future claim payments, changes in those estimates from prior reporting periods and costs associated with investigating, defending and servicing claims. These expenses fluctuate based on the amount and types of risks we insure. We record loss and LAE related to estimates of future claim payments based on case-by-case valuations, statistical analyses and actuarial procedures. We seek to establish all reserves at the most likely ultimate liability based on our historical claims experience. It is typical for certain claims to take several years to settle and we revise our estimates as we receive additional information on such claims. Our ability to estimate loss and LAE accurately at the time of pricing our insurance policies is a critical factor affecting our profitability. </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Commission expenses and other underwriting expenses:</w:t>
      </w:r>
      <w:r>
        <w:rPr>
          <w:rFonts w:ascii="times new roman" w:hAnsi="times new roman"/>
          <w:sz w:val="20"/>
        </w:rPr>
        <w:t xml:space="preserve"> Other underwriting expenses include policy acquisition costs and other expenses related to the underwriting of policies. Policy acquisition costs represent the costs of originating new insurance policies that vary with, and are primarily related to, the production of insurance policies (principally commissions, premium taxes and certain underwriting salaries). Policy acquisition costs are deferred and recognized as expense as the related premiums are earned. Other underwriting expenses represent general and administrative expenses of our insurance business and are comprised of other costs associated with our insurance activities such as regulatory fees, telecommunication and technology costs, occupancy costs, employment costs, and legal and auditing fees. </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Other operating expenses:</w:t>
      </w:r>
      <w:r>
        <w:rPr>
          <w:rFonts w:ascii="times new roman" w:hAnsi="times new roman"/>
          <w:sz w:val="20"/>
        </w:rPr>
        <w:t xml:space="preserve"> Other operating expenses include the corporate expenses of our holding company, Kingstone Companies, Inc., and operating expenses of Cosi. These expenses include executive employment costs, legal and auditing fees, and other costs directly associated with being a public company. Cosi operating expenses primarily include employment costs, occupancy costs and consulting costs.</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Stock-based compensation:</w:t>
      </w:r>
      <w:r>
        <w:rPr>
          <w:rFonts w:ascii="times new roman" w:hAnsi="times new roman"/>
          <w:sz w:val="20"/>
        </w:rPr>
        <w:t xml:space="preserve"> Non-cash equity compensation includes the fair value of stock grants issued to our directors, officers and employees, and amortization of stock options issued to the same.</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Depreciation and amortization:</w:t>
      </w:r>
      <w:r>
        <w:rPr>
          <w:rFonts w:ascii="times new roman" w:hAnsi="times new roman"/>
          <w:sz w:val="20"/>
        </w:rPr>
        <w:t xml:space="preserve"> Depreciation and amortization includes the amortization of intangibles related to the acquisition of KICO, depreciation of the real estate used in KICO’s operations, as well as depreciation of capital expenditures for information technology projects, office equipment and furniture.</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Interest expense:</w:t>
      </w:r>
      <w:r>
        <w:rPr>
          <w:rFonts w:ascii="times new roman" w:hAnsi="times new roman"/>
          <w:sz w:val="20"/>
        </w:rPr>
        <w:t xml:space="preserve"> Interest expense represents amounts we incur on our outstanding indebtedness at the applicable interest rates. Interest expense also includes amortization of debt discount and issuance costs.</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Income tax expense:</w:t>
      </w:r>
      <w:r>
        <w:rPr>
          <w:rFonts w:ascii="times new roman" w:hAnsi="times new roman"/>
          <w:sz w:val="20"/>
        </w:rPr>
        <w:t xml:space="preserve"> We incur federal income tax expense on our consolidated statement of operations as well as state income tax expense for our non-insurance underwriting subsidiaries.</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Product Lines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product lines include the following:</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Personal lines:</w:t>
      </w:r>
      <w:r>
        <w:rPr>
          <w:rFonts w:ascii="times new roman" w:hAnsi="times new roman"/>
          <w:sz w:val="20"/>
        </w:rPr>
        <w:t xml:space="preserve"> Our largest line of business is personal lines, consisting of homeowners, dwelling fire, cooperative/condominium, renters, and personal umbrella policies. </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Commercial liability:</w:t>
      </w:r>
      <w:r>
        <w:rPr>
          <w:rStyle w:val="Emphasis"/>
          <w:rFonts w:ascii="times new roman" w:hAnsi="times new roman"/>
          <w:sz w:val="20"/>
        </w:rPr>
        <w:t xml:space="preserve"> </w:t>
      </w:r>
      <w:r>
        <w:rPr>
          <w:rFonts w:ascii="times new roman" w:hAnsi="times new roman"/>
          <w:sz w:val="20"/>
        </w:rPr>
        <w:t>Through July 2019, we offered businessowners policies, which consist primarily of small business retail, service, and office risks, with limited property exposures. We also wrote artisan’s liability policies for small independent contractors with smaller sized workforces. In addition, we wrote special multi-peril policies for larger and more specialized businessowners risks, including those with limited residential exposures. Further, we offered commercial umbrella policies written above our supporting commercial lines policies.</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33</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 xml:space="preserve">In May 2019, due to the poor performance of this line we placed a moratorium on new commercial lines and new commercial umbrella submissions while we further reviewed this business. In July 2019, due to the continuing poor performance of these lines, we made the decision to no longer underwrite commercial lines or commercial umbrella risks. In-force policies as of July 31, 2019 for these lines were non-renewed at the end of their annual terms. As of December 31, 2020 there are no commercial liability policies in-force. For the year ended December 31, 2020, these expired policies represent approximately 2.5% of net premiums earned and 33.7% of loss and LAE reserves net of reinsurance recoverables. See discussion below under “Additional Financial Information”. </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 xml:space="preserve">Livery physical damage: </w:t>
      </w:r>
      <w:r>
        <w:rPr>
          <w:rFonts w:ascii="times new roman" w:hAnsi="times new roman"/>
          <w:sz w:val="20"/>
        </w:rPr>
        <w:t>We write for-hire vehicle physical damage only policies for livery and car service vehicles and taxicabs. These policies insure only the physical damage portion of insurance for such vehicles, with no liability coverage included.</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Other:</w:t>
      </w:r>
      <w:r>
        <w:rPr>
          <w:rFonts w:ascii="times new roman" w:hAnsi="times new roman"/>
          <w:sz w:val="20"/>
        </w:rPr>
        <w:t xml:space="preserve"> We write canine legal liability policies and have a small participation in mandatory state joint underwriting associations.</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Key Measures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utilize the following key measures in analyzing the results of our insurance underwriting business:</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 xml:space="preserve">Net loss ratio: </w:t>
      </w:r>
      <w:r>
        <w:rPr>
          <w:rFonts w:ascii="times new roman" w:hAnsi="times new roman"/>
          <w:sz w:val="20"/>
        </w:rPr>
        <w:t>The net loss ratio is a measure of the underwriting profitability of an insurance company’s business. Expressed as a percentage, this is the ratio of net losses and LAE incurred to net premiums earned.</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Net underwriting expense ratio:</w:t>
      </w:r>
      <w:r>
        <w:rPr>
          <w:rFonts w:ascii="times new roman" w:hAnsi="times new roman"/>
          <w:sz w:val="20"/>
        </w:rPr>
        <w:t xml:space="preserve"> The net underwriting expense ratio is a measure of an insurance company’s operational efficiency in administering its business. Expressed as a percentage, this is the ratio of the sum of acquisition costs (the most significant being commissions paid to our producers) and other underwriting expenses less ceding commission revenue less other income to net premiums earned. </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Net combined ratio:</w:t>
      </w:r>
      <w:r>
        <w:rPr>
          <w:rFonts w:ascii="times new roman" w:hAnsi="times new roman"/>
          <w:sz w:val="20"/>
        </w:rPr>
        <w:t xml:space="preserve"> The net combined ratio is a measure of an insurance company’s overall underwriting profit. This is the sum of the net loss and net underwriting expense ratios. If the net combined ratio is at or above 100 percent, an insurance company cannot be profitable without investment income, and may not be profitable if investment income is insufficient. </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Underwriting income:</w:t>
      </w:r>
      <w:r>
        <w:rPr>
          <w:rFonts w:ascii="times new roman" w:hAnsi="times new roman"/>
          <w:sz w:val="20"/>
        </w:rPr>
        <w:t xml:space="preserve"> Underwriting income is net pre-tax income attributable to our insurance underwriting business before investment activity. It excludes net investment income, net realized gains from investments, and depreciation and amortization (net premiums earned less expenses included in combined ratio). Underwriting income is a measure of an insurance company’s overall operating profitability before items such as investment income, depreciation and amortization, interest expense and income taxes.</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Distribution Channels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During 2019, we initiated an alternative distribution program through Cosi (“Alternative Distribution”). The goal of this program is to enhance our personal lines distribution channel to include nationally recognized name-brand carriers along with nationwide call center and digital insurance agencies. While still in early stages of development, the impact of this initiative can be measured by the amount of new premiums written compared to total premiums written, which includes renewals from our independent agency network. The table below shows premiums written by distribution channel for our homeowners and dwelling fire components of personal lines.</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34</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tbl>
      <w:tblPr>
        <w:tblW w:w="8433" w:type="dxa"/>
        <w:jc w:val="left"/>
        <w:tblInd w:w="0" w:type="dxa"/>
        <w:tblCellMar>
          <w:top w:w="0" w:type="dxa"/>
          <w:left w:w="0" w:type="dxa"/>
          <w:bottom w:w="0" w:type="dxa"/>
          <w:right w:w="0" w:type="dxa"/>
        </w:tblCellMar>
      </w:tblPr>
      <w:tblGrid>
        <w:gridCol w:w="3650"/>
        <w:gridCol w:w="90"/>
        <w:gridCol w:w="175"/>
        <w:gridCol w:w="859"/>
        <w:gridCol w:w="93"/>
        <w:gridCol w:w="93"/>
        <w:gridCol w:w="106"/>
        <w:gridCol w:w="708"/>
        <w:gridCol w:w="245"/>
        <w:gridCol w:w="90"/>
        <w:gridCol w:w="175"/>
        <w:gridCol w:w="859"/>
        <w:gridCol w:w="93"/>
        <w:gridCol w:w="93"/>
        <w:gridCol w:w="106"/>
        <w:gridCol w:w="708"/>
        <w:gridCol w:w="290"/>
      </w:tblGrid>
      <w:tr>
        <w:trPr/>
        <w:tc>
          <w:tcPr>
            <w:tcW w:w="365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034" w:type="dxa"/>
            <w:gridSpan w:val="6"/>
            <w:tcBorders/>
            <w:shd w:fill="auto" w:val="clear"/>
            <w:vAlign w:val="center"/>
          </w:tcPr>
          <w:p>
            <w:pPr>
              <w:pStyle w:val="TableContents"/>
              <w:spacing w:before="0" w:after="0"/>
              <w:ind w:left="0" w:right="0" w:hanging="0"/>
              <w:jc w:val="center"/>
              <w:rPr/>
            </w:pPr>
            <w:r>
              <w:rPr/>
              <w:t>Year ended</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034" w:type="dxa"/>
            <w:gridSpan w:val="6"/>
            <w:tcBorders/>
            <w:shd w:fill="auto" w:val="clear"/>
            <w:vAlign w:val="center"/>
          </w:tcPr>
          <w:p>
            <w:pPr>
              <w:pStyle w:val="TableContents"/>
              <w:spacing w:before="0" w:after="0"/>
              <w:ind w:left="0" w:right="0" w:hanging="0"/>
              <w:jc w:val="center"/>
              <w:rPr/>
            </w:pPr>
            <w:r>
              <w:rPr/>
              <w:t>Year ended</w:t>
            </w:r>
          </w:p>
        </w:tc>
        <w:tc>
          <w:tcPr>
            <w:tcW w:w="290" w:type="dxa"/>
            <w:tcBorders/>
            <w:shd w:fill="auto" w:val="clear"/>
            <w:vAlign w:val="center"/>
          </w:tcPr>
          <w:p>
            <w:pPr>
              <w:pStyle w:val="TableContents"/>
              <w:spacing w:before="0" w:after="0"/>
              <w:ind w:left="0" w:right="0" w:hanging="0"/>
              <w:rPr/>
            </w:pPr>
            <w:r>
              <w:rPr/>
              <w:t> </w:t>
            </w:r>
          </w:p>
        </w:tc>
      </w:tr>
      <w:tr>
        <w:trPr/>
        <w:tc>
          <w:tcPr>
            <w:tcW w:w="3650" w:type="dxa"/>
            <w:tcBorders/>
            <w:shd w:fill="auto" w:val="clear"/>
            <w:vAlign w:val="center"/>
          </w:tcPr>
          <w:p>
            <w:pPr>
              <w:pStyle w:val="TableContents"/>
              <w:spacing w:before="0" w:after="0"/>
              <w:ind w:left="0" w:right="0" w:hanging="0"/>
              <w:rPr/>
            </w:pPr>
            <w:r>
              <w:rPr/>
              <w:t xml:space="preserve">($ in thousands) </w:t>
            </w:r>
          </w:p>
        </w:tc>
        <w:tc>
          <w:tcPr>
            <w:tcW w:w="90" w:type="dxa"/>
            <w:tcBorders/>
            <w:shd w:fill="auto" w:val="clear"/>
            <w:vAlign w:val="center"/>
          </w:tcPr>
          <w:p>
            <w:pPr>
              <w:pStyle w:val="TableContents"/>
              <w:spacing w:before="0" w:after="0"/>
              <w:ind w:left="0" w:right="0" w:hanging="0"/>
              <w:rPr/>
            </w:pPr>
            <w:r>
              <w:rPr/>
              <w:t> </w:t>
            </w:r>
          </w:p>
        </w:tc>
        <w:tc>
          <w:tcPr>
            <w:tcW w:w="2034"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t>December 31, 2020</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034"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t>December 31, 2019</w:t>
            </w:r>
          </w:p>
        </w:tc>
        <w:tc>
          <w:tcPr>
            <w:tcW w:w="290" w:type="dxa"/>
            <w:tcBorders/>
            <w:shd w:fill="auto" w:val="clear"/>
            <w:vAlign w:val="center"/>
          </w:tcPr>
          <w:p>
            <w:pPr>
              <w:pStyle w:val="TableContents"/>
              <w:spacing w:before="0" w:after="0"/>
              <w:ind w:left="0" w:right="0" w:hanging="0"/>
              <w:rPr/>
            </w:pPr>
            <w:r>
              <w:rPr/>
              <w:t> </w:t>
            </w:r>
          </w:p>
        </w:tc>
      </w:tr>
      <w:tr>
        <w:trPr/>
        <w:tc>
          <w:tcPr>
            <w:tcW w:w="365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34" w:type="dxa"/>
            <w:gridSpan w:val="2"/>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0"/>
              <w:ind w:left="0" w:right="0" w:hanging="0"/>
              <w:rPr/>
            </w:pPr>
            <w:r>
              <w:rPr/>
              <w:t> </w:t>
            </w:r>
          </w:p>
        </w:tc>
        <w:tc>
          <w:tcPr>
            <w:tcW w:w="93" w:type="dxa"/>
            <w:tcBorders/>
            <w:shd w:fill="auto" w:val="clear"/>
            <w:vAlign w:val="center"/>
          </w:tcPr>
          <w:p>
            <w:pPr>
              <w:pStyle w:val="TableContents"/>
              <w:spacing w:before="0" w:after="0"/>
              <w:ind w:left="0" w:right="0" w:hanging="0"/>
              <w:rPr/>
            </w:pPr>
            <w:r>
              <w:rPr/>
              <w:t> </w:t>
            </w:r>
          </w:p>
        </w:tc>
        <w:tc>
          <w:tcPr>
            <w:tcW w:w="814" w:type="dxa"/>
            <w:gridSpan w:val="2"/>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34" w:type="dxa"/>
            <w:gridSpan w:val="2"/>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0"/>
              <w:ind w:left="0" w:right="0" w:hanging="0"/>
              <w:rPr/>
            </w:pPr>
            <w:r>
              <w:rPr/>
              <w:t> </w:t>
            </w:r>
          </w:p>
        </w:tc>
        <w:tc>
          <w:tcPr>
            <w:tcW w:w="93" w:type="dxa"/>
            <w:tcBorders/>
            <w:shd w:fill="auto" w:val="clear"/>
            <w:vAlign w:val="center"/>
          </w:tcPr>
          <w:p>
            <w:pPr>
              <w:pStyle w:val="TableContents"/>
              <w:spacing w:before="0" w:after="0"/>
              <w:ind w:left="0" w:right="0" w:hanging="0"/>
              <w:rPr/>
            </w:pPr>
            <w:r>
              <w:rPr/>
              <w:t> </w:t>
            </w:r>
          </w:p>
        </w:tc>
        <w:tc>
          <w:tcPr>
            <w:tcW w:w="814" w:type="dxa"/>
            <w:gridSpan w:val="2"/>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0"/>
              <w:ind w:left="0" w:right="0" w:hanging="0"/>
              <w:rPr/>
            </w:pPr>
            <w:r>
              <w:rPr/>
              <w:t> </w:t>
            </w:r>
          </w:p>
        </w:tc>
      </w:tr>
      <w:tr>
        <w:trPr/>
        <w:tc>
          <w:tcPr>
            <w:tcW w:w="3650" w:type="dxa"/>
            <w:tcBorders/>
            <w:shd w:fill="auto" w:val="clear"/>
            <w:vAlign w:val="center"/>
          </w:tcPr>
          <w:p>
            <w:pPr>
              <w:pStyle w:val="TableContents"/>
              <w:spacing w:before="0" w:after="0"/>
              <w:ind w:left="0" w:right="0" w:hanging="0"/>
              <w:rPr/>
            </w:pPr>
            <w:r>
              <w:rPr/>
              <w:t xml:space="preserve">Direct Written Pemiums </w:t>
            </w:r>
          </w:p>
        </w:tc>
        <w:tc>
          <w:tcPr>
            <w:tcW w:w="90" w:type="dxa"/>
            <w:tcBorders/>
            <w:shd w:fill="auto" w:val="clear"/>
            <w:vAlign w:val="center"/>
          </w:tcPr>
          <w:p>
            <w:pPr>
              <w:pStyle w:val="TableContents"/>
              <w:spacing w:before="0" w:after="0"/>
              <w:ind w:left="0" w:right="0" w:hanging="0"/>
              <w:rPr/>
            </w:pPr>
            <w:r>
              <w:rPr/>
              <w:t> </w:t>
            </w:r>
          </w:p>
        </w:tc>
        <w:tc>
          <w:tcPr>
            <w:tcW w:w="103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xml:space="preserve">Amount </w:t>
            </w:r>
          </w:p>
        </w:tc>
        <w:tc>
          <w:tcPr>
            <w:tcW w:w="93" w:type="dxa"/>
            <w:tcBorders/>
            <w:shd w:fill="auto" w:val="clear"/>
            <w:vAlign w:val="center"/>
          </w:tcPr>
          <w:p>
            <w:pPr>
              <w:pStyle w:val="TableContents"/>
              <w:spacing w:before="0" w:after="0"/>
              <w:ind w:left="0" w:right="0" w:hanging="0"/>
              <w:rPr/>
            </w:pPr>
            <w:r>
              <w:rPr/>
              <w:t> </w:t>
            </w:r>
          </w:p>
        </w:tc>
        <w:tc>
          <w:tcPr>
            <w:tcW w:w="93" w:type="dxa"/>
            <w:tcBorders/>
            <w:shd w:fill="auto" w:val="clear"/>
            <w:vAlign w:val="center"/>
          </w:tcPr>
          <w:p>
            <w:pPr>
              <w:pStyle w:val="TableContents"/>
              <w:spacing w:before="0" w:after="0"/>
              <w:ind w:left="0" w:right="0" w:hanging="0"/>
              <w:rPr/>
            </w:pPr>
            <w:r>
              <w:rPr/>
              <w:t> </w:t>
            </w:r>
          </w:p>
        </w:tc>
        <w:tc>
          <w:tcPr>
            <w:tcW w:w="81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xml:space="preserve">Percent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3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xml:space="preserve">Amount </w:t>
            </w:r>
          </w:p>
        </w:tc>
        <w:tc>
          <w:tcPr>
            <w:tcW w:w="93" w:type="dxa"/>
            <w:tcBorders/>
            <w:shd w:fill="auto" w:val="clear"/>
            <w:vAlign w:val="center"/>
          </w:tcPr>
          <w:p>
            <w:pPr>
              <w:pStyle w:val="TableContents"/>
              <w:spacing w:before="0" w:after="0"/>
              <w:ind w:left="0" w:right="0" w:hanging="0"/>
              <w:rPr/>
            </w:pPr>
            <w:r>
              <w:rPr/>
              <w:t> </w:t>
            </w:r>
          </w:p>
        </w:tc>
        <w:tc>
          <w:tcPr>
            <w:tcW w:w="93" w:type="dxa"/>
            <w:tcBorders/>
            <w:shd w:fill="auto" w:val="clear"/>
            <w:vAlign w:val="center"/>
          </w:tcPr>
          <w:p>
            <w:pPr>
              <w:pStyle w:val="TableContents"/>
              <w:spacing w:before="0" w:after="0"/>
              <w:ind w:left="0" w:right="0" w:hanging="0"/>
              <w:rPr/>
            </w:pPr>
            <w:r>
              <w:rPr/>
              <w:t> </w:t>
            </w:r>
          </w:p>
        </w:tc>
        <w:tc>
          <w:tcPr>
            <w:tcW w:w="81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xml:space="preserve">Percent </w:t>
            </w:r>
          </w:p>
        </w:tc>
        <w:tc>
          <w:tcPr>
            <w:tcW w:w="290" w:type="dxa"/>
            <w:tcBorders/>
            <w:shd w:fill="auto" w:val="clear"/>
            <w:vAlign w:val="center"/>
          </w:tcPr>
          <w:p>
            <w:pPr>
              <w:pStyle w:val="TableContents"/>
              <w:spacing w:before="0" w:after="0"/>
              <w:ind w:left="0" w:right="0" w:hanging="0"/>
              <w:rPr/>
            </w:pPr>
            <w:r>
              <w:rPr/>
              <w:t> </w:t>
            </w:r>
          </w:p>
        </w:tc>
      </w:tr>
      <w:tr>
        <w:trPr/>
        <w:tc>
          <w:tcPr>
            <w:tcW w:w="365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34" w:type="dxa"/>
            <w:gridSpan w:val="2"/>
            <w:tcBorders/>
            <w:shd w:fill="auto" w:val="clear"/>
            <w:vAlign w:val="center"/>
          </w:tcPr>
          <w:p>
            <w:pPr>
              <w:pStyle w:val="TableContents"/>
              <w:spacing w:before="0" w:after="0"/>
              <w:ind w:left="0" w:right="0" w:hanging="0"/>
              <w:rPr/>
            </w:pPr>
            <w:r>
              <w:rPr/>
              <w:t> </w:t>
            </w:r>
          </w:p>
        </w:tc>
        <w:tc>
          <w:tcPr>
            <w:tcW w:w="93" w:type="dxa"/>
            <w:tcBorders/>
            <w:shd w:fill="auto" w:val="clear"/>
            <w:vAlign w:val="center"/>
          </w:tcPr>
          <w:p>
            <w:pPr>
              <w:pStyle w:val="TableContents"/>
              <w:spacing w:before="0" w:after="0"/>
              <w:ind w:left="0" w:right="0" w:hanging="0"/>
              <w:rPr/>
            </w:pPr>
            <w:r>
              <w:rPr/>
              <w:t> </w:t>
            </w:r>
          </w:p>
        </w:tc>
        <w:tc>
          <w:tcPr>
            <w:tcW w:w="93" w:type="dxa"/>
            <w:tcBorders/>
            <w:shd w:fill="auto" w:val="clear"/>
            <w:vAlign w:val="center"/>
          </w:tcPr>
          <w:p>
            <w:pPr>
              <w:pStyle w:val="TableContents"/>
              <w:spacing w:before="0" w:after="0"/>
              <w:ind w:left="0" w:right="0" w:hanging="0"/>
              <w:rPr/>
            </w:pPr>
            <w:r>
              <w:rPr/>
              <w:t> </w:t>
            </w:r>
          </w:p>
        </w:tc>
        <w:tc>
          <w:tcPr>
            <w:tcW w:w="814"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34" w:type="dxa"/>
            <w:gridSpan w:val="2"/>
            <w:tcBorders/>
            <w:shd w:fill="auto" w:val="clear"/>
            <w:vAlign w:val="center"/>
          </w:tcPr>
          <w:p>
            <w:pPr>
              <w:pStyle w:val="TableContents"/>
              <w:spacing w:before="0" w:after="0"/>
              <w:ind w:left="0" w:right="0" w:hanging="0"/>
              <w:rPr/>
            </w:pPr>
            <w:r>
              <w:rPr/>
              <w:t> </w:t>
            </w:r>
          </w:p>
        </w:tc>
        <w:tc>
          <w:tcPr>
            <w:tcW w:w="93" w:type="dxa"/>
            <w:tcBorders/>
            <w:shd w:fill="auto" w:val="clear"/>
            <w:vAlign w:val="center"/>
          </w:tcPr>
          <w:p>
            <w:pPr>
              <w:pStyle w:val="TableContents"/>
              <w:spacing w:before="0" w:after="0"/>
              <w:ind w:left="0" w:right="0" w:hanging="0"/>
              <w:rPr/>
            </w:pPr>
            <w:r>
              <w:rPr/>
              <w:t> </w:t>
            </w:r>
          </w:p>
        </w:tc>
        <w:tc>
          <w:tcPr>
            <w:tcW w:w="93" w:type="dxa"/>
            <w:tcBorders/>
            <w:shd w:fill="auto" w:val="clear"/>
            <w:vAlign w:val="center"/>
          </w:tcPr>
          <w:p>
            <w:pPr>
              <w:pStyle w:val="TableContents"/>
              <w:spacing w:before="0" w:after="0"/>
              <w:ind w:left="0" w:right="0" w:hanging="0"/>
              <w:rPr/>
            </w:pPr>
            <w:r>
              <w:rPr/>
              <w:t> </w:t>
            </w:r>
          </w:p>
        </w:tc>
        <w:tc>
          <w:tcPr>
            <w:tcW w:w="814" w:type="dxa"/>
            <w:gridSpan w:val="2"/>
            <w:tcBorders/>
            <w:shd w:fill="auto" w:val="clear"/>
            <w:vAlign w:val="center"/>
          </w:tcPr>
          <w:p>
            <w:pPr>
              <w:pStyle w:val="TableContents"/>
              <w:spacing w:before="0" w:after="0"/>
              <w:ind w:left="0" w:right="0" w:hanging="0"/>
              <w:rPr/>
            </w:pPr>
            <w:r>
              <w:rPr/>
              <w:t> </w:t>
            </w:r>
          </w:p>
        </w:tc>
        <w:tc>
          <w:tcPr>
            <w:tcW w:w="290" w:type="dxa"/>
            <w:tcBorders/>
            <w:shd w:fill="auto" w:val="clear"/>
            <w:vAlign w:val="center"/>
          </w:tcPr>
          <w:p>
            <w:pPr>
              <w:pStyle w:val="TableContents"/>
              <w:spacing w:before="0" w:after="0"/>
              <w:ind w:left="0" w:right="0" w:hanging="0"/>
              <w:rPr/>
            </w:pPr>
            <w:r>
              <w:rPr/>
              <w:t> </w:t>
            </w:r>
          </w:p>
        </w:tc>
      </w:tr>
      <w:tr>
        <w:trPr/>
        <w:tc>
          <w:tcPr>
            <w:tcW w:w="3650" w:type="dxa"/>
            <w:tcBorders/>
            <w:shd w:fill="CCEEFF" w:val="clear"/>
            <w:vAlign w:val="center"/>
          </w:tcPr>
          <w:p>
            <w:pPr>
              <w:pStyle w:val="TableContents"/>
              <w:spacing w:before="0" w:after="0"/>
              <w:ind w:left="0" w:right="0" w:firstLine="180"/>
              <w:rPr/>
            </w:pPr>
            <w:r>
              <w:rPr/>
              <w:t xml:space="preserve">Core Independent </w:t>
            </w:r>
          </w:p>
        </w:tc>
        <w:tc>
          <w:tcPr>
            <w:tcW w:w="90" w:type="dxa"/>
            <w:tcBorders/>
            <w:shd w:fill="CCEEFF" w:val="clear"/>
            <w:vAlign w:val="center"/>
          </w:tcPr>
          <w:p>
            <w:pPr>
              <w:pStyle w:val="TableContents"/>
              <w:spacing w:before="0" w:after="0"/>
              <w:ind w:left="0" w:right="0" w:hanging="0"/>
              <w:rPr/>
            </w:pPr>
            <w:r>
              <w:rPr/>
              <w:t> </w:t>
            </w:r>
          </w:p>
        </w:tc>
        <w:tc>
          <w:tcPr>
            <w:tcW w:w="175" w:type="dxa"/>
            <w:tcBorders/>
            <w:shd w:fill="CCEEFF" w:val="clear"/>
            <w:vAlign w:val="center"/>
          </w:tcPr>
          <w:p>
            <w:pPr>
              <w:pStyle w:val="TableContents"/>
              <w:spacing w:before="0" w:after="283"/>
              <w:rPr/>
            </w:pPr>
            <w:r>
              <w:rPr/>
              <w:t>$</w:t>
            </w:r>
          </w:p>
        </w:tc>
        <w:tc>
          <w:tcPr>
            <w:tcW w:w="859" w:type="dxa"/>
            <w:tcBorders/>
            <w:shd w:fill="CCEEFF" w:val="clear"/>
            <w:vAlign w:val="center"/>
          </w:tcPr>
          <w:p>
            <w:pPr>
              <w:pStyle w:val="TableContents"/>
              <w:spacing w:before="0" w:after="283"/>
              <w:jc w:val="right"/>
              <w:rPr/>
            </w:pPr>
            <w:r>
              <w:rPr/>
              <w:t>123,755</w:t>
            </w:r>
          </w:p>
        </w:tc>
        <w:tc>
          <w:tcPr>
            <w:tcW w:w="93" w:type="dxa"/>
            <w:tcBorders/>
            <w:shd w:fill="CCEEFF" w:val="clear"/>
            <w:vAlign w:val="center"/>
          </w:tcPr>
          <w:p>
            <w:pPr>
              <w:pStyle w:val="TableContents"/>
              <w:spacing w:before="0" w:after="0"/>
              <w:ind w:left="0" w:right="0" w:hanging="0"/>
              <w:rPr/>
            </w:pPr>
            <w:r>
              <w:rPr/>
              <w:t> </w:t>
            </w:r>
          </w:p>
        </w:tc>
        <w:tc>
          <w:tcPr>
            <w:tcW w:w="93" w:type="dxa"/>
            <w:tcBorders/>
            <w:shd w:fill="CCEEFF" w:val="clear"/>
            <w:vAlign w:val="center"/>
          </w:tcPr>
          <w:p>
            <w:pPr>
              <w:pStyle w:val="TableContents"/>
              <w:spacing w:before="0" w:after="0"/>
              <w:ind w:left="0" w:right="0" w:hanging="0"/>
              <w:rPr/>
            </w:pPr>
            <w:r>
              <w:rPr/>
              <w:t> </w:t>
            </w:r>
          </w:p>
        </w:tc>
        <w:tc>
          <w:tcPr>
            <w:tcW w:w="106" w:type="dxa"/>
            <w:tcBorders/>
            <w:shd w:fill="CCEEFF" w:val="clear"/>
            <w:vAlign w:val="center"/>
          </w:tcPr>
          <w:p>
            <w:pPr>
              <w:pStyle w:val="TableContents"/>
              <w:spacing w:before="0" w:after="0"/>
              <w:ind w:left="0" w:right="0" w:hanging="0"/>
              <w:rPr/>
            </w:pPr>
            <w:r>
              <w:rPr/>
              <w:t> </w:t>
            </w:r>
          </w:p>
        </w:tc>
        <w:tc>
          <w:tcPr>
            <w:tcW w:w="708" w:type="dxa"/>
            <w:tcBorders/>
            <w:shd w:fill="CCEEFF" w:val="clear"/>
            <w:vAlign w:val="center"/>
          </w:tcPr>
          <w:p>
            <w:pPr>
              <w:pStyle w:val="TableContents"/>
              <w:spacing w:before="0" w:after="283"/>
              <w:jc w:val="right"/>
              <w:rPr/>
            </w:pPr>
            <w:r>
              <w:rPr/>
              <w:t>76.4</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5" w:type="dxa"/>
            <w:tcBorders/>
            <w:shd w:fill="CCEEFF" w:val="clear"/>
            <w:vAlign w:val="center"/>
          </w:tcPr>
          <w:p>
            <w:pPr>
              <w:pStyle w:val="TableContents"/>
              <w:spacing w:before="0" w:after="283"/>
              <w:rPr/>
            </w:pPr>
            <w:r>
              <w:rPr/>
              <w:t>$</w:t>
            </w:r>
          </w:p>
        </w:tc>
        <w:tc>
          <w:tcPr>
            <w:tcW w:w="859" w:type="dxa"/>
            <w:tcBorders/>
            <w:shd w:fill="CCEEFF" w:val="clear"/>
            <w:vAlign w:val="center"/>
          </w:tcPr>
          <w:p>
            <w:pPr>
              <w:pStyle w:val="TableContents"/>
              <w:spacing w:before="0" w:after="283"/>
              <w:jc w:val="right"/>
              <w:rPr/>
            </w:pPr>
            <w:r>
              <w:rPr/>
              <w:t>120,625</w:t>
            </w:r>
          </w:p>
        </w:tc>
        <w:tc>
          <w:tcPr>
            <w:tcW w:w="93" w:type="dxa"/>
            <w:tcBorders/>
            <w:shd w:fill="CCEEFF" w:val="clear"/>
            <w:vAlign w:val="center"/>
          </w:tcPr>
          <w:p>
            <w:pPr>
              <w:pStyle w:val="TableContents"/>
              <w:spacing w:before="0" w:after="0"/>
              <w:ind w:left="0" w:right="0" w:hanging="0"/>
              <w:rPr/>
            </w:pPr>
            <w:r>
              <w:rPr/>
              <w:t> </w:t>
            </w:r>
          </w:p>
        </w:tc>
        <w:tc>
          <w:tcPr>
            <w:tcW w:w="93" w:type="dxa"/>
            <w:tcBorders/>
            <w:shd w:fill="CCEEFF" w:val="clear"/>
            <w:vAlign w:val="center"/>
          </w:tcPr>
          <w:p>
            <w:pPr>
              <w:pStyle w:val="TableContents"/>
              <w:spacing w:before="0" w:after="0"/>
              <w:ind w:left="0" w:right="0" w:hanging="0"/>
              <w:rPr/>
            </w:pPr>
            <w:r>
              <w:rPr/>
              <w:t> </w:t>
            </w:r>
          </w:p>
        </w:tc>
        <w:tc>
          <w:tcPr>
            <w:tcW w:w="106" w:type="dxa"/>
            <w:tcBorders/>
            <w:shd w:fill="CCEEFF" w:val="clear"/>
            <w:vAlign w:val="center"/>
          </w:tcPr>
          <w:p>
            <w:pPr>
              <w:pStyle w:val="TableContents"/>
              <w:spacing w:before="0" w:after="0"/>
              <w:ind w:left="0" w:right="0" w:hanging="0"/>
              <w:rPr/>
            </w:pPr>
            <w:r>
              <w:rPr/>
              <w:t> </w:t>
            </w:r>
          </w:p>
        </w:tc>
        <w:tc>
          <w:tcPr>
            <w:tcW w:w="708" w:type="dxa"/>
            <w:tcBorders/>
            <w:shd w:fill="CCEEFF" w:val="clear"/>
            <w:vAlign w:val="center"/>
          </w:tcPr>
          <w:p>
            <w:pPr>
              <w:pStyle w:val="TableContents"/>
              <w:spacing w:before="0" w:after="283"/>
              <w:jc w:val="right"/>
              <w:rPr/>
            </w:pPr>
            <w:r>
              <w:rPr/>
              <w:t>80.6</w:t>
            </w:r>
          </w:p>
        </w:tc>
        <w:tc>
          <w:tcPr>
            <w:tcW w:w="290" w:type="dxa"/>
            <w:tcBorders/>
            <w:shd w:fill="CCEEFF" w:val="clear"/>
            <w:vAlign w:val="center"/>
          </w:tcPr>
          <w:p>
            <w:pPr>
              <w:pStyle w:val="TableContents"/>
              <w:spacing w:before="0" w:after="283"/>
              <w:rPr/>
            </w:pPr>
            <w:r>
              <w:rPr/>
              <w:t>%</w:t>
            </w:r>
          </w:p>
        </w:tc>
      </w:tr>
      <w:tr>
        <w:trPr/>
        <w:tc>
          <w:tcPr>
            <w:tcW w:w="3650" w:type="dxa"/>
            <w:tcBorders/>
            <w:shd w:fill="FFFFFF" w:val="clear"/>
            <w:vAlign w:val="center"/>
          </w:tcPr>
          <w:p>
            <w:pPr>
              <w:pStyle w:val="TableContents"/>
              <w:spacing w:before="0" w:after="0"/>
              <w:ind w:left="0" w:right="0" w:firstLine="180"/>
              <w:rPr/>
            </w:pPr>
            <w:r>
              <w:rPr/>
              <w:t xml:space="preserve">Expansion Independent (1) </w:t>
            </w:r>
          </w:p>
        </w:tc>
        <w:tc>
          <w:tcPr>
            <w:tcW w:w="90" w:type="dxa"/>
            <w:tcBorders/>
            <w:shd w:fill="FFFFFF" w:val="clear"/>
            <w:vAlign w:val="center"/>
          </w:tcPr>
          <w:p>
            <w:pPr>
              <w:pStyle w:val="TableContents"/>
              <w:spacing w:before="0" w:after="0"/>
              <w:ind w:left="0" w:right="0" w:hanging="0"/>
              <w:rPr/>
            </w:pPr>
            <w:r>
              <w:rPr/>
              <w:t> </w:t>
            </w:r>
          </w:p>
        </w:tc>
        <w:tc>
          <w:tcPr>
            <w:tcW w:w="175" w:type="dxa"/>
            <w:tcBorders/>
            <w:shd w:fill="FFFFFF" w:val="clear"/>
            <w:vAlign w:val="center"/>
          </w:tcPr>
          <w:p>
            <w:pPr>
              <w:pStyle w:val="TableContents"/>
              <w:spacing w:before="0" w:after="0"/>
              <w:ind w:left="0" w:right="0" w:hanging="0"/>
              <w:rPr/>
            </w:pPr>
            <w:r>
              <w:rPr/>
              <w:t> </w:t>
            </w:r>
          </w:p>
        </w:tc>
        <w:tc>
          <w:tcPr>
            <w:tcW w:w="859" w:type="dxa"/>
            <w:tcBorders/>
            <w:shd w:fill="FFFFFF" w:val="clear"/>
            <w:vAlign w:val="center"/>
          </w:tcPr>
          <w:p>
            <w:pPr>
              <w:pStyle w:val="TableContents"/>
              <w:spacing w:before="0" w:after="283"/>
              <w:jc w:val="right"/>
              <w:rPr/>
            </w:pPr>
            <w:r>
              <w:rPr/>
              <w:t>30,953</w:t>
            </w:r>
          </w:p>
        </w:tc>
        <w:tc>
          <w:tcPr>
            <w:tcW w:w="93" w:type="dxa"/>
            <w:tcBorders/>
            <w:shd w:fill="FFFFFF" w:val="clear"/>
            <w:vAlign w:val="center"/>
          </w:tcPr>
          <w:p>
            <w:pPr>
              <w:pStyle w:val="TableContents"/>
              <w:spacing w:before="0" w:after="0"/>
              <w:ind w:left="0" w:right="0" w:hanging="0"/>
              <w:rPr/>
            </w:pPr>
            <w:r>
              <w:rPr/>
              <w:t> </w:t>
            </w:r>
          </w:p>
        </w:tc>
        <w:tc>
          <w:tcPr>
            <w:tcW w:w="93" w:type="dxa"/>
            <w:tcBorders/>
            <w:shd w:fill="FFFFFF" w:val="clear"/>
            <w:vAlign w:val="center"/>
          </w:tcPr>
          <w:p>
            <w:pPr>
              <w:pStyle w:val="TableContents"/>
              <w:spacing w:before="0" w:after="0"/>
              <w:ind w:left="0" w:right="0" w:hanging="0"/>
              <w:rPr/>
            </w:pPr>
            <w:r>
              <w:rPr/>
              <w:t> </w:t>
            </w:r>
          </w:p>
        </w:tc>
        <w:tc>
          <w:tcPr>
            <w:tcW w:w="106" w:type="dxa"/>
            <w:tcBorders/>
            <w:shd w:fill="FFFFFF" w:val="clear"/>
            <w:vAlign w:val="center"/>
          </w:tcPr>
          <w:p>
            <w:pPr>
              <w:pStyle w:val="TableContents"/>
              <w:spacing w:before="0" w:after="0"/>
              <w:ind w:left="0" w:right="0" w:hanging="0"/>
              <w:rPr/>
            </w:pPr>
            <w:r>
              <w:rPr/>
              <w:t> </w:t>
            </w:r>
          </w:p>
        </w:tc>
        <w:tc>
          <w:tcPr>
            <w:tcW w:w="708" w:type="dxa"/>
            <w:tcBorders/>
            <w:shd w:fill="FFFFFF" w:val="clear"/>
            <w:vAlign w:val="center"/>
          </w:tcPr>
          <w:p>
            <w:pPr>
              <w:pStyle w:val="TableContents"/>
              <w:spacing w:before="0" w:after="283"/>
              <w:jc w:val="right"/>
              <w:rPr/>
            </w:pPr>
            <w:r>
              <w:rPr/>
              <w:t>19.1</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5" w:type="dxa"/>
            <w:tcBorders/>
            <w:shd w:fill="FFFFFF" w:val="clear"/>
            <w:vAlign w:val="center"/>
          </w:tcPr>
          <w:p>
            <w:pPr>
              <w:pStyle w:val="TableContents"/>
              <w:spacing w:before="0" w:after="0"/>
              <w:ind w:left="0" w:right="0" w:hanging="0"/>
              <w:rPr/>
            </w:pPr>
            <w:r>
              <w:rPr/>
              <w:t> </w:t>
            </w:r>
          </w:p>
        </w:tc>
        <w:tc>
          <w:tcPr>
            <w:tcW w:w="859" w:type="dxa"/>
            <w:tcBorders/>
            <w:shd w:fill="FFFFFF" w:val="clear"/>
            <w:vAlign w:val="center"/>
          </w:tcPr>
          <w:p>
            <w:pPr>
              <w:pStyle w:val="TableContents"/>
              <w:spacing w:before="0" w:after="283"/>
              <w:jc w:val="right"/>
              <w:rPr/>
            </w:pPr>
            <w:r>
              <w:rPr/>
              <w:t>24,253</w:t>
            </w:r>
          </w:p>
        </w:tc>
        <w:tc>
          <w:tcPr>
            <w:tcW w:w="93" w:type="dxa"/>
            <w:tcBorders/>
            <w:shd w:fill="FFFFFF" w:val="clear"/>
            <w:vAlign w:val="center"/>
          </w:tcPr>
          <w:p>
            <w:pPr>
              <w:pStyle w:val="TableContents"/>
              <w:spacing w:before="0" w:after="0"/>
              <w:ind w:left="0" w:right="0" w:hanging="0"/>
              <w:rPr/>
            </w:pPr>
            <w:r>
              <w:rPr/>
              <w:t> </w:t>
            </w:r>
          </w:p>
        </w:tc>
        <w:tc>
          <w:tcPr>
            <w:tcW w:w="93" w:type="dxa"/>
            <w:tcBorders/>
            <w:shd w:fill="FFFFFF" w:val="clear"/>
            <w:vAlign w:val="center"/>
          </w:tcPr>
          <w:p>
            <w:pPr>
              <w:pStyle w:val="TableContents"/>
              <w:spacing w:before="0" w:after="0"/>
              <w:ind w:left="0" w:right="0" w:hanging="0"/>
              <w:rPr/>
            </w:pPr>
            <w:r>
              <w:rPr/>
              <w:t> </w:t>
            </w:r>
          </w:p>
        </w:tc>
        <w:tc>
          <w:tcPr>
            <w:tcW w:w="106" w:type="dxa"/>
            <w:tcBorders/>
            <w:shd w:fill="FFFFFF" w:val="clear"/>
            <w:vAlign w:val="center"/>
          </w:tcPr>
          <w:p>
            <w:pPr>
              <w:pStyle w:val="TableContents"/>
              <w:spacing w:before="0" w:after="0"/>
              <w:ind w:left="0" w:right="0" w:hanging="0"/>
              <w:rPr/>
            </w:pPr>
            <w:r>
              <w:rPr/>
              <w:t> </w:t>
            </w:r>
          </w:p>
        </w:tc>
        <w:tc>
          <w:tcPr>
            <w:tcW w:w="708" w:type="dxa"/>
            <w:tcBorders/>
            <w:shd w:fill="FFFFFF" w:val="clear"/>
            <w:vAlign w:val="center"/>
          </w:tcPr>
          <w:p>
            <w:pPr>
              <w:pStyle w:val="TableContents"/>
              <w:spacing w:before="0" w:after="283"/>
              <w:jc w:val="right"/>
              <w:rPr/>
            </w:pPr>
            <w:r>
              <w:rPr/>
              <w:t>16.2</w:t>
            </w:r>
          </w:p>
        </w:tc>
        <w:tc>
          <w:tcPr>
            <w:tcW w:w="290" w:type="dxa"/>
            <w:tcBorders/>
            <w:shd w:fill="FFFFFF" w:val="clear"/>
            <w:vAlign w:val="center"/>
          </w:tcPr>
          <w:p>
            <w:pPr>
              <w:pStyle w:val="TableContents"/>
              <w:spacing w:before="0" w:after="283"/>
              <w:rPr/>
            </w:pPr>
            <w:r>
              <w:rPr/>
              <w:t>%</w:t>
            </w:r>
          </w:p>
        </w:tc>
      </w:tr>
      <w:tr>
        <w:trPr/>
        <w:tc>
          <w:tcPr>
            <w:tcW w:w="3650" w:type="dxa"/>
            <w:tcBorders/>
            <w:shd w:fill="CCEEFF" w:val="clear"/>
            <w:vAlign w:val="center"/>
          </w:tcPr>
          <w:p>
            <w:pPr>
              <w:pStyle w:val="TableContents"/>
              <w:spacing w:before="0" w:after="0"/>
              <w:ind w:left="0" w:right="0" w:hanging="0"/>
              <w:rPr/>
            </w:pPr>
            <w:r>
              <w:rPr/>
              <w:t xml:space="preserve">Alternative Distribution through Cosi </w:t>
            </w:r>
          </w:p>
        </w:tc>
        <w:tc>
          <w:tcPr>
            <w:tcW w:w="90" w:type="dxa"/>
            <w:tcBorders/>
            <w:shd w:fill="CCEEFF" w:val="clear"/>
            <w:vAlign w:val="center"/>
          </w:tcPr>
          <w:p>
            <w:pPr>
              <w:pStyle w:val="TableContents"/>
              <w:spacing w:before="0" w:after="0"/>
              <w:ind w:left="0" w:right="0" w:hanging="0"/>
              <w:rPr/>
            </w:pPr>
            <w:r>
              <w:rPr/>
              <w:t> </w:t>
            </w:r>
          </w:p>
        </w:tc>
        <w:tc>
          <w:tcPr>
            <w:tcW w:w="17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59" w:type="dxa"/>
            <w:tcBorders>
              <w:bottom w:val="single" w:sz="2" w:space="0" w:color="000000"/>
            </w:tcBorders>
            <w:shd w:fill="CCEEFF" w:val="clear"/>
            <w:tcMar>
              <w:bottom w:w="28" w:type="dxa"/>
            </w:tcMar>
            <w:vAlign w:val="center"/>
          </w:tcPr>
          <w:p>
            <w:pPr>
              <w:pStyle w:val="TableContents"/>
              <w:spacing w:before="0" w:after="283"/>
              <w:jc w:val="right"/>
              <w:rPr/>
            </w:pPr>
            <w:r>
              <w:rPr/>
              <w:t>7,233</w:t>
            </w:r>
          </w:p>
        </w:tc>
        <w:tc>
          <w:tcPr>
            <w:tcW w:w="93" w:type="dxa"/>
            <w:tcBorders/>
            <w:shd w:fill="CCEEFF" w:val="clear"/>
            <w:vAlign w:val="center"/>
          </w:tcPr>
          <w:p>
            <w:pPr>
              <w:pStyle w:val="TableContents"/>
              <w:spacing w:before="0" w:after="0"/>
              <w:ind w:left="0" w:right="0" w:hanging="0"/>
              <w:rPr/>
            </w:pPr>
            <w:r>
              <w:rPr/>
              <w:t> </w:t>
            </w:r>
          </w:p>
        </w:tc>
        <w:tc>
          <w:tcPr>
            <w:tcW w:w="93" w:type="dxa"/>
            <w:tcBorders/>
            <w:shd w:fill="CCEEFF" w:val="clear"/>
            <w:vAlign w:val="center"/>
          </w:tcPr>
          <w:p>
            <w:pPr>
              <w:pStyle w:val="TableContents"/>
              <w:spacing w:before="0" w:after="0"/>
              <w:ind w:left="0" w:right="0" w:hanging="0"/>
              <w:rPr/>
            </w:pPr>
            <w:r>
              <w:rPr/>
              <w:t> </w:t>
            </w:r>
          </w:p>
        </w:tc>
        <w:tc>
          <w:tcPr>
            <w:tcW w:w="10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08" w:type="dxa"/>
            <w:tcBorders>
              <w:bottom w:val="single" w:sz="2" w:space="0" w:color="000000"/>
            </w:tcBorders>
            <w:shd w:fill="CCEEFF" w:val="clear"/>
            <w:tcMar>
              <w:bottom w:w="28" w:type="dxa"/>
            </w:tcMar>
            <w:vAlign w:val="center"/>
          </w:tcPr>
          <w:p>
            <w:pPr>
              <w:pStyle w:val="TableContents"/>
              <w:spacing w:before="0" w:after="283"/>
              <w:jc w:val="right"/>
              <w:rPr/>
            </w:pPr>
            <w:r>
              <w:rPr/>
              <w:t>4.5</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59" w:type="dxa"/>
            <w:tcBorders>
              <w:bottom w:val="single" w:sz="2" w:space="0" w:color="000000"/>
            </w:tcBorders>
            <w:shd w:fill="CCEEFF" w:val="clear"/>
            <w:tcMar>
              <w:bottom w:w="28" w:type="dxa"/>
            </w:tcMar>
            <w:vAlign w:val="center"/>
          </w:tcPr>
          <w:p>
            <w:pPr>
              <w:pStyle w:val="TableContents"/>
              <w:spacing w:before="0" w:after="283"/>
              <w:jc w:val="right"/>
              <w:rPr/>
            </w:pPr>
            <w:r>
              <w:rPr/>
              <w:t>4,799</w:t>
            </w:r>
          </w:p>
        </w:tc>
        <w:tc>
          <w:tcPr>
            <w:tcW w:w="93" w:type="dxa"/>
            <w:tcBorders/>
            <w:shd w:fill="CCEEFF" w:val="clear"/>
            <w:vAlign w:val="center"/>
          </w:tcPr>
          <w:p>
            <w:pPr>
              <w:pStyle w:val="TableContents"/>
              <w:spacing w:before="0" w:after="0"/>
              <w:ind w:left="0" w:right="0" w:hanging="0"/>
              <w:rPr/>
            </w:pPr>
            <w:r>
              <w:rPr/>
              <w:t> </w:t>
            </w:r>
          </w:p>
        </w:tc>
        <w:tc>
          <w:tcPr>
            <w:tcW w:w="93" w:type="dxa"/>
            <w:tcBorders/>
            <w:shd w:fill="CCEEFF" w:val="clear"/>
            <w:vAlign w:val="center"/>
          </w:tcPr>
          <w:p>
            <w:pPr>
              <w:pStyle w:val="TableContents"/>
              <w:spacing w:before="0" w:after="0"/>
              <w:ind w:left="0" w:right="0" w:hanging="0"/>
              <w:rPr/>
            </w:pPr>
            <w:r>
              <w:rPr/>
              <w:t> </w:t>
            </w:r>
          </w:p>
        </w:tc>
        <w:tc>
          <w:tcPr>
            <w:tcW w:w="10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08" w:type="dxa"/>
            <w:tcBorders>
              <w:bottom w:val="single" w:sz="2" w:space="0" w:color="000000"/>
            </w:tcBorders>
            <w:shd w:fill="CCEEFF" w:val="clear"/>
            <w:tcMar>
              <w:bottom w:w="28" w:type="dxa"/>
            </w:tcMar>
            <w:vAlign w:val="center"/>
          </w:tcPr>
          <w:p>
            <w:pPr>
              <w:pStyle w:val="TableContents"/>
              <w:spacing w:before="0" w:after="283"/>
              <w:jc w:val="right"/>
              <w:rPr/>
            </w:pPr>
            <w:r>
              <w:rPr/>
              <w:t>3.2</w:t>
            </w:r>
          </w:p>
        </w:tc>
        <w:tc>
          <w:tcPr>
            <w:tcW w:w="290" w:type="dxa"/>
            <w:tcBorders/>
            <w:shd w:fill="CCEEFF" w:val="clear"/>
            <w:vAlign w:val="center"/>
          </w:tcPr>
          <w:p>
            <w:pPr>
              <w:pStyle w:val="TableContents"/>
              <w:spacing w:before="0" w:after="283"/>
              <w:rPr/>
            </w:pPr>
            <w:r>
              <w:rPr/>
              <w:t>%</w:t>
            </w:r>
          </w:p>
        </w:tc>
      </w:tr>
      <w:tr>
        <w:trPr/>
        <w:tc>
          <w:tcPr>
            <w:tcW w:w="3650" w:type="dxa"/>
            <w:tcBorders/>
            <w:shd w:fill="FFFFFF" w:val="clear"/>
            <w:vAlign w:val="center"/>
          </w:tcPr>
          <w:p>
            <w:pPr>
              <w:pStyle w:val="TableContents"/>
              <w:spacing w:before="0" w:after="0"/>
              <w:ind w:left="0" w:right="0" w:firstLine="180"/>
              <w:rPr/>
            </w:pPr>
            <w:r>
              <w:rPr/>
              <w:t xml:space="preserve">Total </w:t>
            </w:r>
          </w:p>
        </w:tc>
        <w:tc>
          <w:tcPr>
            <w:tcW w:w="90" w:type="dxa"/>
            <w:tcBorders/>
            <w:shd w:fill="FFFFFF" w:val="clear"/>
            <w:vAlign w:val="center"/>
          </w:tcPr>
          <w:p>
            <w:pPr>
              <w:pStyle w:val="TableContents"/>
              <w:spacing w:before="0" w:after="0"/>
              <w:ind w:left="0" w:right="0" w:hanging="0"/>
              <w:rPr/>
            </w:pPr>
            <w:r>
              <w:rPr/>
              <w:t> </w:t>
            </w:r>
          </w:p>
        </w:tc>
        <w:tc>
          <w:tcPr>
            <w:tcW w:w="175" w:type="dxa"/>
            <w:tcBorders>
              <w:bottom w:val="double" w:sz="6" w:space="0" w:color="000000"/>
            </w:tcBorders>
            <w:shd w:fill="FFFFFF" w:val="clear"/>
            <w:tcMar>
              <w:bottom w:w="28" w:type="dxa"/>
            </w:tcMar>
            <w:vAlign w:val="center"/>
          </w:tcPr>
          <w:p>
            <w:pPr>
              <w:pStyle w:val="TableContents"/>
              <w:spacing w:before="0" w:after="283"/>
              <w:rPr/>
            </w:pPr>
            <w:r>
              <w:rPr/>
              <w:t>$</w:t>
            </w:r>
          </w:p>
        </w:tc>
        <w:tc>
          <w:tcPr>
            <w:tcW w:w="859" w:type="dxa"/>
            <w:tcBorders>
              <w:bottom w:val="double" w:sz="6" w:space="0" w:color="000000"/>
            </w:tcBorders>
            <w:shd w:fill="FFFFFF" w:val="clear"/>
            <w:tcMar>
              <w:bottom w:w="28" w:type="dxa"/>
            </w:tcMar>
            <w:vAlign w:val="center"/>
          </w:tcPr>
          <w:p>
            <w:pPr>
              <w:pStyle w:val="TableContents"/>
              <w:spacing w:before="0" w:after="283"/>
              <w:jc w:val="right"/>
              <w:rPr/>
            </w:pPr>
            <w:r>
              <w:rPr/>
              <w:t>161,941</w:t>
            </w:r>
          </w:p>
        </w:tc>
        <w:tc>
          <w:tcPr>
            <w:tcW w:w="93" w:type="dxa"/>
            <w:tcBorders/>
            <w:shd w:fill="FFFFFF" w:val="clear"/>
            <w:vAlign w:val="center"/>
          </w:tcPr>
          <w:p>
            <w:pPr>
              <w:pStyle w:val="TableContents"/>
              <w:spacing w:before="0" w:after="0"/>
              <w:ind w:left="0" w:right="0" w:hanging="0"/>
              <w:rPr/>
            </w:pPr>
            <w:r>
              <w:rPr/>
              <w:t> </w:t>
            </w:r>
          </w:p>
        </w:tc>
        <w:tc>
          <w:tcPr>
            <w:tcW w:w="93" w:type="dxa"/>
            <w:tcBorders/>
            <w:shd w:fill="FFFFFF" w:val="clear"/>
            <w:vAlign w:val="center"/>
          </w:tcPr>
          <w:p>
            <w:pPr>
              <w:pStyle w:val="TableContents"/>
              <w:spacing w:before="0" w:after="0"/>
              <w:ind w:left="0" w:right="0" w:hanging="0"/>
              <w:rPr/>
            </w:pPr>
            <w:r>
              <w:rPr/>
              <w:t> </w:t>
            </w:r>
          </w:p>
        </w:tc>
        <w:tc>
          <w:tcPr>
            <w:tcW w:w="106" w:type="dxa"/>
            <w:tcBorders>
              <w:bottom w:val="double" w:sz="6" w:space="0" w:color="000000"/>
            </w:tcBorders>
            <w:shd w:fill="FFFFFF" w:val="clear"/>
            <w:tcMar>
              <w:bottom w:w="28" w:type="dxa"/>
            </w:tcMar>
            <w:vAlign w:val="center"/>
          </w:tcPr>
          <w:p>
            <w:pPr>
              <w:pStyle w:val="TableContents"/>
              <w:spacing w:before="0" w:after="0"/>
              <w:ind w:left="0" w:right="0" w:hanging="0"/>
              <w:rPr/>
            </w:pPr>
            <w:r>
              <w:rPr/>
              <w:t> </w:t>
            </w:r>
          </w:p>
        </w:tc>
        <w:tc>
          <w:tcPr>
            <w:tcW w:w="708" w:type="dxa"/>
            <w:tcBorders>
              <w:bottom w:val="double" w:sz="6" w:space="0" w:color="000000"/>
            </w:tcBorders>
            <w:shd w:fill="FFFFFF" w:val="clear"/>
            <w:tcMar>
              <w:bottom w:w="28" w:type="dxa"/>
            </w:tcMar>
            <w:vAlign w:val="center"/>
          </w:tcPr>
          <w:p>
            <w:pPr>
              <w:pStyle w:val="TableContents"/>
              <w:spacing w:before="0" w:after="283"/>
              <w:jc w:val="right"/>
              <w:rPr/>
            </w:pPr>
            <w:r>
              <w:rPr/>
              <w:t>100.0</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5" w:type="dxa"/>
            <w:tcBorders>
              <w:bottom w:val="double" w:sz="6" w:space="0" w:color="000000"/>
            </w:tcBorders>
            <w:shd w:fill="FFFFFF" w:val="clear"/>
            <w:tcMar>
              <w:bottom w:w="28" w:type="dxa"/>
            </w:tcMar>
            <w:vAlign w:val="center"/>
          </w:tcPr>
          <w:p>
            <w:pPr>
              <w:pStyle w:val="TableContents"/>
              <w:spacing w:before="0" w:after="283"/>
              <w:rPr/>
            </w:pPr>
            <w:r>
              <w:rPr/>
              <w:t>$</w:t>
            </w:r>
          </w:p>
        </w:tc>
        <w:tc>
          <w:tcPr>
            <w:tcW w:w="859" w:type="dxa"/>
            <w:tcBorders>
              <w:bottom w:val="double" w:sz="6" w:space="0" w:color="000000"/>
            </w:tcBorders>
            <w:shd w:fill="FFFFFF" w:val="clear"/>
            <w:tcMar>
              <w:bottom w:w="28" w:type="dxa"/>
            </w:tcMar>
            <w:vAlign w:val="center"/>
          </w:tcPr>
          <w:p>
            <w:pPr>
              <w:pStyle w:val="TableContents"/>
              <w:spacing w:before="0" w:after="283"/>
              <w:jc w:val="right"/>
              <w:rPr/>
            </w:pPr>
            <w:r>
              <w:rPr/>
              <w:t>149,677</w:t>
            </w:r>
          </w:p>
        </w:tc>
        <w:tc>
          <w:tcPr>
            <w:tcW w:w="93" w:type="dxa"/>
            <w:tcBorders/>
            <w:shd w:fill="FFFFFF" w:val="clear"/>
            <w:vAlign w:val="center"/>
          </w:tcPr>
          <w:p>
            <w:pPr>
              <w:pStyle w:val="TableContents"/>
              <w:spacing w:before="0" w:after="0"/>
              <w:ind w:left="0" w:right="0" w:hanging="0"/>
              <w:rPr/>
            </w:pPr>
            <w:r>
              <w:rPr/>
              <w:t> </w:t>
            </w:r>
          </w:p>
        </w:tc>
        <w:tc>
          <w:tcPr>
            <w:tcW w:w="93" w:type="dxa"/>
            <w:tcBorders/>
            <w:shd w:fill="FFFFFF" w:val="clear"/>
            <w:vAlign w:val="center"/>
          </w:tcPr>
          <w:p>
            <w:pPr>
              <w:pStyle w:val="TableContents"/>
              <w:spacing w:before="0" w:after="0"/>
              <w:ind w:left="0" w:right="0" w:hanging="0"/>
              <w:rPr/>
            </w:pPr>
            <w:r>
              <w:rPr/>
              <w:t> </w:t>
            </w:r>
          </w:p>
        </w:tc>
        <w:tc>
          <w:tcPr>
            <w:tcW w:w="106" w:type="dxa"/>
            <w:tcBorders>
              <w:bottom w:val="double" w:sz="6" w:space="0" w:color="000000"/>
            </w:tcBorders>
            <w:shd w:fill="FFFFFF" w:val="clear"/>
            <w:tcMar>
              <w:bottom w:w="28" w:type="dxa"/>
            </w:tcMar>
            <w:vAlign w:val="center"/>
          </w:tcPr>
          <w:p>
            <w:pPr>
              <w:pStyle w:val="TableContents"/>
              <w:spacing w:before="0" w:after="0"/>
              <w:ind w:left="0" w:right="0" w:hanging="0"/>
              <w:rPr/>
            </w:pPr>
            <w:r>
              <w:rPr/>
              <w:t> </w:t>
            </w:r>
          </w:p>
        </w:tc>
        <w:tc>
          <w:tcPr>
            <w:tcW w:w="708" w:type="dxa"/>
            <w:tcBorders>
              <w:bottom w:val="double" w:sz="6" w:space="0" w:color="000000"/>
            </w:tcBorders>
            <w:shd w:fill="FFFFFF" w:val="clear"/>
            <w:tcMar>
              <w:bottom w:w="28" w:type="dxa"/>
            </w:tcMar>
            <w:vAlign w:val="center"/>
          </w:tcPr>
          <w:p>
            <w:pPr>
              <w:pStyle w:val="TableContents"/>
              <w:spacing w:before="0" w:after="283"/>
              <w:jc w:val="right"/>
              <w:rPr/>
            </w:pPr>
            <w:r>
              <w:rPr/>
              <w:t>100.0</w:t>
            </w:r>
          </w:p>
        </w:tc>
        <w:tc>
          <w:tcPr>
            <w:tcW w:w="290" w:type="dxa"/>
            <w:tcBorders/>
            <w:shd w:fill="FFFFFF" w:val="clear"/>
            <w:vAlign w:val="center"/>
          </w:tcPr>
          <w:p>
            <w:pPr>
              <w:pStyle w:val="TableContents"/>
              <w:spacing w:before="0" w:after="283"/>
              <w:rPr/>
            </w:pPr>
            <w:r>
              <w:rPr/>
              <w:t>%</w:t>
            </w:r>
          </w:p>
        </w:tc>
      </w:tr>
    </w:tbl>
    <w:p>
      <w:pPr>
        <w:pStyle w:val="TextBody"/>
        <w:spacing w:before="0" w:after="0"/>
        <w:ind w:left="0" w:right="0" w:hanging="0"/>
        <w:jc w:val="both"/>
        <w:rPr/>
      </w:pPr>
      <w:r>
        <w:rPr/>
        <w:t> </w:t>
      </w:r>
    </w:p>
    <w:tbl>
      <w:tblPr>
        <w:tblW w:w="2560" w:type="dxa"/>
        <w:jc w:val="left"/>
        <w:tblInd w:w="0" w:type="dxa"/>
        <w:tblCellMar>
          <w:top w:w="0" w:type="dxa"/>
          <w:left w:w="0" w:type="dxa"/>
          <w:bottom w:w="0" w:type="dxa"/>
          <w:right w:w="0" w:type="dxa"/>
        </w:tblCellMar>
      </w:tblPr>
      <w:tblGrid>
        <w:gridCol w:w="395"/>
        <w:gridCol w:w="2165"/>
      </w:tblGrid>
      <w:tr>
        <w:trPr/>
        <w:tc>
          <w:tcPr>
            <w:tcW w:w="395" w:type="dxa"/>
            <w:tcBorders/>
            <w:shd w:fill="auto" w:val="clear"/>
            <w:vAlign w:val="center"/>
          </w:tcPr>
          <w:p>
            <w:pPr>
              <w:pStyle w:val="TableContents"/>
              <w:spacing w:before="0" w:after="0"/>
              <w:ind w:left="0" w:right="0" w:hanging="0"/>
              <w:rPr/>
            </w:pPr>
            <w:r>
              <w:rPr/>
              <w:t xml:space="preserve">(1) </w:t>
            </w:r>
          </w:p>
        </w:tc>
        <w:tc>
          <w:tcPr>
            <w:tcW w:w="2165" w:type="dxa"/>
            <w:tcBorders/>
            <w:shd w:fill="auto" w:val="clear"/>
            <w:vAlign w:val="center"/>
          </w:tcPr>
          <w:p>
            <w:pPr>
              <w:pStyle w:val="TableContents"/>
              <w:spacing w:before="0" w:after="283"/>
              <w:rPr/>
            </w:pPr>
            <w:r>
              <w:rPr/>
              <w:t>Outside of New York</w:t>
            </w:r>
          </w:p>
        </w:tc>
      </w:tr>
    </w:tbl>
    <w:p>
      <w:pPr>
        <w:pStyle w:val="TextBody"/>
        <w:spacing w:before="0" w:after="0"/>
        <w:ind w:left="0" w:right="0" w:hanging="0"/>
        <w:jc w:val="both"/>
        <w:rPr/>
      </w:pPr>
      <w:r>
        <w:rPr/>
        <w:t>  </w:t>
      </w:r>
    </w:p>
    <w:p>
      <w:pPr>
        <w:pStyle w:val="TextBody"/>
        <w:spacing w:before="0" w:after="0"/>
        <w:ind w:left="0" w:right="0" w:firstLine="720"/>
        <w:jc w:val="center"/>
        <w:rPr/>
      </w:pPr>
      <w:r>
        <w:rPr>
          <w:rStyle w:val="Emphasis"/>
          <w:rFonts w:ascii="times new roman" w:hAnsi="times new roman"/>
          <w:sz w:val="20"/>
        </w:rPr>
        <w:t>(Percent components may not sum to totals due to rounding)</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For the years ended December 31, 2020 and 2019, Alternative Distribution made up 4.5% and 3.2%, respectively, of direct written premiums for our homeowners and dwelling fire components of personal lines. As discussed above, on July 10, 2020, KICO’s A.M. Best Financial Strength Rating was downgraded from A- (Excellent) to B++ (Good). This action has resulted in and will continue to result in a decrease in the business from Cosi, a multi-state licensed general agent that had partnered with name-brand carriers, some of which require an A.M. Best rating of A- (Excellent) from its partners. </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Critical Accounting Policies and Estimates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consolidated financial statements include the accounts of Kingstone Companies, Inc. and all majority-owned and controlled subsidiaries. The preparation of financial statements in conformity with GAAP requires our management to make estimates and assumptions in certain circumstances that affect amounts reported in our consolidated financial statements and related notes. In preparing these consolidated financial statements, our management has utilized information including our past history, industry standards, and the current economic environment, and other factors, in forming its estimates and judgments of certain amounts included in the consolidated financial statements, giving due consideration to materiality. It is possible that the ultimate outcome as anticipated by our management in formulating its estimates in these financial statements may not materialize. Application of the critical accounting policies involves the exercise of judgment and use of assumptions as to future uncertainties and, as a result, actual results could differ from these estimates. In addition, other companies may utilize different estimates, which may impact comparability of our results of operations to those of similar companies.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believe that the most critical accounting policies relate to the reporting of reserves for loss and LAE, including losses that have occurred but have not been reported prior to the reporting date, amounts recoverable from third party reinsurers, deferred ceding commission revenue, deferred policy acquisition costs, deferred income taxes, the impairment of investment securities, intangible assets and the valuation of stock-based compensation. See Note 2 to the Consolidated Financial Statements following Item 16 of this Annual Report.</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35</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Consolidated Results of Operations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summarizes the changes in the results of our operations for the periods indicated:</w:t>
      </w:r>
    </w:p>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5296"/>
        <w:gridCol w:w="90"/>
        <w:gridCol w:w="170"/>
        <w:gridCol w:w="830"/>
        <w:gridCol w:w="125"/>
        <w:gridCol w:w="90"/>
        <w:gridCol w:w="170"/>
        <w:gridCol w:w="830"/>
        <w:gridCol w:w="125"/>
        <w:gridCol w:w="90"/>
        <w:gridCol w:w="170"/>
        <w:gridCol w:w="785"/>
        <w:gridCol w:w="125"/>
        <w:gridCol w:w="90"/>
        <w:gridCol w:w="91"/>
        <w:gridCol w:w="787"/>
        <w:gridCol w:w="341"/>
      </w:tblGrid>
      <w:tr>
        <w:trPr/>
        <w:tc>
          <w:tcPr>
            <w:tcW w:w="5296"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4478" w:type="dxa"/>
            <w:gridSpan w:val="14"/>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Years ended December 31,</w:t>
            </w:r>
          </w:p>
        </w:tc>
        <w:tc>
          <w:tcPr>
            <w:tcW w:w="341" w:type="dxa"/>
            <w:tcBorders/>
            <w:shd w:fill="auto" w:val="clear"/>
            <w:vAlign w:val="center"/>
          </w:tcPr>
          <w:p>
            <w:pPr>
              <w:pStyle w:val="TableContents"/>
              <w:spacing w:before="0" w:after="0"/>
              <w:ind w:left="0" w:right="0" w:hanging="0"/>
              <w:rPr/>
            </w:pPr>
            <w:r>
              <w:rPr/>
              <w:t> </w:t>
            </w:r>
          </w:p>
        </w:tc>
      </w:tr>
      <w:tr>
        <w:trPr/>
        <w:tc>
          <w:tcPr>
            <w:tcW w:w="5296"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Pr>
              <w:t>($ in thousands)</w:t>
            </w:r>
          </w:p>
        </w:tc>
        <w:tc>
          <w:tcPr>
            <w:tcW w:w="90" w:type="dxa"/>
            <w:tcBorders/>
            <w:shd w:fill="auto" w:val="clear"/>
            <w:vAlign w:val="center"/>
          </w:tcPr>
          <w:p>
            <w:pPr>
              <w:pStyle w:val="TableContents"/>
              <w:spacing w:before="0" w:after="0"/>
              <w:ind w:left="0" w:right="0" w:hanging="0"/>
              <w:rPr/>
            </w:pPr>
            <w:r>
              <w:rPr/>
              <w:t> </w:t>
            </w:r>
          </w:p>
        </w:tc>
        <w:tc>
          <w:tcPr>
            <w:tcW w:w="10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2020</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2019</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5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Change</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7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Percent </w:t>
            </w:r>
          </w:p>
        </w:tc>
        <w:tc>
          <w:tcPr>
            <w:tcW w:w="341" w:type="dxa"/>
            <w:tcBorders/>
            <w:shd w:fill="auto" w:val="clear"/>
            <w:vAlign w:val="center"/>
          </w:tcPr>
          <w:p>
            <w:pPr>
              <w:pStyle w:val="TableContents"/>
              <w:spacing w:before="0" w:after="0"/>
              <w:ind w:left="0" w:right="0" w:hanging="0"/>
              <w:rPr/>
            </w:pPr>
            <w:r>
              <w:rPr/>
              <w:t> </w:t>
            </w:r>
          </w:p>
        </w:tc>
      </w:tr>
      <w:tr>
        <w:trPr/>
        <w:tc>
          <w:tcPr>
            <w:tcW w:w="5296" w:type="dxa"/>
            <w:tcBorders/>
            <w:shd w:fill="auto" w:val="clear"/>
            <w:vAlign w:val="center"/>
          </w:tcPr>
          <w:p>
            <w:pPr>
              <w:pStyle w:val="TableContents"/>
              <w:spacing w:before="0" w:after="0"/>
              <w:ind w:left="0" w:right="0" w:hanging="0"/>
              <w:rPr/>
            </w:pPr>
            <w:r>
              <w:rPr>
                <w:rStyle w:val="StrongEmphasis"/>
              </w:rPr>
              <w:t xml:space="preserve">Revenues </w:t>
            </w:r>
          </w:p>
        </w:tc>
        <w:tc>
          <w:tcPr>
            <w:tcW w:w="90" w:type="dxa"/>
            <w:tcBorders/>
            <w:shd w:fill="auto" w:val="clear"/>
            <w:vAlign w:val="center"/>
          </w:tcPr>
          <w:p>
            <w:pPr>
              <w:pStyle w:val="TableContents"/>
              <w:spacing w:before="0" w:after="0"/>
              <w:ind w:left="0" w:right="0" w:hanging="0"/>
              <w:rPr/>
            </w:pPr>
            <w:r>
              <w:rPr/>
              <w:t> </w:t>
            </w:r>
          </w:p>
        </w:tc>
        <w:tc>
          <w:tcPr>
            <w:tcW w:w="1000"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0"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5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78" w:type="dxa"/>
            <w:gridSpan w:val="2"/>
            <w:tcBorders/>
            <w:shd w:fill="auto" w:val="clear"/>
            <w:vAlign w:val="center"/>
          </w:tcPr>
          <w:p>
            <w:pPr>
              <w:pStyle w:val="TableContents"/>
              <w:spacing w:before="0" w:after="0"/>
              <w:ind w:left="0" w:right="0" w:hanging="0"/>
              <w:rPr/>
            </w:pPr>
            <w:r>
              <w:rPr/>
              <w:t> </w:t>
            </w:r>
          </w:p>
        </w:tc>
        <w:tc>
          <w:tcPr>
            <w:tcW w:w="341" w:type="dxa"/>
            <w:tcBorders/>
            <w:shd w:fill="auto" w:val="clear"/>
            <w:vAlign w:val="center"/>
          </w:tcPr>
          <w:p>
            <w:pPr>
              <w:pStyle w:val="TableContents"/>
              <w:spacing w:before="0" w:after="0"/>
              <w:ind w:left="0" w:right="0" w:hanging="0"/>
              <w:rPr/>
            </w:pPr>
            <w:r>
              <w:rPr/>
              <w:t> </w:t>
            </w:r>
          </w:p>
        </w:tc>
      </w:tr>
      <w:tr>
        <w:trPr/>
        <w:tc>
          <w:tcPr>
            <w:tcW w:w="5296" w:type="dxa"/>
            <w:tcBorders/>
            <w:shd w:fill="CCEEFF" w:val="clear"/>
            <w:vAlign w:val="center"/>
          </w:tcPr>
          <w:p>
            <w:pPr>
              <w:pStyle w:val="TableContents"/>
              <w:spacing w:before="0" w:after="0"/>
              <w:ind w:left="0" w:right="0" w:firstLine="180"/>
              <w:rPr/>
            </w:pPr>
            <w:r>
              <w:rPr/>
              <w:t xml:space="preserve">Direct written premiums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830" w:type="dxa"/>
            <w:tcBorders/>
            <w:shd w:fill="CCEEFF" w:val="clear"/>
            <w:vAlign w:val="center"/>
          </w:tcPr>
          <w:p>
            <w:pPr>
              <w:pStyle w:val="TableContents"/>
              <w:spacing w:before="0" w:after="283"/>
              <w:jc w:val="right"/>
              <w:rPr/>
            </w:pPr>
            <w:r>
              <w:rPr/>
              <w:t>169,318</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830" w:type="dxa"/>
            <w:tcBorders/>
            <w:shd w:fill="CCEEFF" w:val="clear"/>
            <w:vAlign w:val="center"/>
          </w:tcPr>
          <w:p>
            <w:pPr>
              <w:pStyle w:val="TableContents"/>
              <w:spacing w:before="0" w:after="283"/>
              <w:jc w:val="right"/>
              <w:rPr/>
            </w:pPr>
            <w:r>
              <w:rPr/>
              <w:t>171,214</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785" w:type="dxa"/>
            <w:tcBorders/>
            <w:shd w:fill="CCEEFF" w:val="clear"/>
            <w:vAlign w:val="center"/>
          </w:tcPr>
          <w:p>
            <w:pPr>
              <w:pStyle w:val="TableContents"/>
              <w:spacing w:before="0" w:after="283"/>
              <w:jc w:val="right"/>
              <w:rPr/>
            </w:pPr>
            <w:r>
              <w:rPr/>
              <w:t>(1,896</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91" w:type="dxa"/>
            <w:tcBorders/>
            <w:shd w:fill="CCEEFF" w:val="clear"/>
            <w:vAlign w:val="center"/>
          </w:tcPr>
          <w:p>
            <w:pPr>
              <w:pStyle w:val="TableContents"/>
              <w:spacing w:before="0" w:after="0"/>
              <w:ind w:left="0" w:right="0" w:hanging="0"/>
              <w:rPr/>
            </w:pPr>
            <w:r>
              <w:rPr/>
              <w:t> </w:t>
            </w:r>
          </w:p>
        </w:tc>
        <w:tc>
          <w:tcPr>
            <w:tcW w:w="787" w:type="dxa"/>
            <w:tcBorders/>
            <w:shd w:fill="CCEEFF" w:val="clear"/>
            <w:vAlign w:val="center"/>
          </w:tcPr>
          <w:p>
            <w:pPr>
              <w:pStyle w:val="TableContents"/>
              <w:spacing w:before="0" w:after="283"/>
              <w:jc w:val="right"/>
              <w:rPr/>
            </w:pPr>
            <w:r>
              <w:rPr/>
              <w:t>(1.1</w:t>
            </w:r>
          </w:p>
        </w:tc>
        <w:tc>
          <w:tcPr>
            <w:tcW w:w="341" w:type="dxa"/>
            <w:tcBorders/>
            <w:shd w:fill="CCEEFF" w:val="clear"/>
            <w:vAlign w:val="center"/>
          </w:tcPr>
          <w:p>
            <w:pPr>
              <w:pStyle w:val="TableContents"/>
              <w:spacing w:before="0" w:after="283"/>
              <w:rPr/>
            </w:pPr>
            <w:r>
              <w:rPr/>
              <w:t>)%</w:t>
            </w:r>
          </w:p>
        </w:tc>
      </w:tr>
      <w:tr>
        <w:trPr/>
        <w:tc>
          <w:tcPr>
            <w:tcW w:w="5296" w:type="dxa"/>
            <w:tcBorders/>
            <w:shd w:fill="FFFFFF" w:val="clear"/>
            <w:vAlign w:val="center"/>
          </w:tcPr>
          <w:p>
            <w:pPr>
              <w:pStyle w:val="TableContents"/>
              <w:spacing w:before="0" w:after="0"/>
              <w:ind w:left="0" w:right="0" w:firstLine="180"/>
              <w:rPr/>
            </w:pPr>
            <w:r>
              <w:rPr/>
              <w:t xml:space="preserve">Assumed written premiums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1</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785" w:type="dxa"/>
            <w:tcBorders>
              <w:bottom w:val="single" w:sz="2" w:space="0" w:color="000000"/>
            </w:tcBorders>
            <w:shd w:fill="FFFFFF" w:val="clear"/>
            <w:tcMar>
              <w:bottom w:w="28" w:type="dxa"/>
            </w:tcMar>
            <w:vAlign w:val="center"/>
          </w:tcPr>
          <w:p>
            <w:pPr>
              <w:pStyle w:val="TableContents"/>
              <w:spacing w:before="0" w:after="283"/>
              <w:jc w:val="right"/>
              <w:rPr/>
            </w:pPr>
            <w:r>
              <w:rPr/>
              <w:t>(1</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91" w:type="dxa"/>
            <w:tcBorders/>
            <w:shd w:fill="FFFFFF" w:val="clear"/>
            <w:vAlign w:val="center"/>
          </w:tcPr>
          <w:p>
            <w:pPr>
              <w:pStyle w:val="TableContents"/>
              <w:spacing w:before="0" w:after="283"/>
              <w:rPr>
                <w:sz w:val="4"/>
                <w:szCs w:val="4"/>
              </w:rPr>
            </w:pPr>
            <w:r>
              <w:rPr>
                <w:sz w:val="4"/>
                <w:szCs w:val="4"/>
              </w:rPr>
            </w:r>
          </w:p>
        </w:tc>
        <w:tc>
          <w:tcPr>
            <w:tcW w:w="787" w:type="dxa"/>
            <w:tcBorders/>
            <w:shd w:fill="FFFFFF" w:val="clear"/>
            <w:vAlign w:val="center"/>
          </w:tcPr>
          <w:p>
            <w:pPr>
              <w:pStyle w:val="TableContents"/>
              <w:spacing w:before="0" w:after="0"/>
              <w:ind w:left="0" w:right="0" w:hanging="0"/>
              <w:jc w:val="right"/>
              <w:rPr/>
            </w:pPr>
            <w:r>
              <w:rPr/>
              <w:t>na</w:t>
            </w:r>
          </w:p>
        </w:tc>
        <w:tc>
          <w:tcPr>
            <w:tcW w:w="341" w:type="dxa"/>
            <w:tcBorders/>
            <w:shd w:fill="FFFFFF" w:val="clear"/>
            <w:vAlign w:val="center"/>
          </w:tcPr>
          <w:p>
            <w:pPr>
              <w:pStyle w:val="TableContents"/>
              <w:spacing w:before="0" w:after="0"/>
              <w:ind w:left="0" w:right="0" w:hanging="0"/>
              <w:rPr/>
            </w:pPr>
            <w:r>
              <w:rPr/>
              <w:t>%</w:t>
            </w:r>
          </w:p>
        </w:tc>
      </w:tr>
      <w:tr>
        <w:trPr/>
        <w:tc>
          <w:tcPr>
            <w:tcW w:w="5296"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CCEEFF" w:val="clear"/>
            <w:tcMar>
              <w:bottom w:w="28" w:type="dxa"/>
            </w:tcMar>
            <w:vAlign w:val="center"/>
          </w:tcPr>
          <w:p>
            <w:pPr>
              <w:pStyle w:val="TableContents"/>
              <w:spacing w:before="0" w:after="283"/>
              <w:jc w:val="right"/>
              <w:rPr/>
            </w:pPr>
            <w:r>
              <w:rPr/>
              <w:t>169,318</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CCEEFF" w:val="clear"/>
            <w:tcMar>
              <w:bottom w:w="28" w:type="dxa"/>
            </w:tcMar>
            <w:vAlign w:val="center"/>
          </w:tcPr>
          <w:p>
            <w:pPr>
              <w:pStyle w:val="TableContents"/>
              <w:spacing w:before="0" w:after="283"/>
              <w:jc w:val="right"/>
              <w:rPr/>
            </w:pPr>
            <w:r>
              <w:rPr/>
              <w:t>171,215</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5" w:type="dxa"/>
            <w:tcBorders>
              <w:bottom w:val="single" w:sz="2" w:space="0" w:color="000000"/>
            </w:tcBorders>
            <w:shd w:fill="CCEEFF" w:val="clear"/>
            <w:tcMar>
              <w:bottom w:w="28" w:type="dxa"/>
            </w:tcMar>
            <w:vAlign w:val="center"/>
          </w:tcPr>
          <w:p>
            <w:pPr>
              <w:pStyle w:val="TableContents"/>
              <w:spacing w:before="0" w:after="283"/>
              <w:jc w:val="right"/>
              <w:rPr/>
            </w:pPr>
            <w:r>
              <w:rPr/>
              <w:t>(1,897</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91" w:type="dxa"/>
            <w:tcBorders/>
            <w:shd w:fill="CCEEFF" w:val="clear"/>
            <w:vAlign w:val="center"/>
          </w:tcPr>
          <w:p>
            <w:pPr>
              <w:pStyle w:val="TableContents"/>
              <w:spacing w:before="0" w:after="0"/>
              <w:ind w:left="0" w:right="0" w:hanging="0"/>
              <w:rPr/>
            </w:pPr>
            <w:r>
              <w:rPr/>
              <w:t> </w:t>
            </w:r>
          </w:p>
        </w:tc>
        <w:tc>
          <w:tcPr>
            <w:tcW w:w="787" w:type="dxa"/>
            <w:tcBorders/>
            <w:shd w:fill="CCEEFF" w:val="clear"/>
            <w:vAlign w:val="center"/>
          </w:tcPr>
          <w:p>
            <w:pPr>
              <w:pStyle w:val="TableContents"/>
              <w:spacing w:before="0" w:after="283"/>
              <w:jc w:val="right"/>
              <w:rPr/>
            </w:pPr>
            <w:r>
              <w:rPr/>
              <w:t>(1.1</w:t>
            </w:r>
          </w:p>
        </w:tc>
        <w:tc>
          <w:tcPr>
            <w:tcW w:w="341" w:type="dxa"/>
            <w:tcBorders/>
            <w:shd w:fill="CCEEFF" w:val="clear"/>
            <w:vAlign w:val="center"/>
          </w:tcPr>
          <w:p>
            <w:pPr>
              <w:pStyle w:val="TableContents"/>
              <w:spacing w:before="0" w:after="283"/>
              <w:rPr/>
            </w:pPr>
            <w:r>
              <w:rPr/>
              <w:t>)%</w:t>
            </w:r>
          </w:p>
        </w:tc>
      </w:tr>
      <w:tr>
        <w:trPr/>
        <w:tc>
          <w:tcPr>
            <w:tcW w:w="5296" w:type="dxa"/>
            <w:tcBorders/>
            <w:shd w:fill="FFFFFF" w:val="clear"/>
            <w:vAlign w:val="center"/>
          </w:tcPr>
          <w:p>
            <w:pPr>
              <w:pStyle w:val="TableContents"/>
              <w:spacing w:before="0" w:after="0"/>
              <w:ind w:left="0" w:right="0" w:firstLine="180"/>
              <w:rPr/>
            </w:pPr>
            <w:r>
              <w:rPr/>
              <w:t xml:space="preserve">Ceded written premiums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8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1" w:type="dxa"/>
            <w:tcBorders/>
            <w:shd w:fill="FFFFFF" w:val="clear"/>
            <w:vAlign w:val="center"/>
          </w:tcPr>
          <w:p>
            <w:pPr>
              <w:pStyle w:val="TableContents"/>
              <w:spacing w:before="0" w:after="0"/>
              <w:ind w:left="0" w:right="0" w:hanging="0"/>
              <w:rPr/>
            </w:pPr>
            <w:r>
              <w:rPr/>
              <w:t> </w:t>
            </w:r>
          </w:p>
        </w:tc>
        <w:tc>
          <w:tcPr>
            <w:tcW w:w="787" w:type="dxa"/>
            <w:tcBorders/>
            <w:shd w:fill="FFFFFF" w:val="clear"/>
            <w:vAlign w:val="center"/>
          </w:tcPr>
          <w:p>
            <w:pPr>
              <w:pStyle w:val="TableContents"/>
              <w:spacing w:before="0" w:after="0"/>
              <w:ind w:left="0" w:right="0" w:hanging="0"/>
              <w:rPr/>
            </w:pPr>
            <w:r>
              <w:rPr/>
              <w:t> </w:t>
            </w:r>
          </w:p>
        </w:tc>
        <w:tc>
          <w:tcPr>
            <w:tcW w:w="341" w:type="dxa"/>
            <w:tcBorders/>
            <w:shd w:fill="FFFFFF" w:val="clear"/>
            <w:vAlign w:val="center"/>
          </w:tcPr>
          <w:p>
            <w:pPr>
              <w:pStyle w:val="TableContents"/>
              <w:spacing w:before="0" w:after="0"/>
              <w:ind w:left="0" w:right="0" w:hanging="0"/>
              <w:rPr/>
            </w:pPr>
            <w:r>
              <w:rPr/>
              <w:t> </w:t>
            </w:r>
          </w:p>
        </w:tc>
      </w:tr>
      <w:tr>
        <w:trPr/>
        <w:tc>
          <w:tcPr>
            <w:tcW w:w="5296" w:type="dxa"/>
            <w:tcBorders/>
            <w:shd w:fill="CCEEFF" w:val="clear"/>
            <w:vAlign w:val="center"/>
          </w:tcPr>
          <w:p>
            <w:pPr>
              <w:pStyle w:val="TableContents"/>
              <w:spacing w:before="0" w:after="0"/>
              <w:ind w:left="0" w:right="0" w:firstLine="180"/>
              <w:rPr/>
            </w:pPr>
            <w:r>
              <w:rPr/>
              <w:t xml:space="preserve">Ceded to quota share treaties in force during the period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33,250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7,623</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85" w:type="dxa"/>
            <w:tcBorders/>
            <w:shd w:fill="CCEEFF" w:val="clear"/>
            <w:vAlign w:val="center"/>
          </w:tcPr>
          <w:p>
            <w:pPr>
              <w:pStyle w:val="TableContents"/>
              <w:spacing w:before="0" w:after="283"/>
              <w:jc w:val="right"/>
              <w:rPr/>
            </w:pPr>
            <w:r>
              <w:rPr/>
              <w:t>25,627</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1" w:type="dxa"/>
            <w:tcBorders/>
            <w:shd w:fill="CCEEFF" w:val="clear"/>
            <w:vAlign w:val="center"/>
          </w:tcPr>
          <w:p>
            <w:pPr>
              <w:pStyle w:val="TableContents"/>
              <w:spacing w:before="0" w:after="0"/>
              <w:ind w:left="0" w:right="0" w:hanging="0"/>
              <w:rPr/>
            </w:pPr>
            <w:r>
              <w:rPr/>
              <w:t> </w:t>
            </w:r>
          </w:p>
        </w:tc>
        <w:tc>
          <w:tcPr>
            <w:tcW w:w="787" w:type="dxa"/>
            <w:tcBorders/>
            <w:shd w:fill="CCEEFF" w:val="clear"/>
            <w:vAlign w:val="center"/>
          </w:tcPr>
          <w:p>
            <w:pPr>
              <w:pStyle w:val="TableContents"/>
              <w:spacing w:before="0" w:after="283"/>
              <w:jc w:val="right"/>
              <w:rPr/>
            </w:pPr>
            <w:r>
              <w:rPr/>
              <w:t>336.2</w:t>
            </w:r>
          </w:p>
        </w:tc>
        <w:tc>
          <w:tcPr>
            <w:tcW w:w="341" w:type="dxa"/>
            <w:tcBorders/>
            <w:shd w:fill="CCEEFF" w:val="clear"/>
            <w:vAlign w:val="center"/>
          </w:tcPr>
          <w:p>
            <w:pPr>
              <w:pStyle w:val="TableContents"/>
              <w:spacing w:before="0" w:after="283"/>
              <w:rPr/>
            </w:pPr>
            <w:r>
              <w:rPr/>
              <w:t>%</w:t>
            </w:r>
          </w:p>
        </w:tc>
      </w:tr>
      <w:tr>
        <w:trPr/>
        <w:tc>
          <w:tcPr>
            <w:tcW w:w="5296" w:type="dxa"/>
            <w:tcBorders/>
            <w:shd w:fill="FFFFFF" w:val="clear"/>
            <w:vAlign w:val="center"/>
          </w:tcPr>
          <w:p>
            <w:pPr>
              <w:pStyle w:val="TableContents"/>
              <w:spacing w:before="0" w:after="0"/>
              <w:ind w:left="0" w:right="0" w:firstLine="180"/>
              <w:rPr/>
            </w:pPr>
            <w:r>
              <w:rPr/>
              <w:t xml:space="preserve">Unearned premiums ceded to new quota share treaty (1)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16,320</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85" w:type="dxa"/>
            <w:tcBorders/>
            <w:shd w:fill="FFFFFF" w:val="clear"/>
            <w:vAlign w:val="center"/>
          </w:tcPr>
          <w:p>
            <w:pPr>
              <w:pStyle w:val="TableContents"/>
              <w:spacing w:before="0" w:after="283"/>
              <w:jc w:val="right"/>
              <w:rPr/>
            </w:pPr>
            <w:r>
              <w:rPr/>
              <w:t>(16,320</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91" w:type="dxa"/>
            <w:tcBorders/>
            <w:shd w:fill="FFFFFF" w:val="clear"/>
            <w:vAlign w:val="center"/>
          </w:tcPr>
          <w:p>
            <w:pPr>
              <w:pStyle w:val="TableContents"/>
              <w:spacing w:before="0" w:after="0"/>
              <w:ind w:left="0" w:right="0" w:hanging="0"/>
              <w:rPr/>
            </w:pPr>
            <w:r>
              <w:rPr/>
              <w:t> </w:t>
            </w:r>
          </w:p>
        </w:tc>
        <w:tc>
          <w:tcPr>
            <w:tcW w:w="787" w:type="dxa"/>
            <w:tcBorders/>
            <w:shd w:fill="FFFFFF" w:val="clear"/>
            <w:vAlign w:val="center"/>
          </w:tcPr>
          <w:p>
            <w:pPr>
              <w:pStyle w:val="TableContents"/>
              <w:spacing w:before="0" w:after="283"/>
              <w:jc w:val="right"/>
              <w:rPr/>
            </w:pPr>
            <w:r>
              <w:rPr/>
              <w:t>(100.0</w:t>
            </w:r>
          </w:p>
        </w:tc>
        <w:tc>
          <w:tcPr>
            <w:tcW w:w="341" w:type="dxa"/>
            <w:tcBorders/>
            <w:shd w:fill="FFFFFF" w:val="clear"/>
            <w:vAlign w:val="center"/>
          </w:tcPr>
          <w:p>
            <w:pPr>
              <w:pStyle w:val="TableContents"/>
              <w:spacing w:before="0" w:after="283"/>
              <w:rPr/>
            </w:pPr>
            <w:r>
              <w:rPr/>
              <w:t>)%</w:t>
            </w:r>
          </w:p>
        </w:tc>
      </w:tr>
      <w:tr>
        <w:trPr/>
        <w:tc>
          <w:tcPr>
            <w:tcW w:w="5296" w:type="dxa"/>
            <w:tcBorders/>
            <w:shd w:fill="CCEEFF" w:val="clear"/>
            <w:vAlign w:val="center"/>
          </w:tcPr>
          <w:p>
            <w:pPr>
              <w:pStyle w:val="TableContents"/>
              <w:spacing w:before="0" w:after="0"/>
              <w:ind w:left="0" w:right="0" w:firstLine="180"/>
              <w:rPr/>
            </w:pPr>
            <w:r>
              <w:rPr/>
              <w:t xml:space="preserve">Return of premiums previously ceded to prior quota share treaties (1)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CCEEFF" w:val="clear"/>
            <w:tcMar>
              <w:bottom w:w="28" w:type="dxa"/>
            </w:tcMar>
            <w:vAlign w:val="center"/>
          </w:tcPr>
          <w:p>
            <w:pPr>
              <w:pStyle w:val="TableContents"/>
              <w:spacing w:before="0" w:after="283"/>
              <w:jc w:val="right"/>
              <w:rPr/>
            </w:pPr>
            <w:r>
              <w:rPr/>
              <w:t>(17,440</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5" w:type="dxa"/>
            <w:tcBorders>
              <w:bottom w:val="single" w:sz="2" w:space="0" w:color="000000"/>
            </w:tcBorders>
            <w:shd w:fill="CCEEFF" w:val="clear"/>
            <w:tcMar>
              <w:bottom w:w="28" w:type="dxa"/>
            </w:tcMar>
            <w:vAlign w:val="center"/>
          </w:tcPr>
          <w:p>
            <w:pPr>
              <w:pStyle w:val="TableContents"/>
              <w:spacing w:before="0" w:after="283"/>
              <w:jc w:val="right"/>
              <w:rPr/>
            </w:pPr>
            <w:r>
              <w:rPr/>
              <w:t>(17,440</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91" w:type="dxa"/>
            <w:tcBorders/>
            <w:shd w:fill="CCEEFF" w:val="clear"/>
            <w:vAlign w:val="center"/>
          </w:tcPr>
          <w:p>
            <w:pPr>
              <w:pStyle w:val="TableContents"/>
              <w:spacing w:before="0" w:after="283"/>
              <w:rPr>
                <w:sz w:val="4"/>
                <w:szCs w:val="4"/>
              </w:rPr>
            </w:pPr>
            <w:r>
              <w:rPr>
                <w:sz w:val="4"/>
                <w:szCs w:val="4"/>
              </w:rPr>
            </w:r>
          </w:p>
        </w:tc>
        <w:tc>
          <w:tcPr>
            <w:tcW w:w="787" w:type="dxa"/>
            <w:tcBorders/>
            <w:shd w:fill="CCEEFF" w:val="clear"/>
            <w:vAlign w:val="center"/>
          </w:tcPr>
          <w:p>
            <w:pPr>
              <w:pStyle w:val="TableContents"/>
              <w:spacing w:before="0" w:after="0"/>
              <w:ind w:left="0" w:right="0" w:hanging="0"/>
              <w:jc w:val="right"/>
              <w:rPr/>
            </w:pPr>
            <w:r>
              <w:rPr/>
              <w:t>na</w:t>
            </w:r>
          </w:p>
        </w:tc>
        <w:tc>
          <w:tcPr>
            <w:tcW w:w="341" w:type="dxa"/>
            <w:tcBorders/>
            <w:shd w:fill="CCEEFF" w:val="clear"/>
            <w:vAlign w:val="center"/>
          </w:tcPr>
          <w:p>
            <w:pPr>
              <w:pStyle w:val="TableContents"/>
              <w:spacing w:before="0" w:after="0"/>
              <w:ind w:left="0" w:right="0" w:hanging="0"/>
              <w:rPr/>
            </w:pPr>
            <w:r>
              <w:rPr/>
              <w:t>%</w:t>
            </w:r>
          </w:p>
        </w:tc>
      </w:tr>
      <w:tr>
        <w:trPr/>
        <w:tc>
          <w:tcPr>
            <w:tcW w:w="5296" w:type="dxa"/>
            <w:tcBorders/>
            <w:shd w:fill="FFFFFF" w:val="clear"/>
            <w:vAlign w:val="center"/>
          </w:tcPr>
          <w:p>
            <w:pPr>
              <w:pStyle w:val="TableContents"/>
              <w:spacing w:before="0" w:after="0"/>
              <w:ind w:left="0" w:right="0" w:firstLine="540"/>
              <w:rPr/>
            </w:pPr>
            <w:r>
              <w:rPr/>
              <w:t xml:space="preserve">Ceded to quota share treaties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15,810</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23,943</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85" w:type="dxa"/>
            <w:tcBorders/>
            <w:shd w:fill="FFFFFF" w:val="clear"/>
            <w:vAlign w:val="center"/>
          </w:tcPr>
          <w:p>
            <w:pPr>
              <w:pStyle w:val="TableContents"/>
              <w:spacing w:before="0" w:after="283"/>
              <w:jc w:val="right"/>
              <w:rPr/>
            </w:pPr>
            <w:r>
              <w:rPr/>
              <w:t>(8,133</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91" w:type="dxa"/>
            <w:tcBorders/>
            <w:shd w:fill="FFFFFF" w:val="clear"/>
            <w:vAlign w:val="center"/>
          </w:tcPr>
          <w:p>
            <w:pPr>
              <w:pStyle w:val="TableContents"/>
              <w:spacing w:before="0" w:after="0"/>
              <w:ind w:left="0" w:right="0" w:hanging="0"/>
              <w:rPr/>
            </w:pPr>
            <w:r>
              <w:rPr/>
              <w:t> </w:t>
            </w:r>
          </w:p>
        </w:tc>
        <w:tc>
          <w:tcPr>
            <w:tcW w:w="787" w:type="dxa"/>
            <w:tcBorders/>
            <w:shd w:fill="FFFFFF" w:val="clear"/>
            <w:vAlign w:val="center"/>
          </w:tcPr>
          <w:p>
            <w:pPr>
              <w:pStyle w:val="TableContents"/>
              <w:spacing w:before="0" w:after="283"/>
              <w:jc w:val="right"/>
              <w:rPr/>
            </w:pPr>
            <w:r>
              <w:rPr/>
              <w:t>(34.0</w:t>
            </w:r>
          </w:p>
        </w:tc>
        <w:tc>
          <w:tcPr>
            <w:tcW w:w="341" w:type="dxa"/>
            <w:tcBorders/>
            <w:shd w:fill="FFFFFF" w:val="clear"/>
            <w:vAlign w:val="center"/>
          </w:tcPr>
          <w:p>
            <w:pPr>
              <w:pStyle w:val="TableContents"/>
              <w:spacing w:before="0" w:after="283"/>
              <w:rPr/>
            </w:pPr>
            <w:r>
              <w:rPr/>
              <w:t>)%</w:t>
            </w:r>
          </w:p>
        </w:tc>
      </w:tr>
      <w:tr>
        <w:trPr/>
        <w:tc>
          <w:tcPr>
            <w:tcW w:w="5296" w:type="dxa"/>
            <w:tcBorders/>
            <w:shd w:fill="CCEEFF" w:val="clear"/>
            <w:vAlign w:val="center"/>
          </w:tcPr>
          <w:p>
            <w:pPr>
              <w:pStyle w:val="TableContents"/>
              <w:spacing w:before="0" w:after="0"/>
              <w:ind w:left="0" w:right="0" w:firstLine="540"/>
              <w:rPr/>
            </w:pPr>
            <w:r>
              <w:rPr/>
              <w:t xml:space="preserve">Ceded to excess of loss treaties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2,007</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1,879</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85" w:type="dxa"/>
            <w:tcBorders/>
            <w:shd w:fill="CCEEFF" w:val="clear"/>
            <w:vAlign w:val="center"/>
          </w:tcPr>
          <w:p>
            <w:pPr>
              <w:pStyle w:val="TableContents"/>
              <w:spacing w:before="0" w:after="283"/>
              <w:jc w:val="right"/>
              <w:rPr/>
            </w:pPr>
            <w:r>
              <w:rPr/>
              <w:t>128</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1" w:type="dxa"/>
            <w:tcBorders/>
            <w:shd w:fill="CCEEFF" w:val="clear"/>
            <w:vAlign w:val="center"/>
          </w:tcPr>
          <w:p>
            <w:pPr>
              <w:pStyle w:val="TableContents"/>
              <w:spacing w:before="0" w:after="0"/>
              <w:ind w:left="0" w:right="0" w:hanging="0"/>
              <w:rPr/>
            </w:pPr>
            <w:r>
              <w:rPr/>
              <w:t> </w:t>
            </w:r>
          </w:p>
        </w:tc>
        <w:tc>
          <w:tcPr>
            <w:tcW w:w="787" w:type="dxa"/>
            <w:tcBorders/>
            <w:shd w:fill="CCEEFF" w:val="clear"/>
            <w:vAlign w:val="center"/>
          </w:tcPr>
          <w:p>
            <w:pPr>
              <w:pStyle w:val="TableContents"/>
              <w:spacing w:before="0" w:after="283"/>
              <w:jc w:val="right"/>
              <w:rPr/>
            </w:pPr>
            <w:r>
              <w:rPr/>
              <w:t>6.8</w:t>
            </w:r>
          </w:p>
        </w:tc>
        <w:tc>
          <w:tcPr>
            <w:tcW w:w="341" w:type="dxa"/>
            <w:tcBorders/>
            <w:shd w:fill="CCEEFF" w:val="clear"/>
            <w:vAlign w:val="center"/>
          </w:tcPr>
          <w:p>
            <w:pPr>
              <w:pStyle w:val="TableContents"/>
              <w:spacing w:before="0" w:after="283"/>
              <w:rPr/>
            </w:pPr>
            <w:r>
              <w:rPr/>
              <w:t>%</w:t>
            </w:r>
          </w:p>
        </w:tc>
      </w:tr>
      <w:tr>
        <w:trPr/>
        <w:tc>
          <w:tcPr>
            <w:tcW w:w="5296" w:type="dxa"/>
            <w:tcBorders/>
            <w:shd w:fill="FFFFFF" w:val="clear"/>
            <w:vAlign w:val="center"/>
          </w:tcPr>
          <w:p>
            <w:pPr>
              <w:pStyle w:val="TableContents"/>
              <w:spacing w:before="0" w:after="0"/>
              <w:ind w:left="0" w:right="0" w:firstLine="540"/>
              <w:rPr/>
            </w:pPr>
            <w:r>
              <w:rPr/>
              <w:t xml:space="preserve">Ceded to catastrophe treaties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24,438</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19,814</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785" w:type="dxa"/>
            <w:tcBorders>
              <w:bottom w:val="single" w:sz="2" w:space="0" w:color="000000"/>
            </w:tcBorders>
            <w:shd w:fill="FFFFFF" w:val="clear"/>
            <w:tcMar>
              <w:bottom w:w="28" w:type="dxa"/>
            </w:tcMar>
            <w:vAlign w:val="center"/>
          </w:tcPr>
          <w:p>
            <w:pPr>
              <w:pStyle w:val="TableContents"/>
              <w:spacing w:before="0" w:after="283"/>
              <w:jc w:val="right"/>
              <w:rPr/>
            </w:pPr>
            <w:r>
              <w:rPr/>
              <w:t>4,624</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1" w:type="dxa"/>
            <w:tcBorders/>
            <w:shd w:fill="FFFFFF" w:val="clear"/>
            <w:vAlign w:val="center"/>
          </w:tcPr>
          <w:p>
            <w:pPr>
              <w:pStyle w:val="TableContents"/>
              <w:spacing w:before="0" w:after="0"/>
              <w:ind w:left="0" w:right="0" w:hanging="0"/>
              <w:rPr/>
            </w:pPr>
            <w:r>
              <w:rPr/>
              <w:t> </w:t>
            </w:r>
          </w:p>
        </w:tc>
        <w:tc>
          <w:tcPr>
            <w:tcW w:w="787" w:type="dxa"/>
            <w:tcBorders/>
            <w:shd w:fill="FFFFFF" w:val="clear"/>
            <w:vAlign w:val="center"/>
          </w:tcPr>
          <w:p>
            <w:pPr>
              <w:pStyle w:val="TableContents"/>
              <w:spacing w:before="0" w:after="283"/>
              <w:jc w:val="right"/>
              <w:rPr/>
            </w:pPr>
            <w:r>
              <w:rPr/>
              <w:t>23.3</w:t>
            </w:r>
          </w:p>
        </w:tc>
        <w:tc>
          <w:tcPr>
            <w:tcW w:w="341" w:type="dxa"/>
            <w:tcBorders/>
            <w:shd w:fill="FFFFFF" w:val="clear"/>
            <w:vAlign w:val="center"/>
          </w:tcPr>
          <w:p>
            <w:pPr>
              <w:pStyle w:val="TableContents"/>
              <w:spacing w:before="0" w:after="283"/>
              <w:rPr/>
            </w:pPr>
            <w:r>
              <w:rPr/>
              <w:t>%</w:t>
            </w:r>
          </w:p>
        </w:tc>
      </w:tr>
      <w:tr>
        <w:trPr/>
        <w:tc>
          <w:tcPr>
            <w:tcW w:w="5296" w:type="dxa"/>
            <w:tcBorders/>
            <w:shd w:fill="CCEEFF" w:val="clear"/>
            <w:vAlign w:val="center"/>
          </w:tcPr>
          <w:p>
            <w:pPr>
              <w:pStyle w:val="TableContents"/>
              <w:spacing w:before="0" w:after="0"/>
              <w:ind w:left="0" w:right="0" w:firstLine="180"/>
              <w:rPr/>
            </w:pPr>
            <w:r>
              <w:rPr/>
              <w:t xml:space="preserve">Total ceded written premiums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CCEEFF" w:val="clear"/>
            <w:tcMar>
              <w:bottom w:w="28" w:type="dxa"/>
            </w:tcMar>
            <w:vAlign w:val="center"/>
          </w:tcPr>
          <w:p>
            <w:pPr>
              <w:pStyle w:val="TableContents"/>
              <w:spacing w:before="0" w:after="283"/>
              <w:jc w:val="right"/>
              <w:rPr/>
            </w:pPr>
            <w:r>
              <w:rPr/>
              <w:t>42,255</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CCEEFF" w:val="clear"/>
            <w:tcMar>
              <w:bottom w:w="28" w:type="dxa"/>
            </w:tcMar>
            <w:vAlign w:val="center"/>
          </w:tcPr>
          <w:p>
            <w:pPr>
              <w:pStyle w:val="TableContents"/>
              <w:spacing w:before="0" w:after="283"/>
              <w:jc w:val="right"/>
              <w:rPr/>
            </w:pPr>
            <w:r>
              <w:rPr/>
              <w:t>45,636</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5" w:type="dxa"/>
            <w:tcBorders>
              <w:bottom w:val="single" w:sz="2" w:space="0" w:color="000000"/>
            </w:tcBorders>
            <w:shd w:fill="CCEEFF" w:val="clear"/>
            <w:tcMar>
              <w:bottom w:w="28" w:type="dxa"/>
            </w:tcMar>
            <w:vAlign w:val="center"/>
          </w:tcPr>
          <w:p>
            <w:pPr>
              <w:pStyle w:val="TableContents"/>
              <w:spacing w:before="0" w:after="283"/>
              <w:jc w:val="right"/>
              <w:rPr/>
            </w:pPr>
            <w:r>
              <w:rPr/>
              <w:t>(3,381</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91" w:type="dxa"/>
            <w:tcBorders/>
            <w:shd w:fill="CCEEFF" w:val="clear"/>
            <w:vAlign w:val="center"/>
          </w:tcPr>
          <w:p>
            <w:pPr>
              <w:pStyle w:val="TableContents"/>
              <w:spacing w:before="0" w:after="0"/>
              <w:ind w:left="0" w:right="0" w:hanging="0"/>
              <w:rPr/>
            </w:pPr>
            <w:r>
              <w:rPr/>
              <w:t> </w:t>
            </w:r>
          </w:p>
        </w:tc>
        <w:tc>
          <w:tcPr>
            <w:tcW w:w="787" w:type="dxa"/>
            <w:tcBorders/>
            <w:shd w:fill="CCEEFF" w:val="clear"/>
            <w:vAlign w:val="center"/>
          </w:tcPr>
          <w:p>
            <w:pPr>
              <w:pStyle w:val="TableContents"/>
              <w:spacing w:before="0" w:after="283"/>
              <w:jc w:val="right"/>
              <w:rPr/>
            </w:pPr>
            <w:r>
              <w:rPr/>
              <w:t>(7.4</w:t>
            </w:r>
          </w:p>
        </w:tc>
        <w:tc>
          <w:tcPr>
            <w:tcW w:w="341" w:type="dxa"/>
            <w:tcBorders/>
            <w:shd w:fill="CCEEFF" w:val="clear"/>
            <w:vAlign w:val="center"/>
          </w:tcPr>
          <w:p>
            <w:pPr>
              <w:pStyle w:val="TableContents"/>
              <w:spacing w:before="0" w:after="283"/>
              <w:rPr/>
            </w:pPr>
            <w:r>
              <w:rPr/>
              <w:t>)%</w:t>
            </w:r>
          </w:p>
        </w:tc>
      </w:tr>
      <w:tr>
        <w:trPr/>
        <w:tc>
          <w:tcPr>
            <w:tcW w:w="5296"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8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1" w:type="dxa"/>
            <w:tcBorders/>
            <w:shd w:fill="FFFFFF" w:val="clear"/>
            <w:vAlign w:val="center"/>
          </w:tcPr>
          <w:p>
            <w:pPr>
              <w:pStyle w:val="TableContents"/>
              <w:spacing w:before="0" w:after="0"/>
              <w:ind w:left="0" w:right="0" w:hanging="0"/>
              <w:rPr/>
            </w:pPr>
            <w:r>
              <w:rPr/>
              <w:t> </w:t>
            </w:r>
          </w:p>
        </w:tc>
        <w:tc>
          <w:tcPr>
            <w:tcW w:w="787" w:type="dxa"/>
            <w:tcBorders/>
            <w:shd w:fill="FFFFFF" w:val="clear"/>
            <w:vAlign w:val="center"/>
          </w:tcPr>
          <w:p>
            <w:pPr>
              <w:pStyle w:val="TableContents"/>
              <w:spacing w:before="0" w:after="0"/>
              <w:ind w:left="0" w:right="0" w:hanging="0"/>
              <w:rPr/>
            </w:pPr>
            <w:r>
              <w:rPr/>
              <w:t> </w:t>
            </w:r>
          </w:p>
        </w:tc>
        <w:tc>
          <w:tcPr>
            <w:tcW w:w="341" w:type="dxa"/>
            <w:tcBorders/>
            <w:shd w:fill="FFFFFF" w:val="clear"/>
            <w:vAlign w:val="center"/>
          </w:tcPr>
          <w:p>
            <w:pPr>
              <w:pStyle w:val="TableContents"/>
              <w:spacing w:before="0" w:after="0"/>
              <w:ind w:left="0" w:right="0" w:hanging="0"/>
              <w:rPr/>
            </w:pPr>
            <w:r>
              <w:rPr/>
              <w:t> </w:t>
            </w:r>
          </w:p>
        </w:tc>
      </w:tr>
      <w:tr>
        <w:trPr/>
        <w:tc>
          <w:tcPr>
            <w:tcW w:w="5296" w:type="dxa"/>
            <w:tcBorders/>
            <w:shd w:fill="CCEEFF" w:val="clear"/>
            <w:vAlign w:val="center"/>
          </w:tcPr>
          <w:p>
            <w:pPr>
              <w:pStyle w:val="TableContents"/>
              <w:spacing w:before="0" w:after="0"/>
              <w:ind w:left="0" w:right="0" w:firstLine="180"/>
              <w:rPr/>
            </w:pPr>
            <w:r>
              <w:rPr/>
              <w:t xml:space="preserve">Net written premiums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CCEEFF" w:val="clear"/>
            <w:tcMar>
              <w:bottom w:w="28" w:type="dxa"/>
            </w:tcMar>
            <w:vAlign w:val="center"/>
          </w:tcPr>
          <w:p>
            <w:pPr>
              <w:pStyle w:val="TableContents"/>
              <w:spacing w:before="0" w:after="283"/>
              <w:jc w:val="right"/>
              <w:rPr/>
            </w:pPr>
            <w:r>
              <w:rPr/>
              <w:t>127,063</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CCEEFF" w:val="clear"/>
            <w:tcMar>
              <w:bottom w:w="28" w:type="dxa"/>
            </w:tcMar>
            <w:vAlign w:val="center"/>
          </w:tcPr>
          <w:p>
            <w:pPr>
              <w:pStyle w:val="TableContents"/>
              <w:spacing w:before="0" w:after="283"/>
              <w:jc w:val="right"/>
              <w:rPr/>
            </w:pPr>
            <w:r>
              <w:rPr/>
              <w:t>125,579</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5" w:type="dxa"/>
            <w:tcBorders>
              <w:bottom w:val="single" w:sz="2" w:space="0" w:color="000000"/>
            </w:tcBorders>
            <w:shd w:fill="CCEEFF" w:val="clear"/>
            <w:tcMar>
              <w:bottom w:w="28" w:type="dxa"/>
            </w:tcMar>
            <w:vAlign w:val="center"/>
          </w:tcPr>
          <w:p>
            <w:pPr>
              <w:pStyle w:val="TableContents"/>
              <w:spacing w:before="0" w:after="283"/>
              <w:jc w:val="right"/>
              <w:rPr/>
            </w:pPr>
            <w:r>
              <w:rPr/>
              <w:t>1,484</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1" w:type="dxa"/>
            <w:tcBorders/>
            <w:shd w:fill="CCEEFF" w:val="clear"/>
            <w:vAlign w:val="center"/>
          </w:tcPr>
          <w:p>
            <w:pPr>
              <w:pStyle w:val="TableContents"/>
              <w:spacing w:before="0" w:after="0"/>
              <w:ind w:left="0" w:right="0" w:hanging="0"/>
              <w:rPr/>
            </w:pPr>
            <w:r>
              <w:rPr/>
              <w:t> </w:t>
            </w:r>
          </w:p>
        </w:tc>
        <w:tc>
          <w:tcPr>
            <w:tcW w:w="787" w:type="dxa"/>
            <w:tcBorders/>
            <w:shd w:fill="CCEEFF" w:val="clear"/>
            <w:vAlign w:val="center"/>
          </w:tcPr>
          <w:p>
            <w:pPr>
              <w:pStyle w:val="TableContents"/>
              <w:spacing w:before="0" w:after="283"/>
              <w:jc w:val="right"/>
              <w:rPr/>
            </w:pPr>
            <w:r>
              <w:rPr/>
              <w:t>1.2</w:t>
            </w:r>
          </w:p>
        </w:tc>
        <w:tc>
          <w:tcPr>
            <w:tcW w:w="341" w:type="dxa"/>
            <w:tcBorders/>
            <w:shd w:fill="CCEEFF" w:val="clear"/>
            <w:vAlign w:val="center"/>
          </w:tcPr>
          <w:p>
            <w:pPr>
              <w:pStyle w:val="TableContents"/>
              <w:spacing w:before="0" w:after="283"/>
              <w:rPr/>
            </w:pPr>
            <w:r>
              <w:rPr/>
              <w:t>%</w:t>
            </w:r>
          </w:p>
        </w:tc>
      </w:tr>
      <w:tr>
        <w:trPr/>
        <w:tc>
          <w:tcPr>
            <w:tcW w:w="5296"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8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1" w:type="dxa"/>
            <w:tcBorders/>
            <w:shd w:fill="FFFFFF" w:val="clear"/>
            <w:vAlign w:val="center"/>
          </w:tcPr>
          <w:p>
            <w:pPr>
              <w:pStyle w:val="TableContents"/>
              <w:spacing w:before="0" w:after="0"/>
              <w:ind w:left="0" w:right="0" w:hanging="0"/>
              <w:rPr/>
            </w:pPr>
            <w:r>
              <w:rPr/>
              <w:t> </w:t>
            </w:r>
          </w:p>
        </w:tc>
        <w:tc>
          <w:tcPr>
            <w:tcW w:w="787" w:type="dxa"/>
            <w:tcBorders/>
            <w:shd w:fill="FFFFFF" w:val="clear"/>
            <w:vAlign w:val="center"/>
          </w:tcPr>
          <w:p>
            <w:pPr>
              <w:pStyle w:val="TableContents"/>
              <w:spacing w:before="0" w:after="0"/>
              <w:ind w:left="0" w:right="0" w:hanging="0"/>
              <w:rPr/>
            </w:pPr>
            <w:r>
              <w:rPr/>
              <w:t> </w:t>
            </w:r>
          </w:p>
        </w:tc>
        <w:tc>
          <w:tcPr>
            <w:tcW w:w="341" w:type="dxa"/>
            <w:tcBorders/>
            <w:shd w:fill="FFFFFF" w:val="clear"/>
            <w:vAlign w:val="center"/>
          </w:tcPr>
          <w:p>
            <w:pPr>
              <w:pStyle w:val="TableContents"/>
              <w:spacing w:before="0" w:after="0"/>
              <w:ind w:left="0" w:right="0" w:hanging="0"/>
              <w:rPr/>
            </w:pPr>
            <w:r>
              <w:rPr/>
              <w:t> </w:t>
            </w:r>
          </w:p>
        </w:tc>
      </w:tr>
      <w:tr>
        <w:trPr/>
        <w:tc>
          <w:tcPr>
            <w:tcW w:w="5296" w:type="dxa"/>
            <w:tcBorders/>
            <w:shd w:fill="CCEEFF" w:val="clear"/>
            <w:vAlign w:val="center"/>
          </w:tcPr>
          <w:p>
            <w:pPr>
              <w:pStyle w:val="TableContents"/>
              <w:spacing w:before="0" w:after="0"/>
              <w:ind w:left="0" w:right="0" w:firstLine="180"/>
              <w:rPr/>
            </w:pPr>
            <w:r>
              <w:rPr/>
              <w:t xml:space="preserve">Change in unearned premiums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8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1" w:type="dxa"/>
            <w:tcBorders/>
            <w:shd w:fill="CCEEFF" w:val="clear"/>
            <w:vAlign w:val="center"/>
          </w:tcPr>
          <w:p>
            <w:pPr>
              <w:pStyle w:val="TableContents"/>
              <w:spacing w:before="0" w:after="0"/>
              <w:ind w:left="0" w:right="0" w:hanging="0"/>
              <w:rPr/>
            </w:pPr>
            <w:r>
              <w:rPr/>
              <w:t> </w:t>
            </w:r>
          </w:p>
        </w:tc>
        <w:tc>
          <w:tcPr>
            <w:tcW w:w="787" w:type="dxa"/>
            <w:tcBorders/>
            <w:shd w:fill="CCEEFF" w:val="clear"/>
            <w:vAlign w:val="center"/>
          </w:tcPr>
          <w:p>
            <w:pPr>
              <w:pStyle w:val="TableContents"/>
              <w:spacing w:before="0" w:after="0"/>
              <w:ind w:left="0" w:right="0" w:hanging="0"/>
              <w:rPr/>
            </w:pPr>
            <w:r>
              <w:rPr/>
              <w:t> </w:t>
            </w:r>
          </w:p>
        </w:tc>
        <w:tc>
          <w:tcPr>
            <w:tcW w:w="341" w:type="dxa"/>
            <w:tcBorders/>
            <w:shd w:fill="CCEEFF" w:val="clear"/>
            <w:vAlign w:val="center"/>
          </w:tcPr>
          <w:p>
            <w:pPr>
              <w:pStyle w:val="TableContents"/>
              <w:spacing w:before="0" w:after="0"/>
              <w:ind w:left="0" w:right="0" w:hanging="0"/>
              <w:rPr/>
            </w:pPr>
            <w:r>
              <w:rPr/>
              <w:t> </w:t>
            </w:r>
          </w:p>
        </w:tc>
      </w:tr>
      <w:tr>
        <w:trPr/>
        <w:tc>
          <w:tcPr>
            <w:tcW w:w="5296" w:type="dxa"/>
            <w:tcBorders/>
            <w:shd w:fill="FFFFFF" w:val="clear"/>
            <w:vAlign w:val="center"/>
          </w:tcPr>
          <w:p>
            <w:pPr>
              <w:pStyle w:val="TableContents"/>
              <w:spacing w:before="0" w:after="0"/>
              <w:ind w:left="0" w:right="0" w:firstLine="360"/>
              <w:rPr/>
            </w:pPr>
            <w:r>
              <w:rPr/>
              <w:t xml:space="preserve">Direct and assumed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374</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(11,351</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85" w:type="dxa"/>
            <w:tcBorders/>
            <w:shd w:fill="FFFFFF" w:val="clear"/>
            <w:vAlign w:val="center"/>
          </w:tcPr>
          <w:p>
            <w:pPr>
              <w:pStyle w:val="TableContents"/>
              <w:spacing w:before="0" w:after="283"/>
              <w:jc w:val="right"/>
              <w:rPr/>
            </w:pPr>
            <w:r>
              <w:rPr/>
              <w:t>11,725</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1" w:type="dxa"/>
            <w:tcBorders/>
            <w:shd w:fill="FFFFFF" w:val="clear"/>
            <w:vAlign w:val="center"/>
          </w:tcPr>
          <w:p>
            <w:pPr>
              <w:pStyle w:val="TableContents"/>
              <w:spacing w:before="0" w:after="0"/>
              <w:ind w:left="0" w:right="0" w:hanging="0"/>
              <w:rPr/>
            </w:pPr>
            <w:r>
              <w:rPr/>
              <w:t> </w:t>
            </w:r>
          </w:p>
        </w:tc>
        <w:tc>
          <w:tcPr>
            <w:tcW w:w="787" w:type="dxa"/>
            <w:tcBorders/>
            <w:shd w:fill="FFFFFF" w:val="clear"/>
            <w:vAlign w:val="center"/>
          </w:tcPr>
          <w:p>
            <w:pPr>
              <w:pStyle w:val="TableContents"/>
              <w:spacing w:before="0" w:after="283"/>
              <w:jc w:val="right"/>
              <w:rPr/>
            </w:pPr>
            <w:r>
              <w:rPr/>
              <w:t>(103.3</w:t>
            </w:r>
          </w:p>
        </w:tc>
        <w:tc>
          <w:tcPr>
            <w:tcW w:w="341" w:type="dxa"/>
            <w:tcBorders/>
            <w:shd w:fill="FFFFFF" w:val="clear"/>
            <w:vAlign w:val="center"/>
          </w:tcPr>
          <w:p>
            <w:pPr>
              <w:pStyle w:val="TableContents"/>
              <w:spacing w:before="0" w:after="283"/>
              <w:rPr/>
            </w:pPr>
            <w:r>
              <w:rPr/>
              <w:t>)%</w:t>
            </w:r>
          </w:p>
        </w:tc>
      </w:tr>
      <w:tr>
        <w:trPr/>
        <w:tc>
          <w:tcPr>
            <w:tcW w:w="5296" w:type="dxa"/>
            <w:tcBorders/>
            <w:shd w:fill="CCEEFF" w:val="clear"/>
            <w:vAlign w:val="center"/>
          </w:tcPr>
          <w:p>
            <w:pPr>
              <w:pStyle w:val="TableContents"/>
              <w:spacing w:before="0" w:after="0"/>
              <w:ind w:left="0" w:right="0" w:firstLine="360"/>
              <w:rPr/>
            </w:pPr>
            <w:r>
              <w:rPr/>
              <w:t xml:space="preserve">Ceded to quota share treaties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CCEEFF" w:val="clear"/>
            <w:tcMar>
              <w:bottom w:w="28" w:type="dxa"/>
            </w:tcMar>
            <w:vAlign w:val="center"/>
          </w:tcPr>
          <w:p>
            <w:pPr>
              <w:pStyle w:val="TableContents"/>
              <w:spacing w:before="0" w:after="283"/>
              <w:jc w:val="right"/>
              <w:rPr/>
            </w:pPr>
            <w:r>
              <w:rPr/>
              <w:t>(19,356</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CCEEFF" w:val="clear"/>
            <w:tcMar>
              <w:bottom w:w="28" w:type="dxa"/>
            </w:tcMar>
            <w:vAlign w:val="center"/>
          </w:tcPr>
          <w:p>
            <w:pPr>
              <w:pStyle w:val="TableContents"/>
              <w:spacing w:before="0" w:after="283"/>
              <w:jc w:val="right"/>
              <w:rPr/>
            </w:pPr>
            <w:r>
              <w:rPr/>
              <w:t>13,395</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5" w:type="dxa"/>
            <w:tcBorders>
              <w:bottom w:val="single" w:sz="2" w:space="0" w:color="000000"/>
            </w:tcBorders>
            <w:shd w:fill="CCEEFF" w:val="clear"/>
            <w:tcMar>
              <w:bottom w:w="28" w:type="dxa"/>
            </w:tcMar>
            <w:vAlign w:val="center"/>
          </w:tcPr>
          <w:p>
            <w:pPr>
              <w:pStyle w:val="TableContents"/>
              <w:spacing w:before="0" w:after="283"/>
              <w:jc w:val="right"/>
              <w:rPr/>
            </w:pPr>
            <w:r>
              <w:rPr/>
              <w:t>(32,751</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91" w:type="dxa"/>
            <w:tcBorders/>
            <w:shd w:fill="CCEEFF" w:val="clear"/>
            <w:vAlign w:val="center"/>
          </w:tcPr>
          <w:p>
            <w:pPr>
              <w:pStyle w:val="TableContents"/>
              <w:spacing w:before="0" w:after="0"/>
              <w:ind w:left="0" w:right="0" w:hanging="0"/>
              <w:rPr/>
            </w:pPr>
            <w:r>
              <w:rPr/>
              <w:t> </w:t>
            </w:r>
          </w:p>
        </w:tc>
        <w:tc>
          <w:tcPr>
            <w:tcW w:w="787" w:type="dxa"/>
            <w:tcBorders/>
            <w:shd w:fill="CCEEFF" w:val="clear"/>
            <w:vAlign w:val="center"/>
          </w:tcPr>
          <w:p>
            <w:pPr>
              <w:pStyle w:val="TableContents"/>
              <w:spacing w:before="0" w:after="283"/>
              <w:jc w:val="right"/>
              <w:rPr/>
            </w:pPr>
            <w:r>
              <w:rPr/>
              <w:t>244.5</w:t>
            </w:r>
          </w:p>
        </w:tc>
        <w:tc>
          <w:tcPr>
            <w:tcW w:w="341" w:type="dxa"/>
            <w:tcBorders/>
            <w:shd w:fill="CCEEFF" w:val="clear"/>
            <w:vAlign w:val="center"/>
          </w:tcPr>
          <w:p>
            <w:pPr>
              <w:pStyle w:val="TableContents"/>
              <w:spacing w:before="0" w:after="283"/>
              <w:rPr/>
            </w:pPr>
            <w:r>
              <w:rPr/>
              <w:t>%</w:t>
            </w:r>
          </w:p>
        </w:tc>
      </w:tr>
      <w:tr>
        <w:trPr/>
        <w:tc>
          <w:tcPr>
            <w:tcW w:w="5296" w:type="dxa"/>
            <w:tcBorders/>
            <w:shd w:fill="FFFFFF" w:val="clear"/>
            <w:vAlign w:val="center"/>
          </w:tcPr>
          <w:p>
            <w:pPr>
              <w:pStyle w:val="TableContents"/>
              <w:spacing w:before="0" w:after="0"/>
              <w:ind w:left="0" w:right="0" w:firstLine="180"/>
              <w:rPr/>
            </w:pPr>
            <w:r>
              <w:rPr/>
              <w:t xml:space="preserve">Change in net unearned premiums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(18,982</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2,044</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785" w:type="dxa"/>
            <w:tcBorders>
              <w:bottom w:val="single" w:sz="2" w:space="0" w:color="000000"/>
            </w:tcBorders>
            <w:shd w:fill="FFFFFF" w:val="clear"/>
            <w:tcMar>
              <w:bottom w:w="28" w:type="dxa"/>
            </w:tcMar>
            <w:vAlign w:val="center"/>
          </w:tcPr>
          <w:p>
            <w:pPr>
              <w:pStyle w:val="TableContents"/>
              <w:spacing w:before="0" w:after="283"/>
              <w:jc w:val="right"/>
              <w:rPr/>
            </w:pPr>
            <w:r>
              <w:rPr/>
              <w:t>(21,026</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91" w:type="dxa"/>
            <w:tcBorders/>
            <w:shd w:fill="FFFFFF" w:val="clear"/>
            <w:vAlign w:val="center"/>
          </w:tcPr>
          <w:p>
            <w:pPr>
              <w:pStyle w:val="TableContents"/>
              <w:spacing w:before="0" w:after="0"/>
              <w:ind w:left="0" w:right="0" w:hanging="0"/>
              <w:rPr/>
            </w:pPr>
            <w:r>
              <w:rPr/>
              <w:t> </w:t>
            </w:r>
          </w:p>
        </w:tc>
        <w:tc>
          <w:tcPr>
            <w:tcW w:w="787" w:type="dxa"/>
            <w:tcBorders/>
            <w:shd w:fill="FFFFFF" w:val="clear"/>
            <w:vAlign w:val="center"/>
          </w:tcPr>
          <w:p>
            <w:pPr>
              <w:pStyle w:val="TableContents"/>
              <w:spacing w:before="0" w:after="283"/>
              <w:jc w:val="right"/>
              <w:rPr/>
            </w:pPr>
            <w:r>
              <w:rPr/>
              <w:t>1,028.7</w:t>
            </w:r>
          </w:p>
        </w:tc>
        <w:tc>
          <w:tcPr>
            <w:tcW w:w="341" w:type="dxa"/>
            <w:tcBorders/>
            <w:shd w:fill="FFFFFF" w:val="clear"/>
            <w:vAlign w:val="center"/>
          </w:tcPr>
          <w:p>
            <w:pPr>
              <w:pStyle w:val="TableContents"/>
              <w:spacing w:before="0" w:after="283"/>
              <w:rPr/>
            </w:pPr>
            <w:r>
              <w:rPr/>
              <w:t>%</w:t>
            </w:r>
          </w:p>
        </w:tc>
      </w:tr>
      <w:tr>
        <w:trPr/>
        <w:tc>
          <w:tcPr>
            <w:tcW w:w="5296"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8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1" w:type="dxa"/>
            <w:tcBorders/>
            <w:shd w:fill="CCEEFF" w:val="clear"/>
            <w:vAlign w:val="center"/>
          </w:tcPr>
          <w:p>
            <w:pPr>
              <w:pStyle w:val="TableContents"/>
              <w:spacing w:before="0" w:after="0"/>
              <w:ind w:left="0" w:right="0" w:hanging="0"/>
              <w:rPr/>
            </w:pPr>
            <w:r>
              <w:rPr/>
              <w:t> </w:t>
            </w:r>
          </w:p>
        </w:tc>
        <w:tc>
          <w:tcPr>
            <w:tcW w:w="787" w:type="dxa"/>
            <w:tcBorders/>
            <w:shd w:fill="CCEEFF" w:val="clear"/>
            <w:vAlign w:val="center"/>
          </w:tcPr>
          <w:p>
            <w:pPr>
              <w:pStyle w:val="TableContents"/>
              <w:spacing w:before="0" w:after="0"/>
              <w:ind w:left="0" w:right="0" w:hanging="0"/>
              <w:rPr/>
            </w:pPr>
            <w:r>
              <w:rPr/>
              <w:t> </w:t>
            </w:r>
          </w:p>
        </w:tc>
        <w:tc>
          <w:tcPr>
            <w:tcW w:w="341" w:type="dxa"/>
            <w:tcBorders/>
            <w:shd w:fill="CCEEFF" w:val="clear"/>
            <w:vAlign w:val="center"/>
          </w:tcPr>
          <w:p>
            <w:pPr>
              <w:pStyle w:val="TableContents"/>
              <w:spacing w:before="0" w:after="0"/>
              <w:ind w:left="0" w:right="0" w:hanging="0"/>
              <w:rPr/>
            </w:pPr>
            <w:r>
              <w:rPr/>
              <w:t> </w:t>
            </w:r>
          </w:p>
        </w:tc>
      </w:tr>
      <w:tr>
        <w:trPr/>
        <w:tc>
          <w:tcPr>
            <w:tcW w:w="5296" w:type="dxa"/>
            <w:tcBorders/>
            <w:shd w:fill="FFFFFF" w:val="clear"/>
            <w:vAlign w:val="center"/>
          </w:tcPr>
          <w:p>
            <w:pPr>
              <w:pStyle w:val="TableContents"/>
              <w:spacing w:before="0" w:after="0"/>
              <w:ind w:left="0" w:right="0" w:firstLine="180"/>
              <w:rPr/>
            </w:pPr>
            <w:r>
              <w:rPr/>
              <w:t xml:space="preserve">Premiums earned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8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1" w:type="dxa"/>
            <w:tcBorders/>
            <w:shd w:fill="FFFFFF" w:val="clear"/>
            <w:vAlign w:val="center"/>
          </w:tcPr>
          <w:p>
            <w:pPr>
              <w:pStyle w:val="TableContents"/>
              <w:spacing w:before="0" w:after="0"/>
              <w:ind w:left="0" w:right="0" w:hanging="0"/>
              <w:rPr/>
            </w:pPr>
            <w:r>
              <w:rPr/>
              <w:t> </w:t>
            </w:r>
          </w:p>
        </w:tc>
        <w:tc>
          <w:tcPr>
            <w:tcW w:w="787" w:type="dxa"/>
            <w:tcBorders/>
            <w:shd w:fill="FFFFFF" w:val="clear"/>
            <w:vAlign w:val="center"/>
          </w:tcPr>
          <w:p>
            <w:pPr>
              <w:pStyle w:val="TableContents"/>
              <w:spacing w:before="0" w:after="0"/>
              <w:ind w:left="0" w:right="0" w:hanging="0"/>
              <w:rPr/>
            </w:pPr>
            <w:r>
              <w:rPr/>
              <w:t> </w:t>
            </w:r>
          </w:p>
        </w:tc>
        <w:tc>
          <w:tcPr>
            <w:tcW w:w="341" w:type="dxa"/>
            <w:tcBorders/>
            <w:shd w:fill="FFFFFF" w:val="clear"/>
            <w:vAlign w:val="center"/>
          </w:tcPr>
          <w:p>
            <w:pPr>
              <w:pStyle w:val="TableContents"/>
              <w:spacing w:before="0" w:after="0"/>
              <w:ind w:left="0" w:right="0" w:hanging="0"/>
              <w:rPr/>
            </w:pPr>
            <w:r>
              <w:rPr/>
              <w:t> </w:t>
            </w:r>
          </w:p>
        </w:tc>
      </w:tr>
      <w:tr>
        <w:trPr/>
        <w:tc>
          <w:tcPr>
            <w:tcW w:w="5296" w:type="dxa"/>
            <w:tcBorders/>
            <w:shd w:fill="CCEEFF" w:val="clear"/>
            <w:vAlign w:val="center"/>
          </w:tcPr>
          <w:p>
            <w:pPr>
              <w:pStyle w:val="TableContents"/>
              <w:spacing w:before="0" w:after="0"/>
              <w:ind w:left="0" w:right="0" w:firstLine="360"/>
              <w:rPr/>
            </w:pPr>
            <w:r>
              <w:rPr/>
              <w:t xml:space="preserve">Direct and assumed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169,692</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159,864</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85" w:type="dxa"/>
            <w:tcBorders/>
            <w:shd w:fill="CCEEFF" w:val="clear"/>
            <w:vAlign w:val="center"/>
          </w:tcPr>
          <w:p>
            <w:pPr>
              <w:pStyle w:val="TableContents"/>
              <w:spacing w:before="0" w:after="283"/>
              <w:jc w:val="right"/>
              <w:rPr/>
            </w:pPr>
            <w:r>
              <w:rPr/>
              <w:t>9,828</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1" w:type="dxa"/>
            <w:tcBorders/>
            <w:shd w:fill="CCEEFF" w:val="clear"/>
            <w:vAlign w:val="center"/>
          </w:tcPr>
          <w:p>
            <w:pPr>
              <w:pStyle w:val="TableContents"/>
              <w:spacing w:before="0" w:after="0"/>
              <w:ind w:left="0" w:right="0" w:hanging="0"/>
              <w:rPr/>
            </w:pPr>
            <w:r>
              <w:rPr/>
              <w:t> </w:t>
            </w:r>
          </w:p>
        </w:tc>
        <w:tc>
          <w:tcPr>
            <w:tcW w:w="787" w:type="dxa"/>
            <w:tcBorders/>
            <w:shd w:fill="CCEEFF" w:val="clear"/>
            <w:vAlign w:val="center"/>
          </w:tcPr>
          <w:p>
            <w:pPr>
              <w:pStyle w:val="TableContents"/>
              <w:spacing w:before="0" w:after="283"/>
              <w:jc w:val="right"/>
              <w:rPr/>
            </w:pPr>
            <w:r>
              <w:rPr/>
              <w:t>6.1</w:t>
            </w:r>
          </w:p>
        </w:tc>
        <w:tc>
          <w:tcPr>
            <w:tcW w:w="341" w:type="dxa"/>
            <w:tcBorders/>
            <w:shd w:fill="CCEEFF" w:val="clear"/>
            <w:vAlign w:val="center"/>
          </w:tcPr>
          <w:p>
            <w:pPr>
              <w:pStyle w:val="TableContents"/>
              <w:spacing w:before="0" w:after="283"/>
              <w:rPr/>
            </w:pPr>
            <w:r>
              <w:rPr/>
              <w:t>%</w:t>
            </w:r>
          </w:p>
        </w:tc>
      </w:tr>
      <w:tr>
        <w:trPr/>
        <w:tc>
          <w:tcPr>
            <w:tcW w:w="5296" w:type="dxa"/>
            <w:tcBorders/>
            <w:shd w:fill="FFFFFF" w:val="clear"/>
            <w:vAlign w:val="center"/>
          </w:tcPr>
          <w:p>
            <w:pPr>
              <w:pStyle w:val="TableContents"/>
              <w:spacing w:before="0" w:after="0"/>
              <w:ind w:left="0" w:right="0" w:firstLine="360"/>
              <w:rPr/>
            </w:pPr>
            <w:r>
              <w:rPr/>
              <w:t xml:space="preserve">Ceded to reinsurance treaties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(61,611</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(32,240</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785" w:type="dxa"/>
            <w:tcBorders>
              <w:bottom w:val="single" w:sz="2" w:space="0" w:color="000000"/>
            </w:tcBorders>
            <w:shd w:fill="FFFFFF" w:val="clear"/>
            <w:tcMar>
              <w:bottom w:w="28" w:type="dxa"/>
            </w:tcMar>
            <w:vAlign w:val="center"/>
          </w:tcPr>
          <w:p>
            <w:pPr>
              <w:pStyle w:val="TableContents"/>
              <w:spacing w:before="0" w:after="283"/>
              <w:jc w:val="right"/>
              <w:rPr/>
            </w:pPr>
            <w:r>
              <w:rPr/>
              <w:t>(29,371</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91" w:type="dxa"/>
            <w:tcBorders/>
            <w:shd w:fill="FFFFFF" w:val="clear"/>
            <w:vAlign w:val="center"/>
          </w:tcPr>
          <w:p>
            <w:pPr>
              <w:pStyle w:val="TableContents"/>
              <w:spacing w:before="0" w:after="0"/>
              <w:ind w:left="0" w:right="0" w:hanging="0"/>
              <w:rPr/>
            </w:pPr>
            <w:r>
              <w:rPr/>
              <w:t> </w:t>
            </w:r>
          </w:p>
        </w:tc>
        <w:tc>
          <w:tcPr>
            <w:tcW w:w="787" w:type="dxa"/>
            <w:tcBorders/>
            <w:shd w:fill="FFFFFF" w:val="clear"/>
            <w:vAlign w:val="center"/>
          </w:tcPr>
          <w:p>
            <w:pPr>
              <w:pStyle w:val="TableContents"/>
              <w:spacing w:before="0" w:after="283"/>
              <w:jc w:val="right"/>
              <w:rPr/>
            </w:pPr>
            <w:r>
              <w:rPr/>
              <w:t>(91.1</w:t>
            </w:r>
          </w:p>
        </w:tc>
        <w:tc>
          <w:tcPr>
            <w:tcW w:w="341" w:type="dxa"/>
            <w:tcBorders/>
            <w:shd w:fill="FFFFFF" w:val="clear"/>
            <w:vAlign w:val="center"/>
          </w:tcPr>
          <w:p>
            <w:pPr>
              <w:pStyle w:val="TableContents"/>
              <w:spacing w:before="0" w:after="283"/>
              <w:rPr/>
            </w:pPr>
            <w:r>
              <w:rPr/>
              <w:t>)%</w:t>
            </w:r>
          </w:p>
        </w:tc>
      </w:tr>
      <w:tr>
        <w:trPr/>
        <w:tc>
          <w:tcPr>
            <w:tcW w:w="5296" w:type="dxa"/>
            <w:tcBorders/>
            <w:shd w:fill="CCEEFF" w:val="clear"/>
            <w:vAlign w:val="center"/>
          </w:tcPr>
          <w:p>
            <w:pPr>
              <w:pStyle w:val="TableContents"/>
              <w:spacing w:before="0" w:after="0"/>
              <w:ind w:left="0" w:right="0" w:firstLine="180"/>
              <w:rPr/>
            </w:pPr>
            <w:r>
              <w:rPr/>
              <w:t xml:space="preserve">Net premiums earned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108,081</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127,624</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85" w:type="dxa"/>
            <w:tcBorders/>
            <w:shd w:fill="CCEEFF" w:val="clear"/>
            <w:vAlign w:val="center"/>
          </w:tcPr>
          <w:p>
            <w:pPr>
              <w:pStyle w:val="TableContents"/>
              <w:spacing w:before="0" w:after="283"/>
              <w:jc w:val="right"/>
              <w:rPr/>
            </w:pPr>
            <w:r>
              <w:rPr/>
              <w:t>(19,543</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91" w:type="dxa"/>
            <w:tcBorders/>
            <w:shd w:fill="CCEEFF" w:val="clear"/>
            <w:vAlign w:val="center"/>
          </w:tcPr>
          <w:p>
            <w:pPr>
              <w:pStyle w:val="TableContents"/>
              <w:spacing w:before="0" w:after="0"/>
              <w:ind w:left="0" w:right="0" w:hanging="0"/>
              <w:rPr/>
            </w:pPr>
            <w:r>
              <w:rPr/>
              <w:t> </w:t>
            </w:r>
          </w:p>
        </w:tc>
        <w:tc>
          <w:tcPr>
            <w:tcW w:w="787" w:type="dxa"/>
            <w:tcBorders/>
            <w:shd w:fill="CCEEFF" w:val="clear"/>
            <w:vAlign w:val="center"/>
          </w:tcPr>
          <w:p>
            <w:pPr>
              <w:pStyle w:val="TableContents"/>
              <w:spacing w:before="0" w:after="283"/>
              <w:jc w:val="right"/>
              <w:rPr/>
            </w:pPr>
            <w:r>
              <w:rPr/>
              <w:t>(15.3</w:t>
            </w:r>
          </w:p>
        </w:tc>
        <w:tc>
          <w:tcPr>
            <w:tcW w:w="341" w:type="dxa"/>
            <w:tcBorders/>
            <w:shd w:fill="CCEEFF" w:val="clear"/>
            <w:vAlign w:val="center"/>
          </w:tcPr>
          <w:p>
            <w:pPr>
              <w:pStyle w:val="TableContents"/>
              <w:spacing w:before="0" w:after="283"/>
              <w:rPr/>
            </w:pPr>
            <w:r>
              <w:rPr/>
              <w:t>)%</w:t>
            </w:r>
          </w:p>
        </w:tc>
      </w:tr>
      <w:tr>
        <w:trPr/>
        <w:tc>
          <w:tcPr>
            <w:tcW w:w="5296"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8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1" w:type="dxa"/>
            <w:tcBorders/>
            <w:shd w:fill="FFFFFF" w:val="clear"/>
            <w:vAlign w:val="center"/>
          </w:tcPr>
          <w:p>
            <w:pPr>
              <w:pStyle w:val="TableContents"/>
              <w:spacing w:before="0" w:after="0"/>
              <w:ind w:left="0" w:right="0" w:hanging="0"/>
              <w:rPr/>
            </w:pPr>
            <w:r>
              <w:rPr/>
              <w:t> </w:t>
            </w:r>
          </w:p>
        </w:tc>
        <w:tc>
          <w:tcPr>
            <w:tcW w:w="787" w:type="dxa"/>
            <w:tcBorders/>
            <w:shd w:fill="FFFFFF" w:val="clear"/>
            <w:vAlign w:val="center"/>
          </w:tcPr>
          <w:p>
            <w:pPr>
              <w:pStyle w:val="TableContents"/>
              <w:spacing w:before="0" w:after="0"/>
              <w:ind w:left="0" w:right="0" w:hanging="0"/>
              <w:rPr/>
            </w:pPr>
            <w:r>
              <w:rPr/>
              <w:t> </w:t>
            </w:r>
          </w:p>
        </w:tc>
        <w:tc>
          <w:tcPr>
            <w:tcW w:w="341" w:type="dxa"/>
            <w:tcBorders/>
            <w:shd w:fill="FFFFFF" w:val="clear"/>
            <w:vAlign w:val="center"/>
          </w:tcPr>
          <w:p>
            <w:pPr>
              <w:pStyle w:val="TableContents"/>
              <w:spacing w:before="0" w:after="0"/>
              <w:ind w:left="0" w:right="0" w:hanging="0"/>
              <w:rPr/>
            </w:pPr>
            <w:r>
              <w:rPr/>
              <w:t> </w:t>
            </w:r>
          </w:p>
        </w:tc>
      </w:tr>
      <w:tr>
        <w:trPr/>
        <w:tc>
          <w:tcPr>
            <w:tcW w:w="5296" w:type="dxa"/>
            <w:tcBorders/>
            <w:shd w:fill="CCEEFF" w:val="clear"/>
            <w:vAlign w:val="center"/>
          </w:tcPr>
          <w:p>
            <w:pPr>
              <w:pStyle w:val="TableContents"/>
              <w:spacing w:before="0" w:after="0"/>
              <w:ind w:left="0" w:right="0" w:firstLine="180"/>
              <w:rPr/>
            </w:pPr>
            <w:r>
              <w:rPr/>
              <w:t xml:space="preserve">Ceding commission revenue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14,202</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4,651</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85" w:type="dxa"/>
            <w:tcBorders/>
            <w:shd w:fill="CCEEFF" w:val="clear"/>
            <w:vAlign w:val="center"/>
          </w:tcPr>
          <w:p>
            <w:pPr>
              <w:pStyle w:val="TableContents"/>
              <w:spacing w:before="0" w:after="283"/>
              <w:jc w:val="right"/>
              <w:rPr/>
            </w:pPr>
            <w:r>
              <w:rPr/>
              <w:t>9,551</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1" w:type="dxa"/>
            <w:tcBorders/>
            <w:shd w:fill="CCEEFF" w:val="clear"/>
            <w:vAlign w:val="center"/>
          </w:tcPr>
          <w:p>
            <w:pPr>
              <w:pStyle w:val="TableContents"/>
              <w:spacing w:before="0" w:after="0"/>
              <w:ind w:left="0" w:right="0" w:hanging="0"/>
              <w:rPr/>
            </w:pPr>
            <w:r>
              <w:rPr/>
              <w:t> </w:t>
            </w:r>
          </w:p>
        </w:tc>
        <w:tc>
          <w:tcPr>
            <w:tcW w:w="787" w:type="dxa"/>
            <w:tcBorders/>
            <w:shd w:fill="CCEEFF" w:val="clear"/>
            <w:vAlign w:val="center"/>
          </w:tcPr>
          <w:p>
            <w:pPr>
              <w:pStyle w:val="TableContents"/>
              <w:spacing w:before="0" w:after="283"/>
              <w:jc w:val="right"/>
              <w:rPr/>
            </w:pPr>
            <w:r>
              <w:rPr/>
              <w:t>205.4</w:t>
            </w:r>
          </w:p>
        </w:tc>
        <w:tc>
          <w:tcPr>
            <w:tcW w:w="341" w:type="dxa"/>
            <w:tcBorders/>
            <w:shd w:fill="CCEEFF" w:val="clear"/>
            <w:vAlign w:val="center"/>
          </w:tcPr>
          <w:p>
            <w:pPr>
              <w:pStyle w:val="TableContents"/>
              <w:spacing w:before="0" w:after="283"/>
              <w:rPr/>
            </w:pPr>
            <w:r>
              <w:rPr/>
              <w:t>%</w:t>
            </w:r>
          </w:p>
        </w:tc>
      </w:tr>
      <w:tr>
        <w:trPr/>
        <w:tc>
          <w:tcPr>
            <w:tcW w:w="5296" w:type="dxa"/>
            <w:tcBorders/>
            <w:shd w:fill="FFFFFF" w:val="clear"/>
            <w:vAlign w:val="center"/>
          </w:tcPr>
          <w:p>
            <w:pPr>
              <w:pStyle w:val="TableContents"/>
              <w:spacing w:before="0" w:after="0"/>
              <w:ind w:left="0" w:right="0" w:firstLine="180"/>
              <w:rPr/>
            </w:pPr>
            <w:r>
              <w:rPr/>
              <w:t xml:space="preserve">Net investment income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6,506</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6,869</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85" w:type="dxa"/>
            <w:tcBorders/>
            <w:shd w:fill="FFFFFF" w:val="clear"/>
            <w:vAlign w:val="center"/>
          </w:tcPr>
          <w:p>
            <w:pPr>
              <w:pStyle w:val="TableContents"/>
              <w:spacing w:before="0" w:after="283"/>
              <w:jc w:val="right"/>
              <w:rPr/>
            </w:pPr>
            <w:r>
              <w:rPr/>
              <w:t>(363</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91" w:type="dxa"/>
            <w:tcBorders/>
            <w:shd w:fill="FFFFFF" w:val="clear"/>
            <w:vAlign w:val="center"/>
          </w:tcPr>
          <w:p>
            <w:pPr>
              <w:pStyle w:val="TableContents"/>
              <w:spacing w:before="0" w:after="0"/>
              <w:ind w:left="0" w:right="0" w:hanging="0"/>
              <w:rPr/>
            </w:pPr>
            <w:r>
              <w:rPr/>
              <w:t> </w:t>
            </w:r>
          </w:p>
        </w:tc>
        <w:tc>
          <w:tcPr>
            <w:tcW w:w="787" w:type="dxa"/>
            <w:tcBorders/>
            <w:shd w:fill="FFFFFF" w:val="clear"/>
            <w:vAlign w:val="center"/>
          </w:tcPr>
          <w:p>
            <w:pPr>
              <w:pStyle w:val="TableContents"/>
              <w:spacing w:before="0" w:after="283"/>
              <w:jc w:val="right"/>
              <w:rPr/>
            </w:pPr>
            <w:r>
              <w:rPr/>
              <w:t>(5.3</w:t>
            </w:r>
          </w:p>
        </w:tc>
        <w:tc>
          <w:tcPr>
            <w:tcW w:w="341" w:type="dxa"/>
            <w:tcBorders/>
            <w:shd w:fill="FFFFFF" w:val="clear"/>
            <w:vAlign w:val="center"/>
          </w:tcPr>
          <w:p>
            <w:pPr>
              <w:pStyle w:val="TableContents"/>
              <w:spacing w:before="0" w:after="283"/>
              <w:rPr/>
            </w:pPr>
            <w:r>
              <w:rPr/>
              <w:t>)%</w:t>
            </w:r>
          </w:p>
        </w:tc>
      </w:tr>
      <w:tr>
        <w:trPr/>
        <w:tc>
          <w:tcPr>
            <w:tcW w:w="5296" w:type="dxa"/>
            <w:tcBorders/>
            <w:shd w:fill="CCEEFF" w:val="clear"/>
            <w:vAlign w:val="center"/>
          </w:tcPr>
          <w:p>
            <w:pPr>
              <w:pStyle w:val="TableContents"/>
              <w:spacing w:before="0" w:after="0"/>
              <w:ind w:left="0" w:right="0" w:firstLine="180"/>
              <w:rPr/>
            </w:pPr>
            <w:r>
              <w:rPr/>
              <w:t xml:space="preserve">Net gains on investments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1,591</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4,591</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85" w:type="dxa"/>
            <w:tcBorders/>
            <w:shd w:fill="CCEEFF" w:val="clear"/>
            <w:vAlign w:val="center"/>
          </w:tcPr>
          <w:p>
            <w:pPr>
              <w:pStyle w:val="TableContents"/>
              <w:spacing w:before="0" w:after="283"/>
              <w:jc w:val="right"/>
              <w:rPr/>
            </w:pPr>
            <w:r>
              <w:rPr/>
              <w:t>(3,000</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91" w:type="dxa"/>
            <w:tcBorders/>
            <w:shd w:fill="CCEEFF" w:val="clear"/>
            <w:vAlign w:val="center"/>
          </w:tcPr>
          <w:p>
            <w:pPr>
              <w:pStyle w:val="TableContents"/>
              <w:spacing w:before="0" w:after="0"/>
              <w:ind w:left="0" w:right="0" w:hanging="0"/>
              <w:rPr/>
            </w:pPr>
            <w:r>
              <w:rPr/>
              <w:t> </w:t>
            </w:r>
          </w:p>
        </w:tc>
        <w:tc>
          <w:tcPr>
            <w:tcW w:w="787" w:type="dxa"/>
            <w:tcBorders/>
            <w:shd w:fill="CCEEFF" w:val="clear"/>
            <w:vAlign w:val="center"/>
          </w:tcPr>
          <w:p>
            <w:pPr>
              <w:pStyle w:val="TableContents"/>
              <w:spacing w:before="0" w:after="283"/>
              <w:jc w:val="right"/>
              <w:rPr/>
            </w:pPr>
            <w:r>
              <w:rPr/>
              <w:t>(65.3</w:t>
            </w:r>
          </w:p>
        </w:tc>
        <w:tc>
          <w:tcPr>
            <w:tcW w:w="341" w:type="dxa"/>
            <w:tcBorders/>
            <w:shd w:fill="CCEEFF" w:val="clear"/>
            <w:vAlign w:val="center"/>
          </w:tcPr>
          <w:p>
            <w:pPr>
              <w:pStyle w:val="TableContents"/>
              <w:spacing w:before="0" w:after="283"/>
              <w:rPr/>
            </w:pPr>
            <w:r>
              <w:rPr/>
              <w:t>)%</w:t>
            </w:r>
          </w:p>
        </w:tc>
      </w:tr>
      <w:tr>
        <w:trPr/>
        <w:tc>
          <w:tcPr>
            <w:tcW w:w="5296" w:type="dxa"/>
            <w:tcBorders/>
            <w:shd w:fill="FFFFFF" w:val="clear"/>
            <w:vAlign w:val="center"/>
          </w:tcPr>
          <w:p>
            <w:pPr>
              <w:pStyle w:val="TableContents"/>
              <w:spacing w:before="0" w:after="0"/>
              <w:ind w:left="0" w:right="0" w:firstLine="180"/>
              <w:rPr/>
            </w:pPr>
            <w:r>
              <w:rPr/>
              <w:t xml:space="preserve">Other income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990</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1,385</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785" w:type="dxa"/>
            <w:tcBorders>
              <w:bottom w:val="single" w:sz="2" w:space="0" w:color="000000"/>
            </w:tcBorders>
            <w:shd w:fill="FFFFFF" w:val="clear"/>
            <w:tcMar>
              <w:bottom w:w="28" w:type="dxa"/>
            </w:tcMar>
            <w:vAlign w:val="center"/>
          </w:tcPr>
          <w:p>
            <w:pPr>
              <w:pStyle w:val="TableContents"/>
              <w:spacing w:before="0" w:after="283"/>
              <w:jc w:val="right"/>
              <w:rPr/>
            </w:pPr>
            <w:r>
              <w:rPr/>
              <w:t>(395</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91" w:type="dxa"/>
            <w:tcBorders/>
            <w:shd w:fill="FFFFFF" w:val="clear"/>
            <w:vAlign w:val="center"/>
          </w:tcPr>
          <w:p>
            <w:pPr>
              <w:pStyle w:val="TableContents"/>
              <w:spacing w:before="0" w:after="0"/>
              <w:ind w:left="0" w:right="0" w:hanging="0"/>
              <w:rPr/>
            </w:pPr>
            <w:r>
              <w:rPr/>
              <w:t> </w:t>
            </w:r>
          </w:p>
        </w:tc>
        <w:tc>
          <w:tcPr>
            <w:tcW w:w="787" w:type="dxa"/>
            <w:tcBorders/>
            <w:shd w:fill="FFFFFF" w:val="clear"/>
            <w:vAlign w:val="center"/>
          </w:tcPr>
          <w:p>
            <w:pPr>
              <w:pStyle w:val="TableContents"/>
              <w:spacing w:before="0" w:after="283"/>
              <w:jc w:val="right"/>
              <w:rPr/>
            </w:pPr>
            <w:r>
              <w:rPr/>
              <w:t>(28.5</w:t>
            </w:r>
          </w:p>
        </w:tc>
        <w:tc>
          <w:tcPr>
            <w:tcW w:w="341" w:type="dxa"/>
            <w:tcBorders/>
            <w:shd w:fill="FFFFFF" w:val="clear"/>
            <w:vAlign w:val="center"/>
          </w:tcPr>
          <w:p>
            <w:pPr>
              <w:pStyle w:val="TableContents"/>
              <w:spacing w:before="0" w:after="283"/>
              <w:rPr/>
            </w:pPr>
            <w:r>
              <w:rPr/>
              <w:t>)%</w:t>
            </w:r>
          </w:p>
        </w:tc>
      </w:tr>
      <w:tr>
        <w:trPr/>
        <w:tc>
          <w:tcPr>
            <w:tcW w:w="5296" w:type="dxa"/>
            <w:tcBorders/>
            <w:shd w:fill="CCEEFF" w:val="clear"/>
            <w:vAlign w:val="center"/>
          </w:tcPr>
          <w:p>
            <w:pPr>
              <w:pStyle w:val="TableContents"/>
              <w:spacing w:before="0" w:after="0"/>
              <w:ind w:left="0" w:right="0" w:firstLine="360"/>
              <w:rPr/>
            </w:pPr>
            <w:r>
              <w:rPr/>
              <w:t xml:space="preserve">Total revenues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CCEEFF" w:val="clear"/>
            <w:tcMar>
              <w:bottom w:w="28" w:type="dxa"/>
            </w:tcMar>
            <w:vAlign w:val="center"/>
          </w:tcPr>
          <w:p>
            <w:pPr>
              <w:pStyle w:val="TableContents"/>
              <w:spacing w:before="0" w:after="283"/>
              <w:jc w:val="right"/>
              <w:rPr/>
            </w:pPr>
            <w:r>
              <w:rPr/>
              <w:t>131,370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CCEEFF" w:val="clear"/>
            <w:tcMar>
              <w:bottom w:w="28" w:type="dxa"/>
            </w:tcMar>
            <w:vAlign w:val="center"/>
          </w:tcPr>
          <w:p>
            <w:pPr>
              <w:pStyle w:val="TableContents"/>
              <w:spacing w:before="0" w:after="283"/>
              <w:jc w:val="right"/>
              <w:rPr/>
            </w:pPr>
            <w:r>
              <w:rPr/>
              <w:t>145,120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5" w:type="dxa"/>
            <w:tcBorders>
              <w:bottom w:val="single" w:sz="2" w:space="0" w:color="000000"/>
            </w:tcBorders>
            <w:shd w:fill="CCEEFF" w:val="clear"/>
            <w:tcMar>
              <w:bottom w:w="28" w:type="dxa"/>
            </w:tcMar>
            <w:vAlign w:val="center"/>
          </w:tcPr>
          <w:p>
            <w:pPr>
              <w:pStyle w:val="TableContents"/>
              <w:spacing w:before="0" w:after="283"/>
              <w:jc w:val="right"/>
              <w:rPr/>
            </w:pPr>
            <w:r>
              <w:rPr/>
              <w:t>(13,750</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91" w:type="dxa"/>
            <w:tcBorders/>
            <w:shd w:fill="CCEEFF" w:val="clear"/>
            <w:vAlign w:val="center"/>
          </w:tcPr>
          <w:p>
            <w:pPr>
              <w:pStyle w:val="TableContents"/>
              <w:spacing w:before="0" w:after="0"/>
              <w:ind w:left="0" w:right="0" w:hanging="0"/>
              <w:rPr/>
            </w:pPr>
            <w:r>
              <w:rPr/>
              <w:t> </w:t>
            </w:r>
          </w:p>
        </w:tc>
        <w:tc>
          <w:tcPr>
            <w:tcW w:w="787" w:type="dxa"/>
            <w:tcBorders/>
            <w:shd w:fill="CCEEFF" w:val="clear"/>
            <w:vAlign w:val="center"/>
          </w:tcPr>
          <w:p>
            <w:pPr>
              <w:pStyle w:val="TableContents"/>
              <w:spacing w:before="0" w:after="283"/>
              <w:jc w:val="right"/>
              <w:rPr/>
            </w:pPr>
            <w:r>
              <w:rPr/>
              <w:t>(9.5</w:t>
            </w:r>
          </w:p>
        </w:tc>
        <w:tc>
          <w:tcPr>
            <w:tcW w:w="341" w:type="dxa"/>
            <w:tcBorders/>
            <w:shd w:fill="CCEEFF" w:val="clear"/>
            <w:vAlign w:val="center"/>
          </w:tcPr>
          <w:p>
            <w:pPr>
              <w:pStyle w:val="TableContents"/>
              <w:spacing w:before="0" w:after="283"/>
              <w:rPr/>
            </w:pPr>
            <w:r>
              <w:rPr/>
              <w:t>)%</w:t>
            </w:r>
          </w:p>
        </w:tc>
      </w:tr>
      <w:tr>
        <w:trPr/>
        <w:tc>
          <w:tcPr>
            <w:tcW w:w="5296" w:type="dxa"/>
            <w:tcBorders/>
            <w:shd w:fill="FFFFFF" w:val="clear"/>
            <w:vAlign w:val="center"/>
          </w:tcPr>
          <w:p>
            <w:pPr>
              <w:pStyle w:val="TableContents"/>
              <w:spacing w:before="0" w:after="0"/>
              <w:ind w:left="0" w:right="0" w:hanging="0"/>
              <w:rPr/>
            </w:pPr>
            <w:r>
              <w:rPr>
                <w:rStyle w:val="StrongEmphasis"/>
              </w:rPr>
              <w:t> </w:t>
            </w:r>
            <w:r>
              <w:rPr>
                <w:rStyle w:val="StrongEmphasis"/>
              </w:rPr>
              <w:t xml:space="preserve">Expenses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8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1" w:type="dxa"/>
            <w:tcBorders/>
            <w:shd w:fill="FFFFFF" w:val="clear"/>
            <w:vAlign w:val="center"/>
          </w:tcPr>
          <w:p>
            <w:pPr>
              <w:pStyle w:val="TableContents"/>
              <w:spacing w:before="0" w:after="0"/>
              <w:ind w:left="0" w:right="0" w:hanging="0"/>
              <w:rPr/>
            </w:pPr>
            <w:r>
              <w:rPr/>
              <w:t> </w:t>
            </w:r>
          </w:p>
        </w:tc>
        <w:tc>
          <w:tcPr>
            <w:tcW w:w="787" w:type="dxa"/>
            <w:tcBorders/>
            <w:shd w:fill="FFFFFF" w:val="clear"/>
            <w:vAlign w:val="center"/>
          </w:tcPr>
          <w:p>
            <w:pPr>
              <w:pStyle w:val="TableContents"/>
              <w:spacing w:before="0" w:after="0"/>
              <w:ind w:left="0" w:right="0" w:hanging="0"/>
              <w:rPr/>
            </w:pPr>
            <w:r>
              <w:rPr/>
              <w:t> </w:t>
            </w:r>
          </w:p>
        </w:tc>
        <w:tc>
          <w:tcPr>
            <w:tcW w:w="341" w:type="dxa"/>
            <w:tcBorders/>
            <w:shd w:fill="FFFFFF" w:val="clear"/>
            <w:vAlign w:val="center"/>
          </w:tcPr>
          <w:p>
            <w:pPr>
              <w:pStyle w:val="TableContents"/>
              <w:spacing w:before="0" w:after="0"/>
              <w:ind w:left="0" w:right="0" w:hanging="0"/>
              <w:rPr/>
            </w:pPr>
            <w:r>
              <w:rPr/>
              <w:t> </w:t>
            </w:r>
          </w:p>
        </w:tc>
      </w:tr>
      <w:tr>
        <w:trPr/>
        <w:tc>
          <w:tcPr>
            <w:tcW w:w="5296" w:type="dxa"/>
            <w:tcBorders/>
            <w:shd w:fill="CCEEFF" w:val="clear"/>
            <w:vAlign w:val="center"/>
          </w:tcPr>
          <w:p>
            <w:pPr>
              <w:pStyle w:val="TableContents"/>
              <w:spacing w:before="0" w:after="0"/>
              <w:ind w:left="0" w:right="0" w:firstLine="180"/>
              <w:rPr/>
            </w:pPr>
            <w:r>
              <w:rPr/>
              <w:t xml:space="preserve">Loss and loss adjustment expenses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8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1" w:type="dxa"/>
            <w:tcBorders/>
            <w:shd w:fill="CCEEFF" w:val="clear"/>
            <w:vAlign w:val="center"/>
          </w:tcPr>
          <w:p>
            <w:pPr>
              <w:pStyle w:val="TableContents"/>
              <w:spacing w:before="0" w:after="0"/>
              <w:ind w:left="0" w:right="0" w:hanging="0"/>
              <w:rPr/>
            </w:pPr>
            <w:r>
              <w:rPr/>
              <w:t> </w:t>
            </w:r>
          </w:p>
        </w:tc>
        <w:tc>
          <w:tcPr>
            <w:tcW w:w="787" w:type="dxa"/>
            <w:tcBorders/>
            <w:shd w:fill="CCEEFF" w:val="clear"/>
            <w:vAlign w:val="center"/>
          </w:tcPr>
          <w:p>
            <w:pPr>
              <w:pStyle w:val="TableContents"/>
              <w:spacing w:before="0" w:after="0"/>
              <w:ind w:left="0" w:right="0" w:hanging="0"/>
              <w:rPr/>
            </w:pPr>
            <w:r>
              <w:rPr/>
              <w:t> </w:t>
            </w:r>
          </w:p>
        </w:tc>
        <w:tc>
          <w:tcPr>
            <w:tcW w:w="341" w:type="dxa"/>
            <w:tcBorders/>
            <w:shd w:fill="CCEEFF" w:val="clear"/>
            <w:vAlign w:val="center"/>
          </w:tcPr>
          <w:p>
            <w:pPr>
              <w:pStyle w:val="TableContents"/>
              <w:spacing w:before="0" w:after="0"/>
              <w:ind w:left="0" w:right="0" w:hanging="0"/>
              <w:rPr/>
            </w:pPr>
            <w:r>
              <w:rPr/>
              <w:t> </w:t>
            </w:r>
          </w:p>
        </w:tc>
      </w:tr>
      <w:tr>
        <w:trPr/>
        <w:tc>
          <w:tcPr>
            <w:tcW w:w="5296" w:type="dxa"/>
            <w:tcBorders/>
            <w:shd w:fill="FFFFFF" w:val="clear"/>
            <w:vAlign w:val="center"/>
          </w:tcPr>
          <w:p>
            <w:pPr>
              <w:pStyle w:val="TableContents"/>
              <w:spacing w:before="0" w:after="0"/>
              <w:ind w:left="0" w:right="0" w:firstLine="360"/>
              <w:rPr/>
            </w:pPr>
            <w:r>
              <w:rPr/>
              <w:t xml:space="preserve">Direct and assumed: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8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1" w:type="dxa"/>
            <w:tcBorders/>
            <w:shd w:fill="FFFFFF" w:val="clear"/>
            <w:vAlign w:val="center"/>
          </w:tcPr>
          <w:p>
            <w:pPr>
              <w:pStyle w:val="TableContents"/>
              <w:spacing w:before="0" w:after="0"/>
              <w:ind w:left="0" w:right="0" w:hanging="0"/>
              <w:rPr/>
            </w:pPr>
            <w:r>
              <w:rPr/>
              <w:t> </w:t>
            </w:r>
          </w:p>
        </w:tc>
        <w:tc>
          <w:tcPr>
            <w:tcW w:w="787" w:type="dxa"/>
            <w:tcBorders/>
            <w:shd w:fill="FFFFFF" w:val="clear"/>
            <w:vAlign w:val="center"/>
          </w:tcPr>
          <w:p>
            <w:pPr>
              <w:pStyle w:val="TableContents"/>
              <w:spacing w:before="0" w:after="0"/>
              <w:ind w:left="0" w:right="0" w:hanging="0"/>
              <w:rPr/>
            </w:pPr>
            <w:r>
              <w:rPr/>
              <w:t> </w:t>
            </w:r>
          </w:p>
        </w:tc>
        <w:tc>
          <w:tcPr>
            <w:tcW w:w="341" w:type="dxa"/>
            <w:tcBorders/>
            <w:shd w:fill="FFFFFF" w:val="clear"/>
            <w:vAlign w:val="center"/>
          </w:tcPr>
          <w:p>
            <w:pPr>
              <w:pStyle w:val="TableContents"/>
              <w:spacing w:before="0" w:after="0"/>
              <w:ind w:left="0" w:right="0" w:hanging="0"/>
              <w:rPr/>
            </w:pPr>
            <w:r>
              <w:rPr/>
              <w:t> </w:t>
            </w:r>
          </w:p>
        </w:tc>
      </w:tr>
      <w:tr>
        <w:trPr/>
        <w:tc>
          <w:tcPr>
            <w:tcW w:w="5296" w:type="dxa"/>
            <w:tcBorders/>
            <w:shd w:fill="CCEEFF" w:val="clear"/>
            <w:vAlign w:val="center"/>
          </w:tcPr>
          <w:p>
            <w:pPr>
              <w:pStyle w:val="TableContents"/>
              <w:spacing w:before="0" w:after="0"/>
              <w:ind w:left="0" w:right="0" w:firstLine="360"/>
              <w:rPr/>
            </w:pPr>
            <w:r>
              <w:rPr/>
              <w:t xml:space="preserve">Loss and loss adjustment expenses excluding the effect of catastrophes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72,842</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94,775</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85" w:type="dxa"/>
            <w:tcBorders/>
            <w:shd w:fill="CCEEFF" w:val="clear"/>
            <w:vAlign w:val="center"/>
          </w:tcPr>
          <w:p>
            <w:pPr>
              <w:pStyle w:val="TableContents"/>
              <w:spacing w:before="0" w:after="283"/>
              <w:jc w:val="right"/>
              <w:rPr/>
            </w:pPr>
            <w:r>
              <w:rPr/>
              <w:t>(21,933</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91" w:type="dxa"/>
            <w:tcBorders/>
            <w:shd w:fill="CCEEFF" w:val="clear"/>
            <w:vAlign w:val="center"/>
          </w:tcPr>
          <w:p>
            <w:pPr>
              <w:pStyle w:val="TableContents"/>
              <w:spacing w:before="0" w:after="0"/>
              <w:ind w:left="0" w:right="0" w:hanging="0"/>
              <w:rPr/>
            </w:pPr>
            <w:r>
              <w:rPr/>
              <w:t> </w:t>
            </w:r>
          </w:p>
        </w:tc>
        <w:tc>
          <w:tcPr>
            <w:tcW w:w="787" w:type="dxa"/>
            <w:tcBorders/>
            <w:shd w:fill="CCEEFF" w:val="clear"/>
            <w:vAlign w:val="center"/>
          </w:tcPr>
          <w:p>
            <w:pPr>
              <w:pStyle w:val="TableContents"/>
              <w:spacing w:before="0" w:after="283"/>
              <w:jc w:val="right"/>
              <w:rPr/>
            </w:pPr>
            <w:r>
              <w:rPr/>
              <w:t>(23.1</w:t>
            </w:r>
          </w:p>
        </w:tc>
        <w:tc>
          <w:tcPr>
            <w:tcW w:w="341" w:type="dxa"/>
            <w:tcBorders/>
            <w:shd w:fill="CCEEFF" w:val="clear"/>
            <w:vAlign w:val="center"/>
          </w:tcPr>
          <w:p>
            <w:pPr>
              <w:pStyle w:val="TableContents"/>
              <w:spacing w:before="0" w:after="283"/>
              <w:rPr/>
            </w:pPr>
            <w:r>
              <w:rPr/>
              <w:t>)%</w:t>
            </w:r>
          </w:p>
        </w:tc>
      </w:tr>
      <w:tr>
        <w:trPr/>
        <w:tc>
          <w:tcPr>
            <w:tcW w:w="5296" w:type="dxa"/>
            <w:tcBorders/>
            <w:shd w:fill="FFFFFF" w:val="clear"/>
            <w:vAlign w:val="center"/>
          </w:tcPr>
          <w:p>
            <w:pPr>
              <w:pStyle w:val="TableContents"/>
              <w:spacing w:before="0" w:after="0"/>
              <w:ind w:left="0" w:right="0" w:firstLine="360"/>
              <w:rPr/>
            </w:pPr>
            <w:r>
              <w:rPr/>
              <w:t xml:space="preserve">Losses from catastrophes, tropical storm Isaias (2)(3)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16,857</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85" w:type="dxa"/>
            <w:tcBorders/>
            <w:shd w:fill="FFFFFF" w:val="clear"/>
            <w:vAlign w:val="center"/>
          </w:tcPr>
          <w:p>
            <w:pPr>
              <w:pStyle w:val="TableContents"/>
              <w:spacing w:before="0" w:after="283"/>
              <w:jc w:val="right"/>
              <w:rPr/>
            </w:pPr>
            <w:r>
              <w:rPr/>
              <w:t>16,857</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1" w:type="dxa"/>
            <w:tcBorders/>
            <w:shd w:fill="FFFFFF" w:val="clear"/>
            <w:vAlign w:val="center"/>
          </w:tcPr>
          <w:p>
            <w:pPr>
              <w:pStyle w:val="TableContents"/>
              <w:spacing w:before="0" w:after="283"/>
              <w:rPr>
                <w:sz w:val="4"/>
                <w:szCs w:val="4"/>
              </w:rPr>
            </w:pPr>
            <w:r>
              <w:rPr>
                <w:sz w:val="4"/>
                <w:szCs w:val="4"/>
              </w:rPr>
            </w:r>
          </w:p>
        </w:tc>
        <w:tc>
          <w:tcPr>
            <w:tcW w:w="787" w:type="dxa"/>
            <w:tcBorders/>
            <w:shd w:fill="FFFFFF" w:val="clear"/>
            <w:vAlign w:val="center"/>
          </w:tcPr>
          <w:p>
            <w:pPr>
              <w:pStyle w:val="TableContents"/>
              <w:spacing w:before="0" w:after="0"/>
              <w:ind w:left="0" w:right="0" w:hanging="0"/>
              <w:jc w:val="right"/>
              <w:rPr/>
            </w:pPr>
            <w:r>
              <w:rPr/>
              <w:t>na</w:t>
            </w:r>
          </w:p>
        </w:tc>
        <w:tc>
          <w:tcPr>
            <w:tcW w:w="341" w:type="dxa"/>
            <w:tcBorders/>
            <w:shd w:fill="FFFFFF" w:val="clear"/>
            <w:vAlign w:val="center"/>
          </w:tcPr>
          <w:p>
            <w:pPr>
              <w:pStyle w:val="TableContents"/>
              <w:spacing w:before="0" w:after="0"/>
              <w:ind w:left="0" w:right="0" w:hanging="0"/>
              <w:rPr/>
            </w:pPr>
            <w:r>
              <w:rPr/>
              <w:t>%</w:t>
            </w:r>
          </w:p>
        </w:tc>
      </w:tr>
      <w:tr>
        <w:trPr/>
        <w:tc>
          <w:tcPr>
            <w:tcW w:w="5296" w:type="dxa"/>
            <w:tcBorders/>
            <w:shd w:fill="CCEEFF" w:val="clear"/>
            <w:vAlign w:val="center"/>
          </w:tcPr>
          <w:p>
            <w:pPr>
              <w:pStyle w:val="TableContents"/>
              <w:spacing w:before="0" w:after="0"/>
              <w:ind w:left="0" w:right="0" w:firstLine="360"/>
              <w:rPr/>
            </w:pPr>
            <w:r>
              <w:rPr/>
              <w:t xml:space="preserve">Losses from catastrophes, all others (2)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CCEEFF" w:val="clear"/>
            <w:tcMar>
              <w:bottom w:w="28" w:type="dxa"/>
            </w:tcMar>
            <w:vAlign w:val="center"/>
          </w:tcPr>
          <w:p>
            <w:pPr>
              <w:pStyle w:val="TableContents"/>
              <w:spacing w:before="0" w:after="283"/>
              <w:jc w:val="right"/>
              <w:rPr/>
            </w:pPr>
            <w:r>
              <w:rPr/>
              <w:t>4,683</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CCEEFF" w:val="clear"/>
            <w:tcMar>
              <w:bottom w:w="28" w:type="dxa"/>
            </w:tcMar>
            <w:vAlign w:val="center"/>
          </w:tcPr>
          <w:p>
            <w:pPr>
              <w:pStyle w:val="TableContents"/>
              <w:spacing w:before="0" w:after="283"/>
              <w:jc w:val="right"/>
              <w:rPr/>
            </w:pPr>
            <w:r>
              <w:rPr/>
              <w:t>8,177</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5" w:type="dxa"/>
            <w:tcBorders>
              <w:bottom w:val="single" w:sz="2" w:space="0" w:color="000000"/>
            </w:tcBorders>
            <w:shd w:fill="CCEEFF" w:val="clear"/>
            <w:tcMar>
              <w:bottom w:w="28" w:type="dxa"/>
            </w:tcMar>
            <w:vAlign w:val="center"/>
          </w:tcPr>
          <w:p>
            <w:pPr>
              <w:pStyle w:val="TableContents"/>
              <w:spacing w:before="0" w:after="283"/>
              <w:jc w:val="right"/>
              <w:rPr/>
            </w:pPr>
            <w:r>
              <w:rPr/>
              <w:t>(3,494</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91" w:type="dxa"/>
            <w:tcBorders/>
            <w:shd w:fill="CCEEFF" w:val="clear"/>
            <w:vAlign w:val="center"/>
          </w:tcPr>
          <w:p>
            <w:pPr>
              <w:pStyle w:val="TableContents"/>
              <w:spacing w:before="0" w:after="0"/>
              <w:ind w:left="0" w:right="0" w:hanging="0"/>
              <w:rPr/>
            </w:pPr>
            <w:r>
              <w:rPr/>
              <w:t> </w:t>
            </w:r>
          </w:p>
        </w:tc>
        <w:tc>
          <w:tcPr>
            <w:tcW w:w="787" w:type="dxa"/>
            <w:tcBorders/>
            <w:shd w:fill="CCEEFF" w:val="clear"/>
            <w:vAlign w:val="center"/>
          </w:tcPr>
          <w:p>
            <w:pPr>
              <w:pStyle w:val="TableContents"/>
              <w:spacing w:before="0" w:after="283"/>
              <w:jc w:val="right"/>
              <w:rPr/>
            </w:pPr>
            <w:r>
              <w:rPr/>
              <w:t>(42.7</w:t>
            </w:r>
          </w:p>
        </w:tc>
        <w:tc>
          <w:tcPr>
            <w:tcW w:w="341" w:type="dxa"/>
            <w:tcBorders/>
            <w:shd w:fill="CCEEFF" w:val="clear"/>
            <w:vAlign w:val="center"/>
          </w:tcPr>
          <w:p>
            <w:pPr>
              <w:pStyle w:val="TableContents"/>
              <w:spacing w:before="0" w:after="283"/>
              <w:rPr/>
            </w:pPr>
            <w:r>
              <w:rPr/>
              <w:t>)%</w:t>
            </w:r>
          </w:p>
        </w:tc>
      </w:tr>
      <w:tr>
        <w:trPr/>
        <w:tc>
          <w:tcPr>
            <w:tcW w:w="5296" w:type="dxa"/>
            <w:tcBorders/>
            <w:shd w:fill="FFFFFF" w:val="clear"/>
            <w:vAlign w:val="center"/>
          </w:tcPr>
          <w:p>
            <w:pPr>
              <w:pStyle w:val="TableContents"/>
              <w:spacing w:before="0" w:after="0"/>
              <w:ind w:left="0" w:right="0" w:firstLine="360"/>
              <w:rPr/>
            </w:pPr>
            <w:r>
              <w:rPr/>
              <w:t xml:space="preserve">Total direct and assumed loss and loss adjustment expenses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94,382</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102,952</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785" w:type="dxa"/>
            <w:tcBorders>
              <w:bottom w:val="single" w:sz="2" w:space="0" w:color="000000"/>
            </w:tcBorders>
            <w:shd w:fill="FFFFFF" w:val="clear"/>
            <w:tcMar>
              <w:bottom w:w="28" w:type="dxa"/>
            </w:tcMar>
            <w:vAlign w:val="center"/>
          </w:tcPr>
          <w:p>
            <w:pPr>
              <w:pStyle w:val="TableContents"/>
              <w:spacing w:before="0" w:after="283"/>
              <w:jc w:val="right"/>
              <w:rPr/>
            </w:pPr>
            <w:r>
              <w:rPr/>
              <w:t>(8,570</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91" w:type="dxa"/>
            <w:tcBorders/>
            <w:shd w:fill="FFFFFF" w:val="clear"/>
            <w:vAlign w:val="center"/>
          </w:tcPr>
          <w:p>
            <w:pPr>
              <w:pStyle w:val="TableContents"/>
              <w:spacing w:before="0" w:after="0"/>
              <w:ind w:left="0" w:right="0" w:hanging="0"/>
              <w:rPr/>
            </w:pPr>
            <w:r>
              <w:rPr/>
              <w:t> </w:t>
            </w:r>
          </w:p>
        </w:tc>
        <w:tc>
          <w:tcPr>
            <w:tcW w:w="787" w:type="dxa"/>
            <w:tcBorders/>
            <w:shd w:fill="FFFFFF" w:val="clear"/>
            <w:vAlign w:val="center"/>
          </w:tcPr>
          <w:p>
            <w:pPr>
              <w:pStyle w:val="TableContents"/>
              <w:spacing w:before="0" w:after="283"/>
              <w:jc w:val="right"/>
              <w:rPr/>
            </w:pPr>
            <w:r>
              <w:rPr/>
              <w:t>(8.3</w:t>
            </w:r>
          </w:p>
        </w:tc>
        <w:tc>
          <w:tcPr>
            <w:tcW w:w="341" w:type="dxa"/>
            <w:tcBorders/>
            <w:shd w:fill="FFFFFF" w:val="clear"/>
            <w:vAlign w:val="center"/>
          </w:tcPr>
          <w:p>
            <w:pPr>
              <w:pStyle w:val="TableContents"/>
              <w:spacing w:before="0" w:after="283"/>
              <w:rPr/>
            </w:pPr>
            <w:r>
              <w:rPr/>
              <w:t>)%</w:t>
            </w:r>
          </w:p>
        </w:tc>
      </w:tr>
      <w:tr>
        <w:trPr/>
        <w:tc>
          <w:tcPr>
            <w:tcW w:w="5296"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8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1" w:type="dxa"/>
            <w:tcBorders/>
            <w:shd w:fill="CCEEFF" w:val="clear"/>
            <w:vAlign w:val="center"/>
          </w:tcPr>
          <w:p>
            <w:pPr>
              <w:pStyle w:val="TableContents"/>
              <w:spacing w:before="0" w:after="0"/>
              <w:ind w:left="0" w:right="0" w:hanging="0"/>
              <w:rPr/>
            </w:pPr>
            <w:r>
              <w:rPr/>
              <w:t> </w:t>
            </w:r>
          </w:p>
        </w:tc>
        <w:tc>
          <w:tcPr>
            <w:tcW w:w="787" w:type="dxa"/>
            <w:tcBorders/>
            <w:shd w:fill="CCEEFF" w:val="clear"/>
            <w:vAlign w:val="center"/>
          </w:tcPr>
          <w:p>
            <w:pPr>
              <w:pStyle w:val="TableContents"/>
              <w:spacing w:before="0" w:after="0"/>
              <w:ind w:left="0" w:right="0" w:hanging="0"/>
              <w:rPr/>
            </w:pPr>
            <w:r>
              <w:rPr/>
              <w:t> </w:t>
            </w:r>
          </w:p>
        </w:tc>
        <w:tc>
          <w:tcPr>
            <w:tcW w:w="341" w:type="dxa"/>
            <w:tcBorders/>
            <w:shd w:fill="CCEEFF" w:val="clear"/>
            <w:vAlign w:val="center"/>
          </w:tcPr>
          <w:p>
            <w:pPr>
              <w:pStyle w:val="TableContents"/>
              <w:spacing w:before="0" w:after="0"/>
              <w:ind w:left="0" w:right="0" w:hanging="0"/>
              <w:rPr/>
            </w:pPr>
            <w:r>
              <w:rPr/>
              <w:t> </w:t>
            </w:r>
          </w:p>
        </w:tc>
      </w:tr>
      <w:tr>
        <w:trPr/>
        <w:tc>
          <w:tcPr>
            <w:tcW w:w="5296" w:type="dxa"/>
            <w:tcBorders/>
            <w:shd w:fill="FFFFFF" w:val="clear"/>
            <w:vAlign w:val="center"/>
          </w:tcPr>
          <w:p>
            <w:pPr>
              <w:pStyle w:val="TableContents"/>
              <w:spacing w:before="0" w:after="0"/>
              <w:ind w:left="0" w:right="0" w:firstLine="360"/>
              <w:rPr/>
            </w:pPr>
            <w:r>
              <w:rPr/>
              <w:t xml:space="preserve">Ceded loss and loss adjustment expenses: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8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1" w:type="dxa"/>
            <w:tcBorders/>
            <w:shd w:fill="FFFFFF" w:val="clear"/>
            <w:vAlign w:val="center"/>
          </w:tcPr>
          <w:p>
            <w:pPr>
              <w:pStyle w:val="TableContents"/>
              <w:spacing w:before="0" w:after="0"/>
              <w:ind w:left="0" w:right="0" w:hanging="0"/>
              <w:rPr/>
            </w:pPr>
            <w:r>
              <w:rPr/>
              <w:t> </w:t>
            </w:r>
          </w:p>
        </w:tc>
        <w:tc>
          <w:tcPr>
            <w:tcW w:w="787" w:type="dxa"/>
            <w:tcBorders/>
            <w:shd w:fill="FFFFFF" w:val="clear"/>
            <w:vAlign w:val="center"/>
          </w:tcPr>
          <w:p>
            <w:pPr>
              <w:pStyle w:val="TableContents"/>
              <w:spacing w:before="0" w:after="0"/>
              <w:ind w:left="0" w:right="0" w:hanging="0"/>
              <w:rPr/>
            </w:pPr>
            <w:r>
              <w:rPr/>
              <w:t> </w:t>
            </w:r>
          </w:p>
        </w:tc>
        <w:tc>
          <w:tcPr>
            <w:tcW w:w="341" w:type="dxa"/>
            <w:tcBorders/>
            <w:shd w:fill="FFFFFF" w:val="clear"/>
            <w:vAlign w:val="center"/>
          </w:tcPr>
          <w:p>
            <w:pPr>
              <w:pStyle w:val="TableContents"/>
              <w:spacing w:before="0" w:after="0"/>
              <w:ind w:left="0" w:right="0" w:hanging="0"/>
              <w:rPr/>
            </w:pPr>
            <w:r>
              <w:rPr/>
              <w:t> </w:t>
            </w:r>
          </w:p>
        </w:tc>
      </w:tr>
      <w:tr>
        <w:trPr/>
        <w:tc>
          <w:tcPr>
            <w:tcW w:w="5296" w:type="dxa"/>
            <w:tcBorders/>
            <w:shd w:fill="CCEEFF" w:val="clear"/>
            <w:vAlign w:val="center"/>
          </w:tcPr>
          <w:p>
            <w:pPr>
              <w:pStyle w:val="TableContents"/>
              <w:spacing w:before="0" w:after="0"/>
              <w:ind w:left="0" w:right="0" w:firstLine="360"/>
              <w:rPr/>
            </w:pPr>
            <w:r>
              <w:rPr/>
              <w:t xml:space="preserve">Loss and loss adjustment expenses excluding the effect of catastrophes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18,013</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12,287</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85" w:type="dxa"/>
            <w:tcBorders/>
            <w:shd w:fill="CCEEFF" w:val="clear"/>
            <w:vAlign w:val="center"/>
          </w:tcPr>
          <w:p>
            <w:pPr>
              <w:pStyle w:val="TableContents"/>
              <w:spacing w:before="0" w:after="283"/>
              <w:jc w:val="right"/>
              <w:rPr/>
            </w:pPr>
            <w:r>
              <w:rPr/>
              <w:t>5,726</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1" w:type="dxa"/>
            <w:tcBorders/>
            <w:shd w:fill="CCEEFF" w:val="clear"/>
            <w:vAlign w:val="center"/>
          </w:tcPr>
          <w:p>
            <w:pPr>
              <w:pStyle w:val="TableContents"/>
              <w:spacing w:before="0" w:after="0"/>
              <w:ind w:left="0" w:right="0" w:hanging="0"/>
              <w:rPr/>
            </w:pPr>
            <w:r>
              <w:rPr/>
              <w:t> </w:t>
            </w:r>
          </w:p>
        </w:tc>
        <w:tc>
          <w:tcPr>
            <w:tcW w:w="787" w:type="dxa"/>
            <w:tcBorders/>
            <w:shd w:fill="CCEEFF" w:val="clear"/>
            <w:vAlign w:val="center"/>
          </w:tcPr>
          <w:p>
            <w:pPr>
              <w:pStyle w:val="TableContents"/>
              <w:spacing w:before="0" w:after="283"/>
              <w:jc w:val="right"/>
              <w:rPr/>
            </w:pPr>
            <w:r>
              <w:rPr/>
              <w:t>46.6</w:t>
            </w:r>
          </w:p>
        </w:tc>
        <w:tc>
          <w:tcPr>
            <w:tcW w:w="341" w:type="dxa"/>
            <w:tcBorders/>
            <w:shd w:fill="CCEEFF" w:val="clear"/>
            <w:vAlign w:val="center"/>
          </w:tcPr>
          <w:p>
            <w:pPr>
              <w:pStyle w:val="TableContents"/>
              <w:spacing w:before="0" w:after="283"/>
              <w:rPr/>
            </w:pPr>
            <w:r>
              <w:rPr/>
              <w:t>%</w:t>
            </w:r>
          </w:p>
        </w:tc>
      </w:tr>
      <w:tr>
        <w:trPr/>
        <w:tc>
          <w:tcPr>
            <w:tcW w:w="5296" w:type="dxa"/>
            <w:tcBorders/>
            <w:shd w:fill="FFFFFF" w:val="clear"/>
            <w:vAlign w:val="center"/>
          </w:tcPr>
          <w:p>
            <w:pPr>
              <w:pStyle w:val="TableContents"/>
              <w:spacing w:before="0" w:after="0"/>
              <w:ind w:left="0" w:right="0" w:firstLine="360"/>
              <w:rPr/>
            </w:pPr>
            <w:r>
              <w:rPr/>
              <w:t xml:space="preserve">Losses from catastrophes, tropical storm Isaias (2)(3)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8,732</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85" w:type="dxa"/>
            <w:tcBorders/>
            <w:shd w:fill="FFFFFF" w:val="clear"/>
            <w:vAlign w:val="center"/>
          </w:tcPr>
          <w:p>
            <w:pPr>
              <w:pStyle w:val="TableContents"/>
              <w:spacing w:before="0" w:after="283"/>
              <w:jc w:val="right"/>
              <w:rPr/>
            </w:pPr>
            <w:r>
              <w:rPr/>
              <w:t>8,732</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1" w:type="dxa"/>
            <w:tcBorders/>
            <w:shd w:fill="FFFFFF" w:val="clear"/>
            <w:vAlign w:val="center"/>
          </w:tcPr>
          <w:p>
            <w:pPr>
              <w:pStyle w:val="TableContents"/>
              <w:spacing w:before="0" w:after="283"/>
              <w:rPr>
                <w:sz w:val="4"/>
                <w:szCs w:val="4"/>
              </w:rPr>
            </w:pPr>
            <w:r>
              <w:rPr>
                <w:sz w:val="4"/>
                <w:szCs w:val="4"/>
              </w:rPr>
            </w:r>
          </w:p>
        </w:tc>
        <w:tc>
          <w:tcPr>
            <w:tcW w:w="787" w:type="dxa"/>
            <w:tcBorders/>
            <w:shd w:fill="FFFFFF" w:val="clear"/>
            <w:vAlign w:val="center"/>
          </w:tcPr>
          <w:p>
            <w:pPr>
              <w:pStyle w:val="TableContents"/>
              <w:spacing w:before="0" w:after="0"/>
              <w:ind w:left="0" w:right="0" w:hanging="0"/>
              <w:jc w:val="right"/>
              <w:rPr/>
            </w:pPr>
            <w:r>
              <w:rPr/>
              <w:t>na</w:t>
            </w:r>
          </w:p>
        </w:tc>
        <w:tc>
          <w:tcPr>
            <w:tcW w:w="341" w:type="dxa"/>
            <w:tcBorders/>
            <w:shd w:fill="FFFFFF" w:val="clear"/>
            <w:vAlign w:val="center"/>
          </w:tcPr>
          <w:p>
            <w:pPr>
              <w:pStyle w:val="TableContents"/>
              <w:spacing w:before="0" w:after="0"/>
              <w:ind w:left="0" w:right="0" w:hanging="0"/>
              <w:rPr/>
            </w:pPr>
            <w:r>
              <w:rPr/>
              <w:t>%</w:t>
            </w:r>
          </w:p>
        </w:tc>
      </w:tr>
      <w:tr>
        <w:trPr/>
        <w:tc>
          <w:tcPr>
            <w:tcW w:w="5296" w:type="dxa"/>
            <w:tcBorders/>
            <w:shd w:fill="CCEEFF" w:val="clear"/>
            <w:vAlign w:val="center"/>
          </w:tcPr>
          <w:p>
            <w:pPr>
              <w:pStyle w:val="TableContents"/>
              <w:spacing w:before="0" w:after="0"/>
              <w:ind w:left="0" w:right="0" w:firstLine="360"/>
              <w:rPr/>
            </w:pPr>
            <w:r>
              <w:rPr/>
              <w:t xml:space="preserve">Losses from catastrophes, all others (2)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CCEEFF" w:val="clear"/>
            <w:tcMar>
              <w:bottom w:w="28" w:type="dxa"/>
            </w:tcMar>
            <w:vAlign w:val="center"/>
          </w:tcPr>
          <w:p>
            <w:pPr>
              <w:pStyle w:val="TableContents"/>
              <w:spacing w:before="0" w:after="283"/>
              <w:jc w:val="right"/>
              <w:rPr/>
            </w:pPr>
            <w:r>
              <w:rPr/>
              <w:t>1,206</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CCEEFF" w:val="clear"/>
            <w:tcMar>
              <w:bottom w:w="28" w:type="dxa"/>
            </w:tcMar>
            <w:vAlign w:val="center"/>
          </w:tcPr>
          <w:p>
            <w:pPr>
              <w:pStyle w:val="TableContents"/>
              <w:spacing w:before="0" w:after="283"/>
              <w:jc w:val="right"/>
              <w:rPr/>
            </w:pPr>
            <w:r>
              <w:rPr/>
              <w:t>482</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5" w:type="dxa"/>
            <w:tcBorders>
              <w:bottom w:val="single" w:sz="2" w:space="0" w:color="000000"/>
            </w:tcBorders>
            <w:shd w:fill="CCEEFF" w:val="clear"/>
            <w:tcMar>
              <w:bottom w:w="28" w:type="dxa"/>
            </w:tcMar>
            <w:vAlign w:val="center"/>
          </w:tcPr>
          <w:p>
            <w:pPr>
              <w:pStyle w:val="TableContents"/>
              <w:spacing w:before="0" w:after="283"/>
              <w:jc w:val="right"/>
              <w:rPr/>
            </w:pPr>
            <w:r>
              <w:rPr/>
              <w:t>724</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1" w:type="dxa"/>
            <w:tcBorders/>
            <w:shd w:fill="CCEEFF" w:val="clear"/>
            <w:vAlign w:val="center"/>
          </w:tcPr>
          <w:p>
            <w:pPr>
              <w:pStyle w:val="TableContents"/>
              <w:spacing w:before="0" w:after="0"/>
              <w:ind w:left="0" w:right="0" w:hanging="0"/>
              <w:rPr/>
            </w:pPr>
            <w:r>
              <w:rPr/>
              <w:t> </w:t>
            </w:r>
          </w:p>
        </w:tc>
        <w:tc>
          <w:tcPr>
            <w:tcW w:w="787" w:type="dxa"/>
            <w:tcBorders/>
            <w:shd w:fill="CCEEFF" w:val="clear"/>
            <w:vAlign w:val="center"/>
          </w:tcPr>
          <w:p>
            <w:pPr>
              <w:pStyle w:val="TableContents"/>
              <w:spacing w:before="0" w:after="283"/>
              <w:jc w:val="right"/>
              <w:rPr/>
            </w:pPr>
            <w:r>
              <w:rPr/>
              <w:t>150.2</w:t>
            </w:r>
          </w:p>
        </w:tc>
        <w:tc>
          <w:tcPr>
            <w:tcW w:w="341" w:type="dxa"/>
            <w:tcBorders/>
            <w:shd w:fill="CCEEFF" w:val="clear"/>
            <w:vAlign w:val="center"/>
          </w:tcPr>
          <w:p>
            <w:pPr>
              <w:pStyle w:val="TableContents"/>
              <w:spacing w:before="0" w:after="0"/>
              <w:ind w:left="0" w:right="0" w:hanging="0"/>
              <w:jc w:val="left"/>
              <w:rPr/>
            </w:pPr>
            <w:r>
              <w:rPr/>
              <w:t>%</w:t>
            </w:r>
          </w:p>
        </w:tc>
      </w:tr>
      <w:tr>
        <w:trPr/>
        <w:tc>
          <w:tcPr>
            <w:tcW w:w="5296" w:type="dxa"/>
            <w:tcBorders/>
            <w:shd w:fill="FFFFFF" w:val="clear"/>
            <w:vAlign w:val="center"/>
          </w:tcPr>
          <w:p>
            <w:pPr>
              <w:pStyle w:val="TableContents"/>
              <w:spacing w:before="0" w:after="0"/>
              <w:ind w:left="0" w:right="0" w:firstLine="360"/>
              <w:rPr/>
            </w:pPr>
            <w:r>
              <w:rPr/>
              <w:t xml:space="preserve">Total ceded loss and loss adjustment expenses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27,951</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12,769</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785" w:type="dxa"/>
            <w:tcBorders>
              <w:bottom w:val="single" w:sz="2" w:space="0" w:color="000000"/>
            </w:tcBorders>
            <w:shd w:fill="FFFFFF" w:val="clear"/>
            <w:tcMar>
              <w:bottom w:w="28" w:type="dxa"/>
            </w:tcMar>
            <w:vAlign w:val="center"/>
          </w:tcPr>
          <w:p>
            <w:pPr>
              <w:pStyle w:val="TableContents"/>
              <w:spacing w:before="0" w:after="283"/>
              <w:jc w:val="right"/>
              <w:rPr/>
            </w:pPr>
            <w:r>
              <w:rPr/>
              <w:t>15,182</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1" w:type="dxa"/>
            <w:tcBorders/>
            <w:shd w:fill="FFFFFF" w:val="clear"/>
            <w:vAlign w:val="center"/>
          </w:tcPr>
          <w:p>
            <w:pPr>
              <w:pStyle w:val="TableContents"/>
              <w:spacing w:before="0" w:after="0"/>
              <w:ind w:left="0" w:right="0" w:hanging="0"/>
              <w:rPr/>
            </w:pPr>
            <w:r>
              <w:rPr/>
              <w:t> </w:t>
            </w:r>
          </w:p>
        </w:tc>
        <w:tc>
          <w:tcPr>
            <w:tcW w:w="787" w:type="dxa"/>
            <w:tcBorders/>
            <w:shd w:fill="FFFFFF" w:val="clear"/>
            <w:vAlign w:val="center"/>
          </w:tcPr>
          <w:p>
            <w:pPr>
              <w:pStyle w:val="TableContents"/>
              <w:spacing w:before="0" w:after="283"/>
              <w:jc w:val="right"/>
              <w:rPr/>
            </w:pPr>
            <w:r>
              <w:rPr/>
              <w:t>118.9</w:t>
            </w:r>
          </w:p>
        </w:tc>
        <w:tc>
          <w:tcPr>
            <w:tcW w:w="341" w:type="dxa"/>
            <w:tcBorders/>
            <w:shd w:fill="FFFFFF" w:val="clear"/>
            <w:vAlign w:val="center"/>
          </w:tcPr>
          <w:p>
            <w:pPr>
              <w:pStyle w:val="TableContents"/>
              <w:spacing w:before="0" w:after="283"/>
              <w:rPr/>
            </w:pPr>
            <w:r>
              <w:rPr/>
              <w:t>%</w:t>
            </w:r>
          </w:p>
        </w:tc>
      </w:tr>
      <w:tr>
        <w:trPr/>
        <w:tc>
          <w:tcPr>
            <w:tcW w:w="5296"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8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1" w:type="dxa"/>
            <w:tcBorders/>
            <w:shd w:fill="CCEEFF" w:val="clear"/>
            <w:vAlign w:val="center"/>
          </w:tcPr>
          <w:p>
            <w:pPr>
              <w:pStyle w:val="TableContents"/>
              <w:spacing w:before="0" w:after="0"/>
              <w:ind w:left="0" w:right="0" w:hanging="0"/>
              <w:rPr/>
            </w:pPr>
            <w:r>
              <w:rPr/>
              <w:t> </w:t>
            </w:r>
          </w:p>
        </w:tc>
        <w:tc>
          <w:tcPr>
            <w:tcW w:w="787" w:type="dxa"/>
            <w:tcBorders/>
            <w:shd w:fill="CCEEFF" w:val="clear"/>
            <w:vAlign w:val="center"/>
          </w:tcPr>
          <w:p>
            <w:pPr>
              <w:pStyle w:val="TableContents"/>
              <w:spacing w:before="0" w:after="0"/>
              <w:ind w:left="0" w:right="0" w:hanging="0"/>
              <w:rPr/>
            </w:pPr>
            <w:r>
              <w:rPr/>
              <w:t> </w:t>
            </w:r>
          </w:p>
        </w:tc>
        <w:tc>
          <w:tcPr>
            <w:tcW w:w="341" w:type="dxa"/>
            <w:tcBorders/>
            <w:shd w:fill="CCEEFF" w:val="clear"/>
            <w:vAlign w:val="center"/>
          </w:tcPr>
          <w:p>
            <w:pPr>
              <w:pStyle w:val="TableContents"/>
              <w:spacing w:before="0" w:after="0"/>
              <w:ind w:left="0" w:right="0" w:hanging="0"/>
              <w:rPr/>
            </w:pPr>
            <w:r>
              <w:rPr/>
              <w:t> </w:t>
            </w:r>
          </w:p>
        </w:tc>
      </w:tr>
      <w:tr>
        <w:trPr/>
        <w:tc>
          <w:tcPr>
            <w:tcW w:w="5296" w:type="dxa"/>
            <w:tcBorders/>
            <w:shd w:fill="FFFFFF" w:val="clear"/>
            <w:vAlign w:val="center"/>
          </w:tcPr>
          <w:p>
            <w:pPr>
              <w:pStyle w:val="TableContents"/>
              <w:spacing w:before="0" w:after="0"/>
              <w:ind w:left="0" w:right="0" w:firstLine="360"/>
              <w:rPr/>
            </w:pPr>
            <w:r>
              <w:rPr/>
              <w:t xml:space="preserve">Net loss and loss adjustment expenses: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8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1" w:type="dxa"/>
            <w:tcBorders/>
            <w:shd w:fill="FFFFFF" w:val="clear"/>
            <w:vAlign w:val="center"/>
          </w:tcPr>
          <w:p>
            <w:pPr>
              <w:pStyle w:val="TableContents"/>
              <w:spacing w:before="0" w:after="0"/>
              <w:ind w:left="0" w:right="0" w:hanging="0"/>
              <w:rPr/>
            </w:pPr>
            <w:r>
              <w:rPr/>
              <w:t> </w:t>
            </w:r>
          </w:p>
        </w:tc>
        <w:tc>
          <w:tcPr>
            <w:tcW w:w="787" w:type="dxa"/>
            <w:tcBorders/>
            <w:shd w:fill="FFFFFF" w:val="clear"/>
            <w:vAlign w:val="center"/>
          </w:tcPr>
          <w:p>
            <w:pPr>
              <w:pStyle w:val="TableContents"/>
              <w:spacing w:before="0" w:after="0"/>
              <w:ind w:left="0" w:right="0" w:hanging="0"/>
              <w:rPr/>
            </w:pPr>
            <w:r>
              <w:rPr/>
              <w:t> </w:t>
            </w:r>
          </w:p>
        </w:tc>
        <w:tc>
          <w:tcPr>
            <w:tcW w:w="341" w:type="dxa"/>
            <w:tcBorders/>
            <w:shd w:fill="FFFFFF" w:val="clear"/>
            <w:vAlign w:val="center"/>
          </w:tcPr>
          <w:p>
            <w:pPr>
              <w:pStyle w:val="TableContents"/>
              <w:spacing w:before="0" w:after="0"/>
              <w:ind w:left="0" w:right="0" w:hanging="0"/>
              <w:rPr/>
            </w:pPr>
            <w:r>
              <w:rPr/>
              <w:t> </w:t>
            </w:r>
          </w:p>
        </w:tc>
      </w:tr>
      <w:tr>
        <w:trPr/>
        <w:tc>
          <w:tcPr>
            <w:tcW w:w="5296" w:type="dxa"/>
            <w:tcBorders/>
            <w:shd w:fill="CCEEFF" w:val="clear"/>
            <w:vAlign w:val="center"/>
          </w:tcPr>
          <w:p>
            <w:pPr>
              <w:pStyle w:val="TableContents"/>
              <w:spacing w:before="0" w:after="0"/>
              <w:ind w:left="0" w:right="0" w:firstLine="360"/>
              <w:rPr/>
            </w:pPr>
            <w:r>
              <w:rPr/>
              <w:t xml:space="preserve">Loss and loss adjustment expenses excluding the effect of catastrophes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54,829</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82,488</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85" w:type="dxa"/>
            <w:tcBorders/>
            <w:shd w:fill="CCEEFF" w:val="clear"/>
            <w:vAlign w:val="center"/>
          </w:tcPr>
          <w:p>
            <w:pPr>
              <w:pStyle w:val="TableContents"/>
              <w:spacing w:before="0" w:after="283"/>
              <w:jc w:val="right"/>
              <w:rPr/>
            </w:pPr>
            <w:r>
              <w:rPr/>
              <w:t>(27,659</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91" w:type="dxa"/>
            <w:tcBorders/>
            <w:shd w:fill="CCEEFF" w:val="clear"/>
            <w:vAlign w:val="center"/>
          </w:tcPr>
          <w:p>
            <w:pPr>
              <w:pStyle w:val="TableContents"/>
              <w:spacing w:before="0" w:after="0"/>
              <w:ind w:left="0" w:right="0" w:hanging="0"/>
              <w:rPr/>
            </w:pPr>
            <w:r>
              <w:rPr/>
              <w:t> </w:t>
            </w:r>
          </w:p>
        </w:tc>
        <w:tc>
          <w:tcPr>
            <w:tcW w:w="787" w:type="dxa"/>
            <w:tcBorders/>
            <w:shd w:fill="CCEEFF" w:val="clear"/>
            <w:vAlign w:val="center"/>
          </w:tcPr>
          <w:p>
            <w:pPr>
              <w:pStyle w:val="TableContents"/>
              <w:spacing w:before="0" w:after="283"/>
              <w:jc w:val="right"/>
              <w:rPr/>
            </w:pPr>
            <w:r>
              <w:rPr/>
              <w:t>(33.5</w:t>
            </w:r>
          </w:p>
        </w:tc>
        <w:tc>
          <w:tcPr>
            <w:tcW w:w="341" w:type="dxa"/>
            <w:tcBorders/>
            <w:shd w:fill="CCEEFF" w:val="clear"/>
            <w:vAlign w:val="center"/>
          </w:tcPr>
          <w:p>
            <w:pPr>
              <w:pStyle w:val="TableContents"/>
              <w:spacing w:before="0" w:after="283"/>
              <w:rPr/>
            </w:pPr>
            <w:r>
              <w:rPr/>
              <w:t>)%</w:t>
            </w:r>
          </w:p>
        </w:tc>
      </w:tr>
      <w:tr>
        <w:trPr/>
        <w:tc>
          <w:tcPr>
            <w:tcW w:w="5296" w:type="dxa"/>
            <w:tcBorders/>
            <w:shd w:fill="FFFFFF" w:val="clear"/>
            <w:vAlign w:val="center"/>
          </w:tcPr>
          <w:p>
            <w:pPr>
              <w:pStyle w:val="TableContents"/>
              <w:spacing w:before="0" w:after="0"/>
              <w:ind w:left="0" w:right="0" w:firstLine="360"/>
              <w:rPr/>
            </w:pPr>
            <w:r>
              <w:rPr/>
              <w:t xml:space="preserve">Losses from catastrophes, tropical storm Isaias (2)(3)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8,125</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85" w:type="dxa"/>
            <w:tcBorders/>
            <w:shd w:fill="FFFFFF" w:val="clear"/>
            <w:vAlign w:val="center"/>
          </w:tcPr>
          <w:p>
            <w:pPr>
              <w:pStyle w:val="TableContents"/>
              <w:spacing w:before="0" w:after="283"/>
              <w:jc w:val="right"/>
              <w:rPr/>
            </w:pPr>
            <w:r>
              <w:rPr/>
              <w:t>8,125</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1" w:type="dxa"/>
            <w:tcBorders/>
            <w:shd w:fill="FFFFFF" w:val="clear"/>
            <w:vAlign w:val="center"/>
          </w:tcPr>
          <w:p>
            <w:pPr>
              <w:pStyle w:val="TableContents"/>
              <w:spacing w:before="0" w:after="283"/>
              <w:rPr>
                <w:sz w:val="4"/>
                <w:szCs w:val="4"/>
              </w:rPr>
            </w:pPr>
            <w:r>
              <w:rPr>
                <w:sz w:val="4"/>
                <w:szCs w:val="4"/>
              </w:rPr>
            </w:r>
          </w:p>
        </w:tc>
        <w:tc>
          <w:tcPr>
            <w:tcW w:w="787" w:type="dxa"/>
            <w:tcBorders/>
            <w:shd w:fill="FFFFFF" w:val="clear"/>
            <w:vAlign w:val="center"/>
          </w:tcPr>
          <w:p>
            <w:pPr>
              <w:pStyle w:val="TableContents"/>
              <w:spacing w:before="0" w:after="0"/>
              <w:ind w:left="0" w:right="0" w:hanging="0"/>
              <w:jc w:val="right"/>
              <w:rPr/>
            </w:pPr>
            <w:r>
              <w:rPr/>
              <w:t>na</w:t>
            </w:r>
          </w:p>
        </w:tc>
        <w:tc>
          <w:tcPr>
            <w:tcW w:w="341" w:type="dxa"/>
            <w:tcBorders/>
            <w:shd w:fill="FFFFFF" w:val="clear"/>
            <w:vAlign w:val="center"/>
          </w:tcPr>
          <w:p>
            <w:pPr>
              <w:pStyle w:val="TableContents"/>
              <w:spacing w:before="0" w:after="0"/>
              <w:ind w:left="0" w:right="0" w:hanging="0"/>
              <w:rPr/>
            </w:pPr>
            <w:r>
              <w:rPr/>
              <w:t>%</w:t>
            </w:r>
          </w:p>
        </w:tc>
      </w:tr>
      <w:tr>
        <w:trPr/>
        <w:tc>
          <w:tcPr>
            <w:tcW w:w="5296" w:type="dxa"/>
            <w:tcBorders/>
            <w:shd w:fill="CCEEFF" w:val="clear"/>
            <w:vAlign w:val="center"/>
          </w:tcPr>
          <w:p>
            <w:pPr>
              <w:pStyle w:val="TableContents"/>
              <w:spacing w:before="0" w:after="0"/>
              <w:ind w:left="0" w:right="0" w:firstLine="360"/>
              <w:rPr/>
            </w:pPr>
            <w:r>
              <w:rPr/>
              <w:t xml:space="preserve">Losses from catastrophes, all others (2)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CCEEFF" w:val="clear"/>
            <w:tcMar>
              <w:bottom w:w="28" w:type="dxa"/>
            </w:tcMar>
            <w:vAlign w:val="center"/>
          </w:tcPr>
          <w:p>
            <w:pPr>
              <w:pStyle w:val="TableContents"/>
              <w:spacing w:before="0" w:after="283"/>
              <w:jc w:val="right"/>
              <w:rPr/>
            </w:pPr>
            <w:r>
              <w:rPr/>
              <w:t>3,477</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CCEEFF" w:val="clear"/>
            <w:tcMar>
              <w:bottom w:w="28" w:type="dxa"/>
            </w:tcMar>
            <w:vAlign w:val="center"/>
          </w:tcPr>
          <w:p>
            <w:pPr>
              <w:pStyle w:val="TableContents"/>
              <w:spacing w:before="0" w:after="283"/>
              <w:jc w:val="right"/>
              <w:rPr/>
            </w:pPr>
            <w:r>
              <w:rPr/>
              <w:t>7,695</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5" w:type="dxa"/>
            <w:tcBorders>
              <w:bottom w:val="single" w:sz="2" w:space="0" w:color="000000"/>
            </w:tcBorders>
            <w:shd w:fill="CCEEFF" w:val="clear"/>
            <w:tcMar>
              <w:bottom w:w="28" w:type="dxa"/>
            </w:tcMar>
            <w:vAlign w:val="center"/>
          </w:tcPr>
          <w:p>
            <w:pPr>
              <w:pStyle w:val="TableContents"/>
              <w:spacing w:before="0" w:after="283"/>
              <w:jc w:val="right"/>
              <w:rPr/>
            </w:pPr>
            <w:r>
              <w:rPr/>
              <w:t>(4,218</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91" w:type="dxa"/>
            <w:tcBorders/>
            <w:shd w:fill="CCEEFF" w:val="clear"/>
            <w:vAlign w:val="center"/>
          </w:tcPr>
          <w:p>
            <w:pPr>
              <w:pStyle w:val="TableContents"/>
              <w:spacing w:before="0" w:after="0"/>
              <w:ind w:left="0" w:right="0" w:hanging="0"/>
              <w:rPr/>
            </w:pPr>
            <w:r>
              <w:rPr/>
              <w:t> </w:t>
            </w:r>
          </w:p>
        </w:tc>
        <w:tc>
          <w:tcPr>
            <w:tcW w:w="787" w:type="dxa"/>
            <w:tcBorders/>
            <w:shd w:fill="CCEEFF" w:val="clear"/>
            <w:vAlign w:val="center"/>
          </w:tcPr>
          <w:p>
            <w:pPr>
              <w:pStyle w:val="TableContents"/>
              <w:spacing w:before="0" w:after="283"/>
              <w:jc w:val="right"/>
              <w:rPr/>
            </w:pPr>
            <w:r>
              <w:rPr/>
              <w:t>(54.8</w:t>
            </w:r>
          </w:p>
        </w:tc>
        <w:tc>
          <w:tcPr>
            <w:tcW w:w="341" w:type="dxa"/>
            <w:tcBorders/>
            <w:shd w:fill="CCEEFF" w:val="clear"/>
            <w:vAlign w:val="center"/>
          </w:tcPr>
          <w:p>
            <w:pPr>
              <w:pStyle w:val="TableContents"/>
              <w:spacing w:before="0" w:after="283"/>
              <w:rPr/>
            </w:pPr>
            <w:r>
              <w:rPr/>
              <w:t>)%</w:t>
            </w:r>
          </w:p>
        </w:tc>
      </w:tr>
      <w:tr>
        <w:trPr/>
        <w:tc>
          <w:tcPr>
            <w:tcW w:w="5296" w:type="dxa"/>
            <w:tcBorders/>
            <w:shd w:fill="FFFFFF" w:val="clear"/>
            <w:vAlign w:val="center"/>
          </w:tcPr>
          <w:p>
            <w:pPr>
              <w:pStyle w:val="TableContents"/>
              <w:spacing w:before="0" w:after="0"/>
              <w:ind w:left="0" w:right="0" w:firstLine="360"/>
              <w:rPr/>
            </w:pPr>
            <w:r>
              <w:rPr/>
              <w:t xml:space="preserve">Net loss and loss adjustment expenses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66,431</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90,183</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785" w:type="dxa"/>
            <w:tcBorders>
              <w:bottom w:val="single" w:sz="2" w:space="0" w:color="000000"/>
            </w:tcBorders>
            <w:shd w:fill="FFFFFF" w:val="clear"/>
            <w:tcMar>
              <w:bottom w:w="28" w:type="dxa"/>
            </w:tcMar>
            <w:vAlign w:val="center"/>
          </w:tcPr>
          <w:p>
            <w:pPr>
              <w:pStyle w:val="TableContents"/>
              <w:spacing w:before="0" w:after="283"/>
              <w:jc w:val="right"/>
              <w:rPr/>
            </w:pPr>
            <w:r>
              <w:rPr/>
              <w:t>(23,752</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91" w:type="dxa"/>
            <w:tcBorders/>
            <w:shd w:fill="FFFFFF" w:val="clear"/>
            <w:vAlign w:val="center"/>
          </w:tcPr>
          <w:p>
            <w:pPr>
              <w:pStyle w:val="TableContents"/>
              <w:spacing w:before="0" w:after="0"/>
              <w:ind w:left="0" w:right="0" w:hanging="0"/>
              <w:rPr/>
            </w:pPr>
            <w:r>
              <w:rPr/>
              <w:t> </w:t>
            </w:r>
          </w:p>
        </w:tc>
        <w:tc>
          <w:tcPr>
            <w:tcW w:w="787" w:type="dxa"/>
            <w:tcBorders/>
            <w:shd w:fill="FFFFFF" w:val="clear"/>
            <w:vAlign w:val="center"/>
          </w:tcPr>
          <w:p>
            <w:pPr>
              <w:pStyle w:val="TableContents"/>
              <w:spacing w:before="0" w:after="283"/>
              <w:jc w:val="right"/>
              <w:rPr/>
            </w:pPr>
            <w:r>
              <w:rPr/>
              <w:t>(26.3</w:t>
            </w:r>
          </w:p>
        </w:tc>
        <w:tc>
          <w:tcPr>
            <w:tcW w:w="341" w:type="dxa"/>
            <w:tcBorders/>
            <w:shd w:fill="FFFFFF" w:val="clear"/>
            <w:vAlign w:val="center"/>
          </w:tcPr>
          <w:p>
            <w:pPr>
              <w:pStyle w:val="TableContents"/>
              <w:spacing w:before="0" w:after="283"/>
              <w:rPr/>
            </w:pPr>
            <w:r>
              <w:rPr/>
              <w:t>)%</w:t>
            </w:r>
          </w:p>
        </w:tc>
      </w:tr>
      <w:tr>
        <w:trPr/>
        <w:tc>
          <w:tcPr>
            <w:tcW w:w="5296"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8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1" w:type="dxa"/>
            <w:tcBorders/>
            <w:shd w:fill="CCEEFF" w:val="clear"/>
            <w:vAlign w:val="center"/>
          </w:tcPr>
          <w:p>
            <w:pPr>
              <w:pStyle w:val="TableContents"/>
              <w:spacing w:before="0" w:after="0"/>
              <w:ind w:left="0" w:right="0" w:hanging="0"/>
              <w:rPr/>
            </w:pPr>
            <w:r>
              <w:rPr/>
              <w:t> </w:t>
            </w:r>
          </w:p>
        </w:tc>
        <w:tc>
          <w:tcPr>
            <w:tcW w:w="787" w:type="dxa"/>
            <w:tcBorders/>
            <w:shd w:fill="CCEEFF" w:val="clear"/>
            <w:vAlign w:val="center"/>
          </w:tcPr>
          <w:p>
            <w:pPr>
              <w:pStyle w:val="TableContents"/>
              <w:spacing w:before="0" w:after="0"/>
              <w:ind w:left="0" w:right="0" w:hanging="0"/>
              <w:rPr/>
            </w:pPr>
            <w:r>
              <w:rPr/>
              <w:t> </w:t>
            </w:r>
          </w:p>
        </w:tc>
        <w:tc>
          <w:tcPr>
            <w:tcW w:w="341" w:type="dxa"/>
            <w:tcBorders/>
            <w:shd w:fill="CCEEFF" w:val="clear"/>
            <w:vAlign w:val="center"/>
          </w:tcPr>
          <w:p>
            <w:pPr>
              <w:pStyle w:val="TableContents"/>
              <w:spacing w:before="0" w:after="0"/>
              <w:ind w:left="0" w:right="0" w:hanging="0"/>
              <w:rPr/>
            </w:pPr>
            <w:r>
              <w:rPr/>
              <w:t> </w:t>
            </w:r>
          </w:p>
        </w:tc>
      </w:tr>
      <w:tr>
        <w:trPr/>
        <w:tc>
          <w:tcPr>
            <w:tcW w:w="5296" w:type="dxa"/>
            <w:tcBorders/>
            <w:shd w:fill="FFFFFF" w:val="clear"/>
            <w:vAlign w:val="center"/>
          </w:tcPr>
          <w:p>
            <w:pPr>
              <w:pStyle w:val="TableContents"/>
              <w:spacing w:before="0" w:after="0"/>
              <w:ind w:left="0" w:right="0" w:firstLine="180"/>
              <w:rPr/>
            </w:pPr>
            <w:r>
              <w:rPr/>
              <w:t xml:space="preserve">Commission expense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31,828</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30,093</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85" w:type="dxa"/>
            <w:tcBorders/>
            <w:shd w:fill="FFFFFF" w:val="clear"/>
            <w:vAlign w:val="center"/>
          </w:tcPr>
          <w:p>
            <w:pPr>
              <w:pStyle w:val="TableContents"/>
              <w:spacing w:before="0" w:after="283"/>
              <w:jc w:val="right"/>
              <w:rPr/>
            </w:pPr>
            <w:r>
              <w:rPr/>
              <w:t>1,735</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1" w:type="dxa"/>
            <w:tcBorders/>
            <w:shd w:fill="FFFFFF" w:val="clear"/>
            <w:vAlign w:val="center"/>
          </w:tcPr>
          <w:p>
            <w:pPr>
              <w:pStyle w:val="TableContents"/>
              <w:spacing w:before="0" w:after="0"/>
              <w:ind w:left="0" w:right="0" w:hanging="0"/>
              <w:rPr/>
            </w:pPr>
            <w:r>
              <w:rPr/>
              <w:t> </w:t>
            </w:r>
          </w:p>
        </w:tc>
        <w:tc>
          <w:tcPr>
            <w:tcW w:w="787" w:type="dxa"/>
            <w:tcBorders/>
            <w:shd w:fill="FFFFFF" w:val="clear"/>
            <w:vAlign w:val="center"/>
          </w:tcPr>
          <w:p>
            <w:pPr>
              <w:pStyle w:val="TableContents"/>
              <w:spacing w:before="0" w:after="283"/>
              <w:jc w:val="right"/>
              <w:rPr/>
            </w:pPr>
            <w:r>
              <w:rPr/>
              <w:t>5.8</w:t>
            </w:r>
          </w:p>
        </w:tc>
        <w:tc>
          <w:tcPr>
            <w:tcW w:w="341" w:type="dxa"/>
            <w:tcBorders/>
            <w:shd w:fill="FFFFFF" w:val="clear"/>
            <w:vAlign w:val="center"/>
          </w:tcPr>
          <w:p>
            <w:pPr>
              <w:pStyle w:val="TableContents"/>
              <w:spacing w:before="0" w:after="283"/>
              <w:rPr/>
            </w:pPr>
            <w:r>
              <w:rPr/>
              <w:t>%</w:t>
            </w:r>
          </w:p>
        </w:tc>
      </w:tr>
      <w:tr>
        <w:trPr/>
        <w:tc>
          <w:tcPr>
            <w:tcW w:w="5296" w:type="dxa"/>
            <w:tcBorders/>
            <w:shd w:fill="CCEEFF" w:val="clear"/>
            <w:vAlign w:val="center"/>
          </w:tcPr>
          <w:p>
            <w:pPr>
              <w:pStyle w:val="TableContents"/>
              <w:spacing w:before="0" w:after="0"/>
              <w:ind w:left="0" w:right="0" w:firstLine="180"/>
              <w:rPr/>
            </w:pPr>
            <w:r>
              <w:rPr/>
              <w:t xml:space="preserve">Other underwriting expenses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25,425</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24,420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85" w:type="dxa"/>
            <w:tcBorders/>
            <w:shd w:fill="CCEEFF" w:val="clear"/>
            <w:vAlign w:val="center"/>
          </w:tcPr>
          <w:p>
            <w:pPr>
              <w:pStyle w:val="TableContents"/>
              <w:spacing w:before="0" w:after="283"/>
              <w:jc w:val="right"/>
              <w:rPr/>
            </w:pPr>
            <w:r>
              <w:rPr/>
              <w:t>1,005</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1" w:type="dxa"/>
            <w:tcBorders/>
            <w:shd w:fill="CCEEFF" w:val="clear"/>
            <w:vAlign w:val="center"/>
          </w:tcPr>
          <w:p>
            <w:pPr>
              <w:pStyle w:val="TableContents"/>
              <w:spacing w:before="0" w:after="0"/>
              <w:ind w:left="0" w:right="0" w:hanging="0"/>
              <w:rPr/>
            </w:pPr>
            <w:r>
              <w:rPr/>
              <w:t> </w:t>
            </w:r>
          </w:p>
        </w:tc>
        <w:tc>
          <w:tcPr>
            <w:tcW w:w="787" w:type="dxa"/>
            <w:tcBorders/>
            <w:shd w:fill="CCEEFF" w:val="clear"/>
            <w:vAlign w:val="center"/>
          </w:tcPr>
          <w:p>
            <w:pPr>
              <w:pStyle w:val="TableContents"/>
              <w:spacing w:before="0" w:after="283"/>
              <w:jc w:val="right"/>
              <w:rPr/>
            </w:pPr>
            <w:r>
              <w:rPr/>
              <w:t>4.1</w:t>
            </w:r>
          </w:p>
        </w:tc>
        <w:tc>
          <w:tcPr>
            <w:tcW w:w="341" w:type="dxa"/>
            <w:tcBorders/>
            <w:shd w:fill="CCEEFF" w:val="clear"/>
            <w:vAlign w:val="center"/>
          </w:tcPr>
          <w:p>
            <w:pPr>
              <w:pStyle w:val="TableContents"/>
              <w:spacing w:before="0" w:after="283"/>
              <w:rPr/>
            </w:pPr>
            <w:r>
              <w:rPr/>
              <w:t>%</w:t>
            </w:r>
          </w:p>
        </w:tc>
      </w:tr>
      <w:tr>
        <w:trPr/>
        <w:tc>
          <w:tcPr>
            <w:tcW w:w="5296" w:type="dxa"/>
            <w:tcBorders/>
            <w:shd w:fill="FFFFFF" w:val="clear"/>
            <w:vAlign w:val="center"/>
          </w:tcPr>
          <w:p>
            <w:pPr>
              <w:pStyle w:val="TableContents"/>
              <w:spacing w:before="0" w:after="0"/>
              <w:ind w:left="0" w:right="0" w:firstLine="180"/>
              <w:rPr/>
            </w:pPr>
            <w:r>
              <w:rPr/>
              <w:t xml:space="preserve">Other operating expenses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4,283</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3,835</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85" w:type="dxa"/>
            <w:tcBorders/>
            <w:shd w:fill="FFFFFF" w:val="clear"/>
            <w:vAlign w:val="center"/>
          </w:tcPr>
          <w:p>
            <w:pPr>
              <w:pStyle w:val="TableContents"/>
              <w:spacing w:before="0" w:after="283"/>
              <w:jc w:val="right"/>
              <w:rPr/>
            </w:pPr>
            <w:r>
              <w:rPr/>
              <w:t>448</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1" w:type="dxa"/>
            <w:tcBorders/>
            <w:shd w:fill="FFFFFF" w:val="clear"/>
            <w:vAlign w:val="center"/>
          </w:tcPr>
          <w:p>
            <w:pPr>
              <w:pStyle w:val="TableContents"/>
              <w:spacing w:before="0" w:after="0"/>
              <w:ind w:left="0" w:right="0" w:hanging="0"/>
              <w:rPr/>
            </w:pPr>
            <w:r>
              <w:rPr/>
              <w:t> </w:t>
            </w:r>
          </w:p>
        </w:tc>
        <w:tc>
          <w:tcPr>
            <w:tcW w:w="787" w:type="dxa"/>
            <w:tcBorders/>
            <w:shd w:fill="FFFFFF" w:val="clear"/>
            <w:vAlign w:val="center"/>
          </w:tcPr>
          <w:p>
            <w:pPr>
              <w:pStyle w:val="TableContents"/>
              <w:spacing w:before="0" w:after="283"/>
              <w:jc w:val="right"/>
              <w:rPr/>
            </w:pPr>
            <w:r>
              <w:rPr/>
              <w:t>11.7</w:t>
            </w:r>
          </w:p>
        </w:tc>
        <w:tc>
          <w:tcPr>
            <w:tcW w:w="341" w:type="dxa"/>
            <w:tcBorders/>
            <w:shd w:fill="FFFFFF" w:val="clear"/>
            <w:vAlign w:val="center"/>
          </w:tcPr>
          <w:p>
            <w:pPr>
              <w:pStyle w:val="TableContents"/>
              <w:spacing w:before="0" w:after="283"/>
              <w:rPr/>
            </w:pPr>
            <w:r>
              <w:rPr/>
              <w:t>%</w:t>
            </w:r>
          </w:p>
        </w:tc>
      </w:tr>
      <w:tr>
        <w:trPr/>
        <w:tc>
          <w:tcPr>
            <w:tcW w:w="5296" w:type="dxa"/>
            <w:tcBorders/>
            <w:shd w:fill="CCEEFF" w:val="clear"/>
            <w:vAlign w:val="center"/>
          </w:tcPr>
          <w:p>
            <w:pPr>
              <w:pStyle w:val="TableContents"/>
              <w:spacing w:before="0" w:after="0"/>
              <w:ind w:left="0" w:right="0" w:firstLine="180"/>
              <w:rPr/>
            </w:pPr>
            <w:r>
              <w:rPr/>
              <w:t xml:space="preserve">Depreciation and amortization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2,865</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2,546</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85" w:type="dxa"/>
            <w:tcBorders/>
            <w:shd w:fill="CCEEFF" w:val="clear"/>
            <w:vAlign w:val="center"/>
          </w:tcPr>
          <w:p>
            <w:pPr>
              <w:pStyle w:val="TableContents"/>
              <w:spacing w:before="0" w:after="283"/>
              <w:jc w:val="right"/>
              <w:rPr/>
            </w:pPr>
            <w:r>
              <w:rPr/>
              <w:t>319</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1" w:type="dxa"/>
            <w:tcBorders/>
            <w:shd w:fill="CCEEFF" w:val="clear"/>
            <w:vAlign w:val="center"/>
          </w:tcPr>
          <w:p>
            <w:pPr>
              <w:pStyle w:val="TableContents"/>
              <w:spacing w:before="0" w:after="0"/>
              <w:ind w:left="0" w:right="0" w:hanging="0"/>
              <w:rPr/>
            </w:pPr>
            <w:r>
              <w:rPr/>
              <w:t> </w:t>
            </w:r>
          </w:p>
        </w:tc>
        <w:tc>
          <w:tcPr>
            <w:tcW w:w="787" w:type="dxa"/>
            <w:tcBorders/>
            <w:shd w:fill="CCEEFF" w:val="clear"/>
            <w:vAlign w:val="center"/>
          </w:tcPr>
          <w:p>
            <w:pPr>
              <w:pStyle w:val="TableContents"/>
              <w:spacing w:before="0" w:after="283"/>
              <w:jc w:val="right"/>
              <w:rPr/>
            </w:pPr>
            <w:r>
              <w:rPr/>
              <w:t>12.5</w:t>
            </w:r>
          </w:p>
        </w:tc>
        <w:tc>
          <w:tcPr>
            <w:tcW w:w="341" w:type="dxa"/>
            <w:tcBorders/>
            <w:shd w:fill="CCEEFF" w:val="clear"/>
            <w:vAlign w:val="center"/>
          </w:tcPr>
          <w:p>
            <w:pPr>
              <w:pStyle w:val="TableContents"/>
              <w:spacing w:before="0" w:after="283"/>
              <w:rPr/>
            </w:pPr>
            <w:r>
              <w:rPr/>
              <w:t>%</w:t>
            </w:r>
          </w:p>
        </w:tc>
      </w:tr>
      <w:tr>
        <w:trPr/>
        <w:tc>
          <w:tcPr>
            <w:tcW w:w="5296" w:type="dxa"/>
            <w:tcBorders/>
            <w:shd w:fill="FFFFFF" w:val="clear"/>
            <w:vAlign w:val="center"/>
          </w:tcPr>
          <w:p>
            <w:pPr>
              <w:pStyle w:val="TableContents"/>
              <w:spacing w:before="0" w:after="0"/>
              <w:ind w:left="0" w:right="0" w:firstLine="180"/>
              <w:rPr/>
            </w:pPr>
            <w:r>
              <w:rPr/>
              <w:t xml:space="preserve">Interest expense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1,826</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1,826</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785"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1" w:type="dxa"/>
            <w:tcBorders/>
            <w:shd w:fill="FFFFFF" w:val="clear"/>
            <w:vAlign w:val="center"/>
          </w:tcPr>
          <w:p>
            <w:pPr>
              <w:pStyle w:val="TableContents"/>
              <w:spacing w:before="0" w:after="283"/>
              <w:rPr>
                <w:sz w:val="4"/>
                <w:szCs w:val="4"/>
              </w:rPr>
            </w:pPr>
            <w:r>
              <w:rPr>
                <w:sz w:val="4"/>
                <w:szCs w:val="4"/>
              </w:rPr>
            </w:r>
          </w:p>
        </w:tc>
        <w:tc>
          <w:tcPr>
            <w:tcW w:w="787" w:type="dxa"/>
            <w:tcBorders/>
            <w:shd w:fill="FFFFFF" w:val="clear"/>
            <w:vAlign w:val="center"/>
          </w:tcPr>
          <w:p>
            <w:pPr>
              <w:pStyle w:val="TableContents"/>
              <w:spacing w:before="0" w:after="0"/>
              <w:ind w:left="0" w:right="0" w:hanging="0"/>
              <w:jc w:val="right"/>
              <w:rPr/>
            </w:pPr>
            <w:r>
              <w:rPr/>
              <w:t>-</w:t>
            </w:r>
          </w:p>
        </w:tc>
        <w:tc>
          <w:tcPr>
            <w:tcW w:w="341" w:type="dxa"/>
            <w:tcBorders/>
            <w:shd w:fill="FFFFFF" w:val="clear"/>
            <w:vAlign w:val="center"/>
          </w:tcPr>
          <w:p>
            <w:pPr>
              <w:pStyle w:val="TableContents"/>
              <w:spacing w:before="0" w:after="0"/>
              <w:ind w:left="0" w:right="0" w:hanging="0"/>
              <w:rPr/>
            </w:pPr>
            <w:r>
              <w:rPr/>
              <w:t>%</w:t>
            </w:r>
          </w:p>
        </w:tc>
      </w:tr>
      <w:tr>
        <w:trPr/>
        <w:tc>
          <w:tcPr>
            <w:tcW w:w="5296" w:type="dxa"/>
            <w:tcBorders/>
            <w:shd w:fill="CCEEFF" w:val="clear"/>
            <w:vAlign w:val="center"/>
          </w:tcPr>
          <w:p>
            <w:pPr>
              <w:pStyle w:val="TableContents"/>
              <w:spacing w:before="0" w:after="0"/>
              <w:ind w:left="0" w:right="0" w:firstLine="360"/>
              <w:rPr/>
            </w:pPr>
            <w:r>
              <w:rPr/>
              <w:t xml:space="preserve">Total expenses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CCEEFF" w:val="clear"/>
            <w:tcMar>
              <w:bottom w:w="28" w:type="dxa"/>
            </w:tcMar>
            <w:vAlign w:val="center"/>
          </w:tcPr>
          <w:p>
            <w:pPr>
              <w:pStyle w:val="TableContents"/>
              <w:spacing w:before="0" w:after="283"/>
              <w:jc w:val="right"/>
              <w:rPr/>
            </w:pPr>
            <w:r>
              <w:rPr/>
              <w:t>132,659</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CCEEFF" w:val="clear"/>
            <w:tcMar>
              <w:bottom w:w="28" w:type="dxa"/>
            </w:tcMar>
            <w:vAlign w:val="center"/>
          </w:tcPr>
          <w:p>
            <w:pPr>
              <w:pStyle w:val="TableContents"/>
              <w:spacing w:before="0" w:after="283"/>
              <w:jc w:val="right"/>
              <w:rPr/>
            </w:pPr>
            <w:r>
              <w:rPr/>
              <w:t>152,903</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5" w:type="dxa"/>
            <w:tcBorders>
              <w:bottom w:val="single" w:sz="2" w:space="0" w:color="000000"/>
            </w:tcBorders>
            <w:shd w:fill="CCEEFF" w:val="clear"/>
            <w:tcMar>
              <w:bottom w:w="28" w:type="dxa"/>
            </w:tcMar>
            <w:vAlign w:val="center"/>
          </w:tcPr>
          <w:p>
            <w:pPr>
              <w:pStyle w:val="TableContents"/>
              <w:spacing w:before="0" w:after="283"/>
              <w:jc w:val="right"/>
              <w:rPr/>
            </w:pPr>
            <w:r>
              <w:rPr/>
              <w:t>(20,245</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91" w:type="dxa"/>
            <w:tcBorders/>
            <w:shd w:fill="CCEEFF" w:val="clear"/>
            <w:vAlign w:val="center"/>
          </w:tcPr>
          <w:p>
            <w:pPr>
              <w:pStyle w:val="TableContents"/>
              <w:spacing w:before="0" w:after="0"/>
              <w:ind w:left="0" w:right="0" w:hanging="0"/>
              <w:rPr/>
            </w:pPr>
            <w:r>
              <w:rPr/>
              <w:t> </w:t>
            </w:r>
          </w:p>
        </w:tc>
        <w:tc>
          <w:tcPr>
            <w:tcW w:w="787" w:type="dxa"/>
            <w:tcBorders/>
            <w:shd w:fill="CCEEFF" w:val="clear"/>
            <w:vAlign w:val="center"/>
          </w:tcPr>
          <w:p>
            <w:pPr>
              <w:pStyle w:val="TableContents"/>
              <w:spacing w:before="0" w:after="283"/>
              <w:jc w:val="right"/>
              <w:rPr/>
            </w:pPr>
            <w:r>
              <w:rPr/>
              <w:t>(13.2</w:t>
            </w:r>
          </w:p>
        </w:tc>
        <w:tc>
          <w:tcPr>
            <w:tcW w:w="341" w:type="dxa"/>
            <w:tcBorders/>
            <w:shd w:fill="CCEEFF" w:val="clear"/>
            <w:vAlign w:val="center"/>
          </w:tcPr>
          <w:p>
            <w:pPr>
              <w:pStyle w:val="TableContents"/>
              <w:spacing w:before="0" w:after="283"/>
              <w:rPr/>
            </w:pPr>
            <w:r>
              <w:rPr/>
              <w:t>)%</w:t>
            </w:r>
          </w:p>
        </w:tc>
      </w:tr>
      <w:tr>
        <w:trPr/>
        <w:tc>
          <w:tcPr>
            <w:tcW w:w="5296"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8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1" w:type="dxa"/>
            <w:tcBorders/>
            <w:shd w:fill="FFFFFF" w:val="clear"/>
            <w:vAlign w:val="center"/>
          </w:tcPr>
          <w:p>
            <w:pPr>
              <w:pStyle w:val="TableContents"/>
              <w:spacing w:before="0" w:after="0"/>
              <w:ind w:left="0" w:right="0" w:hanging="0"/>
              <w:rPr/>
            </w:pPr>
            <w:r>
              <w:rPr/>
              <w:t> </w:t>
            </w:r>
          </w:p>
        </w:tc>
        <w:tc>
          <w:tcPr>
            <w:tcW w:w="787" w:type="dxa"/>
            <w:tcBorders/>
            <w:shd w:fill="FFFFFF" w:val="clear"/>
            <w:vAlign w:val="center"/>
          </w:tcPr>
          <w:p>
            <w:pPr>
              <w:pStyle w:val="TableContents"/>
              <w:spacing w:before="0" w:after="0"/>
              <w:ind w:left="0" w:right="0" w:hanging="0"/>
              <w:rPr/>
            </w:pPr>
            <w:r>
              <w:rPr/>
              <w:t> </w:t>
            </w:r>
          </w:p>
        </w:tc>
        <w:tc>
          <w:tcPr>
            <w:tcW w:w="341" w:type="dxa"/>
            <w:tcBorders/>
            <w:shd w:fill="FFFFFF" w:val="clear"/>
            <w:vAlign w:val="center"/>
          </w:tcPr>
          <w:p>
            <w:pPr>
              <w:pStyle w:val="TableContents"/>
              <w:spacing w:before="0" w:after="0"/>
              <w:ind w:left="0" w:right="0" w:hanging="0"/>
              <w:rPr/>
            </w:pPr>
            <w:r>
              <w:rPr/>
              <w:t> </w:t>
            </w:r>
          </w:p>
        </w:tc>
      </w:tr>
      <w:tr>
        <w:trPr/>
        <w:tc>
          <w:tcPr>
            <w:tcW w:w="5296" w:type="dxa"/>
            <w:tcBorders/>
            <w:shd w:fill="CCEEFF" w:val="clear"/>
            <w:vAlign w:val="center"/>
          </w:tcPr>
          <w:p>
            <w:pPr>
              <w:pStyle w:val="TableContents"/>
              <w:spacing w:before="0" w:after="0"/>
              <w:ind w:left="0" w:right="0" w:firstLine="180"/>
              <w:rPr/>
            </w:pPr>
            <w:r>
              <w:rPr/>
              <w:t xml:space="preserve">Loss before taxes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(1,288</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(7,783</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85" w:type="dxa"/>
            <w:tcBorders/>
            <w:shd w:fill="CCEEFF" w:val="clear"/>
            <w:vAlign w:val="center"/>
          </w:tcPr>
          <w:p>
            <w:pPr>
              <w:pStyle w:val="TableContents"/>
              <w:spacing w:before="0" w:after="283"/>
              <w:jc w:val="right"/>
              <w:rPr/>
            </w:pPr>
            <w:r>
              <w:rPr/>
              <w:t>6,495</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1" w:type="dxa"/>
            <w:tcBorders/>
            <w:shd w:fill="CCEEFF" w:val="clear"/>
            <w:vAlign w:val="center"/>
          </w:tcPr>
          <w:p>
            <w:pPr>
              <w:pStyle w:val="TableContents"/>
              <w:spacing w:before="0" w:after="0"/>
              <w:ind w:left="0" w:right="0" w:hanging="0"/>
              <w:rPr/>
            </w:pPr>
            <w:r>
              <w:rPr/>
              <w:t> </w:t>
            </w:r>
          </w:p>
        </w:tc>
        <w:tc>
          <w:tcPr>
            <w:tcW w:w="787" w:type="dxa"/>
            <w:tcBorders/>
            <w:shd w:fill="CCEEFF" w:val="clear"/>
            <w:vAlign w:val="center"/>
          </w:tcPr>
          <w:p>
            <w:pPr>
              <w:pStyle w:val="TableContents"/>
              <w:spacing w:before="0" w:after="283"/>
              <w:jc w:val="right"/>
              <w:rPr/>
            </w:pPr>
            <w:r>
              <w:rPr/>
              <w:t>83.5</w:t>
            </w:r>
          </w:p>
        </w:tc>
        <w:tc>
          <w:tcPr>
            <w:tcW w:w="341" w:type="dxa"/>
            <w:tcBorders/>
            <w:shd w:fill="CCEEFF" w:val="clear"/>
            <w:vAlign w:val="center"/>
          </w:tcPr>
          <w:p>
            <w:pPr>
              <w:pStyle w:val="TableContents"/>
              <w:spacing w:before="0" w:after="283"/>
              <w:rPr/>
            </w:pPr>
            <w:r>
              <w:rPr/>
              <w:t>%</w:t>
            </w:r>
          </w:p>
        </w:tc>
      </w:tr>
      <w:tr>
        <w:trPr/>
        <w:tc>
          <w:tcPr>
            <w:tcW w:w="5296" w:type="dxa"/>
            <w:tcBorders/>
            <w:shd w:fill="FFFFFF" w:val="clear"/>
            <w:vAlign w:val="center"/>
          </w:tcPr>
          <w:p>
            <w:pPr>
              <w:pStyle w:val="TableContents"/>
              <w:spacing w:before="0" w:after="0"/>
              <w:ind w:left="0" w:right="0" w:firstLine="180"/>
              <w:rPr/>
            </w:pPr>
            <w:r>
              <w:rPr/>
              <w:t xml:space="preserve">Income tax benefit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(2,260</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(1,816</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785" w:type="dxa"/>
            <w:tcBorders>
              <w:bottom w:val="single" w:sz="2" w:space="0" w:color="000000"/>
            </w:tcBorders>
            <w:shd w:fill="FFFFFF" w:val="clear"/>
            <w:tcMar>
              <w:bottom w:w="28" w:type="dxa"/>
            </w:tcMar>
            <w:vAlign w:val="center"/>
          </w:tcPr>
          <w:p>
            <w:pPr>
              <w:pStyle w:val="TableContents"/>
              <w:spacing w:before="0" w:after="283"/>
              <w:jc w:val="right"/>
              <w:rPr/>
            </w:pPr>
            <w:r>
              <w:rPr/>
              <w:t>(444</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91" w:type="dxa"/>
            <w:tcBorders/>
            <w:shd w:fill="FFFFFF" w:val="clear"/>
            <w:vAlign w:val="center"/>
          </w:tcPr>
          <w:p>
            <w:pPr>
              <w:pStyle w:val="TableContents"/>
              <w:spacing w:before="0" w:after="0"/>
              <w:ind w:left="0" w:right="0" w:hanging="0"/>
              <w:rPr/>
            </w:pPr>
            <w:r>
              <w:rPr/>
              <w:t> </w:t>
            </w:r>
          </w:p>
        </w:tc>
        <w:tc>
          <w:tcPr>
            <w:tcW w:w="787" w:type="dxa"/>
            <w:tcBorders/>
            <w:shd w:fill="FFFFFF" w:val="clear"/>
            <w:vAlign w:val="center"/>
          </w:tcPr>
          <w:p>
            <w:pPr>
              <w:pStyle w:val="TableContents"/>
              <w:spacing w:before="0" w:after="283"/>
              <w:jc w:val="right"/>
              <w:rPr/>
            </w:pPr>
            <w:r>
              <w:rPr/>
              <w:t>(24.4</w:t>
            </w:r>
          </w:p>
        </w:tc>
        <w:tc>
          <w:tcPr>
            <w:tcW w:w="341" w:type="dxa"/>
            <w:tcBorders/>
            <w:shd w:fill="FFFFFF" w:val="clear"/>
            <w:vAlign w:val="center"/>
          </w:tcPr>
          <w:p>
            <w:pPr>
              <w:pStyle w:val="TableContents"/>
              <w:spacing w:before="0" w:after="283"/>
              <w:rPr/>
            </w:pPr>
            <w:r>
              <w:rPr/>
              <w:t>)%</w:t>
            </w:r>
          </w:p>
        </w:tc>
      </w:tr>
      <w:tr>
        <w:trPr/>
        <w:tc>
          <w:tcPr>
            <w:tcW w:w="5296" w:type="dxa"/>
            <w:tcBorders/>
            <w:shd w:fill="CCEEFF" w:val="clear"/>
            <w:vAlign w:val="center"/>
          </w:tcPr>
          <w:p>
            <w:pPr>
              <w:pStyle w:val="TableContents"/>
              <w:spacing w:before="0" w:after="0"/>
              <w:ind w:left="0" w:right="0" w:hanging="0"/>
              <w:rPr/>
            </w:pPr>
            <w:r>
              <w:rPr>
                <w:rStyle w:val="StrongEmphasis"/>
              </w:rPr>
              <w:t xml:space="preserve">Net income (loss)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830" w:type="dxa"/>
            <w:tcBorders>
              <w:bottom w:val="double" w:sz="6" w:space="0" w:color="000000"/>
            </w:tcBorders>
            <w:shd w:fill="CCEEFF" w:val="clear"/>
            <w:tcMar>
              <w:bottom w:w="28" w:type="dxa"/>
            </w:tcMar>
            <w:vAlign w:val="center"/>
          </w:tcPr>
          <w:p>
            <w:pPr>
              <w:pStyle w:val="TableContents"/>
              <w:spacing w:before="0" w:after="283"/>
              <w:jc w:val="right"/>
              <w:rPr/>
            </w:pPr>
            <w:r>
              <w:rPr/>
              <w:t>972</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830" w:type="dxa"/>
            <w:tcBorders>
              <w:bottom w:val="double" w:sz="6" w:space="0" w:color="000000"/>
            </w:tcBorders>
            <w:shd w:fill="CCEEFF" w:val="clear"/>
            <w:tcMar>
              <w:bottom w:w="28" w:type="dxa"/>
            </w:tcMar>
            <w:vAlign w:val="center"/>
          </w:tcPr>
          <w:p>
            <w:pPr>
              <w:pStyle w:val="TableContents"/>
              <w:spacing w:before="0" w:after="283"/>
              <w:jc w:val="right"/>
              <w:rPr/>
            </w:pPr>
            <w:r>
              <w:rPr/>
              <w:t>(5,967</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785" w:type="dxa"/>
            <w:tcBorders>
              <w:bottom w:val="double" w:sz="6" w:space="0" w:color="000000"/>
            </w:tcBorders>
            <w:shd w:fill="CCEEFF" w:val="clear"/>
            <w:tcMar>
              <w:bottom w:w="28" w:type="dxa"/>
            </w:tcMar>
            <w:vAlign w:val="center"/>
          </w:tcPr>
          <w:p>
            <w:pPr>
              <w:pStyle w:val="TableContents"/>
              <w:spacing w:before="0" w:after="283"/>
              <w:jc w:val="right"/>
              <w:rPr/>
            </w:pPr>
            <w:r>
              <w:rPr/>
              <w:t>6,939</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1" w:type="dxa"/>
            <w:tcBorders/>
            <w:shd w:fill="CCEEFF" w:val="clear"/>
            <w:vAlign w:val="center"/>
          </w:tcPr>
          <w:p>
            <w:pPr>
              <w:pStyle w:val="TableContents"/>
              <w:spacing w:before="0" w:after="0"/>
              <w:ind w:left="0" w:right="0" w:hanging="0"/>
              <w:rPr/>
            </w:pPr>
            <w:r>
              <w:rPr/>
              <w:t> </w:t>
            </w:r>
          </w:p>
        </w:tc>
        <w:tc>
          <w:tcPr>
            <w:tcW w:w="787" w:type="dxa"/>
            <w:tcBorders/>
            <w:shd w:fill="CCEEFF" w:val="clear"/>
            <w:vAlign w:val="center"/>
          </w:tcPr>
          <w:p>
            <w:pPr>
              <w:pStyle w:val="TableContents"/>
              <w:spacing w:before="0" w:after="283"/>
              <w:jc w:val="right"/>
              <w:rPr/>
            </w:pPr>
            <w:r>
              <w:rPr/>
              <w:t>116.3</w:t>
            </w:r>
          </w:p>
        </w:tc>
        <w:tc>
          <w:tcPr>
            <w:tcW w:w="341" w:type="dxa"/>
            <w:tcBorders/>
            <w:shd w:fill="CCEEFF" w:val="clear"/>
            <w:vAlign w:val="center"/>
          </w:tcPr>
          <w:p>
            <w:pPr>
              <w:pStyle w:val="TableContents"/>
              <w:spacing w:before="0" w:after="283"/>
              <w:rPr/>
            </w:pPr>
            <w:r>
              <w:rPr/>
              <w:t>%</w:t>
            </w:r>
          </w:p>
        </w:tc>
      </w:tr>
    </w:tbl>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36</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288"/>
        <w:gridCol w:w="9917"/>
      </w:tblGrid>
      <w:tr>
        <w:trPr/>
        <w:tc>
          <w:tcPr>
            <w:tcW w:w="288" w:type="dxa"/>
            <w:tcBorders/>
            <w:shd w:fill="auto" w:val="clear"/>
            <w:vAlign w:val="center"/>
          </w:tcPr>
          <w:p>
            <w:pPr>
              <w:pStyle w:val="TableContents"/>
              <w:spacing w:before="0" w:after="0"/>
              <w:ind w:left="0" w:right="0" w:hanging="0"/>
              <w:rPr/>
            </w:pPr>
            <w:r>
              <w:rPr/>
              <w:t xml:space="preserve">(1) </w:t>
            </w:r>
          </w:p>
        </w:tc>
        <w:tc>
          <w:tcPr>
            <w:tcW w:w="9917" w:type="dxa"/>
            <w:tcBorders/>
            <w:shd w:fill="auto" w:val="clear"/>
            <w:vAlign w:val="center"/>
          </w:tcPr>
          <w:p>
            <w:pPr>
              <w:pStyle w:val="TableContents"/>
              <w:spacing w:before="0" w:after="283"/>
              <w:rPr/>
            </w:pPr>
            <w:r>
              <w:rPr/>
              <w:t xml:space="preserve">Effective July 1, 2019, our personal lines 10% quota share treaty expired on a run-off basis. Effective December 15, 2019, we entered into a 25% quota share treaty. Effective December 31, 2020, our personal lines 25% quota share treaty expired on a cut-off basis. </w:t>
            </w:r>
          </w:p>
        </w:tc>
      </w:tr>
      <w:tr>
        <w:trPr/>
        <w:tc>
          <w:tcPr>
            <w:tcW w:w="288" w:type="dxa"/>
            <w:tcBorders/>
            <w:shd w:fill="auto" w:val="clear"/>
            <w:vAlign w:val="center"/>
          </w:tcPr>
          <w:p>
            <w:pPr>
              <w:pStyle w:val="TableContents"/>
              <w:spacing w:before="0" w:after="0"/>
              <w:ind w:left="0" w:right="0" w:hanging="0"/>
              <w:rPr/>
            </w:pPr>
            <w:r>
              <w:rPr/>
              <w:t xml:space="preserve">(2) </w:t>
            </w:r>
          </w:p>
        </w:tc>
        <w:tc>
          <w:tcPr>
            <w:tcW w:w="9917" w:type="dxa"/>
            <w:tcBorders/>
            <w:shd w:fill="auto" w:val="clear"/>
            <w:vAlign w:val="center"/>
          </w:tcPr>
          <w:p>
            <w:pPr>
              <w:pStyle w:val="TableContents"/>
              <w:spacing w:before="0" w:after="283"/>
              <w:rPr/>
            </w:pPr>
            <w:r>
              <w:rPr/>
              <w:t xml:space="preserve">The years ended December 31, 2020 and 2019 include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 </w:t>
            </w:r>
          </w:p>
        </w:tc>
      </w:tr>
      <w:tr>
        <w:trPr/>
        <w:tc>
          <w:tcPr>
            <w:tcW w:w="288" w:type="dxa"/>
            <w:tcBorders/>
            <w:shd w:fill="auto" w:val="clear"/>
            <w:vAlign w:val="center"/>
          </w:tcPr>
          <w:p>
            <w:pPr>
              <w:pStyle w:val="TableContents"/>
              <w:spacing w:before="0" w:after="0"/>
              <w:ind w:left="0" w:right="0" w:hanging="0"/>
              <w:rPr/>
            </w:pPr>
            <w:r>
              <w:rPr/>
              <w:t xml:space="preserve">(3) </w:t>
            </w:r>
          </w:p>
        </w:tc>
        <w:tc>
          <w:tcPr>
            <w:tcW w:w="9917" w:type="dxa"/>
            <w:tcBorders/>
            <w:shd w:fill="auto" w:val="clear"/>
            <w:vAlign w:val="center"/>
          </w:tcPr>
          <w:p>
            <w:pPr>
              <w:pStyle w:val="TableContents"/>
              <w:spacing w:before="0" w:after="283"/>
              <w:rPr/>
            </w:pPr>
            <w:r>
              <w:rPr/>
              <w:t xml:space="preserve">The year ended December 31, 2020 includes catastrophe losses from Tropical Storm Isaias, which has been designated PCS Storm 2044. </w:t>
            </w:r>
          </w:p>
        </w:tc>
      </w:tr>
    </w:tbl>
    <w:p>
      <w:pPr>
        <w:pStyle w:val="TextBody"/>
        <w:spacing w:before="0" w:after="0"/>
        <w:ind w:left="0" w:right="0" w:hanging="0"/>
        <w:jc w:val="both"/>
        <w:rPr/>
      </w:pPr>
      <w:r>
        <w:rPr/>
        <w:t>  </w:t>
      </w:r>
    </w:p>
    <w:tbl>
      <w:tblPr>
        <w:tblW w:w="10123" w:type="dxa"/>
        <w:jc w:val="left"/>
        <w:tblInd w:w="0" w:type="dxa"/>
        <w:tblCellMar>
          <w:top w:w="0" w:type="dxa"/>
          <w:left w:w="0" w:type="dxa"/>
          <w:bottom w:w="0" w:type="dxa"/>
          <w:right w:w="0" w:type="dxa"/>
        </w:tblCellMar>
      </w:tblPr>
      <w:tblGrid>
        <w:gridCol w:w="3050"/>
        <w:gridCol w:w="90"/>
        <w:gridCol w:w="90"/>
        <w:gridCol w:w="590"/>
        <w:gridCol w:w="245"/>
        <w:gridCol w:w="90"/>
        <w:gridCol w:w="90"/>
        <w:gridCol w:w="590"/>
        <w:gridCol w:w="245"/>
        <w:gridCol w:w="90"/>
        <w:gridCol w:w="458"/>
        <w:gridCol w:w="2171"/>
        <w:gridCol w:w="125"/>
        <w:gridCol w:w="90"/>
        <w:gridCol w:w="245"/>
        <w:gridCol w:w="1499"/>
        <w:gridCol w:w="365"/>
      </w:tblGrid>
      <w:tr>
        <w:trPr/>
        <w:tc>
          <w:tcPr>
            <w:tcW w:w="305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6618" w:type="dxa"/>
            <w:gridSpan w:val="14"/>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Years ended December 31,</w:t>
            </w:r>
          </w:p>
        </w:tc>
        <w:tc>
          <w:tcPr>
            <w:tcW w:w="365" w:type="dxa"/>
            <w:tcBorders/>
            <w:shd w:fill="auto" w:val="clear"/>
            <w:vAlign w:val="center"/>
          </w:tcPr>
          <w:p>
            <w:pPr>
              <w:pStyle w:val="TableContents"/>
              <w:spacing w:before="0" w:after="0"/>
              <w:ind w:left="0" w:right="0" w:hanging="0"/>
              <w:rPr/>
            </w:pPr>
            <w:r>
              <w:rPr/>
              <w:t> </w:t>
            </w:r>
          </w:p>
        </w:tc>
      </w:tr>
      <w:tr>
        <w:trPr/>
        <w:tc>
          <w:tcPr>
            <w:tcW w:w="305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6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2020</w:t>
            </w:r>
          </w:p>
        </w:tc>
        <w:tc>
          <w:tcPr>
            <w:tcW w:w="245"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6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2019</w:t>
            </w:r>
          </w:p>
        </w:tc>
        <w:tc>
          <w:tcPr>
            <w:tcW w:w="245"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262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Percentage Point Change</w:t>
            </w:r>
          </w:p>
        </w:tc>
        <w:tc>
          <w:tcPr>
            <w:tcW w:w="125"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74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Percent Change </w:t>
            </w:r>
          </w:p>
        </w:tc>
        <w:tc>
          <w:tcPr>
            <w:tcW w:w="365" w:type="dxa"/>
            <w:tcBorders/>
            <w:shd w:fill="auto" w:val="clear"/>
            <w:vAlign w:val="center"/>
          </w:tcPr>
          <w:p>
            <w:pPr>
              <w:pStyle w:val="TableContents"/>
              <w:spacing w:before="0" w:after="0"/>
              <w:ind w:left="0" w:right="0" w:hanging="0"/>
              <w:rPr/>
            </w:pPr>
            <w:r>
              <w:rPr/>
              <w:t> </w:t>
            </w:r>
          </w:p>
        </w:tc>
      </w:tr>
      <w:tr>
        <w:trPr/>
        <w:tc>
          <w:tcPr>
            <w:tcW w:w="305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680"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680"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629"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744" w:type="dxa"/>
            <w:gridSpan w:val="2"/>
            <w:tcBorders/>
            <w:shd w:fill="auto" w:val="clear"/>
            <w:vAlign w:val="center"/>
          </w:tcPr>
          <w:p>
            <w:pPr>
              <w:pStyle w:val="TableContents"/>
              <w:spacing w:before="0" w:after="0"/>
              <w:ind w:left="0" w:right="0" w:hanging="0"/>
              <w:rPr/>
            </w:pPr>
            <w:r>
              <w:rPr/>
              <w:t> </w:t>
            </w:r>
          </w:p>
        </w:tc>
        <w:tc>
          <w:tcPr>
            <w:tcW w:w="365" w:type="dxa"/>
            <w:tcBorders/>
            <w:shd w:fill="auto" w:val="clear"/>
            <w:vAlign w:val="center"/>
          </w:tcPr>
          <w:p>
            <w:pPr>
              <w:pStyle w:val="TableContents"/>
              <w:spacing w:before="0" w:after="0"/>
              <w:ind w:left="0" w:right="0" w:hanging="0"/>
              <w:rPr/>
            </w:pPr>
            <w:r>
              <w:rPr/>
              <w:t> </w:t>
            </w:r>
          </w:p>
        </w:tc>
      </w:tr>
      <w:tr>
        <w:trPr/>
        <w:tc>
          <w:tcPr>
            <w:tcW w:w="3050" w:type="dxa"/>
            <w:tcBorders/>
            <w:shd w:fill="auto" w:val="clear"/>
            <w:vAlign w:val="center"/>
          </w:tcPr>
          <w:p>
            <w:pPr>
              <w:pStyle w:val="TableContents"/>
              <w:spacing w:before="0" w:after="0"/>
              <w:ind w:left="0" w:right="0" w:hanging="0"/>
              <w:rPr/>
            </w:pPr>
            <w:r>
              <w:rPr>
                <w:rStyle w:val="StrongEmphasis"/>
              </w:rPr>
              <w:t xml:space="preserve">Key ratios: </w:t>
            </w:r>
          </w:p>
        </w:tc>
        <w:tc>
          <w:tcPr>
            <w:tcW w:w="90" w:type="dxa"/>
            <w:tcBorders/>
            <w:shd w:fill="auto" w:val="clear"/>
            <w:vAlign w:val="center"/>
          </w:tcPr>
          <w:p>
            <w:pPr>
              <w:pStyle w:val="TableContents"/>
              <w:spacing w:before="0" w:after="0"/>
              <w:ind w:left="0" w:right="0" w:hanging="0"/>
              <w:rPr/>
            </w:pPr>
            <w:r>
              <w:rPr/>
              <w:t> </w:t>
            </w:r>
          </w:p>
        </w:tc>
        <w:tc>
          <w:tcPr>
            <w:tcW w:w="680"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680"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629"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744" w:type="dxa"/>
            <w:gridSpan w:val="2"/>
            <w:tcBorders/>
            <w:shd w:fill="auto" w:val="clear"/>
            <w:vAlign w:val="center"/>
          </w:tcPr>
          <w:p>
            <w:pPr>
              <w:pStyle w:val="TableContents"/>
              <w:spacing w:before="0" w:after="0"/>
              <w:ind w:left="0" w:right="0" w:hanging="0"/>
              <w:rPr/>
            </w:pPr>
            <w:r>
              <w:rPr/>
              <w:t> </w:t>
            </w:r>
          </w:p>
        </w:tc>
        <w:tc>
          <w:tcPr>
            <w:tcW w:w="365" w:type="dxa"/>
            <w:tcBorders/>
            <w:shd w:fill="auto" w:val="clear"/>
            <w:vAlign w:val="center"/>
          </w:tcPr>
          <w:p>
            <w:pPr>
              <w:pStyle w:val="TableContents"/>
              <w:spacing w:before="0" w:after="0"/>
              <w:ind w:left="0" w:right="0" w:hanging="0"/>
              <w:rPr/>
            </w:pPr>
            <w:r>
              <w:rPr/>
              <w:t> </w:t>
            </w:r>
          </w:p>
        </w:tc>
      </w:tr>
      <w:tr>
        <w:trPr/>
        <w:tc>
          <w:tcPr>
            <w:tcW w:w="3050" w:type="dxa"/>
            <w:tcBorders/>
            <w:shd w:fill="CCEEFF" w:val="clear"/>
            <w:vAlign w:val="center"/>
          </w:tcPr>
          <w:p>
            <w:pPr>
              <w:pStyle w:val="TableContents"/>
              <w:spacing w:before="0" w:after="0"/>
              <w:ind w:left="225" w:right="0" w:hanging="0"/>
              <w:rPr/>
            </w:pPr>
            <w:r>
              <w:rPr/>
              <w:t xml:space="preserve">Net loss ratio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283"/>
              <w:jc w:val="right"/>
              <w:rPr/>
            </w:pPr>
            <w:r>
              <w:rPr/>
              <w:t>61.5</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283"/>
              <w:jc w:val="right"/>
              <w:rPr/>
            </w:pPr>
            <w:r>
              <w:rPr/>
              <w:t>70.7</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458" w:type="dxa"/>
            <w:tcBorders/>
            <w:shd w:fill="CCEEFF" w:val="clear"/>
            <w:vAlign w:val="center"/>
          </w:tcPr>
          <w:p>
            <w:pPr>
              <w:pStyle w:val="TableContents"/>
              <w:spacing w:before="0" w:after="0"/>
              <w:ind w:left="0" w:right="0" w:hanging="0"/>
              <w:rPr/>
            </w:pPr>
            <w:r>
              <w:rPr/>
              <w:t> </w:t>
            </w:r>
          </w:p>
        </w:tc>
        <w:tc>
          <w:tcPr>
            <w:tcW w:w="2171" w:type="dxa"/>
            <w:tcBorders/>
            <w:shd w:fill="CCEEFF" w:val="clear"/>
            <w:vAlign w:val="center"/>
          </w:tcPr>
          <w:p>
            <w:pPr>
              <w:pStyle w:val="TableContents"/>
              <w:spacing w:before="0" w:after="283"/>
              <w:jc w:val="right"/>
              <w:rPr/>
            </w:pPr>
            <w:r>
              <w:rPr/>
              <w:t>(9.2</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1499" w:type="dxa"/>
            <w:tcBorders/>
            <w:shd w:fill="CCEEFF" w:val="clear"/>
            <w:vAlign w:val="center"/>
          </w:tcPr>
          <w:p>
            <w:pPr>
              <w:pStyle w:val="TableContents"/>
              <w:spacing w:before="0" w:after="283"/>
              <w:jc w:val="right"/>
              <w:rPr/>
            </w:pPr>
            <w:r>
              <w:rPr/>
              <w:t>(13.0</w:t>
            </w:r>
          </w:p>
        </w:tc>
        <w:tc>
          <w:tcPr>
            <w:tcW w:w="365" w:type="dxa"/>
            <w:tcBorders/>
            <w:shd w:fill="CCEEFF" w:val="clear"/>
            <w:vAlign w:val="center"/>
          </w:tcPr>
          <w:p>
            <w:pPr>
              <w:pStyle w:val="TableContents"/>
              <w:spacing w:before="0" w:after="283"/>
              <w:rPr/>
            </w:pPr>
            <w:r>
              <w:rPr/>
              <w:t>)%</w:t>
            </w:r>
          </w:p>
        </w:tc>
      </w:tr>
      <w:tr>
        <w:trPr/>
        <w:tc>
          <w:tcPr>
            <w:tcW w:w="3050" w:type="dxa"/>
            <w:tcBorders/>
            <w:shd w:fill="FFFFFF" w:val="clear"/>
            <w:vAlign w:val="center"/>
          </w:tcPr>
          <w:p>
            <w:pPr>
              <w:pStyle w:val="TableContents"/>
              <w:spacing w:before="0" w:after="0"/>
              <w:ind w:left="225" w:right="0" w:hanging="0"/>
              <w:rPr/>
            </w:pPr>
            <w:r>
              <w:rPr/>
              <w:t xml:space="preserve">Net underwriting expense ratio </w:t>
            </w:r>
          </w:p>
        </w:tc>
        <w:tc>
          <w:tcPr>
            <w:tcW w:w="90" w:type="dxa"/>
            <w:tcBorders/>
            <w:shd w:fill="FFFFFF" w:val="clear"/>
            <w:vAlign w:val="center"/>
          </w:tcPr>
          <w:p>
            <w:pPr>
              <w:pStyle w:val="TableContents"/>
              <w:spacing w:before="0" w:after="0"/>
              <w:ind w:left="0" w:right="0" w:hanging="0"/>
              <w:rPr/>
            </w:pPr>
            <w:r>
              <w:rPr/>
              <w:t> </w:t>
            </w:r>
          </w:p>
        </w:tc>
        <w:tc>
          <w:tcPr>
            <w:tcW w:w="9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jc w:val="right"/>
              <w:rPr/>
            </w:pPr>
            <w:r>
              <w:rPr/>
              <w:t>38.9</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jc w:val="right"/>
              <w:rPr/>
            </w:pPr>
            <w:r>
              <w:rPr/>
              <w:t>38.0</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458"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2171" w:type="dxa"/>
            <w:tcBorders>
              <w:bottom w:val="single" w:sz="2" w:space="0" w:color="000000"/>
            </w:tcBorders>
            <w:shd w:fill="FFFFFF" w:val="clear"/>
            <w:tcMar>
              <w:bottom w:w="28" w:type="dxa"/>
            </w:tcMar>
            <w:vAlign w:val="center"/>
          </w:tcPr>
          <w:p>
            <w:pPr>
              <w:pStyle w:val="TableContents"/>
              <w:spacing w:before="0" w:after="283"/>
              <w:jc w:val="right"/>
              <w:rPr/>
            </w:pPr>
            <w:r>
              <w:rPr/>
              <w:t>0.9</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1499" w:type="dxa"/>
            <w:tcBorders/>
            <w:shd w:fill="FFFFFF" w:val="clear"/>
            <w:vAlign w:val="center"/>
          </w:tcPr>
          <w:p>
            <w:pPr>
              <w:pStyle w:val="TableContents"/>
              <w:spacing w:before="0" w:after="283"/>
              <w:jc w:val="right"/>
              <w:rPr/>
            </w:pPr>
            <w:r>
              <w:rPr/>
              <w:t>2.4</w:t>
            </w:r>
          </w:p>
        </w:tc>
        <w:tc>
          <w:tcPr>
            <w:tcW w:w="365" w:type="dxa"/>
            <w:tcBorders/>
            <w:shd w:fill="FFFFFF" w:val="clear"/>
            <w:vAlign w:val="center"/>
          </w:tcPr>
          <w:p>
            <w:pPr>
              <w:pStyle w:val="TableContents"/>
              <w:spacing w:before="0" w:after="283"/>
              <w:rPr/>
            </w:pPr>
            <w:r>
              <w:rPr/>
              <w:t>%</w:t>
            </w:r>
          </w:p>
        </w:tc>
      </w:tr>
      <w:tr>
        <w:trPr/>
        <w:tc>
          <w:tcPr>
            <w:tcW w:w="3050" w:type="dxa"/>
            <w:tcBorders/>
            <w:shd w:fill="CCEEFF" w:val="clear"/>
            <w:vAlign w:val="center"/>
          </w:tcPr>
          <w:p>
            <w:pPr>
              <w:pStyle w:val="TableContents"/>
              <w:spacing w:before="0" w:after="0"/>
              <w:ind w:left="225" w:right="0" w:hanging="0"/>
              <w:rPr/>
            </w:pPr>
            <w:r>
              <w:rPr/>
              <w:t xml:space="preserve">Net combined ratio </w:t>
            </w:r>
          </w:p>
        </w:tc>
        <w:tc>
          <w:tcPr>
            <w:tcW w:w="90" w:type="dxa"/>
            <w:tcBorders/>
            <w:shd w:fill="CCEEFF" w:val="clear"/>
            <w:vAlign w:val="center"/>
          </w:tcPr>
          <w:p>
            <w:pPr>
              <w:pStyle w:val="TableContents"/>
              <w:spacing w:before="0" w:after="0"/>
              <w:ind w:left="0" w:right="0" w:hanging="0"/>
              <w:rPr/>
            </w:pPr>
            <w:r>
              <w:rPr/>
              <w:t> </w:t>
            </w:r>
          </w:p>
        </w:tc>
        <w:tc>
          <w:tcPr>
            <w:tcW w:w="90"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590" w:type="dxa"/>
            <w:tcBorders>
              <w:bottom w:val="double" w:sz="6" w:space="0" w:color="000000"/>
            </w:tcBorders>
            <w:shd w:fill="CCEEFF" w:val="clear"/>
            <w:tcMar>
              <w:bottom w:w="28" w:type="dxa"/>
            </w:tcMar>
            <w:vAlign w:val="center"/>
          </w:tcPr>
          <w:p>
            <w:pPr>
              <w:pStyle w:val="TableContents"/>
              <w:spacing w:before="0" w:after="283"/>
              <w:jc w:val="right"/>
              <w:rPr/>
            </w:pPr>
            <w:r>
              <w:rPr/>
              <w:t>100.4</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590" w:type="dxa"/>
            <w:tcBorders>
              <w:bottom w:val="double" w:sz="6" w:space="0" w:color="000000"/>
            </w:tcBorders>
            <w:shd w:fill="CCEEFF" w:val="clear"/>
            <w:tcMar>
              <w:bottom w:w="28" w:type="dxa"/>
            </w:tcMar>
            <w:vAlign w:val="center"/>
          </w:tcPr>
          <w:p>
            <w:pPr>
              <w:pStyle w:val="TableContents"/>
              <w:spacing w:before="0" w:after="283"/>
              <w:jc w:val="right"/>
              <w:rPr/>
            </w:pPr>
            <w:r>
              <w:rPr/>
              <w:t>108.7</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458"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2171" w:type="dxa"/>
            <w:tcBorders>
              <w:bottom w:val="double" w:sz="6" w:space="0" w:color="000000"/>
            </w:tcBorders>
            <w:shd w:fill="CCEEFF" w:val="clear"/>
            <w:tcMar>
              <w:bottom w:w="28" w:type="dxa"/>
            </w:tcMar>
            <w:vAlign w:val="center"/>
          </w:tcPr>
          <w:p>
            <w:pPr>
              <w:pStyle w:val="TableContents"/>
              <w:spacing w:before="0" w:after="283"/>
              <w:jc w:val="right"/>
              <w:rPr/>
            </w:pPr>
            <w:r>
              <w:rPr/>
              <w:t>(8.3</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1499" w:type="dxa"/>
            <w:tcBorders/>
            <w:shd w:fill="CCEEFF" w:val="clear"/>
            <w:vAlign w:val="center"/>
          </w:tcPr>
          <w:p>
            <w:pPr>
              <w:pStyle w:val="TableContents"/>
              <w:spacing w:before="0" w:after="283"/>
              <w:jc w:val="right"/>
              <w:rPr/>
            </w:pPr>
            <w:r>
              <w:rPr/>
              <w:t>(7.6</w:t>
            </w:r>
          </w:p>
        </w:tc>
        <w:tc>
          <w:tcPr>
            <w:tcW w:w="365" w:type="dxa"/>
            <w:tcBorders/>
            <w:shd w:fill="CCEEFF" w:val="clear"/>
            <w:vAlign w:val="center"/>
          </w:tcPr>
          <w:p>
            <w:pPr>
              <w:pStyle w:val="TableContents"/>
              <w:spacing w:before="0" w:after="283"/>
              <w:rPr/>
            </w:pPr>
            <w:r>
              <w:rPr/>
              <w:t>)%</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Direct Written Premiums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Direct written premiums during the year ended December 31, 2020 (“Year Ended 2020”) were $169,318,000 compared to $171,214,000 during the year ended December 31, 2019 (“Year Ended 2019”). The decrease of $1,896,000, or 1.1%, was primarily due to the decrease in premiums from our commercial lines business as result of our decision in July 2019 to no longer underwrite this line of business. Direct written premiums from our personal lines business in Year Ended 2020 were $162,184,000, an increase of $12,264,000, or 8.2%, from $149,920,000 in Year Ended 2019. </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Beginning in 2017 we started writing homeowners policies in New Jersey. Through 2019 we expanded to Rhode Island, Massachusetts and Connecticut. We refer to our New York business as our “Core” business and the business outside of New York as our “Expansion” business. Direct written premiums from our Expansion business were $33,914,000 in Year Ended 2020, an increase of $8,267,000, or 32.2% compared to $25,647,000 in Year Ended 2019.</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Net Written Premiums and Net Premiums Earned</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Through June 30, 2019, our quota share reinsurance treaties were on a July 1 through June 30 fiscal year basis. Effective December 15, 2019, we entered into a quota share reinsurance treaty for our personal lines business covering the period from December 15, 2019 through December 30, 2020 (“2019/2020 Treaty”). Our personal lines quota share reinsurance treaty in effect for Year Ended 2019 was covered through June 30, 2019 (together with the run-off period) under a treaty covering a two-year period from July 1, 2017 through June 30, 2019 (“2017/2019 Treaty”). The treaty in effect during Year Ended 2019 was covered through June 30, 2019 (together with the run-off period) under the July 1, 2018 through June 30, 2019 treaty year (“2018/2019 Treaty Year”). The following table describes the quota share reinsurance ceding rates in effect for each treaty year during Year ended 2020 and Year Ended 2019 under the 2019/2020 Treaty and the 2017/2019 Treaty, respectively. This table should be referred to in conjunction with the discussions for net written premiums, net premiums earned, ceding commission revenue and net loss and loss adjustment expenses that follow.</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37</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tbl>
      <w:tblPr>
        <w:tblW w:w="7222" w:type="dxa"/>
        <w:jc w:val="left"/>
        <w:tblInd w:w="0" w:type="dxa"/>
        <w:tblCellMar>
          <w:top w:w="0" w:type="dxa"/>
          <w:left w:w="0" w:type="dxa"/>
          <w:bottom w:w="0" w:type="dxa"/>
          <w:right w:w="0" w:type="dxa"/>
        </w:tblCellMar>
      </w:tblPr>
      <w:tblGrid>
        <w:gridCol w:w="1430"/>
        <w:gridCol w:w="90"/>
        <w:gridCol w:w="714"/>
        <w:gridCol w:w="1525"/>
        <w:gridCol w:w="1145"/>
        <w:gridCol w:w="179"/>
        <w:gridCol w:w="484"/>
        <w:gridCol w:w="1035"/>
        <w:gridCol w:w="620"/>
      </w:tblGrid>
      <w:tr>
        <w:trPr/>
        <w:tc>
          <w:tcPr>
            <w:tcW w:w="143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5082"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Years ended December 31, </w:t>
            </w:r>
          </w:p>
        </w:tc>
        <w:tc>
          <w:tcPr>
            <w:tcW w:w="620" w:type="dxa"/>
            <w:tcBorders/>
            <w:shd w:fill="auto" w:val="clear"/>
            <w:vAlign w:val="center"/>
          </w:tcPr>
          <w:p>
            <w:pPr>
              <w:pStyle w:val="TableContents"/>
              <w:spacing w:before="0" w:after="0"/>
              <w:ind w:left="0" w:right="0" w:hanging="0"/>
              <w:rPr/>
            </w:pPr>
            <w:r>
              <w:rPr/>
              <w:t> </w:t>
            </w:r>
          </w:p>
        </w:tc>
      </w:tr>
      <w:tr>
        <w:trPr/>
        <w:tc>
          <w:tcPr>
            <w:tcW w:w="143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23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2020</w:t>
            </w:r>
          </w:p>
        </w:tc>
        <w:tc>
          <w:tcPr>
            <w:tcW w:w="1145" w:type="dxa"/>
            <w:tcBorders/>
            <w:shd w:fill="auto" w:val="clear"/>
            <w:vAlign w:val="center"/>
          </w:tcPr>
          <w:p>
            <w:pPr>
              <w:pStyle w:val="TableContents"/>
              <w:spacing w:before="0" w:after="0"/>
              <w:ind w:left="0" w:right="0" w:hanging="0"/>
              <w:rPr/>
            </w:pPr>
            <w:r>
              <w:rPr/>
              <w:t> </w:t>
            </w:r>
          </w:p>
        </w:tc>
        <w:tc>
          <w:tcPr>
            <w:tcW w:w="179" w:type="dxa"/>
            <w:tcBorders/>
            <w:shd w:fill="auto" w:val="clear"/>
            <w:vAlign w:val="center"/>
          </w:tcPr>
          <w:p>
            <w:pPr>
              <w:pStyle w:val="TableContents"/>
              <w:spacing w:before="0" w:after="0"/>
              <w:ind w:left="0" w:right="0" w:hanging="0"/>
              <w:rPr/>
            </w:pPr>
            <w:r>
              <w:rPr/>
              <w:t> </w:t>
            </w:r>
          </w:p>
        </w:tc>
        <w:tc>
          <w:tcPr>
            <w:tcW w:w="151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2019</w:t>
            </w:r>
          </w:p>
        </w:tc>
        <w:tc>
          <w:tcPr>
            <w:tcW w:w="620" w:type="dxa"/>
            <w:tcBorders/>
            <w:shd w:fill="auto" w:val="clear"/>
            <w:vAlign w:val="center"/>
          </w:tcPr>
          <w:p>
            <w:pPr>
              <w:pStyle w:val="TableContents"/>
              <w:spacing w:before="0" w:after="0"/>
              <w:ind w:left="0" w:right="0" w:hanging="0"/>
              <w:rPr/>
            </w:pPr>
            <w:r>
              <w:rPr/>
              <w:t> </w:t>
            </w:r>
          </w:p>
        </w:tc>
      </w:tr>
      <w:tr>
        <w:trPr/>
        <w:tc>
          <w:tcPr>
            <w:tcW w:w="143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239" w:type="dxa"/>
            <w:gridSpan w:val="2"/>
            <w:tcBorders/>
            <w:shd w:fill="auto" w:val="clear"/>
            <w:vAlign w:val="center"/>
          </w:tcPr>
          <w:p>
            <w:pPr>
              <w:pStyle w:val="TableContents"/>
              <w:spacing w:before="0" w:after="0"/>
              <w:ind w:left="0" w:right="0" w:hanging="0"/>
              <w:jc w:val="center"/>
              <w:rPr/>
            </w:pPr>
            <w:r>
              <w:rPr>
                <w:rStyle w:val="StrongEmphasis"/>
              </w:rPr>
              <w:t>("2019/2020 Treaty")</w:t>
            </w:r>
          </w:p>
        </w:tc>
        <w:tc>
          <w:tcPr>
            <w:tcW w:w="1145" w:type="dxa"/>
            <w:tcBorders/>
            <w:shd w:fill="auto" w:val="clear"/>
            <w:vAlign w:val="center"/>
          </w:tcPr>
          <w:p>
            <w:pPr>
              <w:pStyle w:val="TableContents"/>
              <w:spacing w:before="0" w:after="0"/>
              <w:ind w:left="0" w:right="0" w:hanging="0"/>
              <w:rPr/>
            </w:pPr>
            <w:r>
              <w:rPr/>
              <w:t> </w:t>
            </w:r>
          </w:p>
        </w:tc>
        <w:tc>
          <w:tcPr>
            <w:tcW w:w="179" w:type="dxa"/>
            <w:tcBorders/>
            <w:shd w:fill="auto" w:val="clear"/>
            <w:vAlign w:val="center"/>
          </w:tcPr>
          <w:p>
            <w:pPr>
              <w:pStyle w:val="TableContents"/>
              <w:spacing w:before="0" w:after="0"/>
              <w:ind w:left="0" w:right="0" w:hanging="0"/>
              <w:rPr/>
            </w:pPr>
            <w:r>
              <w:rPr/>
              <w:t> </w:t>
            </w:r>
          </w:p>
        </w:tc>
        <w:tc>
          <w:tcPr>
            <w:tcW w:w="1519" w:type="dxa"/>
            <w:gridSpan w:val="2"/>
            <w:tcBorders/>
            <w:shd w:fill="auto" w:val="clear"/>
            <w:vAlign w:val="center"/>
          </w:tcPr>
          <w:p>
            <w:pPr>
              <w:pStyle w:val="TableContents"/>
              <w:spacing w:before="0" w:after="0"/>
              <w:ind w:left="0" w:right="0" w:hanging="0"/>
              <w:jc w:val="center"/>
              <w:rPr/>
            </w:pPr>
            <w:r>
              <w:rPr>
                <w:rStyle w:val="StrongEmphasis"/>
              </w:rPr>
              <w:t xml:space="preserve">("2018/2019 </w:t>
            </w:r>
          </w:p>
          <w:p>
            <w:pPr>
              <w:pStyle w:val="TableContents"/>
              <w:spacing w:before="0" w:after="0"/>
              <w:ind w:left="0" w:right="0" w:hanging="0"/>
              <w:jc w:val="center"/>
              <w:rPr/>
            </w:pPr>
            <w:r>
              <w:rPr>
                <w:rStyle w:val="StrongEmphasis"/>
              </w:rPr>
              <w:t>Treaty Year")</w:t>
            </w:r>
          </w:p>
        </w:tc>
        <w:tc>
          <w:tcPr>
            <w:tcW w:w="620" w:type="dxa"/>
            <w:tcBorders/>
            <w:shd w:fill="auto" w:val="clear"/>
            <w:vAlign w:val="center"/>
          </w:tcPr>
          <w:p>
            <w:pPr>
              <w:pStyle w:val="TableContents"/>
              <w:spacing w:before="0" w:after="0"/>
              <w:ind w:left="0" w:right="0" w:hanging="0"/>
              <w:rPr/>
            </w:pPr>
            <w:r>
              <w:rPr/>
              <w:t> </w:t>
            </w:r>
          </w:p>
        </w:tc>
      </w:tr>
      <w:tr>
        <w:trPr/>
        <w:tc>
          <w:tcPr>
            <w:tcW w:w="143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239" w:type="dxa"/>
            <w:gridSpan w:val="2"/>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0"/>
              <w:ind w:left="0" w:right="0" w:hanging="0"/>
              <w:rPr/>
            </w:pPr>
            <w:r>
              <w:rPr/>
              <w:t> </w:t>
            </w:r>
          </w:p>
        </w:tc>
        <w:tc>
          <w:tcPr>
            <w:tcW w:w="179" w:type="dxa"/>
            <w:tcBorders/>
            <w:shd w:fill="auto" w:val="clear"/>
            <w:vAlign w:val="center"/>
          </w:tcPr>
          <w:p>
            <w:pPr>
              <w:pStyle w:val="TableContents"/>
              <w:spacing w:before="0" w:after="0"/>
              <w:ind w:left="0" w:right="0" w:hanging="0"/>
              <w:rPr/>
            </w:pPr>
            <w:r>
              <w:rPr/>
              <w:t> </w:t>
            </w:r>
          </w:p>
        </w:tc>
        <w:tc>
          <w:tcPr>
            <w:tcW w:w="1519" w:type="dxa"/>
            <w:gridSpan w:val="2"/>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0"/>
              <w:ind w:left="0" w:right="0" w:hanging="0"/>
              <w:rPr/>
            </w:pPr>
            <w:r>
              <w:rPr/>
              <w:t> </w:t>
            </w:r>
          </w:p>
        </w:tc>
      </w:tr>
      <w:tr>
        <w:trPr/>
        <w:tc>
          <w:tcPr>
            <w:tcW w:w="3759" w:type="dxa"/>
            <w:gridSpan w:val="4"/>
            <w:tcBorders/>
            <w:shd w:fill="auto" w:val="clear"/>
            <w:vAlign w:val="center"/>
          </w:tcPr>
          <w:p>
            <w:pPr>
              <w:pStyle w:val="TableContents"/>
              <w:spacing w:before="0" w:after="0"/>
              <w:ind w:left="0" w:right="0" w:hanging="0"/>
              <w:rPr/>
            </w:pPr>
            <w:r>
              <w:rPr>
                <w:rStyle w:val="StrongEmphasis"/>
              </w:rPr>
              <w:t xml:space="preserve">Quota share reinsurance rates </w:t>
            </w:r>
          </w:p>
        </w:tc>
        <w:tc>
          <w:tcPr>
            <w:tcW w:w="1145" w:type="dxa"/>
            <w:tcBorders/>
            <w:shd w:fill="auto" w:val="clear"/>
            <w:vAlign w:val="center"/>
          </w:tcPr>
          <w:p>
            <w:pPr>
              <w:pStyle w:val="TableContents"/>
              <w:spacing w:before="0" w:after="0"/>
              <w:ind w:left="0" w:right="0" w:hanging="0"/>
              <w:rPr/>
            </w:pPr>
            <w:r>
              <w:rPr/>
              <w:t> </w:t>
            </w:r>
          </w:p>
        </w:tc>
        <w:tc>
          <w:tcPr>
            <w:tcW w:w="179" w:type="dxa"/>
            <w:tcBorders/>
            <w:shd w:fill="auto" w:val="clear"/>
            <w:vAlign w:val="center"/>
          </w:tcPr>
          <w:p>
            <w:pPr>
              <w:pStyle w:val="TableContents"/>
              <w:spacing w:before="0" w:after="0"/>
              <w:ind w:left="0" w:right="0" w:hanging="0"/>
              <w:rPr/>
            </w:pPr>
            <w:r>
              <w:rPr/>
              <w:t> </w:t>
            </w:r>
          </w:p>
        </w:tc>
        <w:tc>
          <w:tcPr>
            <w:tcW w:w="1519" w:type="dxa"/>
            <w:gridSpan w:val="2"/>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0"/>
              <w:ind w:left="0" w:right="0" w:hanging="0"/>
              <w:rPr/>
            </w:pPr>
            <w:r>
              <w:rPr/>
              <w:t> </w:t>
            </w:r>
          </w:p>
        </w:tc>
      </w:tr>
      <w:tr>
        <w:trPr/>
        <w:tc>
          <w:tcPr>
            <w:tcW w:w="1430" w:type="dxa"/>
            <w:tcBorders/>
            <w:shd w:fill="CCEEFF" w:val="clear"/>
            <w:vAlign w:val="center"/>
          </w:tcPr>
          <w:p>
            <w:pPr>
              <w:pStyle w:val="TableContents"/>
              <w:spacing w:before="0" w:after="0"/>
              <w:ind w:left="225" w:right="0" w:hanging="0"/>
              <w:rPr/>
            </w:pPr>
            <w:r>
              <w:rPr/>
              <w:t xml:space="preserve">Personal lines </w:t>
            </w:r>
          </w:p>
        </w:tc>
        <w:tc>
          <w:tcPr>
            <w:tcW w:w="90" w:type="dxa"/>
            <w:tcBorders/>
            <w:shd w:fill="CCEEFF" w:val="clear"/>
            <w:vAlign w:val="center"/>
          </w:tcPr>
          <w:p>
            <w:pPr>
              <w:pStyle w:val="TableContents"/>
              <w:spacing w:before="0" w:after="0"/>
              <w:ind w:left="0" w:right="0" w:hanging="0"/>
              <w:rPr/>
            </w:pPr>
            <w:r>
              <w:rPr/>
              <w:t> </w:t>
            </w:r>
          </w:p>
        </w:tc>
        <w:tc>
          <w:tcPr>
            <w:tcW w:w="714" w:type="dxa"/>
            <w:tcBorders/>
            <w:shd w:fill="CCEEFF" w:val="clear"/>
            <w:vAlign w:val="center"/>
          </w:tcPr>
          <w:p>
            <w:pPr>
              <w:pStyle w:val="TableContents"/>
              <w:spacing w:before="0" w:after="0"/>
              <w:ind w:left="0" w:right="0" w:hanging="0"/>
              <w:rPr/>
            </w:pPr>
            <w:r>
              <w:rPr/>
              <w:t> </w:t>
            </w:r>
          </w:p>
        </w:tc>
        <w:tc>
          <w:tcPr>
            <w:tcW w:w="1525" w:type="dxa"/>
            <w:tcBorders/>
            <w:shd w:fill="CCEEFF" w:val="clear"/>
            <w:vAlign w:val="center"/>
          </w:tcPr>
          <w:p>
            <w:pPr>
              <w:pStyle w:val="TableContents"/>
              <w:spacing w:before="0" w:after="283"/>
              <w:jc w:val="right"/>
              <w:rPr/>
            </w:pPr>
            <w:r>
              <w:rPr/>
              <w:t>25</w:t>
            </w:r>
          </w:p>
        </w:tc>
        <w:tc>
          <w:tcPr>
            <w:tcW w:w="1145" w:type="dxa"/>
            <w:tcBorders/>
            <w:shd w:fill="CCEEFF" w:val="clear"/>
            <w:vAlign w:val="center"/>
          </w:tcPr>
          <w:p>
            <w:pPr>
              <w:pStyle w:val="TableContents"/>
              <w:spacing w:before="0" w:after="283"/>
              <w:rPr/>
            </w:pPr>
            <w:r>
              <w:rPr/>
              <w:t>% (2)</w:t>
            </w:r>
          </w:p>
        </w:tc>
        <w:tc>
          <w:tcPr>
            <w:tcW w:w="179" w:type="dxa"/>
            <w:tcBorders/>
            <w:shd w:fill="CCEEFF" w:val="clear"/>
            <w:vAlign w:val="center"/>
          </w:tcPr>
          <w:p>
            <w:pPr>
              <w:pStyle w:val="TableContents"/>
              <w:spacing w:before="0" w:after="0"/>
              <w:ind w:left="0" w:right="0" w:hanging="0"/>
              <w:rPr/>
            </w:pPr>
            <w:r>
              <w:rPr/>
              <w:t> </w:t>
            </w:r>
          </w:p>
        </w:tc>
        <w:tc>
          <w:tcPr>
            <w:tcW w:w="484" w:type="dxa"/>
            <w:tcBorders/>
            <w:shd w:fill="CCEEFF" w:val="clear"/>
            <w:vAlign w:val="center"/>
          </w:tcPr>
          <w:p>
            <w:pPr>
              <w:pStyle w:val="TableContents"/>
              <w:spacing w:before="0" w:after="0"/>
              <w:ind w:left="0" w:right="0" w:hanging="0"/>
              <w:rPr/>
            </w:pPr>
            <w:r>
              <w:rPr/>
              <w:t> </w:t>
            </w:r>
          </w:p>
        </w:tc>
        <w:tc>
          <w:tcPr>
            <w:tcW w:w="1035" w:type="dxa"/>
            <w:tcBorders/>
            <w:shd w:fill="CCEEFF" w:val="clear"/>
            <w:vAlign w:val="center"/>
          </w:tcPr>
          <w:p>
            <w:pPr>
              <w:pStyle w:val="TableContents"/>
              <w:spacing w:before="0" w:after="283"/>
              <w:jc w:val="right"/>
              <w:rPr/>
            </w:pPr>
            <w:r>
              <w:rPr/>
              <w:t>10</w:t>
            </w:r>
          </w:p>
        </w:tc>
        <w:tc>
          <w:tcPr>
            <w:tcW w:w="620" w:type="dxa"/>
            <w:tcBorders/>
            <w:shd w:fill="CCEEFF" w:val="clear"/>
            <w:vAlign w:val="center"/>
          </w:tcPr>
          <w:p>
            <w:pPr>
              <w:pStyle w:val="TableContents"/>
              <w:spacing w:before="0" w:after="283"/>
              <w:rPr/>
            </w:pPr>
            <w:r>
              <w:rPr/>
              <w:t>% (1)</w:t>
            </w:r>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342"/>
        <w:gridCol w:w="9863"/>
      </w:tblGrid>
      <w:tr>
        <w:trPr/>
        <w:tc>
          <w:tcPr>
            <w:tcW w:w="342" w:type="dxa"/>
            <w:tcBorders/>
            <w:shd w:fill="auto" w:val="clear"/>
            <w:vAlign w:val="center"/>
          </w:tcPr>
          <w:p>
            <w:pPr>
              <w:pStyle w:val="TableContents"/>
              <w:spacing w:before="0" w:after="0"/>
              <w:ind w:left="0" w:right="0" w:hanging="0"/>
              <w:rPr/>
            </w:pPr>
            <w:r>
              <w:rPr/>
              <w:t xml:space="preserve">(1) </w:t>
            </w:r>
          </w:p>
        </w:tc>
        <w:tc>
          <w:tcPr>
            <w:tcW w:w="9863" w:type="dxa"/>
            <w:tcBorders/>
            <w:shd w:fill="auto" w:val="clear"/>
            <w:vAlign w:val="center"/>
          </w:tcPr>
          <w:p>
            <w:pPr>
              <w:pStyle w:val="TableContents"/>
              <w:spacing w:before="0" w:after="283"/>
              <w:rPr/>
            </w:pPr>
            <w:r>
              <w:rPr/>
              <w:t>The 2018/2019 Treaty Year, covered under the 2017/2019 Treaty, expired on a run-off basis effective July 1, 2019 through June 30, 2020 (the “2019 Run-off”).</w:t>
            </w:r>
          </w:p>
        </w:tc>
      </w:tr>
      <w:tr>
        <w:trPr/>
        <w:tc>
          <w:tcPr>
            <w:tcW w:w="342" w:type="dxa"/>
            <w:tcBorders/>
            <w:shd w:fill="auto" w:val="clear"/>
            <w:vAlign w:val="center"/>
          </w:tcPr>
          <w:p>
            <w:pPr>
              <w:pStyle w:val="TableContents"/>
              <w:spacing w:before="0" w:after="0"/>
              <w:ind w:left="0" w:right="0" w:hanging="0"/>
              <w:rPr/>
            </w:pPr>
            <w:r>
              <w:rPr/>
              <w:t xml:space="preserve">(2) </w:t>
            </w:r>
          </w:p>
        </w:tc>
        <w:tc>
          <w:tcPr>
            <w:tcW w:w="9863" w:type="dxa"/>
            <w:tcBorders/>
            <w:shd w:fill="auto" w:val="clear"/>
            <w:vAlign w:val="center"/>
          </w:tcPr>
          <w:p>
            <w:pPr>
              <w:pStyle w:val="TableContents"/>
              <w:spacing w:before="0" w:after="283"/>
              <w:rPr/>
            </w:pPr>
            <w:r>
              <w:rPr/>
              <w:t xml:space="preserve">The 2019/2020 Treaty was effective December 15, 2019 with a quota share reinsurance rate of 25%. </w:t>
            </w:r>
          </w:p>
        </w:tc>
      </w:tr>
      <w:tr>
        <w:trPr/>
        <w:tc>
          <w:tcPr>
            <w:tcW w:w="342" w:type="dxa"/>
            <w:tcBorders/>
            <w:shd w:fill="auto" w:val="clear"/>
            <w:vAlign w:val="center"/>
          </w:tcPr>
          <w:p>
            <w:pPr>
              <w:pStyle w:val="TableContents"/>
              <w:spacing w:before="0" w:after="0"/>
              <w:ind w:left="0" w:right="0" w:hanging="0"/>
              <w:rPr/>
            </w:pPr>
            <w:r>
              <w:rPr/>
              <w:t> </w:t>
            </w:r>
          </w:p>
        </w:tc>
        <w:tc>
          <w:tcPr>
            <w:tcW w:w="9863" w:type="dxa"/>
            <w:tcBorders/>
            <w:shd w:fill="auto" w:val="clear"/>
            <w:vAlign w:val="center"/>
          </w:tcPr>
          <w:p>
            <w:pPr>
              <w:pStyle w:val="TableContents"/>
              <w:spacing w:before="0" w:after="0"/>
              <w:ind w:left="0" w:right="0" w:hanging="0"/>
              <w:rPr/>
            </w:pPr>
            <w:r>
              <w:rPr/>
              <w:t xml:space="preserve">See “Reinsurance” below for changes to our personal lines quota share treaty effective December 15, 2019, and July 1, 2019 and 2018. </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Net written premiums increased $1,484,000, or 1.2%, to $127,063,000 in Year Ended 2020 from $125,579,000 in Year Ended 2019. Net written premiums include direct and assumed premiums, less the amount of written premiums ceded under our reinsurance treaties (quota share, excess of loss, and catastrophe). The increase in net written premiums in Year Ended 2020 was attributable to the inception of the 2019/2020 Treaty on December 15, 2019 on a cut-off basis (see table above) and the decrease in commercial lines premiums, which are not subject to a quota share treaty. In Year Ended 2020, our premiums ceded under quota share treaties in force increased by $25,627,000 over the comparable ceded premiums in Year Ended 2019. Our personal lines business was subject to the 2019/2020 Treaty from December 15, 2019 through December 30, 2020. Our personal lines business was subject to the 2017/2019 Treaty under the 2018/2019 Treaty Year through June 30, 2019. Following June 30, 2019, any earned premium and associated claims for policies still in force continued to be ceded under the 10% quota share rate until such policies expired (run-off) over the next year. The 2019 run-off period was from July 1, 2019 through June 30, 2020 and there was no return of unearned premiums under this arrangement. </w:t>
      </w:r>
    </w:p>
    <w:p>
      <w:pPr>
        <w:pStyle w:val="TextBody"/>
        <w:spacing w:before="0" w:after="0"/>
        <w:ind w:left="0" w:right="0" w:hanging="0"/>
        <w:rPr/>
      </w:pPr>
      <w:r>
        <w:rPr/>
        <w:t>  </w:t>
      </w:r>
    </w:p>
    <w:p>
      <w:pPr>
        <w:pStyle w:val="TextBody"/>
        <w:spacing w:before="0" w:after="0"/>
        <w:ind w:left="0" w:right="0" w:firstLine="720"/>
        <w:jc w:val="both"/>
        <w:rPr/>
      </w:pPr>
      <w:r>
        <w:rPr>
          <w:rStyle w:val="Emphasis"/>
          <w:rFonts w:ascii="times new roman" w:hAnsi="times new roman"/>
          <w:sz w:val="20"/>
        </w:rPr>
        <w:t>Excess of loss reinsurance treaties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An increase in written premiums will increase the premiums ceded under our excess of loss treaties. In Year Ended 2020, our ceded excess of loss reinsurance premiums increased by $128,000 over the comparable ceded premiums for Year Ended 2019. The increase was due to an increase in premiums subject to excess of loss reinsurance.</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Catastrophe reinsurance treaty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Most of the premiums written under our personal lines policies are also subject to our catastrophe treaties. An increase in our personal lines business gives rise to more property exposure, which increases our exposure to catastrophe risk; therefore, our premiums ceded under catastrophe treaties will increase. This results in an increase in premiums ceded under our catastrophe treaties provided that reinsurance rates are stable or are increasing. In Year Ended 2020, our premiums ceded under catastrophe treaties increased by $4,624,000 over the comparable ceded premiums in Year Ended 2019. The change was due to an increase in our catastrophe limit purchased through June 30, 2020, partially offset by a decrease in our limit effective July 1, 2020and an increase in reinsurance rates effective July 1, 2019. Through June 30, 2020, our ceded catastrophe premiums were paid based on the total direct written premiums subject to the catastrophe reinsurance treaty. Effective July 1, 2020, and continuing through June 30, 2021, our ceded catastrophe premiums will be paid based on the total insured value of our risks calculated as of August 31, 2021.</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38</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Net premiums earned</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Net premiums earned decreased $19,543,000, or 15.3%, to $108,081,000 in Year Ended 2020 from $127,624,000 in Year Ended 2019. The decrease was due to the inception of the 2019/2020 Treaty on December 15, 2019 and the decrease in commercial lines premiums, which are not subject to a quota share treaty. The expired 2017/2019 Treaty under the 2018/2019 Treaty Year was in run-off through June 30, 2020.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Ceding Commission Revenue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summarizes the changes in the components of ceding commission revenue (in thousands) for the periods indicated:</w:t>
      </w:r>
    </w:p>
    <w:p>
      <w:pPr>
        <w:pStyle w:val="TextBody"/>
        <w:spacing w:before="0" w:after="0"/>
        <w:ind w:left="0" w:right="0" w:hanging="0"/>
        <w:jc w:val="both"/>
        <w:rPr/>
      </w:pPr>
      <w:r>
        <w:rPr/>
        <w:t> </w:t>
      </w:r>
    </w:p>
    <w:tbl>
      <w:tblPr>
        <w:tblW w:w="8174" w:type="dxa"/>
        <w:jc w:val="left"/>
        <w:tblInd w:w="0" w:type="dxa"/>
        <w:tblCellMar>
          <w:top w:w="0" w:type="dxa"/>
          <w:left w:w="0" w:type="dxa"/>
          <w:bottom w:w="0" w:type="dxa"/>
          <w:right w:w="0" w:type="dxa"/>
        </w:tblCellMar>
      </w:tblPr>
      <w:tblGrid>
        <w:gridCol w:w="3845"/>
        <w:gridCol w:w="90"/>
        <w:gridCol w:w="170"/>
        <w:gridCol w:w="710"/>
        <w:gridCol w:w="90"/>
        <w:gridCol w:w="90"/>
        <w:gridCol w:w="170"/>
        <w:gridCol w:w="590"/>
        <w:gridCol w:w="125"/>
        <w:gridCol w:w="90"/>
        <w:gridCol w:w="189"/>
        <w:gridCol w:w="656"/>
        <w:gridCol w:w="90"/>
        <w:gridCol w:w="90"/>
        <w:gridCol w:w="116"/>
        <w:gridCol w:w="773"/>
        <w:gridCol w:w="290"/>
      </w:tblGrid>
      <w:tr>
        <w:trPr/>
        <w:tc>
          <w:tcPr>
            <w:tcW w:w="38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3949" w:type="dxa"/>
            <w:gridSpan w:val="14"/>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Years ended December 31,</w:t>
            </w:r>
          </w:p>
        </w:tc>
        <w:tc>
          <w:tcPr>
            <w:tcW w:w="290" w:type="dxa"/>
            <w:tcBorders/>
            <w:shd w:fill="auto" w:val="clear"/>
            <w:vAlign w:val="center"/>
          </w:tcPr>
          <w:p>
            <w:pPr>
              <w:pStyle w:val="TableContents"/>
              <w:spacing w:before="0" w:after="0"/>
              <w:ind w:left="0" w:right="0" w:hanging="0"/>
              <w:rPr/>
            </w:pPr>
            <w:r>
              <w:rPr/>
              <w:t> </w:t>
            </w:r>
          </w:p>
        </w:tc>
      </w:tr>
      <w:tr>
        <w:trPr/>
        <w:tc>
          <w:tcPr>
            <w:tcW w:w="3845"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Pr>
              <w:t>($ in thousands)</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2020</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2019</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4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Change</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Percent </w:t>
            </w:r>
          </w:p>
        </w:tc>
        <w:tc>
          <w:tcPr>
            <w:tcW w:w="290" w:type="dxa"/>
            <w:tcBorders/>
            <w:shd w:fill="auto" w:val="clear"/>
            <w:vAlign w:val="center"/>
          </w:tcPr>
          <w:p>
            <w:pPr>
              <w:pStyle w:val="TableContents"/>
              <w:spacing w:before="0" w:after="0"/>
              <w:ind w:left="0" w:right="0" w:hanging="0"/>
              <w:rPr/>
            </w:pPr>
            <w:r>
              <w:rPr/>
              <w:t> </w:t>
            </w:r>
          </w:p>
        </w:tc>
      </w:tr>
      <w:tr>
        <w:trPr/>
        <w:tc>
          <w:tcPr>
            <w:tcW w:w="38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60"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45"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9" w:type="dxa"/>
            <w:gridSpan w:val="2"/>
            <w:tcBorders/>
            <w:shd w:fill="auto" w:val="clear"/>
            <w:vAlign w:val="center"/>
          </w:tcPr>
          <w:p>
            <w:pPr>
              <w:pStyle w:val="TableContents"/>
              <w:spacing w:before="0" w:after="0"/>
              <w:ind w:left="0" w:right="0" w:hanging="0"/>
              <w:rPr/>
            </w:pPr>
            <w:r>
              <w:rPr/>
              <w:t> </w:t>
            </w:r>
          </w:p>
        </w:tc>
        <w:tc>
          <w:tcPr>
            <w:tcW w:w="290" w:type="dxa"/>
            <w:tcBorders/>
            <w:shd w:fill="auto" w:val="clear"/>
            <w:vAlign w:val="center"/>
          </w:tcPr>
          <w:p>
            <w:pPr>
              <w:pStyle w:val="TableContents"/>
              <w:spacing w:before="0" w:after="0"/>
              <w:ind w:left="0" w:right="0" w:hanging="0"/>
              <w:rPr/>
            </w:pPr>
            <w:r>
              <w:rPr/>
              <w:t> </w:t>
            </w:r>
          </w:p>
        </w:tc>
      </w:tr>
      <w:tr>
        <w:trPr/>
        <w:tc>
          <w:tcPr>
            <w:tcW w:w="3845" w:type="dxa"/>
            <w:tcBorders/>
            <w:shd w:fill="CCEEFF" w:val="clear"/>
            <w:vAlign w:val="center"/>
          </w:tcPr>
          <w:p>
            <w:pPr>
              <w:pStyle w:val="TableContents"/>
              <w:spacing w:before="0" w:after="0"/>
              <w:ind w:left="0" w:right="0" w:hanging="0"/>
              <w:rPr/>
            </w:pPr>
            <w:r>
              <w:rPr/>
              <w:t xml:space="preserve">Provisional ceding commissions earned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jc w:val="right"/>
              <w:rPr/>
            </w:pPr>
            <w:r>
              <w:rPr/>
              <w:t>14,119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590" w:type="dxa"/>
            <w:tcBorders/>
            <w:shd w:fill="CCEEFF" w:val="clear"/>
            <w:vAlign w:val="center"/>
          </w:tcPr>
          <w:p>
            <w:pPr>
              <w:pStyle w:val="TableContents"/>
              <w:spacing w:before="0" w:after="283"/>
              <w:jc w:val="right"/>
              <w:rPr/>
            </w:pPr>
            <w:r>
              <w:rPr/>
              <w:t>5,446</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9" w:type="dxa"/>
            <w:tcBorders/>
            <w:shd w:fill="CCEEFF" w:val="clear"/>
            <w:vAlign w:val="center"/>
          </w:tcPr>
          <w:p>
            <w:pPr>
              <w:pStyle w:val="TableContents"/>
              <w:spacing w:before="0" w:after="283"/>
              <w:rPr/>
            </w:pPr>
            <w:r>
              <w:rPr/>
              <w:t>$</w:t>
            </w:r>
          </w:p>
        </w:tc>
        <w:tc>
          <w:tcPr>
            <w:tcW w:w="656" w:type="dxa"/>
            <w:tcBorders/>
            <w:shd w:fill="CCEEFF" w:val="clear"/>
            <w:vAlign w:val="center"/>
          </w:tcPr>
          <w:p>
            <w:pPr>
              <w:pStyle w:val="TableContents"/>
              <w:spacing w:before="0" w:after="283"/>
              <w:jc w:val="right"/>
              <w:rPr/>
            </w:pPr>
            <w:r>
              <w:rPr/>
              <w:t>8,673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6" w:type="dxa"/>
            <w:tcBorders/>
            <w:shd w:fill="CCEEFF" w:val="clear"/>
            <w:vAlign w:val="center"/>
          </w:tcPr>
          <w:p>
            <w:pPr>
              <w:pStyle w:val="TableContents"/>
              <w:spacing w:before="0" w:after="0"/>
              <w:ind w:left="0" w:right="0" w:hanging="0"/>
              <w:rPr/>
            </w:pPr>
            <w:r>
              <w:rPr/>
              <w:t> </w:t>
            </w:r>
          </w:p>
        </w:tc>
        <w:tc>
          <w:tcPr>
            <w:tcW w:w="773" w:type="dxa"/>
            <w:tcBorders/>
            <w:shd w:fill="CCEEFF" w:val="clear"/>
            <w:vAlign w:val="center"/>
          </w:tcPr>
          <w:p>
            <w:pPr>
              <w:pStyle w:val="TableContents"/>
              <w:spacing w:before="0" w:after="283"/>
              <w:jc w:val="right"/>
              <w:rPr/>
            </w:pPr>
            <w:r>
              <w:rPr/>
              <w:t>159.3</w:t>
            </w:r>
          </w:p>
        </w:tc>
        <w:tc>
          <w:tcPr>
            <w:tcW w:w="290" w:type="dxa"/>
            <w:tcBorders/>
            <w:shd w:fill="CCEEFF" w:val="clear"/>
            <w:vAlign w:val="center"/>
          </w:tcPr>
          <w:p>
            <w:pPr>
              <w:pStyle w:val="TableContents"/>
              <w:spacing w:before="0" w:after="283"/>
              <w:rPr/>
            </w:pPr>
            <w:r>
              <w:rPr/>
              <w:t>%</w:t>
            </w:r>
          </w:p>
        </w:tc>
      </w:tr>
      <w:tr>
        <w:trPr/>
        <w:tc>
          <w:tcPr>
            <w:tcW w:w="3845" w:type="dxa"/>
            <w:tcBorders/>
            <w:shd w:fill="FFFFFF" w:val="clear"/>
            <w:vAlign w:val="center"/>
          </w:tcPr>
          <w:p>
            <w:pPr>
              <w:pStyle w:val="TableContents"/>
              <w:spacing w:before="0" w:after="0"/>
              <w:ind w:left="0" w:right="0" w:hanging="0"/>
              <w:rPr/>
            </w:pPr>
            <w:r>
              <w:rPr/>
              <w:t xml:space="preserve">Contingent ceding commissions earned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710" w:type="dxa"/>
            <w:tcBorders>
              <w:bottom w:val="single" w:sz="2" w:space="0" w:color="000000"/>
            </w:tcBorders>
            <w:shd w:fill="FFFFFF" w:val="clear"/>
            <w:tcMar>
              <w:bottom w:w="28" w:type="dxa"/>
            </w:tcMar>
            <w:vAlign w:val="center"/>
          </w:tcPr>
          <w:p>
            <w:pPr>
              <w:pStyle w:val="TableContents"/>
              <w:spacing w:before="0" w:after="283"/>
              <w:jc w:val="right"/>
              <w:rPr/>
            </w:pPr>
            <w:r>
              <w:rPr/>
              <w:t>83</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jc w:val="right"/>
              <w:rPr/>
            </w:pPr>
            <w:r>
              <w:rPr/>
              <w:t>(795</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89"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656" w:type="dxa"/>
            <w:tcBorders>
              <w:bottom w:val="single" w:sz="2" w:space="0" w:color="000000"/>
            </w:tcBorders>
            <w:shd w:fill="FFFFFF" w:val="clear"/>
            <w:tcMar>
              <w:bottom w:w="28" w:type="dxa"/>
            </w:tcMar>
            <w:vAlign w:val="center"/>
          </w:tcPr>
          <w:p>
            <w:pPr>
              <w:pStyle w:val="TableContents"/>
              <w:spacing w:before="0" w:after="283"/>
              <w:jc w:val="right"/>
              <w:rPr/>
            </w:pPr>
            <w:r>
              <w:rPr/>
              <w:t>878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16" w:type="dxa"/>
            <w:tcBorders/>
            <w:shd w:fill="FFFFFF" w:val="clear"/>
            <w:vAlign w:val="center"/>
          </w:tcPr>
          <w:p>
            <w:pPr>
              <w:pStyle w:val="TableContents"/>
              <w:spacing w:before="0" w:after="0"/>
              <w:ind w:left="0" w:right="0" w:hanging="0"/>
              <w:rPr/>
            </w:pPr>
            <w:r>
              <w:rPr/>
              <w:t> </w:t>
            </w:r>
          </w:p>
        </w:tc>
        <w:tc>
          <w:tcPr>
            <w:tcW w:w="773" w:type="dxa"/>
            <w:tcBorders/>
            <w:shd w:fill="FFFFFF" w:val="clear"/>
            <w:vAlign w:val="center"/>
          </w:tcPr>
          <w:p>
            <w:pPr>
              <w:pStyle w:val="TableContents"/>
              <w:spacing w:before="0" w:after="283"/>
              <w:jc w:val="right"/>
              <w:rPr/>
            </w:pPr>
            <w:r>
              <w:rPr/>
              <w:t>n/a</w:t>
            </w:r>
          </w:p>
        </w:tc>
        <w:tc>
          <w:tcPr>
            <w:tcW w:w="290" w:type="dxa"/>
            <w:tcBorders/>
            <w:shd w:fill="FFFFFF" w:val="clear"/>
            <w:vAlign w:val="center"/>
          </w:tcPr>
          <w:p>
            <w:pPr>
              <w:pStyle w:val="TableContents"/>
              <w:spacing w:before="0" w:after="0"/>
              <w:ind w:left="0" w:right="0" w:hanging="0"/>
              <w:rPr/>
            </w:pPr>
            <w:r>
              <w:rPr/>
              <w:t> </w:t>
            </w:r>
          </w:p>
        </w:tc>
      </w:tr>
      <w:tr>
        <w:trPr/>
        <w:tc>
          <w:tcPr>
            <w:tcW w:w="38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9" w:type="dxa"/>
            <w:tcBorders/>
            <w:shd w:fill="CCEEFF" w:val="clear"/>
            <w:vAlign w:val="center"/>
          </w:tcPr>
          <w:p>
            <w:pPr>
              <w:pStyle w:val="TableContents"/>
              <w:spacing w:before="0" w:after="0"/>
              <w:ind w:left="0" w:right="0" w:hanging="0"/>
              <w:rPr/>
            </w:pPr>
            <w:r>
              <w:rPr/>
              <w:t> </w:t>
            </w:r>
          </w:p>
        </w:tc>
        <w:tc>
          <w:tcPr>
            <w:tcW w:w="656"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6" w:type="dxa"/>
            <w:tcBorders/>
            <w:shd w:fill="CCEEFF" w:val="clear"/>
            <w:vAlign w:val="center"/>
          </w:tcPr>
          <w:p>
            <w:pPr>
              <w:pStyle w:val="TableContents"/>
              <w:spacing w:before="0" w:after="0"/>
              <w:ind w:left="0" w:right="0" w:hanging="0"/>
              <w:rPr/>
            </w:pPr>
            <w:r>
              <w:rPr/>
              <w:t> </w:t>
            </w:r>
          </w:p>
        </w:tc>
        <w:tc>
          <w:tcPr>
            <w:tcW w:w="773" w:type="dxa"/>
            <w:tcBorders/>
            <w:shd w:fill="CCEEFF" w:val="clear"/>
            <w:vAlign w:val="center"/>
          </w:tcPr>
          <w:p>
            <w:pPr>
              <w:pStyle w:val="TableContents"/>
              <w:spacing w:before="0" w:after="0"/>
              <w:ind w:left="0" w:right="0" w:hanging="0"/>
              <w:rPr/>
            </w:pPr>
            <w:r>
              <w:rPr/>
              <w:t> </w:t>
            </w:r>
          </w:p>
        </w:tc>
        <w:tc>
          <w:tcPr>
            <w:tcW w:w="290" w:type="dxa"/>
            <w:tcBorders/>
            <w:shd w:fill="CCEEFF" w:val="clear"/>
            <w:vAlign w:val="center"/>
          </w:tcPr>
          <w:p>
            <w:pPr>
              <w:pStyle w:val="TableContents"/>
              <w:spacing w:before="0" w:after="0"/>
              <w:ind w:left="0" w:right="0" w:hanging="0"/>
              <w:rPr/>
            </w:pPr>
            <w:r>
              <w:rPr/>
              <w:t> </w:t>
            </w:r>
          </w:p>
        </w:tc>
      </w:tr>
      <w:tr>
        <w:trPr/>
        <w:tc>
          <w:tcPr>
            <w:tcW w:w="3845" w:type="dxa"/>
            <w:tcBorders/>
            <w:shd w:fill="FFFFFF" w:val="clear"/>
            <w:vAlign w:val="center"/>
          </w:tcPr>
          <w:p>
            <w:pPr>
              <w:pStyle w:val="TableContents"/>
              <w:spacing w:before="0" w:after="0"/>
              <w:ind w:left="0" w:right="0" w:hanging="0"/>
              <w:rPr/>
            </w:pPr>
            <w:r>
              <w:rPr/>
              <w:t xml:space="preserve">Total ceding commission revenue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710" w:type="dxa"/>
            <w:tcBorders>
              <w:bottom w:val="double" w:sz="6" w:space="0" w:color="000000"/>
            </w:tcBorders>
            <w:shd w:fill="FFFFFF" w:val="clear"/>
            <w:tcMar>
              <w:bottom w:w="28" w:type="dxa"/>
            </w:tcMar>
            <w:vAlign w:val="center"/>
          </w:tcPr>
          <w:p>
            <w:pPr>
              <w:pStyle w:val="TableContents"/>
              <w:spacing w:before="0" w:after="283"/>
              <w:jc w:val="right"/>
              <w:rPr/>
            </w:pPr>
            <w:r>
              <w:rPr/>
              <w:t>14,202</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590" w:type="dxa"/>
            <w:tcBorders>
              <w:bottom w:val="double" w:sz="6" w:space="0" w:color="000000"/>
            </w:tcBorders>
            <w:shd w:fill="FFFFFF" w:val="clear"/>
            <w:tcMar>
              <w:bottom w:w="28" w:type="dxa"/>
            </w:tcMar>
            <w:vAlign w:val="center"/>
          </w:tcPr>
          <w:p>
            <w:pPr>
              <w:pStyle w:val="TableContents"/>
              <w:spacing w:before="0" w:after="283"/>
              <w:jc w:val="right"/>
              <w:rPr/>
            </w:pPr>
            <w:r>
              <w:rPr/>
              <w:t>4,651</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9" w:type="dxa"/>
            <w:tcBorders>
              <w:bottom w:val="double" w:sz="6" w:space="0" w:color="000000"/>
            </w:tcBorders>
            <w:shd w:fill="FFFFFF" w:val="clear"/>
            <w:tcMar>
              <w:bottom w:w="28" w:type="dxa"/>
            </w:tcMar>
            <w:vAlign w:val="center"/>
          </w:tcPr>
          <w:p>
            <w:pPr>
              <w:pStyle w:val="TableContents"/>
              <w:spacing w:before="0" w:after="283"/>
              <w:rPr/>
            </w:pPr>
            <w:r>
              <w:rPr/>
              <w:t>$</w:t>
            </w:r>
          </w:p>
        </w:tc>
        <w:tc>
          <w:tcPr>
            <w:tcW w:w="656" w:type="dxa"/>
            <w:tcBorders>
              <w:bottom w:val="double" w:sz="6" w:space="0" w:color="000000"/>
            </w:tcBorders>
            <w:shd w:fill="FFFFFF" w:val="clear"/>
            <w:tcMar>
              <w:bottom w:w="28" w:type="dxa"/>
            </w:tcMar>
            <w:vAlign w:val="center"/>
          </w:tcPr>
          <w:p>
            <w:pPr>
              <w:pStyle w:val="TableContents"/>
              <w:spacing w:before="0" w:after="283"/>
              <w:jc w:val="right"/>
              <w:rPr/>
            </w:pPr>
            <w:r>
              <w:rPr/>
              <w:t>9,551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16" w:type="dxa"/>
            <w:tcBorders/>
            <w:shd w:fill="FFFFFF" w:val="clear"/>
            <w:vAlign w:val="center"/>
          </w:tcPr>
          <w:p>
            <w:pPr>
              <w:pStyle w:val="TableContents"/>
              <w:spacing w:before="0" w:after="0"/>
              <w:ind w:left="0" w:right="0" w:hanging="0"/>
              <w:rPr/>
            </w:pPr>
            <w:r>
              <w:rPr/>
              <w:t> </w:t>
            </w:r>
          </w:p>
        </w:tc>
        <w:tc>
          <w:tcPr>
            <w:tcW w:w="773" w:type="dxa"/>
            <w:tcBorders/>
            <w:shd w:fill="FFFFFF" w:val="clear"/>
            <w:vAlign w:val="center"/>
          </w:tcPr>
          <w:p>
            <w:pPr>
              <w:pStyle w:val="TableContents"/>
              <w:spacing w:before="0" w:after="283"/>
              <w:jc w:val="right"/>
              <w:rPr/>
            </w:pPr>
            <w:r>
              <w:rPr/>
              <w:t>205.4</w:t>
            </w:r>
          </w:p>
        </w:tc>
        <w:tc>
          <w:tcPr>
            <w:tcW w:w="290" w:type="dxa"/>
            <w:tcBorders/>
            <w:shd w:fill="FFFFFF" w:val="clear"/>
            <w:vAlign w:val="center"/>
          </w:tcPr>
          <w:p>
            <w:pPr>
              <w:pStyle w:val="TableContents"/>
              <w:spacing w:before="0" w:after="283"/>
              <w:rPr/>
            </w:pPr>
            <w:r>
              <w:rPr/>
              <w:t>%</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Ceding commission revenue was $14,202,000 in Year Ended 2020 compared to $4,651,000 in Year Ended 2019. The increase of $9,551,000, or 205.4%, was due to an increase in both provisional ceding commissions earned and contingent ceding commissions earned. The increase in provisional ceding commissions occurred due to the increase in quota share reinsurance rates effective December 15, 2019 (see below for discussion of provisional ceding commissions earned and contingent ceding commissions earned).</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 xml:space="preserve">Provisional Ceding Commissions Earned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receive a provisional ceding commission based on ceded written premiums. The $8,673,000 increase in provisional ceding commissions earned is primarily due to the increase in the quota share ceding rate effective December 15, 2019 to 25%, from the 10% rate in effect for part of Year Ended 2019. There was an increase in ceded premiums in Year Ended 2020 available from which to earn ceding commissions compared to Year Ended 2019 due to the changes in quota share ceding rates, the elimination of the 10% quota share treaty on effective July 1, 2019, and an increase in personal lines direct written premiums subject to the quota share.</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Contingent Ceding Commissions Earned</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The 2019/2020 Treaty and 2017/2019 Treaty structure calls for a higher upfront provisional ceding commission and there is not an opportunity to earn additional contingent ceding commissions under these treaties. The amount of contingent ceding commissions we are eligible to receive under our prior years’ quota share treaties is subject to change based on losses incurred related to claims with accident dates before July 1, 2017. Under our prior years’ quota share treaties, we received a contingent ceding commission based on a sliding scale in relation to the losses incurred under our quota share treaties. The lower the ceded loss ratio, the more contingent commission we receive.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Net Investment Income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Net investment income was $6,506,000 in Year Ended 2020 compared to $6,869,000 in Year Ended 2019, a decrease of $363,000, or 5.3%. The average yield on invested assets was 3.39% as of December 31, 2020 compared to 3.51% as of December 31, 2019.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39</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Cash and invested assets were $222,314,000 as of December 31, 2020 compared to $231,700,000 as of December 31, 2019. The $9,386,000 decrease in cash and invested assets was primarily attributable to a decrease in operating cash flows for the Year Ended 2020.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Net Gains and Losses on Investments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Net gains on investments were $1,591,000 in Year Ended 2020 compared to net gains of $4,591,000 in Year Ended 2019. Unrealized gains on our equity securities and other investments in Year Ended 2020 were $758,000, compared to unrealized gains of $4,562,000 in Year Ended 2019. Realized gains on sales of investments were $832,000 in Year Ended 2020 compared to realized gains of $29,000 in Year Ended 2019.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Other Income</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 xml:space="preserve">Other income was $990,000 in Year Ended 2020 compared to $1,385,000 in Year Ended 2019. The decrease of $395,000, or 28.5%, was primarily due to a decrease in finance and service charges during Year Ended 2020.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Net Loss and LAE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Net loss and LAE was $66,431,000 in Year Ended 2020 compared to $90,182,000 in Year Ended 2019. The net loss ratio was 61.5% in Year Ended 2020 compared to 70.7% in Year Ended 2019, a decrease of 9.2 percentage points.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40</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graph summarizes the changes in the components of net loss ratio for the periods indicated, along with the comparable components excluding commercial lines business:</w:t>
      </w:r>
    </w:p>
    <w:p>
      <w:pPr>
        <w:pStyle w:val="TextBody"/>
        <w:spacing w:before="0" w:after="0"/>
        <w:ind w:left="0" w:right="0" w:firstLine="720"/>
        <w:jc w:val="both"/>
        <w:rPr/>
      </w:pPr>
      <w:r>
        <w:rPr/>
        <w:t> </w:t>
      </w:r>
    </w:p>
    <w:p>
      <w:pPr>
        <w:pStyle w:val="TextBody"/>
        <w:spacing w:before="0" w:after="0"/>
        <w:ind w:left="0" w:right="0" w:hanging="0"/>
        <w:jc w:val="both"/>
        <w:rPr/>
      </w:pPr>
      <w:r>
        <w:rPr/>
        <w:t> </w:t>
      </w:r>
    </w:p>
    <w:p>
      <w:pPr>
        <w:pStyle w:val="TextBody"/>
        <w:spacing w:before="0" w:after="0"/>
        <w:ind w:left="0" w:right="0" w:hanging="0"/>
        <w:jc w:val="center"/>
        <w:rPr/>
      </w:pPr>
      <w:r>
        <w:rPr/>
        <w:drawing>
          <wp:inline distT="0" distB="0" distL="0" distR="0">
            <wp:extent cx="5838825" cy="435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838825" cy="4352925"/>
                    </a:xfrm>
                    <a:prstGeom prst="rect">
                      <a:avLst/>
                    </a:prstGeom>
                  </pic:spPr>
                </pic:pic>
              </a:graphicData>
            </a:graphic>
          </wp:inline>
        </w:drawing>
      </w:r>
    </w:p>
    <w:p>
      <w:pPr>
        <w:pStyle w:val="TextBody"/>
        <w:spacing w:before="0" w:after="0"/>
        <w:ind w:left="0" w:right="0" w:firstLine="720"/>
        <w:jc w:val="center"/>
        <w:rPr/>
      </w:pPr>
      <w:r>
        <w:rPr>
          <w:rStyle w:val="Emphasis"/>
        </w:rPr>
        <w:t xml:space="preserve">  </w:t>
      </w:r>
    </w:p>
    <w:p>
      <w:pPr>
        <w:pStyle w:val="TextBody"/>
        <w:spacing w:before="0" w:after="0"/>
        <w:ind w:left="0" w:right="0" w:firstLine="720"/>
        <w:jc w:val="center"/>
        <w:rPr/>
      </w:pPr>
      <w:r>
        <w:rPr>
          <w:rStyle w:val="Emphasis"/>
          <w:rFonts w:ascii="times new roman" w:hAnsi="times new roman"/>
          <w:sz w:val="20"/>
        </w:rPr>
        <w:t>(Percent components may not sum to totals due to rounding)</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The net loss ratio was 61.5% for Year Ended 2020. Despite the significant impact from Tropical Storm Isaias in August, the loss ratio for Year Ended 2020 still improved 9.2 points, from 70.7% in Year Ended 2019. The loss ratio improved due to several factors, including a reduced impact from prior year loss development and an improvement in underlying loss ratio driven by reduced severity.</w:t>
      </w:r>
    </w:p>
    <w:p>
      <w:pPr>
        <w:pStyle w:val="TextBody"/>
        <w:spacing w:before="0" w:after="0"/>
        <w:ind w:left="0" w:right="0" w:firstLine="675"/>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Prior year development was stable for Year Ended 2020, with minimal impact on the overall loss ratio. This compared to 8.7 points of unfavorable impact in Year Ended 2019, which was primarily related to adverse loss development from commercial lines business of which there were no in-force policies as of December 31, 2020.</w:t>
      </w:r>
    </w:p>
    <w:p>
      <w:pPr>
        <w:pStyle w:val="TextBody"/>
        <w:spacing w:before="0" w:after="0"/>
        <w:ind w:left="0" w:right="0" w:firstLine="675"/>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The impact of catastrophe losses was larger in Year Ended 2020. The total catastrophe loss ratio for Year Ended 2020 was 10.7 points, compared to 6.0 points for Year Ended 2019. During Tropical Storm Isaias we incurred $8.125 million of losses, or a 7.5-point impact on the overall loss ratio. There were 13 PCS catastrophe events (excluding Tropical Storm Isaias) during Year Ended 2020, with a 3.2-point impact on the overall loss ratio compared to 9 PCS catastrophe events during Year Ended 2019 with a 6.0-point impact on the overall loss ratio as noted above.</w:t>
      </w:r>
    </w:p>
    <w:p>
      <w:pPr>
        <w:pStyle w:val="TextBody"/>
        <w:spacing w:before="0" w:after="0"/>
        <w:ind w:left="0" w:right="0" w:firstLine="675"/>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The underlying loss ratio (loss ratio excluding impact of catastrophe and prior year development) was 50.7% for Year Ended 2020, a decrease of 5.3 points from the 56.0% underlying loss ratio for Year Ended 2019. The improvement was primarily due to reduced severity and our exit from the commercial liability lines of business. Excluding commercial lines, the underlying loss ratio improved 3.3 points to 49.8% for Year Ended 2020 compared to from 53.1% for Year Ended 2019.</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41</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Commission Expense</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 xml:space="preserve">Commission expense was $31,828,000 in Year Ended 2020 or 18.8% of direct earned premiums. Commission expense was $30,093,000 in Year Ended 2019 or 18.8% of direct earned premiums. The increase of $1,735,000 is primarily due to the increase in direct earned premiums in Year Ended 2020 as compared to Year Ended 2019.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Other Underwriting Expenses</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 xml:space="preserve">Other underwriting expenses were $25,425,000 in Year Ended 2020 compared to $24,420,000 in Year Ended 2019. The increase of $1,005,000, or 4.1%, was primarily due to expenses related to growth in personal lines direct written premiums and salaries. Expenses directly related to the increase in personal lines direct written premiums primarily consist of underwriting expenses, software usage fees, and state premium taxes. Expenses indirectly related to the increase in personal lines direct written premiums primarily consist of salaries along with related other employment costs. </w:t>
      </w:r>
    </w:p>
    <w:p>
      <w:pPr>
        <w:pStyle w:val="TextBody"/>
        <w:spacing w:before="0" w:after="0"/>
        <w:ind w:left="0" w:right="0" w:firstLine="675"/>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 xml:space="preserve">Our largest single component of other underwriting expenses is salaries and employment costs, with costs of $10,830,000 in Year Ended 2020 compared to $10,358,000 in Year Ended 2019. The increase of $472,000, or 4.6%, was less than the 8.2% increase in personal lines direct written premiums. The increase in employment costs was attributable to the hiring of additional highly experienced management and separation payments to terminated employees, offset by staff reductions. </w:t>
      </w:r>
    </w:p>
    <w:p>
      <w:pPr>
        <w:pStyle w:val="TextBody"/>
        <w:spacing w:before="0" w:after="0"/>
        <w:ind w:left="0" w:right="0" w:firstLine="675"/>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Our net underwriting expense ratio in Year Ended 2020 was 38.9% compared to 38.0% in Year Ended 2019. The following table shows the individual components of our net underwriting expense ratio for the periods indicated:</w:t>
      </w:r>
    </w:p>
    <w:p>
      <w:pPr>
        <w:pStyle w:val="TextBody"/>
        <w:spacing w:before="0" w:after="0"/>
        <w:ind w:left="0" w:right="0" w:hanging="0"/>
        <w:jc w:val="both"/>
        <w:rPr/>
      </w:pPr>
      <w:r>
        <w:rPr/>
        <w:t> </w:t>
      </w:r>
    </w:p>
    <w:tbl>
      <w:tblPr>
        <w:tblW w:w="7893" w:type="dxa"/>
        <w:jc w:val="left"/>
        <w:tblInd w:w="0" w:type="dxa"/>
        <w:tblCellMar>
          <w:top w:w="0" w:type="dxa"/>
          <w:left w:w="0" w:type="dxa"/>
          <w:bottom w:w="0" w:type="dxa"/>
          <w:right w:w="0" w:type="dxa"/>
        </w:tblCellMar>
      </w:tblPr>
      <w:tblGrid>
        <w:gridCol w:w="4295"/>
        <w:gridCol w:w="90"/>
        <w:gridCol w:w="90"/>
        <w:gridCol w:w="545"/>
        <w:gridCol w:w="245"/>
        <w:gridCol w:w="90"/>
        <w:gridCol w:w="94"/>
        <w:gridCol w:w="495"/>
        <w:gridCol w:w="245"/>
        <w:gridCol w:w="90"/>
        <w:gridCol w:w="252"/>
        <w:gridCol w:w="1192"/>
        <w:gridCol w:w="170"/>
      </w:tblGrid>
      <w:tr>
        <w:trPr/>
        <w:tc>
          <w:tcPr>
            <w:tcW w:w="429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559" w:type="dxa"/>
            <w:gridSpan w:val="6"/>
            <w:tcBorders/>
            <w:shd w:fill="auto" w:val="clear"/>
            <w:vAlign w:val="center"/>
          </w:tcPr>
          <w:p>
            <w:pPr>
              <w:pStyle w:val="TableContents"/>
              <w:spacing w:before="0" w:after="0"/>
              <w:ind w:left="0" w:right="0" w:hanging="0"/>
              <w:jc w:val="center"/>
              <w:rPr/>
            </w:pPr>
            <w:r>
              <w:rPr>
                <w:rStyle w:val="StrongEmphasis"/>
              </w:rPr>
              <w:t xml:space="preserve">Year ended </w:t>
            </w:r>
          </w:p>
        </w:tc>
        <w:tc>
          <w:tcPr>
            <w:tcW w:w="245"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444" w:type="dxa"/>
            <w:gridSpan w:val="2"/>
            <w:tcBorders/>
            <w:shd w:fill="auto" w:val="clear"/>
            <w:vAlign w:val="center"/>
          </w:tcPr>
          <w:p>
            <w:pPr>
              <w:pStyle w:val="TableContents"/>
              <w:spacing w:before="0" w:after="0"/>
              <w:ind w:left="0" w:right="0" w:hanging="0"/>
              <w:jc w:val="center"/>
              <w:rPr/>
            </w:pPr>
            <w:r>
              <w:rPr/>
              <w:t> </w:t>
            </w:r>
          </w:p>
        </w:tc>
        <w:tc>
          <w:tcPr>
            <w:tcW w:w="170" w:type="dxa"/>
            <w:tcBorders/>
            <w:shd w:fill="auto" w:val="clear"/>
            <w:vAlign w:val="center"/>
          </w:tcPr>
          <w:p>
            <w:pPr>
              <w:pStyle w:val="TableContents"/>
              <w:spacing w:before="0" w:after="0"/>
              <w:ind w:left="0" w:right="0" w:hanging="0"/>
              <w:jc w:val="center"/>
              <w:rPr/>
            </w:pPr>
            <w:r>
              <w:rPr/>
              <w:t> </w:t>
            </w:r>
          </w:p>
        </w:tc>
      </w:tr>
      <w:tr>
        <w:trPr/>
        <w:tc>
          <w:tcPr>
            <w:tcW w:w="4295"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559"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December 31, </w:t>
            </w:r>
          </w:p>
        </w:tc>
        <w:tc>
          <w:tcPr>
            <w:tcW w:w="245"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444" w:type="dxa"/>
            <w:gridSpan w:val="2"/>
            <w:tcBorders/>
            <w:shd w:fill="auto" w:val="clear"/>
            <w:vAlign w:val="center"/>
          </w:tcPr>
          <w:p>
            <w:pPr>
              <w:pStyle w:val="TableContents"/>
              <w:spacing w:before="0" w:after="0"/>
              <w:ind w:left="0" w:right="0" w:hanging="0"/>
              <w:jc w:val="center"/>
              <w:rPr/>
            </w:pPr>
            <w:r>
              <w:rPr>
                <w:rStyle w:val="StrongEmphasis"/>
              </w:rPr>
              <w:t>Percentage</w:t>
            </w:r>
          </w:p>
        </w:tc>
        <w:tc>
          <w:tcPr>
            <w:tcW w:w="170" w:type="dxa"/>
            <w:tcBorders/>
            <w:shd w:fill="auto" w:val="clear"/>
            <w:vAlign w:val="center"/>
          </w:tcPr>
          <w:p>
            <w:pPr>
              <w:pStyle w:val="TableContents"/>
              <w:spacing w:before="0" w:after="0"/>
              <w:ind w:left="0" w:right="0" w:hanging="0"/>
              <w:jc w:val="center"/>
              <w:rPr/>
            </w:pPr>
            <w:r>
              <w:rPr/>
              <w:t> </w:t>
            </w:r>
          </w:p>
        </w:tc>
      </w:tr>
      <w:tr>
        <w:trPr/>
        <w:tc>
          <w:tcPr>
            <w:tcW w:w="4295"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63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2020 </w:t>
            </w:r>
          </w:p>
        </w:tc>
        <w:tc>
          <w:tcPr>
            <w:tcW w:w="245"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58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2019 </w:t>
            </w:r>
          </w:p>
        </w:tc>
        <w:tc>
          <w:tcPr>
            <w:tcW w:w="245"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44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Point Change</w:t>
            </w:r>
          </w:p>
        </w:tc>
        <w:tc>
          <w:tcPr>
            <w:tcW w:w="170" w:type="dxa"/>
            <w:tcBorders/>
            <w:shd w:fill="auto" w:val="clear"/>
            <w:vAlign w:val="center"/>
          </w:tcPr>
          <w:p>
            <w:pPr>
              <w:pStyle w:val="TableContents"/>
              <w:spacing w:before="0" w:after="0"/>
              <w:ind w:left="0" w:right="0" w:hanging="0"/>
              <w:rPr/>
            </w:pPr>
            <w:r>
              <w:rPr/>
              <w:t> </w:t>
            </w:r>
          </w:p>
        </w:tc>
      </w:tr>
      <w:tr>
        <w:trPr/>
        <w:tc>
          <w:tcPr>
            <w:tcW w:w="429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635"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589"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44" w:type="dxa"/>
            <w:gridSpan w:val="2"/>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r>
      <w:tr>
        <w:trPr/>
        <w:tc>
          <w:tcPr>
            <w:tcW w:w="4295" w:type="dxa"/>
            <w:tcBorders/>
            <w:shd w:fill="auto" w:val="clear"/>
            <w:vAlign w:val="center"/>
          </w:tcPr>
          <w:p>
            <w:pPr>
              <w:pStyle w:val="TableContents"/>
              <w:spacing w:before="0" w:after="0"/>
              <w:ind w:left="0" w:right="0" w:hanging="0"/>
              <w:rPr/>
            </w:pPr>
            <w:r>
              <w:rPr/>
              <w:t xml:space="preserve">Other underwriting expenses </w:t>
            </w:r>
          </w:p>
        </w:tc>
        <w:tc>
          <w:tcPr>
            <w:tcW w:w="90" w:type="dxa"/>
            <w:tcBorders/>
            <w:shd w:fill="auto" w:val="clear"/>
            <w:vAlign w:val="center"/>
          </w:tcPr>
          <w:p>
            <w:pPr>
              <w:pStyle w:val="TableContents"/>
              <w:spacing w:before="0" w:after="0"/>
              <w:ind w:left="0" w:right="0" w:hanging="0"/>
              <w:rPr/>
            </w:pPr>
            <w:r>
              <w:rPr/>
              <w:t> </w:t>
            </w:r>
          </w:p>
        </w:tc>
        <w:tc>
          <w:tcPr>
            <w:tcW w:w="635"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589"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44" w:type="dxa"/>
            <w:gridSpan w:val="2"/>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r>
      <w:tr>
        <w:trPr/>
        <w:tc>
          <w:tcPr>
            <w:tcW w:w="4295" w:type="dxa"/>
            <w:tcBorders/>
            <w:shd w:fill="CCEEFF" w:val="clear"/>
            <w:vAlign w:val="center"/>
          </w:tcPr>
          <w:p>
            <w:pPr>
              <w:pStyle w:val="TableContents"/>
              <w:spacing w:before="0" w:after="0"/>
              <w:ind w:left="450" w:right="0" w:hanging="0"/>
              <w:rPr/>
            </w:pPr>
            <w:r>
              <w:rPr/>
              <w:t>Employment costs</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545" w:type="dxa"/>
            <w:tcBorders/>
            <w:shd w:fill="CCEEFF" w:val="clear"/>
            <w:vAlign w:val="center"/>
          </w:tcPr>
          <w:p>
            <w:pPr>
              <w:pStyle w:val="TableContents"/>
              <w:spacing w:before="0" w:after="283"/>
              <w:jc w:val="right"/>
              <w:rPr/>
            </w:pPr>
            <w:r>
              <w:rPr/>
              <w:t>10.0</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94" w:type="dxa"/>
            <w:tcBorders/>
            <w:shd w:fill="CCEEFF" w:val="clear"/>
            <w:vAlign w:val="center"/>
          </w:tcPr>
          <w:p>
            <w:pPr>
              <w:pStyle w:val="TableContents"/>
              <w:spacing w:before="0" w:after="0"/>
              <w:ind w:left="0" w:right="0" w:hanging="0"/>
              <w:rPr/>
            </w:pPr>
            <w:r>
              <w:rPr/>
              <w:t> </w:t>
            </w:r>
          </w:p>
        </w:tc>
        <w:tc>
          <w:tcPr>
            <w:tcW w:w="495" w:type="dxa"/>
            <w:tcBorders/>
            <w:shd w:fill="CCEEFF" w:val="clear"/>
            <w:vAlign w:val="center"/>
          </w:tcPr>
          <w:p>
            <w:pPr>
              <w:pStyle w:val="TableContents"/>
              <w:spacing w:before="0" w:after="283"/>
              <w:jc w:val="right"/>
              <w:rPr/>
            </w:pPr>
            <w:r>
              <w:rPr/>
              <w:t>8.1</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252" w:type="dxa"/>
            <w:tcBorders/>
            <w:shd w:fill="CCEEFF" w:val="clear"/>
            <w:vAlign w:val="center"/>
          </w:tcPr>
          <w:p>
            <w:pPr>
              <w:pStyle w:val="TableContents"/>
              <w:spacing w:before="0" w:after="0"/>
              <w:ind w:left="0" w:right="0" w:hanging="0"/>
              <w:rPr/>
            </w:pPr>
            <w:r>
              <w:rPr/>
              <w:t> </w:t>
            </w:r>
          </w:p>
        </w:tc>
        <w:tc>
          <w:tcPr>
            <w:tcW w:w="1192" w:type="dxa"/>
            <w:tcBorders/>
            <w:shd w:fill="CCEEFF" w:val="clear"/>
            <w:vAlign w:val="center"/>
          </w:tcPr>
          <w:p>
            <w:pPr>
              <w:pStyle w:val="TableContents"/>
              <w:spacing w:before="0" w:after="283"/>
              <w:jc w:val="right"/>
              <w:rPr/>
            </w:pPr>
            <w:r>
              <w:rPr/>
              <w:t>1.9</w:t>
            </w:r>
          </w:p>
        </w:tc>
        <w:tc>
          <w:tcPr>
            <w:tcW w:w="170" w:type="dxa"/>
            <w:tcBorders/>
            <w:shd w:fill="CCEEFF" w:val="clear"/>
            <w:vAlign w:val="center"/>
          </w:tcPr>
          <w:p>
            <w:pPr>
              <w:pStyle w:val="TableContents"/>
              <w:spacing w:before="0" w:after="0"/>
              <w:ind w:left="0" w:right="0" w:hanging="0"/>
              <w:rPr/>
            </w:pPr>
            <w:r>
              <w:rPr/>
              <w:t> </w:t>
            </w:r>
          </w:p>
        </w:tc>
      </w:tr>
      <w:tr>
        <w:trPr/>
        <w:tc>
          <w:tcPr>
            <w:tcW w:w="4295" w:type="dxa"/>
            <w:tcBorders/>
            <w:shd w:fill="FFFFFF" w:val="clear"/>
            <w:vAlign w:val="center"/>
          </w:tcPr>
          <w:p>
            <w:pPr>
              <w:pStyle w:val="TableContents"/>
              <w:spacing w:before="0" w:after="0"/>
              <w:ind w:left="450" w:right="0" w:hanging="0"/>
              <w:rPr/>
            </w:pPr>
            <w:r>
              <w:rPr/>
              <w:t>Underwriting fees (inspections/data services)</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545" w:type="dxa"/>
            <w:tcBorders/>
            <w:shd w:fill="FFFFFF" w:val="clear"/>
            <w:vAlign w:val="center"/>
          </w:tcPr>
          <w:p>
            <w:pPr>
              <w:pStyle w:val="TableContents"/>
              <w:spacing w:before="0" w:after="283"/>
              <w:jc w:val="right"/>
              <w:rPr/>
            </w:pPr>
            <w:r>
              <w:rPr/>
              <w:t>2.6</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4" w:type="dxa"/>
            <w:tcBorders/>
            <w:shd w:fill="FFFFFF" w:val="clear"/>
            <w:vAlign w:val="center"/>
          </w:tcPr>
          <w:p>
            <w:pPr>
              <w:pStyle w:val="TableContents"/>
              <w:spacing w:before="0" w:after="0"/>
              <w:ind w:left="0" w:right="0" w:hanging="0"/>
              <w:rPr/>
            </w:pPr>
            <w:r>
              <w:rPr/>
              <w:t> </w:t>
            </w:r>
          </w:p>
        </w:tc>
        <w:tc>
          <w:tcPr>
            <w:tcW w:w="495" w:type="dxa"/>
            <w:tcBorders/>
            <w:shd w:fill="FFFFFF" w:val="clear"/>
            <w:vAlign w:val="center"/>
          </w:tcPr>
          <w:p>
            <w:pPr>
              <w:pStyle w:val="TableContents"/>
              <w:spacing w:before="0" w:after="283"/>
              <w:jc w:val="right"/>
              <w:rPr/>
            </w:pPr>
            <w:r>
              <w:rPr/>
              <w:t>2.4</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52" w:type="dxa"/>
            <w:tcBorders/>
            <w:shd w:fill="FFFFFF" w:val="clear"/>
            <w:vAlign w:val="center"/>
          </w:tcPr>
          <w:p>
            <w:pPr>
              <w:pStyle w:val="TableContents"/>
              <w:spacing w:before="0" w:after="0"/>
              <w:ind w:left="0" w:right="0" w:hanging="0"/>
              <w:rPr/>
            </w:pPr>
            <w:r>
              <w:rPr/>
              <w:t> </w:t>
            </w:r>
          </w:p>
        </w:tc>
        <w:tc>
          <w:tcPr>
            <w:tcW w:w="1192" w:type="dxa"/>
            <w:tcBorders/>
            <w:shd w:fill="FFFFFF" w:val="clear"/>
            <w:vAlign w:val="center"/>
          </w:tcPr>
          <w:p>
            <w:pPr>
              <w:pStyle w:val="TableContents"/>
              <w:spacing w:before="0" w:after="283"/>
              <w:jc w:val="right"/>
              <w:rPr/>
            </w:pPr>
            <w:r>
              <w:rPr/>
              <w:t>0.2</w:t>
            </w:r>
          </w:p>
        </w:tc>
        <w:tc>
          <w:tcPr>
            <w:tcW w:w="170" w:type="dxa"/>
            <w:tcBorders/>
            <w:shd w:fill="FFFFFF" w:val="clear"/>
            <w:vAlign w:val="center"/>
          </w:tcPr>
          <w:p>
            <w:pPr>
              <w:pStyle w:val="TableContents"/>
              <w:spacing w:before="0" w:after="0"/>
              <w:ind w:left="0" w:right="0" w:hanging="0"/>
              <w:rPr/>
            </w:pPr>
            <w:r>
              <w:rPr/>
              <w:t> </w:t>
            </w:r>
          </w:p>
        </w:tc>
      </w:tr>
      <w:tr>
        <w:trPr/>
        <w:tc>
          <w:tcPr>
            <w:tcW w:w="4295" w:type="dxa"/>
            <w:tcBorders/>
            <w:shd w:fill="CCEEFF" w:val="clear"/>
            <w:vAlign w:val="center"/>
          </w:tcPr>
          <w:p>
            <w:pPr>
              <w:pStyle w:val="TableContents"/>
              <w:spacing w:before="0" w:after="0"/>
              <w:ind w:left="450" w:right="0" w:hanging="0"/>
              <w:rPr/>
            </w:pPr>
            <w:r>
              <w:rPr/>
              <w:t xml:space="preserve">Other expenses </w:t>
            </w:r>
          </w:p>
        </w:tc>
        <w:tc>
          <w:tcPr>
            <w:tcW w:w="90" w:type="dxa"/>
            <w:tcBorders/>
            <w:shd w:fill="CCEEFF" w:val="clear"/>
            <w:vAlign w:val="center"/>
          </w:tcPr>
          <w:p>
            <w:pPr>
              <w:pStyle w:val="TableContents"/>
              <w:spacing w:before="0" w:after="0"/>
              <w:ind w:left="0" w:right="0" w:hanging="0"/>
              <w:rPr/>
            </w:pPr>
            <w:r>
              <w:rPr/>
              <w:t> </w:t>
            </w:r>
          </w:p>
        </w:tc>
        <w:tc>
          <w:tcPr>
            <w:tcW w:w="9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45" w:type="dxa"/>
            <w:tcBorders>
              <w:bottom w:val="single" w:sz="2" w:space="0" w:color="000000"/>
            </w:tcBorders>
            <w:shd w:fill="CCEEFF" w:val="clear"/>
            <w:tcMar>
              <w:bottom w:w="28" w:type="dxa"/>
            </w:tcMar>
            <w:vAlign w:val="center"/>
          </w:tcPr>
          <w:p>
            <w:pPr>
              <w:pStyle w:val="TableContents"/>
              <w:spacing w:before="0" w:after="283"/>
              <w:jc w:val="right"/>
              <w:rPr/>
            </w:pPr>
            <w:r>
              <w:rPr/>
              <w:t>11.0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495" w:type="dxa"/>
            <w:tcBorders>
              <w:bottom w:val="single" w:sz="2" w:space="0" w:color="000000"/>
            </w:tcBorders>
            <w:shd w:fill="CCEEFF" w:val="clear"/>
            <w:tcMar>
              <w:bottom w:w="28" w:type="dxa"/>
            </w:tcMar>
            <w:vAlign w:val="center"/>
          </w:tcPr>
          <w:p>
            <w:pPr>
              <w:pStyle w:val="TableContents"/>
              <w:spacing w:before="0" w:after="283"/>
              <w:jc w:val="right"/>
              <w:rPr/>
            </w:pPr>
            <w:r>
              <w:rPr/>
              <w:t>8.6</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52"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92" w:type="dxa"/>
            <w:tcBorders>
              <w:bottom w:val="single" w:sz="2" w:space="0" w:color="000000"/>
            </w:tcBorders>
            <w:shd w:fill="CCEEFF" w:val="clear"/>
            <w:tcMar>
              <w:bottom w:w="28" w:type="dxa"/>
            </w:tcMar>
            <w:vAlign w:val="center"/>
          </w:tcPr>
          <w:p>
            <w:pPr>
              <w:pStyle w:val="TableContents"/>
              <w:spacing w:before="0" w:after="283"/>
              <w:jc w:val="right"/>
              <w:rPr/>
            </w:pPr>
            <w:r>
              <w:rPr/>
              <w:t>2.4</w:t>
            </w:r>
          </w:p>
        </w:tc>
        <w:tc>
          <w:tcPr>
            <w:tcW w:w="170" w:type="dxa"/>
            <w:tcBorders/>
            <w:shd w:fill="CCEEFF" w:val="clear"/>
            <w:vAlign w:val="center"/>
          </w:tcPr>
          <w:p>
            <w:pPr>
              <w:pStyle w:val="TableContents"/>
              <w:spacing w:before="0" w:after="0"/>
              <w:ind w:left="0" w:right="0" w:hanging="0"/>
              <w:rPr/>
            </w:pPr>
            <w:r>
              <w:rPr/>
              <w:t> </w:t>
            </w:r>
          </w:p>
        </w:tc>
      </w:tr>
      <w:tr>
        <w:trPr/>
        <w:tc>
          <w:tcPr>
            <w:tcW w:w="4295" w:type="dxa"/>
            <w:tcBorders/>
            <w:shd w:fill="FFFFFF" w:val="clear"/>
            <w:vAlign w:val="center"/>
          </w:tcPr>
          <w:p>
            <w:pPr>
              <w:pStyle w:val="TableContents"/>
              <w:spacing w:before="0" w:after="0"/>
              <w:ind w:left="225" w:right="0" w:hanging="0"/>
              <w:rPr/>
            </w:pPr>
            <w:r>
              <w:rPr/>
              <w:t>Total other underwriting expenses</w:t>
            </w:r>
          </w:p>
        </w:tc>
        <w:tc>
          <w:tcPr>
            <w:tcW w:w="90" w:type="dxa"/>
            <w:tcBorders/>
            <w:shd w:fill="FFFFFF" w:val="clear"/>
            <w:vAlign w:val="center"/>
          </w:tcPr>
          <w:p>
            <w:pPr>
              <w:pStyle w:val="TableContents"/>
              <w:spacing w:before="0" w:after="0"/>
              <w:ind w:left="0" w:right="0" w:hanging="0"/>
              <w:rPr/>
            </w:pPr>
            <w:r>
              <w:rPr/>
              <w:t> </w:t>
            </w:r>
          </w:p>
        </w:tc>
        <w:tc>
          <w:tcPr>
            <w:tcW w:w="9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545" w:type="dxa"/>
            <w:tcBorders>
              <w:bottom w:val="single" w:sz="2" w:space="0" w:color="000000"/>
            </w:tcBorders>
            <w:shd w:fill="FFFFFF" w:val="clear"/>
            <w:tcMar>
              <w:bottom w:w="28" w:type="dxa"/>
            </w:tcMar>
            <w:vAlign w:val="center"/>
          </w:tcPr>
          <w:p>
            <w:pPr>
              <w:pStyle w:val="TableContents"/>
              <w:spacing w:before="0" w:after="283"/>
              <w:jc w:val="right"/>
              <w:rPr/>
            </w:pPr>
            <w:r>
              <w:rPr/>
              <w:t>23.6</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4"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495" w:type="dxa"/>
            <w:tcBorders>
              <w:bottom w:val="single" w:sz="2" w:space="0" w:color="000000"/>
            </w:tcBorders>
            <w:shd w:fill="FFFFFF" w:val="clear"/>
            <w:tcMar>
              <w:bottom w:w="28" w:type="dxa"/>
            </w:tcMar>
            <w:vAlign w:val="center"/>
          </w:tcPr>
          <w:p>
            <w:pPr>
              <w:pStyle w:val="TableContents"/>
              <w:spacing w:before="0" w:after="283"/>
              <w:jc w:val="right"/>
              <w:rPr/>
            </w:pPr>
            <w:r>
              <w:rPr/>
              <w:t>19.1</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52"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92" w:type="dxa"/>
            <w:tcBorders>
              <w:bottom w:val="single" w:sz="2" w:space="0" w:color="000000"/>
            </w:tcBorders>
            <w:shd w:fill="FFFFFF" w:val="clear"/>
            <w:tcMar>
              <w:bottom w:w="28" w:type="dxa"/>
            </w:tcMar>
            <w:vAlign w:val="center"/>
          </w:tcPr>
          <w:p>
            <w:pPr>
              <w:pStyle w:val="TableContents"/>
              <w:spacing w:before="0" w:after="283"/>
              <w:jc w:val="right"/>
              <w:rPr/>
            </w:pPr>
            <w:r>
              <w:rPr/>
              <w:t>4.5</w:t>
            </w:r>
          </w:p>
        </w:tc>
        <w:tc>
          <w:tcPr>
            <w:tcW w:w="170" w:type="dxa"/>
            <w:tcBorders/>
            <w:shd w:fill="FFFFFF" w:val="clear"/>
            <w:vAlign w:val="center"/>
          </w:tcPr>
          <w:p>
            <w:pPr>
              <w:pStyle w:val="TableContents"/>
              <w:spacing w:before="0" w:after="0"/>
              <w:ind w:left="0" w:right="0" w:hanging="0"/>
              <w:rPr/>
            </w:pPr>
            <w:r>
              <w:rPr/>
              <w:t> </w:t>
            </w:r>
          </w:p>
        </w:tc>
      </w:tr>
      <w:tr>
        <w:trPr/>
        <w:tc>
          <w:tcPr>
            <w:tcW w:w="429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545"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4" w:type="dxa"/>
            <w:tcBorders/>
            <w:shd w:fill="CCEEFF" w:val="clear"/>
            <w:vAlign w:val="center"/>
          </w:tcPr>
          <w:p>
            <w:pPr>
              <w:pStyle w:val="TableContents"/>
              <w:spacing w:before="0" w:after="0"/>
              <w:ind w:left="0" w:right="0" w:hanging="0"/>
              <w:rPr/>
            </w:pPr>
            <w:r>
              <w:rPr/>
              <w:t> </w:t>
            </w:r>
          </w:p>
        </w:tc>
        <w:tc>
          <w:tcPr>
            <w:tcW w:w="495"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52" w:type="dxa"/>
            <w:tcBorders/>
            <w:shd w:fill="CCEEFF" w:val="clear"/>
            <w:vAlign w:val="center"/>
          </w:tcPr>
          <w:p>
            <w:pPr>
              <w:pStyle w:val="TableContents"/>
              <w:spacing w:before="0" w:after="0"/>
              <w:ind w:left="0" w:right="0" w:hanging="0"/>
              <w:rPr/>
            </w:pPr>
            <w:r>
              <w:rPr/>
              <w:t> </w:t>
            </w:r>
          </w:p>
        </w:tc>
        <w:tc>
          <w:tcPr>
            <w:tcW w:w="1192"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4295" w:type="dxa"/>
            <w:tcBorders/>
            <w:shd w:fill="FFFFFF" w:val="clear"/>
            <w:vAlign w:val="center"/>
          </w:tcPr>
          <w:p>
            <w:pPr>
              <w:pStyle w:val="TableContents"/>
              <w:spacing w:before="0" w:after="0"/>
              <w:ind w:left="0" w:right="0" w:hanging="0"/>
              <w:rPr/>
            </w:pPr>
            <w:r>
              <w:rPr/>
              <w:t xml:space="preserve">Commission expense </w:t>
            </w:r>
          </w:p>
        </w:tc>
        <w:tc>
          <w:tcPr>
            <w:tcW w:w="90" w:type="dxa"/>
            <w:tcBorders/>
            <w:shd w:fill="FFFFFF" w:val="clear"/>
            <w:vAlign w:val="center"/>
          </w:tcPr>
          <w:p>
            <w:pPr>
              <w:pStyle w:val="TableContents"/>
              <w:spacing w:before="0" w:after="0"/>
              <w:ind w:left="0" w:right="0" w:hanging="0"/>
              <w:rPr/>
            </w:pPr>
            <w:r>
              <w:rPr/>
              <w:t> </w:t>
            </w:r>
          </w:p>
        </w:tc>
        <w:tc>
          <w:tcPr>
            <w:tcW w:w="9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545" w:type="dxa"/>
            <w:tcBorders>
              <w:bottom w:val="single" w:sz="2" w:space="0" w:color="000000"/>
            </w:tcBorders>
            <w:shd w:fill="FFFFFF" w:val="clear"/>
            <w:tcMar>
              <w:bottom w:w="28" w:type="dxa"/>
            </w:tcMar>
            <w:vAlign w:val="center"/>
          </w:tcPr>
          <w:p>
            <w:pPr>
              <w:pStyle w:val="TableContents"/>
              <w:spacing w:before="0" w:after="283"/>
              <w:jc w:val="right"/>
              <w:rPr/>
            </w:pPr>
            <w:r>
              <w:rPr/>
              <w:t>29.4</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4"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495" w:type="dxa"/>
            <w:tcBorders>
              <w:bottom w:val="single" w:sz="2" w:space="0" w:color="000000"/>
            </w:tcBorders>
            <w:shd w:fill="FFFFFF" w:val="clear"/>
            <w:tcMar>
              <w:bottom w:w="28" w:type="dxa"/>
            </w:tcMar>
            <w:vAlign w:val="center"/>
          </w:tcPr>
          <w:p>
            <w:pPr>
              <w:pStyle w:val="TableContents"/>
              <w:spacing w:before="0" w:after="283"/>
              <w:jc w:val="right"/>
              <w:rPr/>
            </w:pPr>
            <w:r>
              <w:rPr/>
              <w:t>23.6</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52"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92" w:type="dxa"/>
            <w:tcBorders>
              <w:bottom w:val="single" w:sz="2" w:space="0" w:color="000000"/>
            </w:tcBorders>
            <w:shd w:fill="FFFFFF" w:val="clear"/>
            <w:tcMar>
              <w:bottom w:w="28" w:type="dxa"/>
            </w:tcMar>
            <w:vAlign w:val="center"/>
          </w:tcPr>
          <w:p>
            <w:pPr>
              <w:pStyle w:val="TableContents"/>
              <w:spacing w:before="0" w:after="283"/>
              <w:jc w:val="right"/>
              <w:rPr/>
            </w:pPr>
            <w:r>
              <w:rPr/>
              <w:t>5.8</w:t>
            </w:r>
          </w:p>
        </w:tc>
        <w:tc>
          <w:tcPr>
            <w:tcW w:w="170" w:type="dxa"/>
            <w:tcBorders/>
            <w:shd w:fill="FFFFFF" w:val="clear"/>
            <w:vAlign w:val="center"/>
          </w:tcPr>
          <w:p>
            <w:pPr>
              <w:pStyle w:val="TableContents"/>
              <w:spacing w:before="0" w:after="0"/>
              <w:ind w:left="0" w:right="0" w:hanging="0"/>
              <w:rPr/>
            </w:pPr>
            <w:r>
              <w:rPr/>
              <w:t> </w:t>
            </w:r>
          </w:p>
        </w:tc>
      </w:tr>
      <w:tr>
        <w:trPr/>
        <w:tc>
          <w:tcPr>
            <w:tcW w:w="429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545"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4" w:type="dxa"/>
            <w:tcBorders/>
            <w:shd w:fill="CCEEFF" w:val="clear"/>
            <w:vAlign w:val="center"/>
          </w:tcPr>
          <w:p>
            <w:pPr>
              <w:pStyle w:val="TableContents"/>
              <w:spacing w:before="0" w:after="0"/>
              <w:ind w:left="0" w:right="0" w:hanging="0"/>
              <w:rPr/>
            </w:pPr>
            <w:r>
              <w:rPr/>
              <w:t> </w:t>
            </w:r>
          </w:p>
        </w:tc>
        <w:tc>
          <w:tcPr>
            <w:tcW w:w="495"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52" w:type="dxa"/>
            <w:tcBorders/>
            <w:shd w:fill="CCEEFF" w:val="clear"/>
            <w:vAlign w:val="center"/>
          </w:tcPr>
          <w:p>
            <w:pPr>
              <w:pStyle w:val="TableContents"/>
              <w:spacing w:before="0" w:after="0"/>
              <w:ind w:left="0" w:right="0" w:hanging="0"/>
              <w:rPr/>
            </w:pPr>
            <w:r>
              <w:rPr/>
              <w:t> </w:t>
            </w:r>
          </w:p>
        </w:tc>
        <w:tc>
          <w:tcPr>
            <w:tcW w:w="1192"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4295" w:type="dxa"/>
            <w:tcBorders/>
            <w:shd w:fill="FFFFFF" w:val="clear"/>
            <w:vAlign w:val="center"/>
          </w:tcPr>
          <w:p>
            <w:pPr>
              <w:pStyle w:val="TableContents"/>
              <w:spacing w:before="0" w:after="0"/>
              <w:ind w:left="0" w:right="0" w:hanging="0"/>
              <w:rPr/>
            </w:pPr>
            <w:r>
              <w:rPr/>
              <w:t>Ceding commission revenue</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545"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4" w:type="dxa"/>
            <w:tcBorders/>
            <w:shd w:fill="FFFFFF" w:val="clear"/>
            <w:vAlign w:val="center"/>
          </w:tcPr>
          <w:p>
            <w:pPr>
              <w:pStyle w:val="TableContents"/>
              <w:spacing w:before="0" w:after="0"/>
              <w:ind w:left="0" w:right="0" w:hanging="0"/>
              <w:rPr/>
            </w:pPr>
            <w:r>
              <w:rPr/>
              <w:t> </w:t>
            </w:r>
          </w:p>
        </w:tc>
        <w:tc>
          <w:tcPr>
            <w:tcW w:w="495"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52" w:type="dxa"/>
            <w:tcBorders/>
            <w:shd w:fill="FFFFFF" w:val="clear"/>
            <w:vAlign w:val="center"/>
          </w:tcPr>
          <w:p>
            <w:pPr>
              <w:pStyle w:val="TableContents"/>
              <w:spacing w:before="0" w:after="0"/>
              <w:ind w:left="0" w:right="0" w:hanging="0"/>
              <w:rPr/>
            </w:pPr>
            <w:r>
              <w:rPr/>
              <w:t> </w:t>
            </w:r>
          </w:p>
        </w:tc>
        <w:tc>
          <w:tcPr>
            <w:tcW w:w="1192"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4295" w:type="dxa"/>
            <w:tcBorders/>
            <w:shd w:fill="CCEEFF" w:val="clear"/>
            <w:vAlign w:val="center"/>
          </w:tcPr>
          <w:p>
            <w:pPr>
              <w:pStyle w:val="TableContents"/>
              <w:spacing w:before="0" w:after="0"/>
              <w:ind w:left="450" w:right="0" w:hanging="0"/>
              <w:rPr/>
            </w:pPr>
            <w:r>
              <w:rPr/>
              <w:t>Provisional</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545" w:type="dxa"/>
            <w:tcBorders/>
            <w:shd w:fill="CCEEFF" w:val="clear"/>
            <w:vAlign w:val="center"/>
          </w:tcPr>
          <w:p>
            <w:pPr>
              <w:pStyle w:val="TableContents"/>
              <w:spacing w:before="0" w:after="283"/>
              <w:jc w:val="right"/>
              <w:rPr/>
            </w:pPr>
            <w:r>
              <w:rPr/>
              <w:t>(13.1</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94" w:type="dxa"/>
            <w:tcBorders/>
            <w:shd w:fill="CCEEFF" w:val="clear"/>
            <w:vAlign w:val="center"/>
          </w:tcPr>
          <w:p>
            <w:pPr>
              <w:pStyle w:val="TableContents"/>
              <w:spacing w:before="0" w:after="0"/>
              <w:ind w:left="0" w:right="0" w:hanging="0"/>
              <w:rPr/>
            </w:pPr>
            <w:r>
              <w:rPr/>
              <w:t> </w:t>
            </w:r>
          </w:p>
        </w:tc>
        <w:tc>
          <w:tcPr>
            <w:tcW w:w="495" w:type="dxa"/>
            <w:tcBorders/>
            <w:shd w:fill="CCEEFF" w:val="clear"/>
            <w:vAlign w:val="center"/>
          </w:tcPr>
          <w:p>
            <w:pPr>
              <w:pStyle w:val="TableContents"/>
              <w:spacing w:before="0" w:after="283"/>
              <w:jc w:val="right"/>
              <w:rPr/>
            </w:pPr>
            <w:r>
              <w:rPr/>
              <w:t>(4.3</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252" w:type="dxa"/>
            <w:tcBorders/>
            <w:shd w:fill="CCEEFF" w:val="clear"/>
            <w:vAlign w:val="center"/>
          </w:tcPr>
          <w:p>
            <w:pPr>
              <w:pStyle w:val="TableContents"/>
              <w:spacing w:before="0" w:after="0"/>
              <w:ind w:left="0" w:right="0" w:hanging="0"/>
              <w:rPr/>
            </w:pPr>
            <w:r>
              <w:rPr/>
              <w:t> </w:t>
            </w:r>
          </w:p>
        </w:tc>
        <w:tc>
          <w:tcPr>
            <w:tcW w:w="1192" w:type="dxa"/>
            <w:tcBorders/>
            <w:shd w:fill="CCEEFF" w:val="clear"/>
            <w:vAlign w:val="center"/>
          </w:tcPr>
          <w:p>
            <w:pPr>
              <w:pStyle w:val="TableContents"/>
              <w:spacing w:before="0" w:after="283"/>
              <w:jc w:val="right"/>
              <w:rPr/>
            </w:pPr>
            <w:r>
              <w:rPr/>
              <w:t>(8.8</w:t>
            </w:r>
          </w:p>
        </w:tc>
        <w:tc>
          <w:tcPr>
            <w:tcW w:w="170" w:type="dxa"/>
            <w:tcBorders/>
            <w:shd w:fill="CCEEFF" w:val="clear"/>
            <w:vAlign w:val="center"/>
          </w:tcPr>
          <w:p>
            <w:pPr>
              <w:pStyle w:val="TableContents"/>
              <w:spacing w:before="0" w:after="283"/>
              <w:rPr/>
            </w:pPr>
            <w:r>
              <w:rPr/>
              <w:t>)</w:t>
            </w:r>
          </w:p>
        </w:tc>
      </w:tr>
      <w:tr>
        <w:trPr/>
        <w:tc>
          <w:tcPr>
            <w:tcW w:w="4295" w:type="dxa"/>
            <w:tcBorders/>
            <w:shd w:fill="FFFFFF" w:val="clear"/>
            <w:vAlign w:val="center"/>
          </w:tcPr>
          <w:p>
            <w:pPr>
              <w:pStyle w:val="TableContents"/>
              <w:spacing w:before="0" w:after="0"/>
              <w:ind w:left="450" w:right="0" w:hanging="0"/>
              <w:rPr/>
            </w:pPr>
            <w:r>
              <w:rPr/>
              <w:t>Contingent</w:t>
            </w:r>
          </w:p>
        </w:tc>
        <w:tc>
          <w:tcPr>
            <w:tcW w:w="90" w:type="dxa"/>
            <w:tcBorders/>
            <w:shd w:fill="FFFFFF" w:val="clear"/>
            <w:vAlign w:val="center"/>
          </w:tcPr>
          <w:p>
            <w:pPr>
              <w:pStyle w:val="TableContents"/>
              <w:spacing w:before="0" w:after="0"/>
              <w:ind w:left="0" w:right="0" w:hanging="0"/>
              <w:rPr/>
            </w:pPr>
            <w:r>
              <w:rPr/>
              <w:t> </w:t>
            </w:r>
          </w:p>
        </w:tc>
        <w:tc>
          <w:tcPr>
            <w:tcW w:w="9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545" w:type="dxa"/>
            <w:tcBorders>
              <w:bottom w:val="single" w:sz="2" w:space="0" w:color="000000"/>
            </w:tcBorders>
            <w:shd w:fill="FFFFFF" w:val="clear"/>
            <w:tcMar>
              <w:bottom w:w="28" w:type="dxa"/>
            </w:tcMar>
            <w:vAlign w:val="center"/>
          </w:tcPr>
          <w:p>
            <w:pPr>
              <w:pStyle w:val="TableContents"/>
              <w:spacing w:before="0" w:after="283"/>
              <w:jc w:val="right"/>
              <w:rPr/>
            </w:pPr>
            <w:r>
              <w:rPr/>
              <w:t>(0.1</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94"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495" w:type="dxa"/>
            <w:tcBorders>
              <w:bottom w:val="single" w:sz="2" w:space="0" w:color="000000"/>
            </w:tcBorders>
            <w:shd w:fill="FFFFFF" w:val="clear"/>
            <w:tcMar>
              <w:bottom w:w="28" w:type="dxa"/>
            </w:tcMar>
            <w:vAlign w:val="center"/>
          </w:tcPr>
          <w:p>
            <w:pPr>
              <w:pStyle w:val="TableContents"/>
              <w:spacing w:before="0" w:after="283"/>
              <w:jc w:val="right"/>
              <w:rPr/>
            </w:pPr>
            <w:r>
              <w:rPr/>
              <w:t>0.6</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52"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92" w:type="dxa"/>
            <w:tcBorders>
              <w:bottom w:val="single" w:sz="2" w:space="0" w:color="000000"/>
            </w:tcBorders>
            <w:shd w:fill="FFFFFF" w:val="clear"/>
            <w:tcMar>
              <w:bottom w:w="28" w:type="dxa"/>
            </w:tcMar>
            <w:vAlign w:val="center"/>
          </w:tcPr>
          <w:p>
            <w:pPr>
              <w:pStyle w:val="TableContents"/>
              <w:spacing w:before="0" w:after="283"/>
              <w:jc w:val="right"/>
              <w:rPr/>
            </w:pPr>
            <w:r>
              <w:rPr/>
              <w:t>(0.7</w:t>
            </w:r>
          </w:p>
        </w:tc>
        <w:tc>
          <w:tcPr>
            <w:tcW w:w="170" w:type="dxa"/>
            <w:tcBorders/>
            <w:shd w:fill="FFFFFF" w:val="clear"/>
            <w:vAlign w:val="center"/>
          </w:tcPr>
          <w:p>
            <w:pPr>
              <w:pStyle w:val="TableContents"/>
              <w:spacing w:before="0" w:after="283"/>
              <w:rPr/>
            </w:pPr>
            <w:r>
              <w:rPr/>
              <w:t>)</w:t>
            </w:r>
          </w:p>
        </w:tc>
      </w:tr>
      <w:tr>
        <w:trPr/>
        <w:tc>
          <w:tcPr>
            <w:tcW w:w="4295" w:type="dxa"/>
            <w:tcBorders/>
            <w:shd w:fill="CCEEFF" w:val="clear"/>
            <w:vAlign w:val="center"/>
          </w:tcPr>
          <w:p>
            <w:pPr>
              <w:pStyle w:val="TableContents"/>
              <w:spacing w:before="0" w:after="0"/>
              <w:ind w:left="225" w:right="0" w:hanging="0"/>
              <w:rPr/>
            </w:pPr>
            <w:r>
              <w:rPr/>
              <w:t>Total ceding commission revenue</w:t>
            </w:r>
          </w:p>
        </w:tc>
        <w:tc>
          <w:tcPr>
            <w:tcW w:w="90" w:type="dxa"/>
            <w:tcBorders/>
            <w:shd w:fill="CCEEFF" w:val="clear"/>
            <w:vAlign w:val="center"/>
          </w:tcPr>
          <w:p>
            <w:pPr>
              <w:pStyle w:val="TableContents"/>
              <w:spacing w:before="0" w:after="0"/>
              <w:ind w:left="0" w:right="0" w:hanging="0"/>
              <w:rPr/>
            </w:pPr>
            <w:r>
              <w:rPr/>
              <w:t> </w:t>
            </w:r>
          </w:p>
        </w:tc>
        <w:tc>
          <w:tcPr>
            <w:tcW w:w="9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45" w:type="dxa"/>
            <w:tcBorders>
              <w:bottom w:val="single" w:sz="2" w:space="0" w:color="000000"/>
            </w:tcBorders>
            <w:shd w:fill="CCEEFF" w:val="clear"/>
            <w:tcMar>
              <w:bottom w:w="28" w:type="dxa"/>
            </w:tcMar>
            <w:vAlign w:val="center"/>
          </w:tcPr>
          <w:p>
            <w:pPr>
              <w:pStyle w:val="TableContents"/>
              <w:spacing w:before="0" w:after="283"/>
              <w:jc w:val="right"/>
              <w:rPr/>
            </w:pPr>
            <w:r>
              <w:rPr/>
              <w:t>(13.2</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9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495" w:type="dxa"/>
            <w:tcBorders>
              <w:bottom w:val="single" w:sz="2" w:space="0" w:color="000000"/>
            </w:tcBorders>
            <w:shd w:fill="CCEEFF" w:val="clear"/>
            <w:tcMar>
              <w:bottom w:w="28" w:type="dxa"/>
            </w:tcMar>
            <w:vAlign w:val="center"/>
          </w:tcPr>
          <w:p>
            <w:pPr>
              <w:pStyle w:val="TableContents"/>
              <w:spacing w:before="0" w:after="283"/>
              <w:jc w:val="right"/>
              <w:rPr/>
            </w:pPr>
            <w:r>
              <w:rPr/>
              <w:t>(3.7</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252"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92" w:type="dxa"/>
            <w:tcBorders>
              <w:bottom w:val="single" w:sz="2" w:space="0" w:color="000000"/>
            </w:tcBorders>
            <w:shd w:fill="CCEEFF" w:val="clear"/>
            <w:tcMar>
              <w:bottom w:w="28" w:type="dxa"/>
            </w:tcMar>
            <w:vAlign w:val="center"/>
          </w:tcPr>
          <w:p>
            <w:pPr>
              <w:pStyle w:val="TableContents"/>
              <w:spacing w:before="0" w:after="283"/>
              <w:jc w:val="right"/>
              <w:rPr/>
            </w:pPr>
            <w:r>
              <w:rPr/>
              <w:t>(9.5</w:t>
            </w:r>
          </w:p>
        </w:tc>
        <w:tc>
          <w:tcPr>
            <w:tcW w:w="170" w:type="dxa"/>
            <w:tcBorders/>
            <w:shd w:fill="CCEEFF" w:val="clear"/>
            <w:vAlign w:val="center"/>
          </w:tcPr>
          <w:p>
            <w:pPr>
              <w:pStyle w:val="TableContents"/>
              <w:spacing w:before="0" w:after="283"/>
              <w:rPr/>
            </w:pPr>
            <w:r>
              <w:rPr/>
              <w:t>)</w:t>
            </w:r>
          </w:p>
        </w:tc>
      </w:tr>
      <w:tr>
        <w:trPr/>
        <w:tc>
          <w:tcPr>
            <w:tcW w:w="429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545"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4" w:type="dxa"/>
            <w:tcBorders/>
            <w:shd w:fill="FFFFFF" w:val="clear"/>
            <w:vAlign w:val="center"/>
          </w:tcPr>
          <w:p>
            <w:pPr>
              <w:pStyle w:val="TableContents"/>
              <w:spacing w:before="0" w:after="0"/>
              <w:ind w:left="0" w:right="0" w:hanging="0"/>
              <w:rPr/>
            </w:pPr>
            <w:r>
              <w:rPr/>
              <w:t> </w:t>
            </w:r>
          </w:p>
        </w:tc>
        <w:tc>
          <w:tcPr>
            <w:tcW w:w="495"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52" w:type="dxa"/>
            <w:tcBorders/>
            <w:shd w:fill="FFFFFF" w:val="clear"/>
            <w:vAlign w:val="center"/>
          </w:tcPr>
          <w:p>
            <w:pPr>
              <w:pStyle w:val="TableContents"/>
              <w:spacing w:before="0" w:after="0"/>
              <w:ind w:left="0" w:right="0" w:hanging="0"/>
              <w:rPr/>
            </w:pPr>
            <w:r>
              <w:rPr/>
              <w:t> </w:t>
            </w:r>
          </w:p>
        </w:tc>
        <w:tc>
          <w:tcPr>
            <w:tcW w:w="1192"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4295" w:type="dxa"/>
            <w:tcBorders/>
            <w:shd w:fill="CCEEFF" w:val="clear"/>
            <w:vAlign w:val="center"/>
          </w:tcPr>
          <w:p>
            <w:pPr>
              <w:pStyle w:val="TableContents"/>
              <w:spacing w:before="0" w:after="0"/>
              <w:ind w:left="0" w:right="0" w:hanging="0"/>
              <w:rPr/>
            </w:pPr>
            <w:r>
              <w:rPr/>
              <w:t>Other income</w:t>
            </w:r>
          </w:p>
        </w:tc>
        <w:tc>
          <w:tcPr>
            <w:tcW w:w="90" w:type="dxa"/>
            <w:tcBorders/>
            <w:shd w:fill="CCEEFF" w:val="clear"/>
            <w:vAlign w:val="center"/>
          </w:tcPr>
          <w:p>
            <w:pPr>
              <w:pStyle w:val="TableContents"/>
              <w:spacing w:before="0" w:after="0"/>
              <w:ind w:left="0" w:right="0" w:hanging="0"/>
              <w:rPr/>
            </w:pPr>
            <w:r>
              <w:rPr/>
              <w:t> </w:t>
            </w:r>
          </w:p>
        </w:tc>
        <w:tc>
          <w:tcPr>
            <w:tcW w:w="9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45" w:type="dxa"/>
            <w:tcBorders>
              <w:bottom w:val="single" w:sz="2" w:space="0" w:color="000000"/>
            </w:tcBorders>
            <w:shd w:fill="CCEEFF" w:val="clear"/>
            <w:tcMar>
              <w:bottom w:w="28" w:type="dxa"/>
            </w:tcMar>
            <w:vAlign w:val="center"/>
          </w:tcPr>
          <w:p>
            <w:pPr>
              <w:pStyle w:val="TableContents"/>
              <w:spacing w:before="0" w:after="283"/>
              <w:jc w:val="right"/>
              <w:rPr/>
            </w:pPr>
            <w:r>
              <w:rPr/>
              <w:t>(0.9</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9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495" w:type="dxa"/>
            <w:tcBorders>
              <w:bottom w:val="single" w:sz="2" w:space="0" w:color="000000"/>
            </w:tcBorders>
            <w:shd w:fill="CCEEFF" w:val="clear"/>
            <w:tcMar>
              <w:bottom w:w="28" w:type="dxa"/>
            </w:tcMar>
            <w:vAlign w:val="center"/>
          </w:tcPr>
          <w:p>
            <w:pPr>
              <w:pStyle w:val="TableContents"/>
              <w:spacing w:before="0" w:after="283"/>
              <w:jc w:val="right"/>
              <w:rPr/>
            </w:pPr>
            <w:r>
              <w:rPr/>
              <w:t>(1.0</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252"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92" w:type="dxa"/>
            <w:tcBorders>
              <w:bottom w:val="single" w:sz="2" w:space="0" w:color="000000"/>
            </w:tcBorders>
            <w:shd w:fill="CCEEFF" w:val="clear"/>
            <w:tcMar>
              <w:bottom w:w="28" w:type="dxa"/>
            </w:tcMar>
            <w:vAlign w:val="center"/>
          </w:tcPr>
          <w:p>
            <w:pPr>
              <w:pStyle w:val="TableContents"/>
              <w:spacing w:before="0" w:after="283"/>
              <w:jc w:val="right"/>
              <w:rPr/>
            </w:pPr>
            <w:r>
              <w:rPr/>
              <w:t>0.1</w:t>
            </w:r>
          </w:p>
        </w:tc>
        <w:tc>
          <w:tcPr>
            <w:tcW w:w="170" w:type="dxa"/>
            <w:tcBorders/>
            <w:shd w:fill="CCEEFF" w:val="clear"/>
            <w:vAlign w:val="center"/>
          </w:tcPr>
          <w:p>
            <w:pPr>
              <w:pStyle w:val="TableContents"/>
              <w:spacing w:before="0" w:after="0"/>
              <w:ind w:left="0" w:right="0" w:hanging="0"/>
              <w:rPr/>
            </w:pPr>
            <w:r>
              <w:rPr/>
              <w:t> </w:t>
            </w:r>
          </w:p>
        </w:tc>
      </w:tr>
      <w:tr>
        <w:trPr/>
        <w:tc>
          <w:tcPr>
            <w:tcW w:w="429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545"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4" w:type="dxa"/>
            <w:tcBorders/>
            <w:shd w:fill="FFFFFF" w:val="clear"/>
            <w:vAlign w:val="center"/>
          </w:tcPr>
          <w:p>
            <w:pPr>
              <w:pStyle w:val="TableContents"/>
              <w:spacing w:before="0" w:after="0"/>
              <w:ind w:left="0" w:right="0" w:hanging="0"/>
              <w:rPr/>
            </w:pPr>
            <w:r>
              <w:rPr/>
              <w:t> </w:t>
            </w:r>
          </w:p>
        </w:tc>
        <w:tc>
          <w:tcPr>
            <w:tcW w:w="495"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52" w:type="dxa"/>
            <w:tcBorders/>
            <w:shd w:fill="FFFFFF" w:val="clear"/>
            <w:vAlign w:val="center"/>
          </w:tcPr>
          <w:p>
            <w:pPr>
              <w:pStyle w:val="TableContents"/>
              <w:spacing w:before="0" w:after="0"/>
              <w:ind w:left="0" w:right="0" w:hanging="0"/>
              <w:rPr/>
            </w:pPr>
            <w:r>
              <w:rPr/>
              <w:t> </w:t>
            </w:r>
          </w:p>
        </w:tc>
        <w:tc>
          <w:tcPr>
            <w:tcW w:w="1192"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4295" w:type="dxa"/>
            <w:tcBorders/>
            <w:shd w:fill="CCEEFF" w:val="clear"/>
            <w:vAlign w:val="center"/>
          </w:tcPr>
          <w:p>
            <w:pPr>
              <w:pStyle w:val="TableContents"/>
              <w:spacing w:before="0" w:after="0"/>
              <w:ind w:left="0" w:right="0" w:hanging="0"/>
              <w:rPr/>
            </w:pPr>
            <w:r>
              <w:rPr/>
              <w:t>Net underwriting expense ratio</w:t>
            </w:r>
          </w:p>
        </w:tc>
        <w:tc>
          <w:tcPr>
            <w:tcW w:w="90" w:type="dxa"/>
            <w:tcBorders/>
            <w:shd w:fill="CCEEFF" w:val="clear"/>
            <w:vAlign w:val="center"/>
          </w:tcPr>
          <w:p>
            <w:pPr>
              <w:pStyle w:val="TableContents"/>
              <w:spacing w:before="0" w:after="0"/>
              <w:ind w:left="0" w:right="0" w:hanging="0"/>
              <w:rPr/>
            </w:pPr>
            <w:r>
              <w:rPr/>
              <w:t> </w:t>
            </w:r>
          </w:p>
        </w:tc>
        <w:tc>
          <w:tcPr>
            <w:tcW w:w="90"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545" w:type="dxa"/>
            <w:tcBorders>
              <w:bottom w:val="double" w:sz="6" w:space="0" w:color="000000"/>
            </w:tcBorders>
            <w:shd w:fill="CCEEFF" w:val="clear"/>
            <w:tcMar>
              <w:bottom w:w="28" w:type="dxa"/>
            </w:tcMar>
            <w:vAlign w:val="center"/>
          </w:tcPr>
          <w:p>
            <w:pPr>
              <w:pStyle w:val="TableContents"/>
              <w:spacing w:before="0" w:after="283"/>
              <w:jc w:val="right"/>
              <w:rPr/>
            </w:pPr>
            <w:r>
              <w:rPr/>
              <w:t>38.9</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94"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495" w:type="dxa"/>
            <w:tcBorders>
              <w:bottom w:val="double" w:sz="6" w:space="0" w:color="000000"/>
            </w:tcBorders>
            <w:shd w:fill="CCEEFF" w:val="clear"/>
            <w:tcMar>
              <w:bottom w:w="28" w:type="dxa"/>
            </w:tcMar>
            <w:vAlign w:val="center"/>
          </w:tcPr>
          <w:p>
            <w:pPr>
              <w:pStyle w:val="TableContents"/>
              <w:spacing w:before="0" w:after="283"/>
              <w:jc w:val="right"/>
              <w:rPr/>
            </w:pPr>
            <w:r>
              <w:rPr/>
              <w:t>38.0</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252"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1192" w:type="dxa"/>
            <w:tcBorders>
              <w:bottom w:val="double" w:sz="6" w:space="0" w:color="000000"/>
            </w:tcBorders>
            <w:shd w:fill="CCEEFF" w:val="clear"/>
            <w:tcMar>
              <w:bottom w:w="28" w:type="dxa"/>
            </w:tcMar>
            <w:vAlign w:val="center"/>
          </w:tcPr>
          <w:p>
            <w:pPr>
              <w:pStyle w:val="TableContents"/>
              <w:spacing w:before="0" w:after="283"/>
              <w:jc w:val="right"/>
              <w:rPr/>
            </w:pPr>
            <w:r>
              <w:rPr/>
              <w:t>0.9</w:t>
            </w:r>
          </w:p>
        </w:tc>
        <w:tc>
          <w:tcPr>
            <w:tcW w:w="170"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The overall 9.5 percentage point increase in the benefit from ceding commissions was driven entirely by the change in our quota share ceding rates and its impact on provisional ceding commission revenue. The components of our net underwriting expense ratio related to other underwriting expenses, other income and commissions increased in all categories due to less retention beginning with the inception of the 2019/2020 Treaty on December 15, 2019, resulting in an overall 0.9 percentage point increase in the net underwriting expense ratio.</w:t>
      </w:r>
    </w:p>
    <w:p>
      <w:pPr>
        <w:pStyle w:val="TextBody"/>
        <w:spacing w:before="0" w:after="0"/>
        <w:ind w:left="0" w:right="0" w:hanging="0"/>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42</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Other Operating Expenses</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 xml:space="preserve">Other operating expenses, related to the expenses of our holding company and Cosi, were $4,283,000 for Year Ended 2020 compared to $3,835,000 for Year Ended 2019. The increase in Year Ended 2020 of $448,000, or 11.7%, as compared to Year Ended 2019 was primarily due to increases in equity compensation. The increase in equity compensation was due to an annual restricted stock award pursuant to the employment agreement with Barry B. Goldstein, our Chief Executive Officer. Executive bonus compensation is accrued pursuant to the employment agreement in effect through December 31, 2022, however, no bonus expense was accrued for Year Ended 2020.The bonus, when applicable, is a one-time payment computed at the end of the three-year period ended December 31, 2019, and as of December 31, 2019 the three-year computation did not meet the required terms of profitability, resulting in no payment and a reversal of the $698,000 previously accrued. </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Depreciation and Amortization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Depreciation and amortization was $2,865,000 in Year Ended 2020 compared to $2,546,000 in Year Ended 2019. The increase of $319,000, or 12.5%, in depreciation and amortization was primarily due to depreciation of our new systems platform for handling business being written in Expansion states, newly purchased assets used to upgrade our systems infrastructure.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Interest Expense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Interest expense in Year Ended 2020 and Year Ended 2019 was $1,826,000. We incurred interest expense in connection with our $30.0 million issuance of long-term debt in December 2017.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Income Tax Benefit</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Income tax benefit in Year Ended 2020 was $2,260,000, which resulted in an effective tax benefit rate of 175.5%. Income tax benefit in Year Ended 2019 was $1,816,000, which resulted in an effective tax benefit rate of 23.3%. Loss before taxes was $1,288,000 in Year Ended 2020 compared to loss before taxes of $7,783,000 in Year Ended 2019. On March 27, 2020, the Coronavirus Aid, Relief, and Economic Security (CARES) Act was signed into law, allowing for a five year carryback of 2019 NOL’s. We elected on our 2019 federal income tax return to carry back the 2019 NOL of $9,737,000 to tax years 2014 and 2015. The corporate tax rate in 2014 and 2015 was 34%, compared to the corporate tax rate of 21% in 2019. We will also elect on our 2020 federal income tax return to carry back the 2020 NOL of $5,715,000 to tax year 2015. The corporate tax rate in 2015 was 34%, compared to the corporate tax rate of 21% in 2020.</w:t>
      </w:r>
    </w:p>
    <w:p>
      <w:pPr>
        <w:pStyle w:val="TextBody"/>
        <w:spacing w:before="0" w:after="0"/>
        <w:ind w:left="0" w:right="0" w:firstLine="72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Net Income (Loss)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Net income was $972,000 in Year Ended 2020 compared to a net loss of $5,967,000 in Year Ended 2019. The increase in net income of $6,939,000, or 116.3%, was due to the circumstances described above, which caused the decrease in our net loss ratio and increase in ceding commission, partially offset by the decrease in our net premiums earned, other underwriting and operating expenses, depreciation and amortization. </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Additional Financial Information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operate our business as one segment, property and casualty insurance. Within this segment, we offer a wide array of property and casualty policies to our producers. The following table summarizes gross and net premiums written, net premiums earned, and loss and loss adjustment expenses by major product type, which were determined based primarily on similar economic characteristics and risks of loss.</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43</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tbl>
      <w:tblPr>
        <w:tblW w:w="8570" w:type="dxa"/>
        <w:jc w:val="left"/>
        <w:tblInd w:w="0" w:type="dxa"/>
        <w:tblCellMar>
          <w:top w:w="0" w:type="dxa"/>
          <w:left w:w="0" w:type="dxa"/>
          <w:bottom w:w="0" w:type="dxa"/>
          <w:right w:w="0" w:type="dxa"/>
        </w:tblCellMar>
      </w:tblPr>
      <w:tblGrid>
        <w:gridCol w:w="5015"/>
        <w:gridCol w:w="90"/>
        <w:gridCol w:w="170"/>
        <w:gridCol w:w="1250"/>
        <w:gridCol w:w="245"/>
        <w:gridCol w:w="90"/>
        <w:gridCol w:w="170"/>
        <w:gridCol w:w="1250"/>
        <w:gridCol w:w="290"/>
      </w:tblGrid>
      <w:tr>
        <w:trPr/>
        <w:tc>
          <w:tcPr>
            <w:tcW w:w="501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3175" w:type="dxa"/>
            <w:gridSpan w:val="6"/>
            <w:tcBorders/>
            <w:shd w:fill="auto" w:val="clear"/>
            <w:vAlign w:val="center"/>
          </w:tcPr>
          <w:p>
            <w:pPr>
              <w:pStyle w:val="TableContents"/>
              <w:spacing w:before="0" w:after="0"/>
              <w:ind w:left="0" w:right="0" w:hanging="0"/>
              <w:jc w:val="center"/>
              <w:rPr/>
            </w:pPr>
            <w:r>
              <w:rPr>
                <w:rStyle w:val="StrongEmphasis"/>
              </w:rPr>
              <w:t> </w:t>
            </w:r>
            <w:r>
              <w:rPr>
                <w:rStyle w:val="StrongEmphasis"/>
              </w:rPr>
              <w:t xml:space="preserve">Years ended </w:t>
            </w:r>
          </w:p>
        </w:tc>
        <w:tc>
          <w:tcPr>
            <w:tcW w:w="290" w:type="dxa"/>
            <w:tcBorders/>
            <w:shd w:fill="auto" w:val="clear"/>
            <w:vAlign w:val="center"/>
          </w:tcPr>
          <w:p>
            <w:pPr>
              <w:pStyle w:val="TableContents"/>
              <w:spacing w:before="0" w:after="0"/>
              <w:ind w:left="0" w:right="0" w:hanging="0"/>
              <w:rPr/>
            </w:pPr>
            <w:r>
              <w:rPr/>
              <w:t> </w:t>
            </w:r>
          </w:p>
        </w:tc>
      </w:tr>
      <w:tr>
        <w:trPr/>
        <w:tc>
          <w:tcPr>
            <w:tcW w:w="501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3175"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December 31, </w:t>
            </w:r>
          </w:p>
        </w:tc>
        <w:tc>
          <w:tcPr>
            <w:tcW w:w="290" w:type="dxa"/>
            <w:tcBorders/>
            <w:shd w:fill="auto" w:val="clear"/>
            <w:vAlign w:val="center"/>
          </w:tcPr>
          <w:p>
            <w:pPr>
              <w:pStyle w:val="TableContents"/>
              <w:spacing w:before="0" w:after="0"/>
              <w:ind w:left="0" w:right="0" w:hanging="0"/>
              <w:rPr/>
            </w:pPr>
            <w:r>
              <w:rPr/>
              <w:t> </w:t>
            </w:r>
          </w:p>
        </w:tc>
      </w:tr>
      <w:tr>
        <w:trPr/>
        <w:tc>
          <w:tcPr>
            <w:tcW w:w="501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2020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2019 </w:t>
            </w:r>
          </w:p>
        </w:tc>
        <w:tc>
          <w:tcPr>
            <w:tcW w:w="290" w:type="dxa"/>
            <w:tcBorders/>
            <w:shd w:fill="auto" w:val="clear"/>
            <w:vAlign w:val="center"/>
          </w:tcPr>
          <w:p>
            <w:pPr>
              <w:pStyle w:val="TableContents"/>
              <w:spacing w:before="0" w:after="0"/>
              <w:ind w:left="0" w:right="0" w:hanging="0"/>
              <w:rPr/>
            </w:pPr>
            <w:r>
              <w:rPr/>
              <w:t> </w:t>
            </w:r>
          </w:p>
        </w:tc>
      </w:tr>
      <w:tr>
        <w:trPr/>
        <w:tc>
          <w:tcPr>
            <w:tcW w:w="5015" w:type="dxa"/>
            <w:tcBorders/>
            <w:shd w:fill="auto" w:val="clear"/>
            <w:vAlign w:val="center"/>
          </w:tcPr>
          <w:p>
            <w:pPr>
              <w:pStyle w:val="TableContents"/>
              <w:spacing w:before="0" w:after="0"/>
              <w:ind w:left="0" w:right="0" w:hanging="0"/>
              <w:rPr/>
            </w:pPr>
            <w:r>
              <w:rPr>
                <w:rStyle w:val="StrongEmphasis"/>
              </w:rPr>
              <w:t xml:space="preserve">Gross premiums written: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290" w:type="dxa"/>
            <w:tcBorders/>
            <w:shd w:fill="auto" w:val="clear"/>
            <w:vAlign w:val="center"/>
          </w:tcPr>
          <w:p>
            <w:pPr>
              <w:pStyle w:val="TableContents"/>
              <w:spacing w:before="0" w:after="0"/>
              <w:ind w:left="0" w:right="0" w:hanging="0"/>
              <w:rPr/>
            </w:pPr>
            <w:r>
              <w:rPr/>
              <w:t> </w:t>
            </w:r>
          </w:p>
        </w:tc>
      </w:tr>
      <w:tr>
        <w:trPr/>
        <w:tc>
          <w:tcPr>
            <w:tcW w:w="5015" w:type="dxa"/>
            <w:tcBorders/>
            <w:shd w:fill="CCEEFF" w:val="clear"/>
            <w:vAlign w:val="center"/>
          </w:tcPr>
          <w:p>
            <w:pPr>
              <w:pStyle w:val="TableContents"/>
              <w:spacing w:before="0" w:after="0"/>
              <w:ind w:left="0" w:right="0" w:hanging="0"/>
              <w:rPr/>
            </w:pPr>
            <w:r>
              <w:rPr/>
              <w:t xml:space="preserve">Personal lines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162,184,437</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149,920,020</w:t>
            </w:r>
          </w:p>
        </w:tc>
        <w:tc>
          <w:tcPr>
            <w:tcW w:w="290" w:type="dxa"/>
            <w:tcBorders/>
            <w:shd w:fill="CCEEFF" w:val="clear"/>
            <w:vAlign w:val="center"/>
          </w:tcPr>
          <w:p>
            <w:pPr>
              <w:pStyle w:val="TableContents"/>
              <w:spacing w:before="0" w:after="0"/>
              <w:ind w:left="0" w:right="0" w:hanging="0"/>
              <w:rPr/>
            </w:pPr>
            <w:r>
              <w:rPr/>
              <w:t> </w:t>
            </w:r>
          </w:p>
        </w:tc>
      </w:tr>
      <w:tr>
        <w:trPr/>
        <w:tc>
          <w:tcPr>
            <w:tcW w:w="5015" w:type="dxa"/>
            <w:tcBorders/>
            <w:shd w:fill="FFFFFF" w:val="clear"/>
            <w:vAlign w:val="center"/>
          </w:tcPr>
          <w:p>
            <w:pPr>
              <w:pStyle w:val="TableContents"/>
              <w:spacing w:before="0" w:after="0"/>
              <w:ind w:left="0" w:right="0" w:hanging="0"/>
              <w:rPr/>
            </w:pPr>
            <w:r>
              <w:rPr/>
              <w:t xml:space="preserve">Livery physical damage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7,055,668</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10,576,156</w:t>
            </w:r>
          </w:p>
        </w:tc>
        <w:tc>
          <w:tcPr>
            <w:tcW w:w="290" w:type="dxa"/>
            <w:tcBorders/>
            <w:shd w:fill="FFFFFF" w:val="clear"/>
            <w:vAlign w:val="center"/>
          </w:tcPr>
          <w:p>
            <w:pPr>
              <w:pStyle w:val="TableContents"/>
              <w:spacing w:before="0" w:after="0"/>
              <w:ind w:left="0" w:right="0" w:hanging="0"/>
              <w:rPr/>
            </w:pPr>
            <w:r>
              <w:rPr/>
              <w:t> </w:t>
            </w:r>
          </w:p>
        </w:tc>
      </w:tr>
      <w:tr>
        <w:trPr/>
        <w:tc>
          <w:tcPr>
            <w:tcW w:w="5015" w:type="dxa"/>
            <w:tcBorders/>
            <w:shd w:fill="CCEEFF" w:val="clear"/>
            <w:vAlign w:val="center"/>
          </w:tcPr>
          <w:p>
            <w:pPr>
              <w:pStyle w:val="TableContents"/>
              <w:spacing w:before="0" w:after="0"/>
              <w:ind w:left="0" w:right="0" w:hanging="0"/>
              <w:rPr/>
            </w:pPr>
            <w:r>
              <w:rPr/>
              <w:t xml:space="preserve">Other(1)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245,842</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593,945</w:t>
            </w:r>
          </w:p>
        </w:tc>
        <w:tc>
          <w:tcPr>
            <w:tcW w:w="290" w:type="dxa"/>
            <w:tcBorders/>
            <w:shd w:fill="CCEEFF" w:val="clear"/>
            <w:vAlign w:val="center"/>
          </w:tcPr>
          <w:p>
            <w:pPr>
              <w:pStyle w:val="TableContents"/>
              <w:spacing w:before="0" w:after="0"/>
              <w:ind w:left="0" w:right="0" w:hanging="0"/>
              <w:rPr/>
            </w:pPr>
            <w:r>
              <w:rPr/>
              <w:t> </w:t>
            </w:r>
          </w:p>
        </w:tc>
      </w:tr>
      <w:tr>
        <w:trPr/>
        <w:tc>
          <w:tcPr>
            <w:tcW w:w="5015" w:type="dxa"/>
            <w:tcBorders/>
            <w:shd w:fill="FFFFFF" w:val="clear"/>
            <w:vAlign w:val="center"/>
          </w:tcPr>
          <w:p>
            <w:pPr>
              <w:pStyle w:val="TableContents"/>
              <w:spacing w:before="0" w:after="0"/>
              <w:ind w:left="0" w:right="0" w:firstLine="200"/>
              <w:rPr/>
            </w:pPr>
            <w:r>
              <w:rPr/>
              <w:t xml:space="preserve">Total without commercial lines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169,485,947</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161,090,121</w:t>
            </w:r>
          </w:p>
        </w:tc>
        <w:tc>
          <w:tcPr>
            <w:tcW w:w="290" w:type="dxa"/>
            <w:tcBorders/>
            <w:shd w:fill="FFFFFF" w:val="clear"/>
            <w:vAlign w:val="center"/>
          </w:tcPr>
          <w:p>
            <w:pPr>
              <w:pStyle w:val="TableContents"/>
              <w:spacing w:before="0" w:after="0"/>
              <w:ind w:left="0" w:right="0" w:hanging="0"/>
              <w:rPr/>
            </w:pPr>
            <w:r>
              <w:rPr/>
              <w:t> </w:t>
            </w:r>
          </w:p>
        </w:tc>
      </w:tr>
      <w:tr>
        <w:trPr/>
        <w:tc>
          <w:tcPr>
            <w:tcW w:w="5015" w:type="dxa"/>
            <w:tcBorders/>
            <w:shd w:fill="CCEEFF" w:val="clear"/>
            <w:vAlign w:val="center"/>
          </w:tcPr>
          <w:p>
            <w:pPr>
              <w:pStyle w:val="TableContents"/>
              <w:spacing w:before="0" w:after="0"/>
              <w:ind w:left="0" w:right="0" w:hanging="0"/>
              <w:rPr/>
            </w:pPr>
            <w:r>
              <w:rPr/>
              <w:t xml:space="preserve">Commercial lines (in run-off effective July 2019)(2)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(168,043</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10,124,908</w:t>
            </w:r>
          </w:p>
        </w:tc>
        <w:tc>
          <w:tcPr>
            <w:tcW w:w="290" w:type="dxa"/>
            <w:tcBorders/>
            <w:shd w:fill="CCEEFF" w:val="clear"/>
            <w:vAlign w:val="center"/>
          </w:tcPr>
          <w:p>
            <w:pPr>
              <w:pStyle w:val="TableContents"/>
              <w:spacing w:before="0" w:after="0"/>
              <w:ind w:left="0" w:right="0" w:hanging="0"/>
              <w:rPr/>
            </w:pPr>
            <w:r>
              <w:rPr/>
              <w:t> </w:t>
            </w:r>
          </w:p>
        </w:tc>
      </w:tr>
      <w:tr>
        <w:trPr/>
        <w:tc>
          <w:tcPr>
            <w:tcW w:w="5015" w:type="dxa"/>
            <w:tcBorders/>
            <w:shd w:fill="FFFFFF" w:val="clear"/>
            <w:vAlign w:val="center"/>
          </w:tcPr>
          <w:p>
            <w:pPr>
              <w:pStyle w:val="TableContents"/>
              <w:spacing w:before="0" w:after="0"/>
              <w:ind w:left="0" w:right="0" w:firstLine="200"/>
              <w:rPr/>
            </w:pPr>
            <w:r>
              <w:rPr/>
              <w:t xml:space="preserve">Total gross premiums written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169,317,904</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171,215,029</w:t>
            </w:r>
          </w:p>
        </w:tc>
        <w:tc>
          <w:tcPr>
            <w:tcW w:w="290" w:type="dxa"/>
            <w:tcBorders/>
            <w:shd w:fill="FFFFFF" w:val="clear"/>
            <w:vAlign w:val="center"/>
          </w:tcPr>
          <w:p>
            <w:pPr>
              <w:pStyle w:val="TableContents"/>
              <w:spacing w:before="0" w:after="0"/>
              <w:ind w:left="0" w:right="0" w:hanging="0"/>
              <w:rPr/>
            </w:pPr>
            <w:r>
              <w:rPr/>
              <w:t> </w:t>
            </w:r>
          </w:p>
        </w:tc>
      </w:tr>
      <w:tr>
        <w:trPr/>
        <w:tc>
          <w:tcPr>
            <w:tcW w:w="501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90" w:type="dxa"/>
            <w:tcBorders/>
            <w:shd w:fill="CCEEFF" w:val="clear"/>
            <w:vAlign w:val="center"/>
          </w:tcPr>
          <w:p>
            <w:pPr>
              <w:pStyle w:val="TableContents"/>
              <w:spacing w:before="0" w:after="0"/>
              <w:ind w:left="0" w:right="0" w:hanging="0"/>
              <w:rPr/>
            </w:pPr>
            <w:r>
              <w:rPr/>
              <w:t> </w:t>
            </w:r>
          </w:p>
        </w:tc>
      </w:tr>
      <w:tr>
        <w:trPr/>
        <w:tc>
          <w:tcPr>
            <w:tcW w:w="5015" w:type="dxa"/>
            <w:tcBorders/>
            <w:shd w:fill="FFFFFF" w:val="clear"/>
            <w:vAlign w:val="center"/>
          </w:tcPr>
          <w:p>
            <w:pPr>
              <w:pStyle w:val="TableContents"/>
              <w:spacing w:before="0" w:after="0"/>
              <w:ind w:left="0" w:right="0" w:hanging="0"/>
              <w:rPr/>
            </w:pPr>
            <w:r>
              <w:rPr>
                <w:rStyle w:val="StrongEmphasis"/>
              </w:rPr>
              <w:t xml:space="preserve">Net premiums written: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90" w:type="dxa"/>
            <w:tcBorders/>
            <w:shd w:fill="FFFFFF" w:val="clear"/>
            <w:vAlign w:val="center"/>
          </w:tcPr>
          <w:p>
            <w:pPr>
              <w:pStyle w:val="TableContents"/>
              <w:spacing w:before="0" w:after="0"/>
              <w:ind w:left="0" w:right="0" w:hanging="0"/>
              <w:rPr/>
            </w:pPr>
            <w:r>
              <w:rPr/>
              <w:t> </w:t>
            </w:r>
          </w:p>
        </w:tc>
      </w:tr>
      <w:tr>
        <w:trPr/>
        <w:tc>
          <w:tcPr>
            <w:tcW w:w="5015" w:type="dxa"/>
            <w:tcBorders/>
            <w:shd w:fill="CCEEFF" w:val="clear"/>
            <w:vAlign w:val="center"/>
          </w:tcPr>
          <w:p>
            <w:pPr>
              <w:pStyle w:val="TableContents"/>
              <w:spacing w:before="0" w:after="0"/>
              <w:ind w:left="0" w:right="0" w:hanging="0"/>
              <w:rPr/>
            </w:pPr>
            <w:r>
              <w:rPr/>
              <w:t xml:space="preserve">Personal lines(3)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120,362,688</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105,774,168</w:t>
            </w:r>
          </w:p>
        </w:tc>
        <w:tc>
          <w:tcPr>
            <w:tcW w:w="290" w:type="dxa"/>
            <w:tcBorders/>
            <w:shd w:fill="CCEEFF" w:val="clear"/>
            <w:vAlign w:val="center"/>
          </w:tcPr>
          <w:p>
            <w:pPr>
              <w:pStyle w:val="TableContents"/>
              <w:spacing w:before="0" w:after="0"/>
              <w:ind w:left="0" w:right="0" w:hanging="0"/>
              <w:rPr/>
            </w:pPr>
            <w:r>
              <w:rPr/>
              <w:t> </w:t>
            </w:r>
          </w:p>
        </w:tc>
      </w:tr>
      <w:tr>
        <w:trPr/>
        <w:tc>
          <w:tcPr>
            <w:tcW w:w="5015" w:type="dxa"/>
            <w:tcBorders/>
            <w:shd w:fill="FFFFFF" w:val="clear"/>
            <w:vAlign w:val="center"/>
          </w:tcPr>
          <w:p>
            <w:pPr>
              <w:pStyle w:val="TableContents"/>
              <w:spacing w:before="0" w:after="0"/>
              <w:ind w:left="0" w:right="0" w:hanging="0"/>
              <w:rPr/>
            </w:pPr>
            <w:r>
              <w:rPr/>
              <w:t xml:space="preserve">Livery physical damage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7,055,668</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10,576,156</w:t>
            </w:r>
          </w:p>
        </w:tc>
        <w:tc>
          <w:tcPr>
            <w:tcW w:w="290" w:type="dxa"/>
            <w:tcBorders/>
            <w:shd w:fill="FFFFFF" w:val="clear"/>
            <w:vAlign w:val="center"/>
          </w:tcPr>
          <w:p>
            <w:pPr>
              <w:pStyle w:val="TableContents"/>
              <w:spacing w:before="0" w:after="0"/>
              <w:ind w:left="0" w:right="0" w:hanging="0"/>
              <w:rPr/>
            </w:pPr>
            <w:r>
              <w:rPr/>
              <w:t> </w:t>
            </w:r>
          </w:p>
        </w:tc>
      </w:tr>
      <w:tr>
        <w:trPr/>
        <w:tc>
          <w:tcPr>
            <w:tcW w:w="5015" w:type="dxa"/>
            <w:tcBorders/>
            <w:shd w:fill="CCEEFF" w:val="clear"/>
            <w:vAlign w:val="center"/>
          </w:tcPr>
          <w:p>
            <w:pPr>
              <w:pStyle w:val="TableContents"/>
              <w:spacing w:before="0" w:after="0"/>
              <w:ind w:left="0" w:right="0" w:hanging="0"/>
              <w:rPr/>
            </w:pPr>
            <w:r>
              <w:rPr/>
              <w:t xml:space="preserve">Other(1)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218,853</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549,978</w:t>
            </w:r>
          </w:p>
        </w:tc>
        <w:tc>
          <w:tcPr>
            <w:tcW w:w="290" w:type="dxa"/>
            <w:tcBorders/>
            <w:shd w:fill="CCEEFF" w:val="clear"/>
            <w:vAlign w:val="center"/>
          </w:tcPr>
          <w:p>
            <w:pPr>
              <w:pStyle w:val="TableContents"/>
              <w:spacing w:before="0" w:after="0"/>
              <w:ind w:left="0" w:right="0" w:hanging="0"/>
              <w:rPr/>
            </w:pPr>
            <w:r>
              <w:rPr/>
              <w:t> </w:t>
            </w:r>
          </w:p>
        </w:tc>
      </w:tr>
      <w:tr>
        <w:trPr/>
        <w:tc>
          <w:tcPr>
            <w:tcW w:w="5015" w:type="dxa"/>
            <w:tcBorders/>
            <w:shd w:fill="FFFFFF" w:val="clear"/>
            <w:vAlign w:val="center"/>
          </w:tcPr>
          <w:p>
            <w:pPr>
              <w:pStyle w:val="TableContents"/>
              <w:spacing w:before="0" w:after="0"/>
              <w:ind w:left="0" w:right="0" w:firstLine="200"/>
              <w:rPr/>
            </w:pPr>
            <w:r>
              <w:rPr/>
              <w:t xml:space="preserve">Total without commercial lines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127,637,209</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116,900,302</w:t>
            </w:r>
          </w:p>
        </w:tc>
        <w:tc>
          <w:tcPr>
            <w:tcW w:w="290" w:type="dxa"/>
            <w:tcBorders/>
            <w:shd w:fill="FFFFFF" w:val="clear"/>
            <w:vAlign w:val="center"/>
          </w:tcPr>
          <w:p>
            <w:pPr>
              <w:pStyle w:val="TableContents"/>
              <w:spacing w:before="0" w:after="0"/>
              <w:ind w:left="0" w:right="0" w:hanging="0"/>
              <w:rPr/>
            </w:pPr>
            <w:r>
              <w:rPr/>
              <w:t> </w:t>
            </w:r>
          </w:p>
        </w:tc>
      </w:tr>
      <w:tr>
        <w:trPr/>
        <w:tc>
          <w:tcPr>
            <w:tcW w:w="5015" w:type="dxa"/>
            <w:tcBorders/>
            <w:shd w:fill="CCEEFF" w:val="clear"/>
            <w:vAlign w:val="center"/>
          </w:tcPr>
          <w:p>
            <w:pPr>
              <w:pStyle w:val="TableContents"/>
              <w:spacing w:before="0" w:after="0"/>
              <w:ind w:left="0" w:right="0" w:hanging="0"/>
              <w:rPr/>
            </w:pPr>
            <w:r>
              <w:rPr/>
              <w:t xml:space="preserve">Commercial lines (in run-off effective July 2019)(2)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(574,688</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8,678,829</w:t>
            </w:r>
          </w:p>
        </w:tc>
        <w:tc>
          <w:tcPr>
            <w:tcW w:w="290" w:type="dxa"/>
            <w:tcBorders/>
            <w:shd w:fill="CCEEFF" w:val="clear"/>
            <w:vAlign w:val="center"/>
          </w:tcPr>
          <w:p>
            <w:pPr>
              <w:pStyle w:val="TableContents"/>
              <w:spacing w:before="0" w:after="0"/>
              <w:ind w:left="0" w:right="0" w:hanging="0"/>
              <w:rPr/>
            </w:pPr>
            <w:r>
              <w:rPr/>
              <w:t> </w:t>
            </w:r>
          </w:p>
        </w:tc>
      </w:tr>
      <w:tr>
        <w:trPr/>
        <w:tc>
          <w:tcPr>
            <w:tcW w:w="5015" w:type="dxa"/>
            <w:tcBorders/>
            <w:shd w:fill="FFFFFF" w:val="clear"/>
            <w:vAlign w:val="center"/>
          </w:tcPr>
          <w:p>
            <w:pPr>
              <w:pStyle w:val="TableContents"/>
              <w:spacing w:before="0" w:after="0"/>
              <w:ind w:left="0" w:right="0" w:firstLine="200"/>
              <w:rPr/>
            </w:pPr>
            <w:r>
              <w:rPr/>
              <w:t xml:space="preserve">Total net premiums written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127,062,521</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125,579,131</w:t>
            </w:r>
          </w:p>
        </w:tc>
        <w:tc>
          <w:tcPr>
            <w:tcW w:w="290" w:type="dxa"/>
            <w:tcBorders/>
            <w:shd w:fill="FFFFFF" w:val="clear"/>
            <w:vAlign w:val="center"/>
          </w:tcPr>
          <w:p>
            <w:pPr>
              <w:pStyle w:val="TableContents"/>
              <w:spacing w:before="0" w:after="0"/>
              <w:ind w:left="0" w:right="0" w:hanging="0"/>
              <w:rPr/>
            </w:pPr>
            <w:r>
              <w:rPr/>
              <w:t> </w:t>
            </w:r>
          </w:p>
        </w:tc>
      </w:tr>
      <w:tr>
        <w:trPr/>
        <w:tc>
          <w:tcPr>
            <w:tcW w:w="501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90" w:type="dxa"/>
            <w:tcBorders/>
            <w:shd w:fill="CCEEFF" w:val="clear"/>
            <w:vAlign w:val="center"/>
          </w:tcPr>
          <w:p>
            <w:pPr>
              <w:pStyle w:val="TableContents"/>
              <w:spacing w:before="0" w:after="0"/>
              <w:ind w:left="0" w:right="0" w:hanging="0"/>
              <w:rPr/>
            </w:pPr>
            <w:r>
              <w:rPr/>
              <w:t> </w:t>
            </w:r>
          </w:p>
        </w:tc>
      </w:tr>
      <w:tr>
        <w:trPr/>
        <w:tc>
          <w:tcPr>
            <w:tcW w:w="5015" w:type="dxa"/>
            <w:tcBorders/>
            <w:shd w:fill="FFFFFF" w:val="clear"/>
            <w:vAlign w:val="center"/>
          </w:tcPr>
          <w:p>
            <w:pPr>
              <w:pStyle w:val="TableContents"/>
              <w:spacing w:before="0" w:after="0"/>
              <w:ind w:left="0" w:right="0" w:hanging="0"/>
              <w:rPr/>
            </w:pPr>
            <w:r>
              <w:rPr>
                <w:rStyle w:val="StrongEmphasis"/>
              </w:rPr>
              <w:t xml:space="preserve">Net premiums earned: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90" w:type="dxa"/>
            <w:tcBorders/>
            <w:shd w:fill="FFFFFF" w:val="clear"/>
            <w:vAlign w:val="center"/>
          </w:tcPr>
          <w:p>
            <w:pPr>
              <w:pStyle w:val="TableContents"/>
              <w:spacing w:before="0" w:after="0"/>
              <w:ind w:left="0" w:right="0" w:hanging="0"/>
              <w:rPr/>
            </w:pPr>
            <w:r>
              <w:rPr/>
              <w:t> </w:t>
            </w:r>
          </w:p>
        </w:tc>
      </w:tr>
      <w:tr>
        <w:trPr/>
        <w:tc>
          <w:tcPr>
            <w:tcW w:w="5015" w:type="dxa"/>
            <w:tcBorders/>
            <w:shd w:fill="CCEEFF" w:val="clear"/>
            <w:vAlign w:val="center"/>
          </w:tcPr>
          <w:p>
            <w:pPr>
              <w:pStyle w:val="TableContents"/>
              <w:spacing w:before="0" w:after="0"/>
              <w:ind w:left="0" w:right="0" w:hanging="0"/>
              <w:rPr/>
            </w:pPr>
            <w:r>
              <w:rPr/>
              <w:t xml:space="preserve">Personal lines(3)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96,463,184</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102,943,699</w:t>
            </w:r>
          </w:p>
        </w:tc>
        <w:tc>
          <w:tcPr>
            <w:tcW w:w="290" w:type="dxa"/>
            <w:tcBorders/>
            <w:shd w:fill="CCEEFF" w:val="clear"/>
            <w:vAlign w:val="center"/>
          </w:tcPr>
          <w:p>
            <w:pPr>
              <w:pStyle w:val="TableContents"/>
              <w:spacing w:before="0" w:after="0"/>
              <w:ind w:left="0" w:right="0" w:hanging="0"/>
              <w:rPr/>
            </w:pPr>
            <w:r>
              <w:rPr/>
              <w:t> </w:t>
            </w:r>
          </w:p>
        </w:tc>
      </w:tr>
      <w:tr>
        <w:trPr/>
        <w:tc>
          <w:tcPr>
            <w:tcW w:w="5015" w:type="dxa"/>
            <w:tcBorders/>
            <w:shd w:fill="FFFFFF" w:val="clear"/>
            <w:vAlign w:val="center"/>
          </w:tcPr>
          <w:p>
            <w:pPr>
              <w:pStyle w:val="TableContents"/>
              <w:spacing w:before="0" w:after="0"/>
              <w:ind w:left="0" w:right="0" w:hanging="0"/>
              <w:rPr/>
            </w:pPr>
            <w:r>
              <w:rPr/>
              <w:t xml:space="preserve">Livery physical damage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8,706,984</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10,565,739</w:t>
            </w:r>
          </w:p>
        </w:tc>
        <w:tc>
          <w:tcPr>
            <w:tcW w:w="290" w:type="dxa"/>
            <w:tcBorders/>
            <w:shd w:fill="FFFFFF" w:val="clear"/>
            <w:vAlign w:val="center"/>
          </w:tcPr>
          <w:p>
            <w:pPr>
              <w:pStyle w:val="TableContents"/>
              <w:spacing w:before="0" w:after="0"/>
              <w:ind w:left="0" w:right="0" w:hanging="0"/>
              <w:rPr/>
            </w:pPr>
            <w:r>
              <w:rPr/>
              <w:t> </w:t>
            </w:r>
          </w:p>
        </w:tc>
      </w:tr>
      <w:tr>
        <w:trPr/>
        <w:tc>
          <w:tcPr>
            <w:tcW w:w="5015" w:type="dxa"/>
            <w:tcBorders/>
            <w:shd w:fill="CCEEFF" w:val="clear"/>
            <w:vAlign w:val="center"/>
          </w:tcPr>
          <w:p>
            <w:pPr>
              <w:pStyle w:val="TableContents"/>
              <w:spacing w:before="0" w:after="0"/>
              <w:ind w:left="0" w:right="0" w:hanging="0"/>
              <w:rPr/>
            </w:pPr>
            <w:r>
              <w:rPr/>
              <w:t xml:space="preserve">Other(1)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198,853</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518,671</w:t>
            </w:r>
          </w:p>
        </w:tc>
        <w:tc>
          <w:tcPr>
            <w:tcW w:w="290" w:type="dxa"/>
            <w:tcBorders/>
            <w:shd w:fill="CCEEFF" w:val="clear"/>
            <w:vAlign w:val="center"/>
          </w:tcPr>
          <w:p>
            <w:pPr>
              <w:pStyle w:val="TableContents"/>
              <w:spacing w:before="0" w:after="0"/>
              <w:ind w:left="0" w:right="0" w:hanging="0"/>
              <w:rPr/>
            </w:pPr>
            <w:r>
              <w:rPr/>
              <w:t> </w:t>
            </w:r>
          </w:p>
        </w:tc>
      </w:tr>
      <w:tr>
        <w:trPr/>
        <w:tc>
          <w:tcPr>
            <w:tcW w:w="5015" w:type="dxa"/>
            <w:tcBorders/>
            <w:shd w:fill="FFFFFF" w:val="clear"/>
            <w:vAlign w:val="center"/>
          </w:tcPr>
          <w:p>
            <w:pPr>
              <w:pStyle w:val="TableContents"/>
              <w:spacing w:before="0" w:after="0"/>
              <w:ind w:left="0" w:right="0" w:firstLine="200"/>
              <w:rPr/>
            </w:pPr>
            <w:r>
              <w:rPr/>
              <w:t xml:space="preserve">Total without commercial lines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105,369,021</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114,028,109</w:t>
            </w:r>
          </w:p>
        </w:tc>
        <w:tc>
          <w:tcPr>
            <w:tcW w:w="290" w:type="dxa"/>
            <w:tcBorders/>
            <w:shd w:fill="FFFFFF" w:val="clear"/>
            <w:vAlign w:val="center"/>
          </w:tcPr>
          <w:p>
            <w:pPr>
              <w:pStyle w:val="TableContents"/>
              <w:spacing w:before="0" w:after="0"/>
              <w:ind w:left="0" w:right="0" w:hanging="0"/>
              <w:rPr/>
            </w:pPr>
            <w:r>
              <w:rPr/>
              <w:t> </w:t>
            </w:r>
          </w:p>
        </w:tc>
      </w:tr>
      <w:tr>
        <w:trPr/>
        <w:tc>
          <w:tcPr>
            <w:tcW w:w="5015" w:type="dxa"/>
            <w:tcBorders/>
            <w:shd w:fill="CCEEFF" w:val="clear"/>
            <w:vAlign w:val="center"/>
          </w:tcPr>
          <w:p>
            <w:pPr>
              <w:pStyle w:val="TableContents"/>
              <w:spacing w:before="0" w:after="0"/>
              <w:ind w:left="0" w:right="0" w:hanging="0"/>
              <w:rPr/>
            </w:pPr>
            <w:r>
              <w:rPr/>
              <w:t xml:space="preserve">Commercial lines (in run-off effective July 2019)(2)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2,711,608</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13,595,333</w:t>
            </w:r>
          </w:p>
        </w:tc>
        <w:tc>
          <w:tcPr>
            <w:tcW w:w="290" w:type="dxa"/>
            <w:tcBorders/>
            <w:shd w:fill="CCEEFF" w:val="clear"/>
            <w:vAlign w:val="center"/>
          </w:tcPr>
          <w:p>
            <w:pPr>
              <w:pStyle w:val="TableContents"/>
              <w:spacing w:before="0" w:after="0"/>
              <w:ind w:left="0" w:right="0" w:hanging="0"/>
              <w:rPr/>
            </w:pPr>
            <w:r>
              <w:rPr/>
              <w:t> </w:t>
            </w:r>
          </w:p>
        </w:tc>
      </w:tr>
      <w:tr>
        <w:trPr/>
        <w:tc>
          <w:tcPr>
            <w:tcW w:w="5015" w:type="dxa"/>
            <w:tcBorders/>
            <w:shd w:fill="FFFFFF" w:val="clear"/>
            <w:vAlign w:val="center"/>
          </w:tcPr>
          <w:p>
            <w:pPr>
              <w:pStyle w:val="TableContents"/>
              <w:spacing w:before="0" w:after="0"/>
              <w:ind w:left="0" w:right="0" w:firstLine="200"/>
              <w:rPr/>
            </w:pPr>
            <w:r>
              <w:rPr/>
              <w:t xml:space="preserve">Total net premiums earned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108,080,629</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127,623,442</w:t>
            </w:r>
          </w:p>
        </w:tc>
        <w:tc>
          <w:tcPr>
            <w:tcW w:w="290" w:type="dxa"/>
            <w:tcBorders/>
            <w:shd w:fill="FFFFFF" w:val="clear"/>
            <w:vAlign w:val="center"/>
          </w:tcPr>
          <w:p>
            <w:pPr>
              <w:pStyle w:val="TableContents"/>
              <w:spacing w:before="0" w:after="0"/>
              <w:ind w:left="0" w:right="0" w:hanging="0"/>
              <w:rPr/>
            </w:pPr>
            <w:r>
              <w:rPr/>
              <w:t> </w:t>
            </w:r>
          </w:p>
        </w:tc>
      </w:tr>
      <w:tr>
        <w:trPr/>
        <w:tc>
          <w:tcPr>
            <w:tcW w:w="501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90" w:type="dxa"/>
            <w:tcBorders/>
            <w:shd w:fill="CCEEFF" w:val="clear"/>
            <w:vAlign w:val="center"/>
          </w:tcPr>
          <w:p>
            <w:pPr>
              <w:pStyle w:val="TableContents"/>
              <w:spacing w:before="0" w:after="0"/>
              <w:ind w:left="0" w:right="0" w:hanging="0"/>
              <w:rPr/>
            </w:pPr>
            <w:r>
              <w:rPr/>
              <w:t> </w:t>
            </w:r>
          </w:p>
        </w:tc>
      </w:tr>
      <w:tr>
        <w:trPr/>
        <w:tc>
          <w:tcPr>
            <w:tcW w:w="5015" w:type="dxa"/>
            <w:tcBorders/>
            <w:shd w:fill="FFFFFF" w:val="clear"/>
            <w:vAlign w:val="center"/>
          </w:tcPr>
          <w:p>
            <w:pPr>
              <w:pStyle w:val="TableContents"/>
              <w:spacing w:before="0" w:after="0"/>
              <w:ind w:left="0" w:right="0" w:hanging="0"/>
              <w:rPr/>
            </w:pPr>
            <w:r>
              <w:rPr>
                <w:rStyle w:val="StrongEmphasis"/>
              </w:rPr>
              <w:t xml:space="preserve">Net loss and loss adjustment expenses(4):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90" w:type="dxa"/>
            <w:tcBorders/>
            <w:shd w:fill="FFFFFF" w:val="clear"/>
            <w:vAlign w:val="center"/>
          </w:tcPr>
          <w:p>
            <w:pPr>
              <w:pStyle w:val="TableContents"/>
              <w:spacing w:before="0" w:after="0"/>
              <w:ind w:left="0" w:right="0" w:hanging="0"/>
              <w:rPr/>
            </w:pPr>
            <w:r>
              <w:rPr/>
              <w:t> </w:t>
            </w:r>
          </w:p>
        </w:tc>
      </w:tr>
      <w:tr>
        <w:trPr/>
        <w:tc>
          <w:tcPr>
            <w:tcW w:w="5015" w:type="dxa"/>
            <w:tcBorders/>
            <w:shd w:fill="CCEEFF" w:val="clear"/>
            <w:vAlign w:val="center"/>
          </w:tcPr>
          <w:p>
            <w:pPr>
              <w:pStyle w:val="TableContents"/>
              <w:spacing w:before="0" w:after="0"/>
              <w:ind w:left="0" w:right="0" w:hanging="0"/>
              <w:rPr/>
            </w:pPr>
            <w:r>
              <w:rPr/>
              <w:t xml:space="preserve">Personal lines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56,312,702</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62,157,739</w:t>
            </w:r>
          </w:p>
        </w:tc>
        <w:tc>
          <w:tcPr>
            <w:tcW w:w="290" w:type="dxa"/>
            <w:tcBorders/>
            <w:shd w:fill="CCEEFF" w:val="clear"/>
            <w:vAlign w:val="center"/>
          </w:tcPr>
          <w:p>
            <w:pPr>
              <w:pStyle w:val="TableContents"/>
              <w:spacing w:before="0" w:after="0"/>
              <w:ind w:left="0" w:right="0" w:hanging="0"/>
              <w:rPr/>
            </w:pPr>
            <w:r>
              <w:rPr/>
              <w:t> </w:t>
            </w:r>
          </w:p>
        </w:tc>
      </w:tr>
      <w:tr>
        <w:trPr/>
        <w:tc>
          <w:tcPr>
            <w:tcW w:w="5015" w:type="dxa"/>
            <w:tcBorders/>
            <w:shd w:fill="FFFFFF" w:val="clear"/>
            <w:vAlign w:val="center"/>
          </w:tcPr>
          <w:p>
            <w:pPr>
              <w:pStyle w:val="TableContents"/>
              <w:spacing w:before="0" w:after="0"/>
              <w:ind w:left="0" w:right="0" w:hanging="0"/>
              <w:rPr/>
            </w:pPr>
            <w:r>
              <w:rPr/>
              <w:t xml:space="preserve">Livery physical damage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2,641,801</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5,209,065</w:t>
            </w:r>
          </w:p>
        </w:tc>
        <w:tc>
          <w:tcPr>
            <w:tcW w:w="290" w:type="dxa"/>
            <w:tcBorders/>
            <w:shd w:fill="FFFFFF" w:val="clear"/>
            <w:vAlign w:val="center"/>
          </w:tcPr>
          <w:p>
            <w:pPr>
              <w:pStyle w:val="TableContents"/>
              <w:spacing w:before="0" w:after="0"/>
              <w:ind w:left="0" w:right="0" w:hanging="0"/>
              <w:rPr/>
            </w:pPr>
            <w:r>
              <w:rPr/>
              <w:t> </w:t>
            </w:r>
          </w:p>
        </w:tc>
      </w:tr>
      <w:tr>
        <w:trPr/>
        <w:tc>
          <w:tcPr>
            <w:tcW w:w="5015" w:type="dxa"/>
            <w:tcBorders/>
            <w:shd w:fill="CCEEFF" w:val="clear"/>
            <w:vAlign w:val="center"/>
          </w:tcPr>
          <w:p>
            <w:pPr>
              <w:pStyle w:val="TableContents"/>
              <w:spacing w:before="0" w:after="0"/>
              <w:ind w:left="0" w:right="0" w:hanging="0"/>
              <w:rPr/>
            </w:pPr>
            <w:r>
              <w:rPr/>
              <w:t xml:space="preserve">Other(1)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27,425</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605,994</w:t>
            </w:r>
          </w:p>
        </w:tc>
        <w:tc>
          <w:tcPr>
            <w:tcW w:w="290" w:type="dxa"/>
            <w:tcBorders/>
            <w:shd w:fill="CCEEFF" w:val="clear"/>
            <w:vAlign w:val="center"/>
          </w:tcPr>
          <w:p>
            <w:pPr>
              <w:pStyle w:val="TableContents"/>
              <w:spacing w:before="0" w:after="0"/>
              <w:ind w:left="0" w:right="0" w:hanging="0"/>
              <w:rPr/>
            </w:pPr>
            <w:r>
              <w:rPr/>
              <w:t> </w:t>
            </w:r>
          </w:p>
        </w:tc>
      </w:tr>
      <w:tr>
        <w:trPr/>
        <w:tc>
          <w:tcPr>
            <w:tcW w:w="5015" w:type="dxa"/>
            <w:tcBorders/>
            <w:shd w:fill="FFFFFF" w:val="clear"/>
            <w:vAlign w:val="center"/>
          </w:tcPr>
          <w:p>
            <w:pPr>
              <w:pStyle w:val="TableContents"/>
              <w:spacing w:before="0" w:after="0"/>
              <w:ind w:left="0" w:right="0" w:hanging="0"/>
              <w:rPr/>
            </w:pPr>
            <w:r>
              <w:rPr/>
              <w:t xml:space="preserve">Unallocated loss adjustment expenses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4,304,095</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2,846,248</w:t>
            </w:r>
          </w:p>
        </w:tc>
        <w:tc>
          <w:tcPr>
            <w:tcW w:w="290" w:type="dxa"/>
            <w:tcBorders/>
            <w:shd w:fill="FFFFFF" w:val="clear"/>
            <w:vAlign w:val="center"/>
          </w:tcPr>
          <w:p>
            <w:pPr>
              <w:pStyle w:val="TableContents"/>
              <w:spacing w:before="0" w:after="0"/>
              <w:ind w:left="0" w:right="0" w:hanging="0"/>
              <w:rPr/>
            </w:pPr>
            <w:r>
              <w:rPr/>
              <w:t> </w:t>
            </w:r>
          </w:p>
        </w:tc>
      </w:tr>
      <w:tr>
        <w:trPr/>
        <w:tc>
          <w:tcPr>
            <w:tcW w:w="5015" w:type="dxa"/>
            <w:tcBorders/>
            <w:shd w:fill="CCEEFF" w:val="clear"/>
            <w:vAlign w:val="center"/>
          </w:tcPr>
          <w:p>
            <w:pPr>
              <w:pStyle w:val="TableContents"/>
              <w:spacing w:before="0" w:after="0"/>
              <w:ind w:left="0" w:right="0" w:firstLine="200"/>
              <w:rPr/>
            </w:pPr>
            <w:r>
              <w:rPr/>
              <w:t xml:space="preserve">Total without commercial lines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63,286,023</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70,819,046</w:t>
            </w:r>
          </w:p>
        </w:tc>
        <w:tc>
          <w:tcPr>
            <w:tcW w:w="290" w:type="dxa"/>
            <w:tcBorders/>
            <w:shd w:fill="CCEEFF" w:val="clear"/>
            <w:vAlign w:val="center"/>
          </w:tcPr>
          <w:p>
            <w:pPr>
              <w:pStyle w:val="TableContents"/>
              <w:spacing w:before="0" w:after="0"/>
              <w:ind w:left="0" w:right="0" w:hanging="0"/>
              <w:rPr/>
            </w:pPr>
            <w:r>
              <w:rPr/>
              <w:t> </w:t>
            </w:r>
          </w:p>
        </w:tc>
      </w:tr>
      <w:tr>
        <w:trPr/>
        <w:tc>
          <w:tcPr>
            <w:tcW w:w="5015" w:type="dxa"/>
            <w:tcBorders/>
            <w:shd w:fill="FFFFFF" w:val="clear"/>
            <w:vAlign w:val="center"/>
          </w:tcPr>
          <w:p>
            <w:pPr>
              <w:pStyle w:val="TableContents"/>
              <w:spacing w:before="0" w:after="0"/>
              <w:ind w:left="0" w:right="0" w:hanging="0"/>
              <w:rPr/>
            </w:pPr>
            <w:r>
              <w:rPr/>
              <w:t xml:space="preserve">Commercial lines (in run-off effective July 2019)(2)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3,145,049</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19,363,278</w:t>
            </w:r>
          </w:p>
        </w:tc>
        <w:tc>
          <w:tcPr>
            <w:tcW w:w="290" w:type="dxa"/>
            <w:tcBorders/>
            <w:shd w:fill="FFFFFF" w:val="clear"/>
            <w:vAlign w:val="center"/>
          </w:tcPr>
          <w:p>
            <w:pPr>
              <w:pStyle w:val="TableContents"/>
              <w:spacing w:before="0" w:after="0"/>
              <w:ind w:left="0" w:right="0" w:hanging="0"/>
              <w:rPr/>
            </w:pPr>
            <w:r>
              <w:rPr/>
              <w:t> </w:t>
            </w:r>
          </w:p>
        </w:tc>
      </w:tr>
      <w:tr>
        <w:trPr/>
        <w:tc>
          <w:tcPr>
            <w:tcW w:w="5015" w:type="dxa"/>
            <w:tcBorders/>
            <w:shd w:fill="CCEEFF" w:val="clear"/>
            <w:vAlign w:val="center"/>
          </w:tcPr>
          <w:p>
            <w:pPr>
              <w:pStyle w:val="TableContents"/>
              <w:spacing w:before="0" w:after="0"/>
              <w:ind w:left="0" w:right="0" w:firstLine="200"/>
              <w:rPr/>
            </w:pPr>
            <w:r>
              <w:rPr/>
              <w:t xml:space="preserve">Total net loss and loss adjustment expenses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66,431,072</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90,182,324</w:t>
            </w:r>
          </w:p>
        </w:tc>
        <w:tc>
          <w:tcPr>
            <w:tcW w:w="290" w:type="dxa"/>
            <w:tcBorders/>
            <w:shd w:fill="CCEEFF" w:val="clear"/>
            <w:vAlign w:val="center"/>
          </w:tcPr>
          <w:p>
            <w:pPr>
              <w:pStyle w:val="TableContents"/>
              <w:spacing w:before="0" w:after="0"/>
              <w:ind w:left="0" w:right="0" w:hanging="0"/>
              <w:rPr/>
            </w:pPr>
            <w:r>
              <w:rPr/>
              <w:t> </w:t>
            </w:r>
          </w:p>
        </w:tc>
      </w:tr>
      <w:tr>
        <w:trPr/>
        <w:tc>
          <w:tcPr>
            <w:tcW w:w="501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90" w:type="dxa"/>
            <w:tcBorders/>
            <w:shd w:fill="FFFFFF" w:val="clear"/>
            <w:vAlign w:val="center"/>
          </w:tcPr>
          <w:p>
            <w:pPr>
              <w:pStyle w:val="TableContents"/>
              <w:spacing w:before="0" w:after="0"/>
              <w:ind w:left="0" w:right="0" w:hanging="0"/>
              <w:rPr/>
            </w:pPr>
            <w:r>
              <w:rPr/>
              <w:t> </w:t>
            </w:r>
          </w:p>
        </w:tc>
      </w:tr>
      <w:tr>
        <w:trPr/>
        <w:tc>
          <w:tcPr>
            <w:tcW w:w="5015" w:type="dxa"/>
            <w:tcBorders/>
            <w:shd w:fill="CCEEFF" w:val="clear"/>
            <w:vAlign w:val="center"/>
          </w:tcPr>
          <w:p>
            <w:pPr>
              <w:pStyle w:val="TableContents"/>
              <w:spacing w:before="0" w:after="0"/>
              <w:ind w:left="0" w:right="0" w:hanging="0"/>
              <w:rPr/>
            </w:pPr>
            <w:r>
              <w:rPr>
                <w:rStyle w:val="StrongEmphasis"/>
              </w:rPr>
              <w:t>Net loss ratio(4):</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90" w:type="dxa"/>
            <w:tcBorders/>
            <w:shd w:fill="CCEEFF" w:val="clear"/>
            <w:vAlign w:val="center"/>
          </w:tcPr>
          <w:p>
            <w:pPr>
              <w:pStyle w:val="TableContents"/>
              <w:spacing w:before="0" w:after="0"/>
              <w:ind w:left="0" w:right="0" w:hanging="0"/>
              <w:rPr/>
            </w:pPr>
            <w:r>
              <w:rPr/>
              <w:t> </w:t>
            </w:r>
          </w:p>
        </w:tc>
      </w:tr>
      <w:tr>
        <w:trPr/>
        <w:tc>
          <w:tcPr>
            <w:tcW w:w="5015" w:type="dxa"/>
            <w:tcBorders/>
            <w:shd w:fill="FFFFFF" w:val="clear"/>
            <w:vAlign w:val="center"/>
          </w:tcPr>
          <w:p>
            <w:pPr>
              <w:pStyle w:val="TableContents"/>
              <w:spacing w:before="0" w:after="0"/>
              <w:ind w:left="0" w:right="0" w:hanging="0"/>
              <w:rPr/>
            </w:pPr>
            <w:r>
              <w:rPr/>
              <w:t>Personal lines</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58.4</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60.4</w:t>
            </w:r>
          </w:p>
        </w:tc>
        <w:tc>
          <w:tcPr>
            <w:tcW w:w="290" w:type="dxa"/>
            <w:tcBorders/>
            <w:shd w:fill="FFFFFF" w:val="clear"/>
            <w:vAlign w:val="center"/>
          </w:tcPr>
          <w:p>
            <w:pPr>
              <w:pStyle w:val="TableContents"/>
              <w:spacing w:before="0" w:after="283"/>
              <w:rPr/>
            </w:pPr>
            <w:r>
              <w:rPr/>
              <w:t>%</w:t>
            </w:r>
          </w:p>
        </w:tc>
      </w:tr>
      <w:tr>
        <w:trPr/>
        <w:tc>
          <w:tcPr>
            <w:tcW w:w="5015" w:type="dxa"/>
            <w:tcBorders/>
            <w:shd w:fill="CCEEFF" w:val="clear"/>
            <w:vAlign w:val="center"/>
          </w:tcPr>
          <w:p>
            <w:pPr>
              <w:pStyle w:val="TableContents"/>
              <w:spacing w:before="0" w:after="0"/>
              <w:ind w:left="0" w:right="0" w:hanging="0"/>
              <w:rPr/>
            </w:pPr>
            <w:r>
              <w:rPr/>
              <w:t>Livery physical damage</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30.3</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49.3</w:t>
            </w:r>
          </w:p>
        </w:tc>
        <w:tc>
          <w:tcPr>
            <w:tcW w:w="290" w:type="dxa"/>
            <w:tcBorders/>
            <w:shd w:fill="CCEEFF" w:val="clear"/>
            <w:vAlign w:val="center"/>
          </w:tcPr>
          <w:p>
            <w:pPr>
              <w:pStyle w:val="TableContents"/>
              <w:spacing w:before="0" w:after="283"/>
              <w:rPr/>
            </w:pPr>
            <w:r>
              <w:rPr/>
              <w:t>%</w:t>
            </w:r>
          </w:p>
        </w:tc>
      </w:tr>
      <w:tr>
        <w:trPr/>
        <w:tc>
          <w:tcPr>
            <w:tcW w:w="5015" w:type="dxa"/>
            <w:tcBorders/>
            <w:shd w:fill="FFFFFF" w:val="clear"/>
            <w:vAlign w:val="center"/>
          </w:tcPr>
          <w:p>
            <w:pPr>
              <w:pStyle w:val="TableContents"/>
              <w:spacing w:before="0" w:after="0"/>
              <w:ind w:left="0" w:right="0" w:hanging="0"/>
              <w:rPr/>
            </w:pPr>
            <w:r>
              <w:rPr/>
              <w:t>Other(1)</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22.4</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116.8</w:t>
            </w:r>
          </w:p>
        </w:tc>
        <w:tc>
          <w:tcPr>
            <w:tcW w:w="290" w:type="dxa"/>
            <w:tcBorders/>
            <w:shd w:fill="FFFFFF" w:val="clear"/>
            <w:vAlign w:val="center"/>
          </w:tcPr>
          <w:p>
            <w:pPr>
              <w:pStyle w:val="TableContents"/>
              <w:spacing w:before="0" w:after="283"/>
              <w:rPr/>
            </w:pPr>
            <w:r>
              <w:rPr/>
              <w:t>%</w:t>
            </w:r>
          </w:p>
        </w:tc>
      </w:tr>
      <w:tr>
        <w:trPr/>
        <w:tc>
          <w:tcPr>
            <w:tcW w:w="5015" w:type="dxa"/>
            <w:tcBorders/>
            <w:shd w:fill="CCEEFF" w:val="clear"/>
            <w:vAlign w:val="center"/>
          </w:tcPr>
          <w:p>
            <w:pPr>
              <w:pStyle w:val="TableContents"/>
              <w:spacing w:before="0" w:after="0"/>
              <w:ind w:left="0" w:right="0" w:firstLine="200"/>
              <w:rPr/>
            </w:pPr>
            <w:r>
              <w:rPr/>
              <w:t>Total without commercial lines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60.1</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62.1</w:t>
            </w:r>
          </w:p>
        </w:tc>
        <w:tc>
          <w:tcPr>
            <w:tcW w:w="290" w:type="dxa"/>
            <w:tcBorders/>
            <w:shd w:fill="CCEEFF" w:val="clear"/>
            <w:vAlign w:val="center"/>
          </w:tcPr>
          <w:p>
            <w:pPr>
              <w:pStyle w:val="TableContents"/>
              <w:spacing w:before="0" w:after="283"/>
              <w:rPr/>
            </w:pPr>
            <w:r>
              <w:rPr/>
              <w:t>%</w:t>
            </w:r>
          </w:p>
        </w:tc>
      </w:tr>
      <w:tr>
        <w:trPr/>
        <w:tc>
          <w:tcPr>
            <w:tcW w:w="501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90" w:type="dxa"/>
            <w:tcBorders/>
            <w:shd w:fill="FFFFFF" w:val="clear"/>
            <w:vAlign w:val="center"/>
          </w:tcPr>
          <w:p>
            <w:pPr>
              <w:pStyle w:val="TableContents"/>
              <w:spacing w:before="0" w:after="0"/>
              <w:ind w:left="0" w:right="0" w:hanging="0"/>
              <w:rPr/>
            </w:pPr>
            <w:r>
              <w:rPr/>
              <w:t> </w:t>
            </w:r>
          </w:p>
        </w:tc>
      </w:tr>
      <w:tr>
        <w:trPr/>
        <w:tc>
          <w:tcPr>
            <w:tcW w:w="5015" w:type="dxa"/>
            <w:tcBorders/>
            <w:shd w:fill="CCEEFF" w:val="clear"/>
            <w:vAlign w:val="center"/>
          </w:tcPr>
          <w:p>
            <w:pPr>
              <w:pStyle w:val="TableContents"/>
              <w:spacing w:before="0" w:after="0"/>
              <w:ind w:left="0" w:right="0" w:hanging="0"/>
              <w:rPr/>
            </w:pPr>
            <w:r>
              <w:rPr/>
              <w:t xml:space="preserve">Commercial lines (in run-off effective July 2019)(2)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116.0</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142.4</w:t>
            </w:r>
          </w:p>
        </w:tc>
        <w:tc>
          <w:tcPr>
            <w:tcW w:w="290" w:type="dxa"/>
            <w:tcBorders/>
            <w:shd w:fill="CCEEFF" w:val="clear"/>
            <w:vAlign w:val="center"/>
          </w:tcPr>
          <w:p>
            <w:pPr>
              <w:pStyle w:val="TableContents"/>
              <w:spacing w:before="0" w:after="283"/>
              <w:rPr/>
            </w:pPr>
            <w:r>
              <w:rPr/>
              <w:t>%</w:t>
            </w:r>
          </w:p>
        </w:tc>
      </w:tr>
      <w:tr>
        <w:trPr/>
        <w:tc>
          <w:tcPr>
            <w:tcW w:w="5015" w:type="dxa"/>
            <w:tcBorders/>
            <w:shd w:fill="FFFFFF" w:val="clear"/>
            <w:vAlign w:val="center"/>
          </w:tcPr>
          <w:p>
            <w:pPr>
              <w:pStyle w:val="TableContents"/>
              <w:spacing w:before="0" w:after="0"/>
              <w:ind w:left="0" w:right="0" w:firstLine="200"/>
              <w:rPr/>
            </w:pPr>
            <w:r>
              <w:rPr/>
              <w:t xml:space="preserve">Total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61.5</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70.7</w:t>
            </w:r>
          </w:p>
        </w:tc>
        <w:tc>
          <w:tcPr>
            <w:tcW w:w="290" w:type="dxa"/>
            <w:tcBorders/>
            <w:shd w:fill="FFFFFF" w:val="clear"/>
            <w:vAlign w:val="center"/>
          </w:tcPr>
          <w:p>
            <w:pPr>
              <w:pStyle w:val="TableContents"/>
              <w:spacing w:before="0" w:after="283"/>
              <w:rPr/>
            </w:pPr>
            <w:r>
              <w:rPr/>
              <w:t>%</w:t>
            </w:r>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317"/>
        <w:gridCol w:w="9888"/>
      </w:tblGrid>
      <w:tr>
        <w:trPr/>
        <w:tc>
          <w:tcPr>
            <w:tcW w:w="317" w:type="dxa"/>
            <w:tcBorders/>
            <w:shd w:fill="auto" w:val="clear"/>
            <w:vAlign w:val="center"/>
          </w:tcPr>
          <w:p>
            <w:pPr>
              <w:pStyle w:val="TableContents"/>
              <w:spacing w:before="0" w:after="0"/>
              <w:ind w:left="0" w:right="0" w:hanging="0"/>
              <w:rPr/>
            </w:pPr>
            <w:r>
              <w:rPr/>
              <w:t xml:space="preserve">(1) </w:t>
            </w:r>
          </w:p>
        </w:tc>
        <w:tc>
          <w:tcPr>
            <w:tcW w:w="9888" w:type="dxa"/>
            <w:tcBorders/>
            <w:shd w:fill="auto" w:val="clear"/>
            <w:vAlign w:val="center"/>
          </w:tcPr>
          <w:p>
            <w:pPr>
              <w:pStyle w:val="TableContents"/>
              <w:spacing w:before="0" w:after="283"/>
              <w:rPr/>
            </w:pPr>
            <w:r>
              <w:rPr/>
              <w:t>“</w:t>
            </w:r>
            <w:r>
              <w:rPr/>
              <w:t xml:space="preserve">Other” includes, among other things, premiums and loss and loss adjustment expenses from our participation in a mandatory state joint underwriting association and loss and loss adjustment expenses from commercial auto. </w:t>
            </w:r>
          </w:p>
        </w:tc>
      </w:tr>
      <w:tr>
        <w:trPr/>
        <w:tc>
          <w:tcPr>
            <w:tcW w:w="317" w:type="dxa"/>
            <w:tcBorders/>
            <w:shd w:fill="auto" w:val="clear"/>
            <w:vAlign w:val="center"/>
          </w:tcPr>
          <w:p>
            <w:pPr>
              <w:pStyle w:val="TableContents"/>
              <w:spacing w:before="0" w:after="0"/>
              <w:ind w:left="0" w:right="0" w:hanging="0"/>
              <w:rPr/>
            </w:pPr>
            <w:r>
              <w:rPr/>
              <w:t xml:space="preserve">(2) </w:t>
            </w:r>
          </w:p>
        </w:tc>
        <w:tc>
          <w:tcPr>
            <w:tcW w:w="9888" w:type="dxa"/>
            <w:tcBorders/>
            <w:shd w:fill="auto" w:val="clear"/>
            <w:vAlign w:val="center"/>
          </w:tcPr>
          <w:p>
            <w:pPr>
              <w:pStyle w:val="TableContents"/>
              <w:spacing w:before="0" w:after="283"/>
              <w:rPr/>
            </w:pPr>
            <w:r>
              <w:rPr/>
              <w:t xml:space="preserve">In July 2019, we decided that we will no longer underwrite Commercial Liability risks. See discussions above regarding the discontinuation of this line of business. </w:t>
            </w:r>
          </w:p>
        </w:tc>
      </w:tr>
      <w:tr>
        <w:trPr/>
        <w:tc>
          <w:tcPr>
            <w:tcW w:w="317" w:type="dxa"/>
            <w:tcBorders/>
            <w:shd w:fill="auto" w:val="clear"/>
            <w:vAlign w:val="center"/>
          </w:tcPr>
          <w:p>
            <w:pPr>
              <w:pStyle w:val="TableContents"/>
              <w:spacing w:before="0" w:after="0"/>
              <w:ind w:left="0" w:right="0" w:hanging="0"/>
              <w:rPr/>
            </w:pPr>
            <w:r>
              <w:rPr/>
              <w:t xml:space="preserve">(3) </w:t>
            </w:r>
          </w:p>
        </w:tc>
        <w:tc>
          <w:tcPr>
            <w:tcW w:w="9888" w:type="dxa"/>
            <w:tcBorders/>
            <w:shd w:fill="auto" w:val="clear"/>
            <w:vAlign w:val="center"/>
          </w:tcPr>
          <w:p>
            <w:pPr>
              <w:pStyle w:val="TableContents"/>
              <w:spacing w:before="0" w:after="0"/>
              <w:ind w:left="0" w:right="0" w:hanging="0"/>
              <w:jc w:val="both"/>
              <w:rPr/>
            </w:pPr>
            <w:r>
              <w:rPr/>
              <w:t>See discussions above with regard to “Net Written Premiums and Net Premiums Earned”, as to changes in quota share ceding rates effective December 31, 2020, December 15, 2019 and July 1, 2019.</w:t>
            </w:r>
          </w:p>
        </w:tc>
      </w:tr>
      <w:tr>
        <w:trPr/>
        <w:tc>
          <w:tcPr>
            <w:tcW w:w="317" w:type="dxa"/>
            <w:tcBorders/>
            <w:shd w:fill="auto" w:val="clear"/>
            <w:vAlign w:val="center"/>
          </w:tcPr>
          <w:p>
            <w:pPr>
              <w:pStyle w:val="TableContents"/>
              <w:spacing w:before="0" w:after="0"/>
              <w:ind w:left="0" w:right="0" w:hanging="0"/>
              <w:rPr/>
            </w:pPr>
            <w:r>
              <w:rPr/>
              <w:t xml:space="preserve">(4) </w:t>
            </w:r>
          </w:p>
        </w:tc>
        <w:tc>
          <w:tcPr>
            <w:tcW w:w="9888" w:type="dxa"/>
            <w:tcBorders/>
            <w:shd w:fill="auto" w:val="clear"/>
            <w:vAlign w:val="center"/>
          </w:tcPr>
          <w:p>
            <w:pPr>
              <w:pStyle w:val="TableContents"/>
              <w:spacing w:before="0" w:after="283"/>
              <w:rPr/>
            </w:pPr>
            <w:r>
              <w:rPr/>
              <w:t>See discussions above with regard to “Net Loss and LAE”, as to catastrophe losses in the years ended December 31, 2020 and 2019.</w:t>
            </w:r>
          </w:p>
        </w:tc>
      </w:tr>
    </w:tbl>
    <w:p>
      <w:pPr>
        <w:pStyle w:val="TextBody"/>
        <w:spacing w:before="0" w:after="0"/>
        <w:ind w:left="0" w:right="0" w:hanging="0"/>
        <w:jc w:val="both"/>
        <w:rPr/>
      </w:pPr>
      <w:r>
        <w:rPr/>
        <w:t>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44</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360" w:right="0" w:hanging="0"/>
        <w:jc w:val="both"/>
        <w:rPr/>
      </w:pPr>
      <w:r>
        <w:rPr>
          <w:rStyle w:val="StrongEmphasis"/>
          <w:rFonts w:ascii="times new roman" w:hAnsi="times new roman"/>
          <w:sz w:val="20"/>
        </w:rPr>
        <w:t>Insurance Underwriting Business on a Standalone Basis</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Our insurance underwriting business reported on a standalone basis for the years ended December 31, 2020 and 2019 follows:</w:t>
      </w:r>
      <w:r>
        <w:rPr>
          <w:rStyle w:val="StrongEmphasis"/>
          <w:rFonts w:ascii="times new roman" w:hAnsi="times new roman"/>
          <w:sz w:val="20"/>
        </w:rPr>
        <w:t xml:space="preserve"> </w:t>
      </w:r>
    </w:p>
    <w:p>
      <w:pPr>
        <w:pStyle w:val="TextBody"/>
        <w:spacing w:before="0" w:after="0"/>
        <w:ind w:left="0" w:right="0" w:firstLine="720"/>
        <w:jc w:val="both"/>
        <w:rPr/>
      </w:pPr>
      <w:r>
        <w:rPr/>
        <w:t> </w:t>
      </w:r>
    </w:p>
    <w:tbl>
      <w:tblPr>
        <w:tblW w:w="8485" w:type="dxa"/>
        <w:jc w:val="left"/>
        <w:tblInd w:w="0" w:type="dxa"/>
        <w:tblCellMar>
          <w:top w:w="0" w:type="dxa"/>
          <w:left w:w="0" w:type="dxa"/>
          <w:bottom w:w="0" w:type="dxa"/>
          <w:right w:w="0" w:type="dxa"/>
        </w:tblCellMar>
      </w:tblPr>
      <w:tblGrid>
        <w:gridCol w:w="4930"/>
        <w:gridCol w:w="90"/>
        <w:gridCol w:w="170"/>
        <w:gridCol w:w="1250"/>
        <w:gridCol w:w="245"/>
        <w:gridCol w:w="90"/>
        <w:gridCol w:w="170"/>
        <w:gridCol w:w="1250"/>
        <w:gridCol w:w="290"/>
      </w:tblGrid>
      <w:tr>
        <w:trPr/>
        <w:tc>
          <w:tcPr>
            <w:tcW w:w="493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3175" w:type="dxa"/>
            <w:gridSpan w:val="6"/>
            <w:tcBorders/>
            <w:shd w:fill="auto" w:val="clear"/>
            <w:vAlign w:val="center"/>
          </w:tcPr>
          <w:p>
            <w:pPr>
              <w:pStyle w:val="TableContents"/>
              <w:spacing w:before="0" w:after="0"/>
              <w:ind w:left="0" w:right="0" w:hanging="0"/>
              <w:jc w:val="center"/>
              <w:rPr/>
            </w:pPr>
            <w:r>
              <w:rPr>
                <w:rStyle w:val="StrongEmphasis"/>
              </w:rPr>
              <w:t>Years ended</w:t>
            </w:r>
          </w:p>
        </w:tc>
        <w:tc>
          <w:tcPr>
            <w:tcW w:w="290" w:type="dxa"/>
            <w:tcBorders/>
            <w:shd w:fill="auto" w:val="clear"/>
            <w:vAlign w:val="center"/>
          </w:tcPr>
          <w:p>
            <w:pPr>
              <w:pStyle w:val="TableContents"/>
              <w:spacing w:before="0" w:after="0"/>
              <w:ind w:left="0" w:right="0" w:hanging="0"/>
              <w:rPr/>
            </w:pPr>
            <w:r>
              <w:rPr/>
              <w:t> </w:t>
            </w:r>
          </w:p>
        </w:tc>
      </w:tr>
      <w:tr>
        <w:trPr/>
        <w:tc>
          <w:tcPr>
            <w:tcW w:w="493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3175"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December 31,</w:t>
            </w:r>
          </w:p>
        </w:tc>
        <w:tc>
          <w:tcPr>
            <w:tcW w:w="290" w:type="dxa"/>
            <w:tcBorders/>
            <w:shd w:fill="auto" w:val="clear"/>
            <w:vAlign w:val="center"/>
          </w:tcPr>
          <w:p>
            <w:pPr>
              <w:pStyle w:val="TableContents"/>
              <w:spacing w:before="0" w:after="0"/>
              <w:ind w:left="0" w:right="0" w:hanging="0"/>
              <w:rPr/>
            </w:pPr>
            <w:r>
              <w:rPr/>
              <w:t> </w:t>
            </w:r>
          </w:p>
        </w:tc>
      </w:tr>
      <w:tr>
        <w:trPr/>
        <w:tc>
          <w:tcPr>
            <w:tcW w:w="493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2020</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2019</w:t>
            </w:r>
          </w:p>
        </w:tc>
        <w:tc>
          <w:tcPr>
            <w:tcW w:w="290" w:type="dxa"/>
            <w:tcBorders/>
            <w:shd w:fill="auto" w:val="clear"/>
            <w:vAlign w:val="center"/>
          </w:tcPr>
          <w:p>
            <w:pPr>
              <w:pStyle w:val="TableContents"/>
              <w:spacing w:before="0" w:after="0"/>
              <w:ind w:left="0" w:right="0" w:hanging="0"/>
              <w:rPr/>
            </w:pPr>
            <w:r>
              <w:rPr/>
              <w:t> </w:t>
            </w:r>
          </w:p>
        </w:tc>
      </w:tr>
      <w:tr>
        <w:trPr/>
        <w:tc>
          <w:tcPr>
            <w:tcW w:w="493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290" w:type="dxa"/>
            <w:tcBorders/>
            <w:shd w:fill="auto" w:val="clear"/>
            <w:vAlign w:val="center"/>
          </w:tcPr>
          <w:p>
            <w:pPr>
              <w:pStyle w:val="TableContents"/>
              <w:spacing w:before="0" w:after="0"/>
              <w:ind w:left="0" w:right="0" w:hanging="0"/>
              <w:rPr/>
            </w:pPr>
            <w:r>
              <w:rPr/>
              <w:t> </w:t>
            </w:r>
          </w:p>
        </w:tc>
      </w:tr>
      <w:tr>
        <w:trPr/>
        <w:tc>
          <w:tcPr>
            <w:tcW w:w="4930" w:type="dxa"/>
            <w:tcBorders/>
            <w:shd w:fill="auto" w:val="clear"/>
            <w:vAlign w:val="center"/>
          </w:tcPr>
          <w:p>
            <w:pPr>
              <w:pStyle w:val="TableContents"/>
              <w:spacing w:before="0" w:after="0"/>
              <w:ind w:left="0" w:right="0" w:hanging="0"/>
              <w:rPr/>
            </w:pPr>
            <w:r>
              <w:rPr>
                <w:rStyle w:val="StrongEmphasis"/>
              </w:rPr>
              <w:t xml:space="preserve">Revenues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290" w:type="dxa"/>
            <w:tcBorders/>
            <w:shd w:fill="auto" w:val="clear"/>
            <w:vAlign w:val="center"/>
          </w:tcPr>
          <w:p>
            <w:pPr>
              <w:pStyle w:val="TableContents"/>
              <w:spacing w:before="0" w:after="0"/>
              <w:ind w:left="0" w:right="0" w:hanging="0"/>
              <w:rPr/>
            </w:pPr>
            <w:r>
              <w:rPr/>
              <w:t> </w:t>
            </w:r>
          </w:p>
        </w:tc>
      </w:tr>
      <w:tr>
        <w:trPr/>
        <w:tc>
          <w:tcPr>
            <w:tcW w:w="4930" w:type="dxa"/>
            <w:tcBorders/>
            <w:shd w:fill="CCEEFF" w:val="clear"/>
            <w:vAlign w:val="center"/>
          </w:tcPr>
          <w:p>
            <w:pPr>
              <w:pStyle w:val="TableContents"/>
              <w:spacing w:before="0" w:after="0"/>
              <w:ind w:left="0" w:right="0" w:firstLine="200"/>
              <w:rPr/>
            </w:pPr>
            <w:r>
              <w:rPr/>
              <w:t xml:space="preserve">Net premiums earned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108,080,629</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127,623,442</w:t>
            </w:r>
          </w:p>
        </w:tc>
        <w:tc>
          <w:tcPr>
            <w:tcW w:w="290" w:type="dxa"/>
            <w:tcBorders/>
            <w:shd w:fill="CCEEFF" w:val="clear"/>
            <w:vAlign w:val="center"/>
          </w:tcPr>
          <w:p>
            <w:pPr>
              <w:pStyle w:val="TableContents"/>
              <w:spacing w:before="0" w:after="0"/>
              <w:ind w:left="0" w:right="0" w:hanging="0"/>
              <w:rPr/>
            </w:pPr>
            <w:r>
              <w:rPr/>
              <w:t> </w:t>
            </w:r>
          </w:p>
        </w:tc>
      </w:tr>
      <w:tr>
        <w:trPr/>
        <w:tc>
          <w:tcPr>
            <w:tcW w:w="4930" w:type="dxa"/>
            <w:tcBorders/>
            <w:shd w:fill="FFFFFF" w:val="clear"/>
            <w:vAlign w:val="center"/>
          </w:tcPr>
          <w:p>
            <w:pPr>
              <w:pStyle w:val="TableContents"/>
              <w:spacing w:before="0" w:after="0"/>
              <w:ind w:left="0" w:right="0" w:firstLine="200"/>
              <w:rPr/>
            </w:pPr>
            <w:r>
              <w:rPr/>
              <w:t xml:space="preserve">Ceding commission revenue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14,202,353</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4,650,851</w:t>
            </w:r>
          </w:p>
        </w:tc>
        <w:tc>
          <w:tcPr>
            <w:tcW w:w="290" w:type="dxa"/>
            <w:tcBorders/>
            <w:shd w:fill="FFFFFF" w:val="clear"/>
            <w:vAlign w:val="center"/>
          </w:tcPr>
          <w:p>
            <w:pPr>
              <w:pStyle w:val="TableContents"/>
              <w:spacing w:before="0" w:after="0"/>
              <w:ind w:left="0" w:right="0" w:hanging="0"/>
              <w:rPr/>
            </w:pPr>
            <w:r>
              <w:rPr/>
              <w:t> </w:t>
            </w:r>
          </w:p>
        </w:tc>
      </w:tr>
      <w:tr>
        <w:trPr/>
        <w:tc>
          <w:tcPr>
            <w:tcW w:w="4930" w:type="dxa"/>
            <w:tcBorders/>
            <w:shd w:fill="CCEEFF" w:val="clear"/>
            <w:vAlign w:val="center"/>
          </w:tcPr>
          <w:p>
            <w:pPr>
              <w:pStyle w:val="TableContents"/>
              <w:spacing w:before="0" w:after="0"/>
              <w:ind w:left="0" w:right="0" w:firstLine="200"/>
              <w:rPr/>
            </w:pPr>
            <w:r>
              <w:rPr/>
              <w:t xml:space="preserve">Net investment income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6,504,983</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6,821,248</w:t>
            </w:r>
          </w:p>
        </w:tc>
        <w:tc>
          <w:tcPr>
            <w:tcW w:w="290" w:type="dxa"/>
            <w:tcBorders/>
            <w:shd w:fill="CCEEFF" w:val="clear"/>
            <w:vAlign w:val="center"/>
          </w:tcPr>
          <w:p>
            <w:pPr>
              <w:pStyle w:val="TableContents"/>
              <w:spacing w:before="0" w:after="0"/>
              <w:ind w:left="0" w:right="0" w:hanging="0"/>
              <w:rPr/>
            </w:pPr>
            <w:r>
              <w:rPr/>
              <w:t> </w:t>
            </w:r>
          </w:p>
        </w:tc>
      </w:tr>
      <w:tr>
        <w:trPr/>
        <w:tc>
          <w:tcPr>
            <w:tcW w:w="4930" w:type="dxa"/>
            <w:tcBorders/>
            <w:shd w:fill="FFFFFF" w:val="clear"/>
            <w:vAlign w:val="center"/>
          </w:tcPr>
          <w:p>
            <w:pPr>
              <w:pStyle w:val="TableContents"/>
              <w:spacing w:before="0" w:after="0"/>
              <w:ind w:left="0" w:right="0" w:firstLine="200"/>
              <w:rPr/>
            </w:pPr>
            <w:r>
              <w:rPr/>
              <w:t xml:space="preserve">Net gains on investments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1,549,099</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4,495,230</w:t>
            </w:r>
          </w:p>
        </w:tc>
        <w:tc>
          <w:tcPr>
            <w:tcW w:w="290" w:type="dxa"/>
            <w:tcBorders/>
            <w:shd w:fill="FFFFFF" w:val="clear"/>
            <w:vAlign w:val="center"/>
          </w:tcPr>
          <w:p>
            <w:pPr>
              <w:pStyle w:val="TableContents"/>
              <w:spacing w:before="0" w:after="0"/>
              <w:ind w:left="0" w:right="0" w:hanging="0"/>
              <w:rPr/>
            </w:pPr>
            <w:r>
              <w:rPr/>
              <w:t> </w:t>
            </w:r>
          </w:p>
        </w:tc>
      </w:tr>
      <w:tr>
        <w:trPr/>
        <w:tc>
          <w:tcPr>
            <w:tcW w:w="4930" w:type="dxa"/>
            <w:tcBorders/>
            <w:shd w:fill="CCEEFF" w:val="clear"/>
            <w:vAlign w:val="center"/>
          </w:tcPr>
          <w:p>
            <w:pPr>
              <w:pStyle w:val="TableContents"/>
              <w:spacing w:before="0" w:after="0"/>
              <w:ind w:left="0" w:right="0" w:firstLine="200"/>
              <w:rPr/>
            </w:pPr>
            <w:r>
              <w:rPr/>
              <w:t xml:space="preserve">Other income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970,595</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1,306,820</w:t>
            </w:r>
          </w:p>
        </w:tc>
        <w:tc>
          <w:tcPr>
            <w:tcW w:w="290" w:type="dxa"/>
            <w:tcBorders/>
            <w:shd w:fill="CCEEFF" w:val="clear"/>
            <w:vAlign w:val="center"/>
          </w:tcPr>
          <w:p>
            <w:pPr>
              <w:pStyle w:val="TableContents"/>
              <w:spacing w:before="0" w:after="0"/>
              <w:ind w:left="0" w:right="0" w:hanging="0"/>
              <w:rPr/>
            </w:pPr>
            <w:r>
              <w:rPr/>
              <w:t> </w:t>
            </w:r>
          </w:p>
        </w:tc>
      </w:tr>
      <w:tr>
        <w:trPr/>
        <w:tc>
          <w:tcPr>
            <w:tcW w:w="4930" w:type="dxa"/>
            <w:tcBorders/>
            <w:shd w:fill="FFFFFF" w:val="clear"/>
            <w:vAlign w:val="center"/>
          </w:tcPr>
          <w:p>
            <w:pPr>
              <w:pStyle w:val="TableContents"/>
              <w:spacing w:before="0" w:after="0"/>
              <w:ind w:left="0" w:right="0" w:firstLine="400"/>
              <w:rPr/>
            </w:pPr>
            <w:r>
              <w:rPr/>
              <w:t xml:space="preserve">Total revenues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131,307,659</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144,897,591</w:t>
            </w:r>
          </w:p>
        </w:tc>
        <w:tc>
          <w:tcPr>
            <w:tcW w:w="290" w:type="dxa"/>
            <w:tcBorders/>
            <w:shd w:fill="FFFFFF" w:val="clear"/>
            <w:vAlign w:val="center"/>
          </w:tcPr>
          <w:p>
            <w:pPr>
              <w:pStyle w:val="TableContents"/>
              <w:spacing w:before="0" w:after="0"/>
              <w:ind w:left="0" w:right="0" w:hanging="0"/>
              <w:rPr/>
            </w:pPr>
            <w:r>
              <w:rPr/>
              <w:t> </w:t>
            </w:r>
          </w:p>
        </w:tc>
      </w:tr>
      <w:tr>
        <w:trPr/>
        <w:tc>
          <w:tcPr>
            <w:tcW w:w="49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90" w:type="dxa"/>
            <w:tcBorders/>
            <w:shd w:fill="CCEEFF" w:val="clear"/>
            <w:vAlign w:val="center"/>
          </w:tcPr>
          <w:p>
            <w:pPr>
              <w:pStyle w:val="TableContents"/>
              <w:spacing w:before="0" w:after="0"/>
              <w:ind w:left="0" w:right="0" w:hanging="0"/>
              <w:rPr/>
            </w:pPr>
            <w:r>
              <w:rPr/>
              <w:t> </w:t>
            </w:r>
          </w:p>
        </w:tc>
      </w:tr>
      <w:tr>
        <w:trPr/>
        <w:tc>
          <w:tcPr>
            <w:tcW w:w="4930" w:type="dxa"/>
            <w:tcBorders/>
            <w:shd w:fill="FFFFFF" w:val="clear"/>
            <w:vAlign w:val="center"/>
          </w:tcPr>
          <w:p>
            <w:pPr>
              <w:pStyle w:val="TableContents"/>
              <w:spacing w:before="0" w:after="0"/>
              <w:ind w:left="0" w:right="0" w:hanging="0"/>
              <w:rPr/>
            </w:pPr>
            <w:r>
              <w:rPr>
                <w:rStyle w:val="StrongEmphasis"/>
              </w:rPr>
              <w:t xml:space="preserve">Expenses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90" w:type="dxa"/>
            <w:tcBorders/>
            <w:shd w:fill="FFFFFF" w:val="clear"/>
            <w:vAlign w:val="center"/>
          </w:tcPr>
          <w:p>
            <w:pPr>
              <w:pStyle w:val="TableContents"/>
              <w:spacing w:before="0" w:after="0"/>
              <w:ind w:left="0" w:right="0" w:hanging="0"/>
              <w:rPr/>
            </w:pPr>
            <w:r>
              <w:rPr/>
              <w:t> </w:t>
            </w:r>
          </w:p>
        </w:tc>
      </w:tr>
      <w:tr>
        <w:trPr/>
        <w:tc>
          <w:tcPr>
            <w:tcW w:w="4930" w:type="dxa"/>
            <w:tcBorders/>
            <w:shd w:fill="CCEEFF" w:val="clear"/>
            <w:vAlign w:val="center"/>
          </w:tcPr>
          <w:p>
            <w:pPr>
              <w:pStyle w:val="TableContents"/>
              <w:spacing w:before="0" w:after="0"/>
              <w:ind w:left="0" w:right="0" w:firstLine="200"/>
              <w:rPr/>
            </w:pPr>
            <w:r>
              <w:rPr/>
              <w:t xml:space="preserve">Loss and loss adjustment expenses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66,431,072</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90,182,324</w:t>
            </w:r>
          </w:p>
        </w:tc>
        <w:tc>
          <w:tcPr>
            <w:tcW w:w="290" w:type="dxa"/>
            <w:tcBorders/>
            <w:shd w:fill="CCEEFF" w:val="clear"/>
            <w:vAlign w:val="center"/>
          </w:tcPr>
          <w:p>
            <w:pPr>
              <w:pStyle w:val="TableContents"/>
              <w:spacing w:before="0" w:after="0"/>
              <w:ind w:left="0" w:right="0" w:hanging="0"/>
              <w:rPr/>
            </w:pPr>
            <w:r>
              <w:rPr/>
              <w:t> </w:t>
            </w:r>
          </w:p>
        </w:tc>
      </w:tr>
      <w:tr>
        <w:trPr/>
        <w:tc>
          <w:tcPr>
            <w:tcW w:w="4930" w:type="dxa"/>
            <w:tcBorders/>
            <w:shd w:fill="FFFFFF" w:val="clear"/>
            <w:vAlign w:val="center"/>
          </w:tcPr>
          <w:p>
            <w:pPr>
              <w:pStyle w:val="TableContents"/>
              <w:spacing w:before="0" w:after="0"/>
              <w:ind w:left="0" w:right="0" w:firstLine="200"/>
              <w:rPr/>
            </w:pPr>
            <w:r>
              <w:rPr/>
              <w:t xml:space="preserve">Commission expense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31,828,174</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30,093,106</w:t>
            </w:r>
          </w:p>
        </w:tc>
        <w:tc>
          <w:tcPr>
            <w:tcW w:w="290" w:type="dxa"/>
            <w:tcBorders/>
            <w:shd w:fill="FFFFFF" w:val="clear"/>
            <w:vAlign w:val="center"/>
          </w:tcPr>
          <w:p>
            <w:pPr>
              <w:pStyle w:val="TableContents"/>
              <w:spacing w:before="0" w:after="0"/>
              <w:ind w:left="0" w:right="0" w:hanging="0"/>
              <w:rPr/>
            </w:pPr>
            <w:r>
              <w:rPr/>
              <w:t> </w:t>
            </w:r>
          </w:p>
        </w:tc>
      </w:tr>
      <w:tr>
        <w:trPr/>
        <w:tc>
          <w:tcPr>
            <w:tcW w:w="4930" w:type="dxa"/>
            <w:tcBorders/>
            <w:shd w:fill="CCEEFF" w:val="clear"/>
            <w:vAlign w:val="center"/>
          </w:tcPr>
          <w:p>
            <w:pPr>
              <w:pStyle w:val="TableContents"/>
              <w:spacing w:before="0" w:after="0"/>
              <w:ind w:left="0" w:right="0" w:firstLine="200"/>
              <w:rPr/>
            </w:pPr>
            <w:r>
              <w:rPr/>
              <w:t xml:space="preserve">Other underwriting expenses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25,424,779</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24,420,208</w:t>
            </w:r>
          </w:p>
        </w:tc>
        <w:tc>
          <w:tcPr>
            <w:tcW w:w="290" w:type="dxa"/>
            <w:tcBorders/>
            <w:shd w:fill="CCEEFF" w:val="clear"/>
            <w:vAlign w:val="center"/>
          </w:tcPr>
          <w:p>
            <w:pPr>
              <w:pStyle w:val="TableContents"/>
              <w:spacing w:before="0" w:after="0"/>
              <w:ind w:left="0" w:right="0" w:hanging="0"/>
              <w:rPr/>
            </w:pPr>
            <w:r>
              <w:rPr/>
              <w:t> </w:t>
            </w:r>
          </w:p>
        </w:tc>
      </w:tr>
      <w:tr>
        <w:trPr/>
        <w:tc>
          <w:tcPr>
            <w:tcW w:w="4930" w:type="dxa"/>
            <w:tcBorders/>
            <w:shd w:fill="FFFFFF" w:val="clear"/>
            <w:vAlign w:val="center"/>
          </w:tcPr>
          <w:p>
            <w:pPr>
              <w:pStyle w:val="TableContents"/>
              <w:spacing w:before="0" w:after="0"/>
              <w:ind w:left="0" w:right="0" w:firstLine="200"/>
              <w:rPr/>
            </w:pPr>
            <w:r>
              <w:rPr/>
              <w:t xml:space="preserve">Depreciation and amortization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2,732,128</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2,446,959</w:t>
            </w:r>
          </w:p>
        </w:tc>
        <w:tc>
          <w:tcPr>
            <w:tcW w:w="290" w:type="dxa"/>
            <w:tcBorders/>
            <w:shd w:fill="FFFFFF" w:val="clear"/>
            <w:vAlign w:val="center"/>
          </w:tcPr>
          <w:p>
            <w:pPr>
              <w:pStyle w:val="TableContents"/>
              <w:spacing w:before="0" w:after="0"/>
              <w:ind w:left="0" w:right="0" w:hanging="0"/>
              <w:rPr/>
            </w:pPr>
            <w:r>
              <w:rPr/>
              <w:t> </w:t>
            </w:r>
          </w:p>
        </w:tc>
      </w:tr>
      <w:tr>
        <w:trPr/>
        <w:tc>
          <w:tcPr>
            <w:tcW w:w="4930" w:type="dxa"/>
            <w:tcBorders/>
            <w:shd w:fill="CCEEFF" w:val="clear"/>
            <w:vAlign w:val="center"/>
          </w:tcPr>
          <w:p>
            <w:pPr>
              <w:pStyle w:val="TableContents"/>
              <w:spacing w:before="0" w:after="0"/>
              <w:ind w:left="0" w:right="0" w:firstLine="400"/>
              <w:rPr/>
            </w:pPr>
            <w:r>
              <w:rPr/>
              <w:t xml:space="preserve">Total expenses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126,416,153</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147,142,597</w:t>
            </w:r>
          </w:p>
        </w:tc>
        <w:tc>
          <w:tcPr>
            <w:tcW w:w="290" w:type="dxa"/>
            <w:tcBorders/>
            <w:shd w:fill="CCEEFF" w:val="clear"/>
            <w:vAlign w:val="center"/>
          </w:tcPr>
          <w:p>
            <w:pPr>
              <w:pStyle w:val="TableContents"/>
              <w:spacing w:before="0" w:after="0"/>
              <w:ind w:left="0" w:right="0" w:hanging="0"/>
              <w:rPr/>
            </w:pPr>
            <w:r>
              <w:rPr/>
              <w:t> </w:t>
            </w:r>
          </w:p>
        </w:tc>
      </w:tr>
      <w:tr>
        <w:trPr/>
        <w:tc>
          <w:tcPr>
            <w:tcW w:w="49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90" w:type="dxa"/>
            <w:tcBorders/>
            <w:shd w:fill="FFFFFF" w:val="clear"/>
            <w:vAlign w:val="center"/>
          </w:tcPr>
          <w:p>
            <w:pPr>
              <w:pStyle w:val="TableContents"/>
              <w:spacing w:before="0" w:after="0"/>
              <w:ind w:left="0" w:right="0" w:hanging="0"/>
              <w:rPr/>
            </w:pPr>
            <w:r>
              <w:rPr/>
              <w:t> </w:t>
            </w:r>
          </w:p>
        </w:tc>
      </w:tr>
      <w:tr>
        <w:trPr/>
        <w:tc>
          <w:tcPr>
            <w:tcW w:w="4930" w:type="dxa"/>
            <w:tcBorders/>
            <w:shd w:fill="CCEEFF" w:val="clear"/>
            <w:vAlign w:val="center"/>
          </w:tcPr>
          <w:p>
            <w:pPr>
              <w:pStyle w:val="TableContents"/>
              <w:spacing w:before="0" w:after="0"/>
              <w:ind w:left="0" w:right="0" w:firstLine="200"/>
              <w:rPr/>
            </w:pPr>
            <w:r>
              <w:rPr/>
              <w:t xml:space="preserve">Income (loss) from operations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4,891,506</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(2,245,006</w:t>
            </w:r>
          </w:p>
        </w:tc>
        <w:tc>
          <w:tcPr>
            <w:tcW w:w="290" w:type="dxa"/>
            <w:tcBorders/>
            <w:shd w:fill="CCEEFF" w:val="clear"/>
            <w:vAlign w:val="center"/>
          </w:tcPr>
          <w:p>
            <w:pPr>
              <w:pStyle w:val="TableContents"/>
              <w:spacing w:before="0" w:after="283"/>
              <w:rPr/>
            </w:pPr>
            <w:r>
              <w:rPr/>
              <w:t>)</w:t>
            </w:r>
          </w:p>
        </w:tc>
      </w:tr>
      <w:tr>
        <w:trPr/>
        <w:tc>
          <w:tcPr>
            <w:tcW w:w="4930" w:type="dxa"/>
            <w:tcBorders/>
            <w:shd w:fill="FFFFFF" w:val="clear"/>
            <w:vAlign w:val="center"/>
          </w:tcPr>
          <w:p>
            <w:pPr>
              <w:pStyle w:val="TableContents"/>
              <w:spacing w:before="0" w:after="0"/>
              <w:ind w:left="0" w:right="0" w:firstLine="200"/>
              <w:rPr/>
            </w:pPr>
            <w:r>
              <w:rPr/>
              <w:t xml:space="preserve">Income tax expense (benefit)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200,339</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(785,784</w:t>
            </w:r>
          </w:p>
        </w:tc>
        <w:tc>
          <w:tcPr>
            <w:tcW w:w="290" w:type="dxa"/>
            <w:tcBorders/>
            <w:shd w:fill="FFFFFF" w:val="clear"/>
            <w:vAlign w:val="center"/>
          </w:tcPr>
          <w:p>
            <w:pPr>
              <w:pStyle w:val="TableContents"/>
              <w:spacing w:before="0" w:after="283"/>
              <w:rPr/>
            </w:pPr>
            <w:r>
              <w:rPr/>
              <w:t>)</w:t>
            </w:r>
          </w:p>
        </w:tc>
      </w:tr>
      <w:tr>
        <w:trPr/>
        <w:tc>
          <w:tcPr>
            <w:tcW w:w="4930" w:type="dxa"/>
            <w:tcBorders/>
            <w:shd w:fill="CCEEFF" w:val="clear"/>
            <w:vAlign w:val="center"/>
          </w:tcPr>
          <w:p>
            <w:pPr>
              <w:pStyle w:val="TableContents"/>
              <w:spacing w:before="0" w:after="0"/>
              <w:ind w:left="0" w:right="0" w:hanging="0"/>
              <w:rPr/>
            </w:pPr>
            <w:r>
              <w:rPr>
                <w:rStyle w:val="StrongEmphasis"/>
              </w:rPr>
              <w:t xml:space="preserve">Net income (loss)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4,691,167</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(1,459,222</w:t>
            </w:r>
          </w:p>
        </w:tc>
        <w:tc>
          <w:tcPr>
            <w:tcW w:w="290" w:type="dxa"/>
            <w:tcBorders/>
            <w:shd w:fill="CCEEFF" w:val="clear"/>
            <w:vAlign w:val="center"/>
          </w:tcPr>
          <w:p>
            <w:pPr>
              <w:pStyle w:val="TableContents"/>
              <w:spacing w:before="0" w:after="283"/>
              <w:rPr/>
            </w:pPr>
            <w:r>
              <w:rPr/>
              <w:t>)</w:t>
            </w:r>
          </w:p>
        </w:tc>
      </w:tr>
      <w:tr>
        <w:trPr/>
        <w:tc>
          <w:tcPr>
            <w:tcW w:w="49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90" w:type="dxa"/>
            <w:tcBorders/>
            <w:shd w:fill="FFFFFF" w:val="clear"/>
            <w:vAlign w:val="center"/>
          </w:tcPr>
          <w:p>
            <w:pPr>
              <w:pStyle w:val="TableContents"/>
              <w:spacing w:before="0" w:after="0"/>
              <w:ind w:left="0" w:right="0" w:hanging="0"/>
              <w:rPr/>
            </w:pPr>
            <w:r>
              <w:rPr/>
              <w:t> </w:t>
            </w:r>
          </w:p>
        </w:tc>
      </w:tr>
      <w:tr>
        <w:trPr/>
        <w:tc>
          <w:tcPr>
            <w:tcW w:w="4930" w:type="dxa"/>
            <w:tcBorders/>
            <w:shd w:fill="CCEEFF" w:val="clear"/>
            <w:vAlign w:val="center"/>
          </w:tcPr>
          <w:p>
            <w:pPr>
              <w:pStyle w:val="TableContents"/>
              <w:spacing w:before="0" w:after="0"/>
              <w:ind w:left="0" w:right="0" w:hanging="0"/>
              <w:rPr/>
            </w:pPr>
            <w:r>
              <w:rPr>
                <w:rStyle w:val="StrongEmphasis"/>
              </w:rPr>
              <w:t xml:space="preserve">Key Measures: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90" w:type="dxa"/>
            <w:tcBorders/>
            <w:shd w:fill="CCEEFF" w:val="clear"/>
            <w:vAlign w:val="center"/>
          </w:tcPr>
          <w:p>
            <w:pPr>
              <w:pStyle w:val="TableContents"/>
              <w:spacing w:before="0" w:after="0"/>
              <w:ind w:left="0" w:right="0" w:hanging="0"/>
              <w:rPr/>
            </w:pPr>
            <w:r>
              <w:rPr/>
              <w:t> </w:t>
            </w:r>
          </w:p>
        </w:tc>
      </w:tr>
      <w:tr>
        <w:trPr/>
        <w:tc>
          <w:tcPr>
            <w:tcW w:w="4930" w:type="dxa"/>
            <w:tcBorders/>
            <w:shd w:fill="FFFFFF" w:val="clear"/>
            <w:vAlign w:val="center"/>
          </w:tcPr>
          <w:p>
            <w:pPr>
              <w:pStyle w:val="TableContents"/>
              <w:spacing w:before="0" w:after="0"/>
              <w:ind w:left="0" w:right="0" w:firstLine="200"/>
              <w:rPr/>
            </w:pPr>
            <w:r>
              <w:rPr/>
              <w:t xml:space="preserve">Net loss ratio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61.5</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70.7</w:t>
            </w:r>
          </w:p>
        </w:tc>
        <w:tc>
          <w:tcPr>
            <w:tcW w:w="290" w:type="dxa"/>
            <w:tcBorders/>
            <w:shd w:fill="FFFFFF" w:val="clear"/>
            <w:vAlign w:val="center"/>
          </w:tcPr>
          <w:p>
            <w:pPr>
              <w:pStyle w:val="TableContents"/>
              <w:spacing w:before="0" w:after="283"/>
              <w:rPr/>
            </w:pPr>
            <w:r>
              <w:rPr/>
              <w:t>%</w:t>
            </w:r>
          </w:p>
        </w:tc>
      </w:tr>
      <w:tr>
        <w:trPr/>
        <w:tc>
          <w:tcPr>
            <w:tcW w:w="4930" w:type="dxa"/>
            <w:tcBorders/>
            <w:shd w:fill="CCEEFF" w:val="clear"/>
            <w:vAlign w:val="center"/>
          </w:tcPr>
          <w:p>
            <w:pPr>
              <w:pStyle w:val="TableContents"/>
              <w:spacing w:before="0" w:after="0"/>
              <w:ind w:left="0" w:right="0" w:firstLine="200"/>
              <w:rPr/>
            </w:pPr>
            <w:r>
              <w:rPr/>
              <w:t xml:space="preserve">Net underwriting expense ratio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38.9</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38.0</w:t>
            </w:r>
          </w:p>
        </w:tc>
        <w:tc>
          <w:tcPr>
            <w:tcW w:w="290" w:type="dxa"/>
            <w:tcBorders/>
            <w:shd w:fill="CCEEFF" w:val="clear"/>
            <w:vAlign w:val="center"/>
          </w:tcPr>
          <w:p>
            <w:pPr>
              <w:pStyle w:val="TableContents"/>
              <w:spacing w:before="0" w:after="283"/>
              <w:rPr/>
            </w:pPr>
            <w:r>
              <w:rPr/>
              <w:t>%</w:t>
            </w:r>
          </w:p>
        </w:tc>
      </w:tr>
      <w:tr>
        <w:trPr/>
        <w:tc>
          <w:tcPr>
            <w:tcW w:w="4930" w:type="dxa"/>
            <w:tcBorders/>
            <w:shd w:fill="FFFFFF" w:val="clear"/>
            <w:vAlign w:val="center"/>
          </w:tcPr>
          <w:p>
            <w:pPr>
              <w:pStyle w:val="TableContents"/>
              <w:spacing w:before="0" w:after="0"/>
              <w:ind w:left="0" w:right="0" w:firstLine="200"/>
              <w:rPr/>
            </w:pPr>
            <w:r>
              <w:rPr/>
              <w:t xml:space="preserve">Net combined ratio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100.4</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108.7</w:t>
            </w:r>
          </w:p>
        </w:tc>
        <w:tc>
          <w:tcPr>
            <w:tcW w:w="290" w:type="dxa"/>
            <w:tcBorders/>
            <w:shd w:fill="FFFFFF" w:val="clear"/>
            <w:vAlign w:val="center"/>
          </w:tcPr>
          <w:p>
            <w:pPr>
              <w:pStyle w:val="TableContents"/>
              <w:spacing w:before="0" w:after="283"/>
              <w:rPr/>
            </w:pPr>
            <w:r>
              <w:rPr/>
              <w:t>%</w:t>
            </w:r>
          </w:p>
        </w:tc>
      </w:tr>
      <w:tr>
        <w:trPr/>
        <w:tc>
          <w:tcPr>
            <w:tcW w:w="49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90" w:type="dxa"/>
            <w:tcBorders/>
            <w:shd w:fill="CCEEFF" w:val="clear"/>
            <w:vAlign w:val="center"/>
          </w:tcPr>
          <w:p>
            <w:pPr>
              <w:pStyle w:val="TableContents"/>
              <w:spacing w:before="0" w:after="0"/>
              <w:ind w:left="0" w:right="0" w:hanging="0"/>
              <w:rPr/>
            </w:pPr>
            <w:r>
              <w:rPr/>
              <w:t> </w:t>
            </w:r>
          </w:p>
        </w:tc>
      </w:tr>
      <w:tr>
        <w:trPr/>
        <w:tc>
          <w:tcPr>
            <w:tcW w:w="4930" w:type="dxa"/>
            <w:tcBorders/>
            <w:shd w:fill="FFFFFF" w:val="clear"/>
            <w:vAlign w:val="center"/>
          </w:tcPr>
          <w:p>
            <w:pPr>
              <w:pStyle w:val="TableContents"/>
              <w:spacing w:before="0" w:after="0"/>
              <w:ind w:left="0" w:right="0" w:firstLine="200"/>
              <w:rPr/>
            </w:pPr>
            <w:r>
              <w:rPr/>
              <w:t xml:space="preserve">Reconciliation of net underwriting expense ratio: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90" w:type="dxa"/>
            <w:tcBorders/>
            <w:shd w:fill="FFFFFF" w:val="clear"/>
            <w:vAlign w:val="center"/>
          </w:tcPr>
          <w:p>
            <w:pPr>
              <w:pStyle w:val="TableContents"/>
              <w:spacing w:before="0" w:after="0"/>
              <w:ind w:left="0" w:right="0" w:hanging="0"/>
              <w:rPr/>
            </w:pPr>
            <w:r>
              <w:rPr/>
              <w:t> </w:t>
            </w:r>
          </w:p>
        </w:tc>
      </w:tr>
      <w:tr>
        <w:trPr/>
        <w:tc>
          <w:tcPr>
            <w:tcW w:w="4930" w:type="dxa"/>
            <w:tcBorders/>
            <w:shd w:fill="CCEEFF" w:val="clear"/>
            <w:vAlign w:val="center"/>
          </w:tcPr>
          <w:p>
            <w:pPr>
              <w:pStyle w:val="TableContents"/>
              <w:spacing w:before="0" w:after="0"/>
              <w:ind w:left="225" w:right="0" w:hanging="0"/>
              <w:rPr/>
            </w:pPr>
            <w:r>
              <w:rPr/>
              <w:t xml:space="preserve">Acquisition costs and other underwriting expenses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57,252,953</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54,513,314</w:t>
            </w:r>
          </w:p>
        </w:tc>
        <w:tc>
          <w:tcPr>
            <w:tcW w:w="290" w:type="dxa"/>
            <w:tcBorders/>
            <w:shd w:fill="CCEEFF" w:val="clear"/>
            <w:vAlign w:val="center"/>
          </w:tcPr>
          <w:p>
            <w:pPr>
              <w:pStyle w:val="TableContents"/>
              <w:spacing w:before="0" w:after="0"/>
              <w:ind w:left="0" w:right="0" w:hanging="0"/>
              <w:rPr/>
            </w:pPr>
            <w:r>
              <w:rPr/>
              <w:t> </w:t>
            </w:r>
          </w:p>
        </w:tc>
      </w:tr>
      <w:tr>
        <w:trPr/>
        <w:tc>
          <w:tcPr>
            <w:tcW w:w="4930" w:type="dxa"/>
            <w:tcBorders/>
            <w:shd w:fill="FFFFFF" w:val="clear"/>
            <w:vAlign w:val="center"/>
          </w:tcPr>
          <w:p>
            <w:pPr>
              <w:pStyle w:val="TableContents"/>
              <w:spacing w:before="0" w:after="0"/>
              <w:ind w:left="225" w:right="0" w:hanging="0"/>
              <w:rPr/>
            </w:pPr>
            <w:r>
              <w:rPr/>
              <w:t xml:space="preserve">Less: Ceding commission revenue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(14,202,353</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(4,650,851</w:t>
            </w:r>
          </w:p>
        </w:tc>
        <w:tc>
          <w:tcPr>
            <w:tcW w:w="290" w:type="dxa"/>
            <w:tcBorders/>
            <w:shd w:fill="FFFFFF" w:val="clear"/>
            <w:vAlign w:val="center"/>
          </w:tcPr>
          <w:p>
            <w:pPr>
              <w:pStyle w:val="TableContents"/>
              <w:spacing w:before="0" w:after="283"/>
              <w:rPr/>
            </w:pPr>
            <w:r>
              <w:rPr/>
              <w:t>)</w:t>
            </w:r>
          </w:p>
        </w:tc>
      </w:tr>
      <w:tr>
        <w:trPr/>
        <w:tc>
          <w:tcPr>
            <w:tcW w:w="4930" w:type="dxa"/>
            <w:tcBorders/>
            <w:shd w:fill="CCEEFF" w:val="clear"/>
            <w:vAlign w:val="center"/>
          </w:tcPr>
          <w:p>
            <w:pPr>
              <w:pStyle w:val="TableContents"/>
              <w:spacing w:before="0" w:after="0"/>
              <w:ind w:left="225" w:right="0" w:hanging="0"/>
              <w:rPr/>
            </w:pPr>
            <w:r>
              <w:rPr/>
              <w:t xml:space="preserve">Less: Other income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(970,595</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(1,306,820</w:t>
            </w:r>
          </w:p>
        </w:tc>
        <w:tc>
          <w:tcPr>
            <w:tcW w:w="290" w:type="dxa"/>
            <w:tcBorders/>
            <w:shd w:fill="CCEEFF" w:val="clear"/>
            <w:vAlign w:val="center"/>
          </w:tcPr>
          <w:p>
            <w:pPr>
              <w:pStyle w:val="TableContents"/>
              <w:spacing w:before="0" w:after="283"/>
              <w:rPr/>
            </w:pPr>
            <w:r>
              <w:rPr/>
              <w:t>)</w:t>
            </w:r>
          </w:p>
        </w:tc>
      </w:tr>
      <w:tr>
        <w:trPr/>
        <w:tc>
          <w:tcPr>
            <w:tcW w:w="4930" w:type="dxa"/>
            <w:tcBorders/>
            <w:shd w:fill="FFFFFF" w:val="clear"/>
            <w:vAlign w:val="center"/>
          </w:tcPr>
          <w:p>
            <w:pPr>
              <w:pStyle w:val="TableContents"/>
              <w:spacing w:before="0" w:after="0"/>
              <w:ind w:left="225" w:right="0" w:hanging="0"/>
              <w:rPr/>
            </w:pPr>
            <w:r>
              <w:rPr/>
              <w:t xml:space="preserve">Net underwriting expenses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42,080,005</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48,555,643</w:t>
            </w:r>
          </w:p>
        </w:tc>
        <w:tc>
          <w:tcPr>
            <w:tcW w:w="290" w:type="dxa"/>
            <w:tcBorders/>
            <w:shd w:fill="FFFFFF" w:val="clear"/>
            <w:vAlign w:val="center"/>
          </w:tcPr>
          <w:p>
            <w:pPr>
              <w:pStyle w:val="TableContents"/>
              <w:spacing w:before="0" w:after="0"/>
              <w:ind w:left="0" w:right="0" w:hanging="0"/>
              <w:rPr/>
            </w:pPr>
            <w:r>
              <w:rPr/>
              <w:t> </w:t>
            </w:r>
          </w:p>
        </w:tc>
      </w:tr>
      <w:tr>
        <w:trPr/>
        <w:tc>
          <w:tcPr>
            <w:tcW w:w="49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90" w:type="dxa"/>
            <w:tcBorders/>
            <w:shd w:fill="CCEEFF" w:val="clear"/>
            <w:vAlign w:val="center"/>
          </w:tcPr>
          <w:p>
            <w:pPr>
              <w:pStyle w:val="TableContents"/>
              <w:spacing w:before="0" w:after="0"/>
              <w:ind w:left="0" w:right="0" w:hanging="0"/>
              <w:rPr/>
            </w:pPr>
            <w:r>
              <w:rPr/>
              <w:t> </w:t>
            </w:r>
          </w:p>
        </w:tc>
      </w:tr>
      <w:tr>
        <w:trPr/>
        <w:tc>
          <w:tcPr>
            <w:tcW w:w="4930" w:type="dxa"/>
            <w:tcBorders/>
            <w:shd w:fill="FFFFFF" w:val="clear"/>
            <w:vAlign w:val="center"/>
          </w:tcPr>
          <w:p>
            <w:pPr>
              <w:pStyle w:val="TableContents"/>
              <w:spacing w:before="0" w:after="0"/>
              <w:ind w:left="225" w:right="0" w:hanging="0"/>
              <w:rPr/>
            </w:pPr>
            <w:r>
              <w:rPr/>
              <w:t xml:space="preserve">Net premiums earned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108,080,629</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127,623,442</w:t>
            </w:r>
          </w:p>
        </w:tc>
        <w:tc>
          <w:tcPr>
            <w:tcW w:w="290" w:type="dxa"/>
            <w:tcBorders/>
            <w:shd w:fill="FFFFFF" w:val="clear"/>
            <w:vAlign w:val="center"/>
          </w:tcPr>
          <w:p>
            <w:pPr>
              <w:pStyle w:val="TableContents"/>
              <w:spacing w:before="0" w:after="0"/>
              <w:ind w:left="0" w:right="0" w:hanging="0"/>
              <w:rPr/>
            </w:pPr>
            <w:r>
              <w:rPr/>
              <w:t> </w:t>
            </w:r>
          </w:p>
        </w:tc>
      </w:tr>
      <w:tr>
        <w:trPr/>
        <w:tc>
          <w:tcPr>
            <w:tcW w:w="49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90" w:type="dxa"/>
            <w:tcBorders/>
            <w:shd w:fill="CCEEFF" w:val="clear"/>
            <w:vAlign w:val="center"/>
          </w:tcPr>
          <w:p>
            <w:pPr>
              <w:pStyle w:val="TableContents"/>
              <w:spacing w:before="0" w:after="0"/>
              <w:ind w:left="0" w:right="0" w:hanging="0"/>
              <w:rPr/>
            </w:pPr>
            <w:r>
              <w:rPr/>
              <w:t> </w:t>
            </w:r>
          </w:p>
        </w:tc>
      </w:tr>
      <w:tr>
        <w:trPr/>
        <w:tc>
          <w:tcPr>
            <w:tcW w:w="4930" w:type="dxa"/>
            <w:tcBorders/>
            <w:shd w:fill="FFFFFF" w:val="clear"/>
            <w:vAlign w:val="center"/>
          </w:tcPr>
          <w:p>
            <w:pPr>
              <w:pStyle w:val="TableContents"/>
              <w:spacing w:before="0" w:after="0"/>
              <w:ind w:left="225" w:right="0" w:hanging="0"/>
              <w:rPr/>
            </w:pPr>
            <w:r>
              <w:rPr/>
              <w:t xml:space="preserve">Net Underwriting Expense Ratio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38.9</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38.0</w:t>
            </w:r>
          </w:p>
        </w:tc>
        <w:tc>
          <w:tcPr>
            <w:tcW w:w="290" w:type="dxa"/>
            <w:tcBorders/>
            <w:shd w:fill="FFFFFF" w:val="clear"/>
            <w:vAlign w:val="center"/>
          </w:tcPr>
          <w:p>
            <w:pPr>
              <w:pStyle w:val="TableContents"/>
              <w:spacing w:before="0" w:after="283"/>
              <w:rPr/>
            </w:pPr>
            <w:r>
              <w:rPr/>
              <w:t>%</w:t>
            </w:r>
          </w:p>
        </w:tc>
      </w:tr>
    </w:tbl>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45</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both"/>
        <w:rPr/>
      </w:pPr>
      <w:r>
        <w:rPr/>
        <w:t xml:space="preserve">            </w:t>
      </w:r>
      <w:r>
        <w:rPr>
          <w:rFonts w:ascii="times new roman" w:hAnsi="times new roman"/>
          <w:sz w:val="20"/>
        </w:rPr>
        <w:t>An analysis of our direct, assumed and ceded earned premiums, loss and loss adjustment expenses, and loss ratios is shown below:</w:t>
      </w:r>
    </w:p>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3601"/>
        <w:gridCol w:w="90"/>
        <w:gridCol w:w="170"/>
        <w:gridCol w:w="1250"/>
        <w:gridCol w:w="245"/>
        <w:gridCol w:w="90"/>
        <w:gridCol w:w="203"/>
        <w:gridCol w:w="799"/>
        <w:gridCol w:w="245"/>
        <w:gridCol w:w="90"/>
        <w:gridCol w:w="170"/>
        <w:gridCol w:w="1205"/>
        <w:gridCol w:w="245"/>
        <w:gridCol w:w="90"/>
        <w:gridCol w:w="170"/>
        <w:gridCol w:w="1250"/>
        <w:gridCol w:w="292"/>
      </w:tblGrid>
      <w:tr>
        <w:trPr/>
        <w:tc>
          <w:tcPr>
            <w:tcW w:w="3601"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Pr>
              <w:t xml:space="preserve">Direct </w:t>
            </w:r>
          </w:p>
        </w:tc>
        <w:tc>
          <w:tcPr>
            <w:tcW w:w="245"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0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Assumed </w:t>
            </w:r>
          </w:p>
        </w:tc>
        <w:tc>
          <w:tcPr>
            <w:tcW w:w="245"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3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Ceded </w:t>
            </w:r>
          </w:p>
        </w:tc>
        <w:tc>
          <w:tcPr>
            <w:tcW w:w="245"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Net </w:t>
            </w:r>
          </w:p>
        </w:tc>
        <w:tc>
          <w:tcPr>
            <w:tcW w:w="292" w:type="dxa"/>
            <w:tcBorders/>
            <w:shd w:fill="auto" w:val="clear"/>
            <w:vAlign w:val="center"/>
          </w:tcPr>
          <w:p>
            <w:pPr>
              <w:pStyle w:val="TableContents"/>
              <w:spacing w:before="0" w:after="0"/>
              <w:ind w:left="0" w:right="0" w:hanging="0"/>
              <w:rPr/>
            </w:pPr>
            <w:r>
              <w:rPr/>
              <w:t> </w:t>
            </w:r>
          </w:p>
        </w:tc>
      </w:tr>
      <w:tr>
        <w:trPr/>
        <w:tc>
          <w:tcPr>
            <w:tcW w:w="3601"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2"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292" w:type="dxa"/>
            <w:tcBorders/>
            <w:shd w:fill="auto" w:val="clear"/>
            <w:vAlign w:val="center"/>
          </w:tcPr>
          <w:p>
            <w:pPr>
              <w:pStyle w:val="TableContents"/>
              <w:spacing w:before="0" w:after="0"/>
              <w:ind w:left="0" w:right="0" w:hanging="0"/>
              <w:rPr/>
            </w:pPr>
            <w:r>
              <w:rPr/>
              <w:t> </w:t>
            </w:r>
          </w:p>
        </w:tc>
      </w:tr>
      <w:tr>
        <w:trPr/>
        <w:tc>
          <w:tcPr>
            <w:tcW w:w="3601" w:type="dxa"/>
            <w:tcBorders/>
            <w:shd w:fill="auto" w:val="clear"/>
            <w:vAlign w:val="center"/>
          </w:tcPr>
          <w:p>
            <w:pPr>
              <w:pStyle w:val="TableContents"/>
              <w:spacing w:before="0" w:after="0"/>
              <w:ind w:left="0" w:right="0" w:hanging="0"/>
              <w:rPr/>
            </w:pPr>
            <w:r>
              <w:rPr>
                <w:rStyle w:val="StrongEmphasis"/>
              </w:rPr>
              <w:t xml:space="preserve">Year ended December 31, 2020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2"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292" w:type="dxa"/>
            <w:tcBorders/>
            <w:shd w:fill="auto" w:val="clear"/>
            <w:vAlign w:val="center"/>
          </w:tcPr>
          <w:p>
            <w:pPr>
              <w:pStyle w:val="TableContents"/>
              <w:spacing w:before="0" w:after="0"/>
              <w:ind w:left="0" w:right="0" w:hanging="0"/>
              <w:rPr/>
            </w:pPr>
            <w:r>
              <w:rPr/>
              <w:t> </w:t>
            </w:r>
          </w:p>
        </w:tc>
      </w:tr>
      <w:tr>
        <w:trPr/>
        <w:tc>
          <w:tcPr>
            <w:tcW w:w="3601" w:type="dxa"/>
            <w:tcBorders/>
            <w:shd w:fill="CCEEFF" w:val="clear"/>
            <w:vAlign w:val="center"/>
          </w:tcPr>
          <w:p>
            <w:pPr>
              <w:pStyle w:val="TableContents"/>
              <w:spacing w:before="0" w:after="0"/>
              <w:ind w:left="0" w:right="0" w:firstLine="180"/>
              <w:rPr/>
            </w:pPr>
            <w:r>
              <w:rPr/>
              <w:t xml:space="preserve">Written premiums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169,317,904</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3" w:type="dxa"/>
            <w:tcBorders/>
            <w:shd w:fill="CCEEFF" w:val="clear"/>
            <w:vAlign w:val="center"/>
          </w:tcPr>
          <w:p>
            <w:pPr>
              <w:pStyle w:val="TableContents"/>
              <w:spacing w:before="0" w:after="283"/>
              <w:rPr/>
            </w:pPr>
            <w:r>
              <w:rPr/>
              <w:t>$</w:t>
            </w:r>
          </w:p>
        </w:tc>
        <w:tc>
          <w:tcPr>
            <w:tcW w:w="799" w:type="dxa"/>
            <w:tcBorders/>
            <w:shd w:fill="CCEEFF" w:val="clear"/>
            <w:vAlign w:val="center"/>
          </w:tcPr>
          <w:p>
            <w:pPr>
              <w:pStyle w:val="TableContents"/>
              <w:spacing w:before="0" w:after="283"/>
              <w:jc w:val="right"/>
              <w:rPr/>
            </w:pPr>
            <w:r>
              <w:rPr/>
              <w:t>-</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05" w:type="dxa"/>
            <w:tcBorders/>
            <w:shd w:fill="CCEEFF" w:val="clear"/>
            <w:vAlign w:val="center"/>
          </w:tcPr>
          <w:p>
            <w:pPr>
              <w:pStyle w:val="TableContents"/>
              <w:spacing w:before="0" w:after="283"/>
              <w:jc w:val="right"/>
              <w:rPr/>
            </w:pPr>
            <w:r>
              <w:rPr/>
              <w:t>(42,255,383</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127,062,521</w:t>
            </w:r>
          </w:p>
        </w:tc>
        <w:tc>
          <w:tcPr>
            <w:tcW w:w="292" w:type="dxa"/>
            <w:tcBorders/>
            <w:shd w:fill="CCEEFF" w:val="clear"/>
            <w:vAlign w:val="center"/>
          </w:tcPr>
          <w:p>
            <w:pPr>
              <w:pStyle w:val="TableContents"/>
              <w:spacing w:before="0" w:after="0"/>
              <w:ind w:left="0" w:right="0" w:hanging="0"/>
              <w:rPr/>
            </w:pPr>
            <w:r>
              <w:rPr/>
              <w:t> </w:t>
            </w:r>
          </w:p>
        </w:tc>
      </w:tr>
      <w:tr>
        <w:trPr/>
        <w:tc>
          <w:tcPr>
            <w:tcW w:w="3601" w:type="dxa"/>
            <w:tcBorders/>
            <w:shd w:fill="FFFFFF" w:val="clear"/>
            <w:vAlign w:val="center"/>
          </w:tcPr>
          <w:p>
            <w:pPr>
              <w:pStyle w:val="TableContents"/>
              <w:spacing w:before="0" w:after="0"/>
              <w:ind w:left="0" w:right="0" w:firstLine="180"/>
              <w:rPr/>
            </w:pPr>
            <w:r>
              <w:rPr/>
              <w:t xml:space="preserve">Change in unearned premiums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373,966</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03"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799"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(19,355,858</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(18,981,892</w:t>
            </w:r>
          </w:p>
        </w:tc>
        <w:tc>
          <w:tcPr>
            <w:tcW w:w="292" w:type="dxa"/>
            <w:tcBorders/>
            <w:shd w:fill="FFFFFF" w:val="clear"/>
            <w:vAlign w:val="center"/>
          </w:tcPr>
          <w:p>
            <w:pPr>
              <w:pStyle w:val="TableContents"/>
              <w:spacing w:before="0" w:after="283"/>
              <w:rPr/>
            </w:pPr>
            <w:r>
              <w:rPr/>
              <w:t>)</w:t>
            </w:r>
          </w:p>
        </w:tc>
      </w:tr>
      <w:tr>
        <w:trPr/>
        <w:tc>
          <w:tcPr>
            <w:tcW w:w="3601" w:type="dxa"/>
            <w:tcBorders/>
            <w:shd w:fill="CCEEFF" w:val="clear"/>
            <w:vAlign w:val="center"/>
          </w:tcPr>
          <w:p>
            <w:pPr>
              <w:pStyle w:val="TableContents"/>
              <w:spacing w:before="0" w:after="0"/>
              <w:ind w:left="0" w:right="0" w:firstLine="180"/>
              <w:rPr/>
            </w:pPr>
            <w:r>
              <w:rPr/>
              <w:t xml:space="preserve">Earned premiums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169,691,870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3" w:type="dxa"/>
            <w:tcBorders>
              <w:bottom w:val="double" w:sz="6" w:space="0" w:color="000000"/>
            </w:tcBorders>
            <w:shd w:fill="CCEEFF" w:val="clear"/>
            <w:tcMar>
              <w:bottom w:w="28" w:type="dxa"/>
            </w:tcMar>
            <w:vAlign w:val="center"/>
          </w:tcPr>
          <w:p>
            <w:pPr>
              <w:pStyle w:val="TableContents"/>
              <w:spacing w:before="0" w:after="283"/>
              <w:rPr/>
            </w:pPr>
            <w:r>
              <w:rPr/>
              <w:t>$</w:t>
            </w:r>
          </w:p>
        </w:tc>
        <w:tc>
          <w:tcPr>
            <w:tcW w:w="799" w:type="dxa"/>
            <w:tcBorders>
              <w:bottom w:val="double" w:sz="6" w:space="0" w:color="000000"/>
            </w:tcBorders>
            <w:shd w:fill="CCEEFF" w:val="clear"/>
            <w:tcMar>
              <w:bottom w:w="28" w:type="dxa"/>
            </w:tcMar>
            <w:vAlign w:val="center"/>
          </w:tcPr>
          <w:p>
            <w:pPr>
              <w:pStyle w:val="TableContents"/>
              <w:spacing w:before="0" w:after="283"/>
              <w:jc w:val="right"/>
              <w:rPr/>
            </w:pPr>
            <w:r>
              <w:rPr/>
              <w:t>-</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05" w:type="dxa"/>
            <w:tcBorders>
              <w:bottom w:val="double" w:sz="6" w:space="0" w:color="000000"/>
            </w:tcBorders>
            <w:shd w:fill="CCEEFF" w:val="clear"/>
            <w:tcMar>
              <w:bottom w:w="28" w:type="dxa"/>
            </w:tcMar>
            <w:vAlign w:val="center"/>
          </w:tcPr>
          <w:p>
            <w:pPr>
              <w:pStyle w:val="TableContents"/>
              <w:spacing w:before="0" w:after="283"/>
              <w:jc w:val="right"/>
              <w:rPr/>
            </w:pPr>
            <w:r>
              <w:rPr/>
              <w:t>(61,611,241</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108,080,629</w:t>
            </w:r>
          </w:p>
        </w:tc>
        <w:tc>
          <w:tcPr>
            <w:tcW w:w="292" w:type="dxa"/>
            <w:tcBorders/>
            <w:shd w:fill="CCEEFF" w:val="clear"/>
            <w:vAlign w:val="center"/>
          </w:tcPr>
          <w:p>
            <w:pPr>
              <w:pStyle w:val="TableContents"/>
              <w:spacing w:before="0" w:after="0"/>
              <w:ind w:left="0" w:right="0" w:hanging="0"/>
              <w:rPr/>
            </w:pPr>
            <w:r>
              <w:rPr/>
              <w:t> </w:t>
            </w:r>
          </w:p>
        </w:tc>
      </w:tr>
      <w:tr>
        <w:trPr/>
        <w:tc>
          <w:tcPr>
            <w:tcW w:w="3601"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03" w:type="dxa"/>
            <w:tcBorders/>
            <w:shd w:fill="FFFFFF" w:val="clear"/>
            <w:vAlign w:val="center"/>
          </w:tcPr>
          <w:p>
            <w:pPr>
              <w:pStyle w:val="TableContents"/>
              <w:spacing w:before="0" w:after="0"/>
              <w:ind w:left="0" w:right="0" w:hanging="0"/>
              <w:rPr/>
            </w:pPr>
            <w:r>
              <w:rPr/>
              <w:t> </w:t>
            </w:r>
          </w:p>
        </w:tc>
        <w:tc>
          <w:tcPr>
            <w:tcW w:w="799"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92" w:type="dxa"/>
            <w:tcBorders/>
            <w:shd w:fill="FFFFFF" w:val="clear"/>
            <w:vAlign w:val="center"/>
          </w:tcPr>
          <w:p>
            <w:pPr>
              <w:pStyle w:val="TableContents"/>
              <w:spacing w:before="0" w:after="0"/>
              <w:ind w:left="0" w:right="0" w:hanging="0"/>
              <w:rPr/>
            </w:pPr>
            <w:r>
              <w:rPr/>
              <w:t> </w:t>
            </w:r>
          </w:p>
        </w:tc>
      </w:tr>
      <w:tr>
        <w:trPr/>
        <w:tc>
          <w:tcPr>
            <w:tcW w:w="3601" w:type="dxa"/>
            <w:tcBorders/>
            <w:shd w:fill="CCEEFF" w:val="clear"/>
            <w:vAlign w:val="center"/>
          </w:tcPr>
          <w:p>
            <w:pPr>
              <w:pStyle w:val="TableContents"/>
              <w:spacing w:before="0" w:after="0"/>
              <w:ind w:left="0" w:right="0" w:firstLine="180"/>
              <w:rPr/>
            </w:pPr>
            <w:r>
              <w:rPr/>
              <w:t xml:space="preserve">Loss and loss adjustment expenses exluding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3" w:type="dxa"/>
            <w:tcBorders/>
            <w:shd w:fill="CCEEFF" w:val="clear"/>
            <w:vAlign w:val="center"/>
          </w:tcPr>
          <w:p>
            <w:pPr>
              <w:pStyle w:val="TableContents"/>
              <w:spacing w:before="0" w:after="0"/>
              <w:ind w:left="0" w:right="0" w:hanging="0"/>
              <w:rPr/>
            </w:pPr>
            <w:r>
              <w:rPr/>
              <w:t> </w:t>
            </w:r>
          </w:p>
        </w:tc>
        <w:tc>
          <w:tcPr>
            <w:tcW w:w="799"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92" w:type="dxa"/>
            <w:tcBorders/>
            <w:shd w:fill="CCEEFF" w:val="clear"/>
            <w:vAlign w:val="center"/>
          </w:tcPr>
          <w:p>
            <w:pPr>
              <w:pStyle w:val="TableContents"/>
              <w:spacing w:before="0" w:after="0"/>
              <w:ind w:left="0" w:right="0" w:hanging="0"/>
              <w:rPr/>
            </w:pPr>
            <w:r>
              <w:rPr/>
              <w:t> </w:t>
            </w:r>
          </w:p>
        </w:tc>
      </w:tr>
      <w:tr>
        <w:trPr/>
        <w:tc>
          <w:tcPr>
            <w:tcW w:w="3601" w:type="dxa"/>
            <w:tcBorders/>
            <w:shd w:fill="FFFFFF" w:val="clear"/>
            <w:vAlign w:val="center"/>
          </w:tcPr>
          <w:p>
            <w:pPr>
              <w:pStyle w:val="TableContents"/>
              <w:spacing w:before="0" w:after="0"/>
              <w:ind w:left="0" w:right="0" w:firstLine="360"/>
              <w:rPr/>
            </w:pPr>
            <w:r>
              <w:rPr/>
              <w:t xml:space="preserve">the effect of catastrophes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72,841,957</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03" w:type="dxa"/>
            <w:tcBorders/>
            <w:shd w:fill="FFFFFF" w:val="clear"/>
            <w:vAlign w:val="center"/>
          </w:tcPr>
          <w:p>
            <w:pPr>
              <w:pStyle w:val="TableContents"/>
              <w:spacing w:before="0" w:after="283"/>
              <w:rPr/>
            </w:pPr>
            <w:r>
              <w:rPr/>
              <w:t>$</w:t>
            </w:r>
          </w:p>
        </w:tc>
        <w:tc>
          <w:tcPr>
            <w:tcW w:w="799" w:type="dxa"/>
            <w:tcBorders/>
            <w:shd w:fill="FFFFFF" w:val="clear"/>
            <w:vAlign w:val="center"/>
          </w:tcPr>
          <w:p>
            <w:pPr>
              <w:pStyle w:val="TableContents"/>
              <w:spacing w:before="0" w:after="283"/>
              <w:jc w:val="right"/>
              <w:rPr/>
            </w:pPr>
            <w:r>
              <w:rPr/>
              <w:t>-</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05" w:type="dxa"/>
            <w:tcBorders/>
            <w:shd w:fill="FFFFFF" w:val="clear"/>
            <w:vAlign w:val="center"/>
          </w:tcPr>
          <w:p>
            <w:pPr>
              <w:pStyle w:val="TableContents"/>
              <w:spacing w:before="0" w:after="283"/>
              <w:jc w:val="right"/>
              <w:rPr/>
            </w:pPr>
            <w:r>
              <w:rPr/>
              <w:t>(18,012,645</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54,829,312</w:t>
            </w:r>
          </w:p>
        </w:tc>
        <w:tc>
          <w:tcPr>
            <w:tcW w:w="292" w:type="dxa"/>
            <w:tcBorders/>
            <w:shd w:fill="FFFFFF" w:val="clear"/>
            <w:vAlign w:val="center"/>
          </w:tcPr>
          <w:p>
            <w:pPr>
              <w:pStyle w:val="TableContents"/>
              <w:spacing w:before="0" w:after="0"/>
              <w:ind w:left="0" w:right="0" w:hanging="0"/>
              <w:rPr/>
            </w:pPr>
            <w:r>
              <w:rPr/>
              <w:t> </w:t>
            </w:r>
          </w:p>
        </w:tc>
      </w:tr>
      <w:tr>
        <w:trPr/>
        <w:tc>
          <w:tcPr>
            <w:tcW w:w="3601" w:type="dxa"/>
            <w:tcBorders/>
            <w:shd w:fill="CCEEFF" w:val="clear"/>
            <w:vAlign w:val="center"/>
          </w:tcPr>
          <w:p>
            <w:pPr>
              <w:pStyle w:val="TableContents"/>
              <w:spacing w:before="0" w:after="0"/>
              <w:ind w:left="0" w:right="0" w:firstLine="180"/>
              <w:rPr/>
            </w:pPr>
            <w:r>
              <w:rPr/>
              <w:t xml:space="preserve">Catastrophe loss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21,540,120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3"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9"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CCEEFF" w:val="clear"/>
            <w:tcMar>
              <w:bottom w:w="28" w:type="dxa"/>
            </w:tcMar>
            <w:vAlign w:val="center"/>
          </w:tcPr>
          <w:p>
            <w:pPr>
              <w:pStyle w:val="TableContents"/>
              <w:spacing w:before="0" w:after="283"/>
              <w:jc w:val="right"/>
              <w:rPr/>
            </w:pPr>
            <w:r>
              <w:rPr/>
              <w:t>(9,938,360</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11,601,760</w:t>
            </w:r>
          </w:p>
        </w:tc>
        <w:tc>
          <w:tcPr>
            <w:tcW w:w="292" w:type="dxa"/>
            <w:tcBorders/>
            <w:shd w:fill="CCEEFF" w:val="clear"/>
            <w:vAlign w:val="center"/>
          </w:tcPr>
          <w:p>
            <w:pPr>
              <w:pStyle w:val="TableContents"/>
              <w:spacing w:before="0" w:after="0"/>
              <w:ind w:left="0" w:right="0" w:hanging="0"/>
              <w:rPr/>
            </w:pPr>
            <w:r>
              <w:rPr/>
              <w:t> </w:t>
            </w:r>
          </w:p>
        </w:tc>
      </w:tr>
      <w:tr>
        <w:trPr/>
        <w:tc>
          <w:tcPr>
            <w:tcW w:w="3601" w:type="dxa"/>
            <w:tcBorders/>
            <w:shd w:fill="FFFFFF" w:val="clear"/>
            <w:vAlign w:val="center"/>
          </w:tcPr>
          <w:p>
            <w:pPr>
              <w:pStyle w:val="TableContents"/>
              <w:spacing w:before="0" w:after="0"/>
              <w:ind w:left="0" w:right="0" w:firstLine="180"/>
              <w:rPr/>
            </w:pPr>
            <w:r>
              <w:rPr/>
              <w:t xml:space="preserve">Loss and loss adjustment expenses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94,382,077</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03" w:type="dxa"/>
            <w:tcBorders>
              <w:bottom w:val="double" w:sz="6" w:space="0" w:color="000000"/>
            </w:tcBorders>
            <w:shd w:fill="FFFFFF" w:val="clear"/>
            <w:tcMar>
              <w:bottom w:w="28" w:type="dxa"/>
            </w:tcMar>
            <w:vAlign w:val="center"/>
          </w:tcPr>
          <w:p>
            <w:pPr>
              <w:pStyle w:val="TableContents"/>
              <w:spacing w:before="0" w:after="283"/>
              <w:rPr/>
            </w:pPr>
            <w:r>
              <w:rPr/>
              <w:t>$</w:t>
            </w:r>
          </w:p>
        </w:tc>
        <w:tc>
          <w:tcPr>
            <w:tcW w:w="799" w:type="dxa"/>
            <w:tcBorders>
              <w:bottom w:val="double" w:sz="6" w:space="0" w:color="000000"/>
            </w:tcBorders>
            <w:shd w:fill="FFFFFF" w:val="clear"/>
            <w:tcMar>
              <w:bottom w:w="28" w:type="dxa"/>
            </w:tcMar>
            <w:vAlign w:val="center"/>
          </w:tcPr>
          <w:p>
            <w:pPr>
              <w:pStyle w:val="TableContents"/>
              <w:spacing w:before="0" w:after="283"/>
              <w:jc w:val="right"/>
              <w:rPr/>
            </w:pPr>
            <w:r>
              <w:rPr/>
              <w:t>-</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05" w:type="dxa"/>
            <w:tcBorders>
              <w:bottom w:val="double" w:sz="6" w:space="0" w:color="000000"/>
            </w:tcBorders>
            <w:shd w:fill="FFFFFF" w:val="clear"/>
            <w:tcMar>
              <w:bottom w:w="28" w:type="dxa"/>
            </w:tcMar>
            <w:vAlign w:val="center"/>
          </w:tcPr>
          <w:p>
            <w:pPr>
              <w:pStyle w:val="TableContents"/>
              <w:spacing w:before="0" w:after="283"/>
              <w:jc w:val="right"/>
              <w:rPr/>
            </w:pPr>
            <w:r>
              <w:rPr/>
              <w:t>(27,951,005</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66,431,072</w:t>
            </w:r>
          </w:p>
        </w:tc>
        <w:tc>
          <w:tcPr>
            <w:tcW w:w="292" w:type="dxa"/>
            <w:tcBorders/>
            <w:shd w:fill="FFFFFF" w:val="clear"/>
            <w:vAlign w:val="center"/>
          </w:tcPr>
          <w:p>
            <w:pPr>
              <w:pStyle w:val="TableContents"/>
              <w:spacing w:before="0" w:after="0"/>
              <w:ind w:left="0" w:right="0" w:hanging="0"/>
              <w:rPr/>
            </w:pPr>
            <w:r>
              <w:rPr/>
              <w:t> </w:t>
            </w:r>
          </w:p>
        </w:tc>
      </w:tr>
      <w:tr>
        <w:trPr/>
        <w:tc>
          <w:tcPr>
            <w:tcW w:w="3601"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3" w:type="dxa"/>
            <w:tcBorders/>
            <w:shd w:fill="CCEEFF" w:val="clear"/>
            <w:vAlign w:val="center"/>
          </w:tcPr>
          <w:p>
            <w:pPr>
              <w:pStyle w:val="TableContents"/>
              <w:spacing w:before="0" w:after="0"/>
              <w:ind w:left="0" w:right="0" w:hanging="0"/>
              <w:rPr/>
            </w:pPr>
            <w:r>
              <w:rPr/>
              <w:t> </w:t>
            </w:r>
          </w:p>
        </w:tc>
        <w:tc>
          <w:tcPr>
            <w:tcW w:w="799"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92" w:type="dxa"/>
            <w:tcBorders/>
            <w:shd w:fill="CCEEFF" w:val="clear"/>
            <w:vAlign w:val="center"/>
          </w:tcPr>
          <w:p>
            <w:pPr>
              <w:pStyle w:val="TableContents"/>
              <w:spacing w:before="0" w:after="0"/>
              <w:ind w:left="0" w:right="0" w:hanging="0"/>
              <w:rPr/>
            </w:pPr>
            <w:r>
              <w:rPr/>
              <w:t> </w:t>
            </w:r>
          </w:p>
        </w:tc>
      </w:tr>
      <w:tr>
        <w:trPr/>
        <w:tc>
          <w:tcPr>
            <w:tcW w:w="3601" w:type="dxa"/>
            <w:tcBorders/>
            <w:shd w:fill="FFFFFF" w:val="clear"/>
            <w:vAlign w:val="center"/>
          </w:tcPr>
          <w:p>
            <w:pPr>
              <w:pStyle w:val="TableContents"/>
              <w:spacing w:before="0" w:after="0"/>
              <w:ind w:left="0" w:right="0" w:firstLine="180"/>
              <w:rPr/>
            </w:pPr>
            <w:r>
              <w:rPr/>
              <w:t xml:space="preserve">Loss ratio excluding the effect of catastrophes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42.9</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203" w:type="dxa"/>
            <w:tcBorders/>
            <w:shd w:fill="FFFFFF" w:val="clear"/>
            <w:vAlign w:val="center"/>
          </w:tcPr>
          <w:p>
            <w:pPr>
              <w:pStyle w:val="TableContents"/>
              <w:spacing w:before="0" w:after="0"/>
              <w:ind w:left="0" w:right="0" w:hanging="0"/>
              <w:rPr/>
            </w:pPr>
            <w:r>
              <w:rPr/>
              <w:t> </w:t>
            </w:r>
          </w:p>
        </w:tc>
        <w:tc>
          <w:tcPr>
            <w:tcW w:w="799" w:type="dxa"/>
            <w:tcBorders/>
            <w:shd w:fill="FFFFFF" w:val="clear"/>
            <w:vAlign w:val="center"/>
          </w:tcPr>
          <w:p>
            <w:pPr>
              <w:pStyle w:val="TableContents"/>
              <w:spacing w:before="0" w:after="283"/>
              <w:jc w:val="right"/>
              <w:rPr/>
            </w:pPr>
            <w:r>
              <w:rPr/>
              <w:t>0.0</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29.2</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50.7</w:t>
            </w:r>
          </w:p>
        </w:tc>
        <w:tc>
          <w:tcPr>
            <w:tcW w:w="292" w:type="dxa"/>
            <w:tcBorders/>
            <w:shd w:fill="FFFFFF" w:val="clear"/>
            <w:vAlign w:val="center"/>
          </w:tcPr>
          <w:p>
            <w:pPr>
              <w:pStyle w:val="TableContents"/>
              <w:spacing w:before="0" w:after="283"/>
              <w:rPr/>
            </w:pPr>
            <w:r>
              <w:rPr/>
              <w:t>%</w:t>
            </w:r>
          </w:p>
        </w:tc>
      </w:tr>
      <w:tr>
        <w:trPr/>
        <w:tc>
          <w:tcPr>
            <w:tcW w:w="3601" w:type="dxa"/>
            <w:tcBorders/>
            <w:shd w:fill="CCEEFF" w:val="clear"/>
            <w:vAlign w:val="center"/>
          </w:tcPr>
          <w:p>
            <w:pPr>
              <w:pStyle w:val="TableContents"/>
              <w:spacing w:before="0" w:after="0"/>
              <w:ind w:left="0" w:right="0" w:firstLine="180"/>
              <w:rPr/>
            </w:pPr>
            <w:r>
              <w:rPr/>
              <w:t xml:space="preserve">Catastrophe loss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12.7</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203"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9" w:type="dxa"/>
            <w:tcBorders>
              <w:bottom w:val="single" w:sz="2" w:space="0" w:color="000000"/>
            </w:tcBorders>
            <w:shd w:fill="CCEEFF" w:val="clear"/>
            <w:tcMar>
              <w:bottom w:w="28" w:type="dxa"/>
            </w:tcMar>
            <w:vAlign w:val="center"/>
          </w:tcPr>
          <w:p>
            <w:pPr>
              <w:pStyle w:val="TableContents"/>
              <w:spacing w:before="0" w:after="283"/>
              <w:jc w:val="right"/>
              <w:rPr/>
            </w:pPr>
            <w:r>
              <w:rPr/>
              <w:t>0.0</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CCEEFF" w:val="clear"/>
            <w:tcMar>
              <w:bottom w:w="28" w:type="dxa"/>
            </w:tcMar>
            <w:vAlign w:val="center"/>
          </w:tcPr>
          <w:p>
            <w:pPr>
              <w:pStyle w:val="TableContents"/>
              <w:spacing w:before="0" w:after="283"/>
              <w:jc w:val="right"/>
              <w:rPr/>
            </w:pPr>
            <w:r>
              <w:rPr/>
              <w:t>16.2</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10.8</w:t>
            </w:r>
          </w:p>
        </w:tc>
        <w:tc>
          <w:tcPr>
            <w:tcW w:w="292" w:type="dxa"/>
            <w:tcBorders/>
            <w:shd w:fill="CCEEFF" w:val="clear"/>
            <w:vAlign w:val="center"/>
          </w:tcPr>
          <w:p>
            <w:pPr>
              <w:pStyle w:val="TableContents"/>
              <w:spacing w:before="0" w:after="283"/>
              <w:rPr/>
            </w:pPr>
            <w:r>
              <w:rPr/>
              <w:t>%</w:t>
            </w:r>
          </w:p>
        </w:tc>
      </w:tr>
      <w:tr>
        <w:trPr/>
        <w:tc>
          <w:tcPr>
            <w:tcW w:w="3601" w:type="dxa"/>
            <w:tcBorders/>
            <w:shd w:fill="FFFFFF" w:val="clear"/>
            <w:vAlign w:val="center"/>
          </w:tcPr>
          <w:p>
            <w:pPr>
              <w:pStyle w:val="TableContents"/>
              <w:spacing w:before="0" w:after="0"/>
              <w:ind w:left="0" w:right="0" w:firstLine="180"/>
              <w:rPr/>
            </w:pPr>
            <w:r>
              <w:rPr/>
              <w:t xml:space="preserve">Loss ratio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55.5</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203" w:type="dxa"/>
            <w:tcBorders>
              <w:bottom w:val="double" w:sz="6" w:space="0" w:color="000000"/>
            </w:tcBorders>
            <w:shd w:fill="FFFFFF" w:val="clear"/>
            <w:tcMar>
              <w:bottom w:w="28" w:type="dxa"/>
            </w:tcMar>
            <w:vAlign w:val="center"/>
          </w:tcPr>
          <w:p>
            <w:pPr>
              <w:pStyle w:val="TableContents"/>
              <w:spacing w:before="0" w:after="0"/>
              <w:ind w:left="0" w:right="0" w:hanging="0"/>
              <w:rPr/>
            </w:pPr>
            <w:r>
              <w:rPr/>
              <w:t> </w:t>
            </w:r>
          </w:p>
        </w:tc>
        <w:tc>
          <w:tcPr>
            <w:tcW w:w="799" w:type="dxa"/>
            <w:tcBorders>
              <w:bottom w:val="double" w:sz="6" w:space="0" w:color="000000"/>
            </w:tcBorders>
            <w:shd w:fill="FFFFFF" w:val="clear"/>
            <w:tcMar>
              <w:bottom w:w="28" w:type="dxa"/>
            </w:tcMar>
            <w:vAlign w:val="center"/>
          </w:tcPr>
          <w:p>
            <w:pPr>
              <w:pStyle w:val="TableContents"/>
              <w:spacing w:before="0" w:after="283"/>
              <w:jc w:val="right"/>
              <w:rPr/>
            </w:pPr>
            <w:r>
              <w:rPr/>
              <w:t>0.0</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double" w:sz="6" w:space="0" w:color="000000"/>
            </w:tcBorders>
            <w:shd w:fill="FFFFFF" w:val="clear"/>
            <w:tcMar>
              <w:bottom w:w="28" w:type="dxa"/>
            </w:tcMar>
            <w:vAlign w:val="center"/>
          </w:tcPr>
          <w:p>
            <w:pPr>
              <w:pStyle w:val="TableContents"/>
              <w:spacing w:before="0" w:after="283"/>
              <w:jc w:val="right"/>
              <w:rPr/>
            </w:pPr>
            <w:r>
              <w:rPr/>
              <w:t>45.4</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61.5</w:t>
            </w:r>
          </w:p>
        </w:tc>
        <w:tc>
          <w:tcPr>
            <w:tcW w:w="292" w:type="dxa"/>
            <w:tcBorders/>
            <w:shd w:fill="FFFFFF" w:val="clear"/>
            <w:vAlign w:val="center"/>
          </w:tcPr>
          <w:p>
            <w:pPr>
              <w:pStyle w:val="TableContents"/>
              <w:spacing w:before="0" w:after="283"/>
              <w:rPr/>
            </w:pPr>
            <w:r>
              <w:rPr/>
              <w:t>%</w:t>
            </w:r>
          </w:p>
        </w:tc>
      </w:tr>
      <w:tr>
        <w:trPr/>
        <w:tc>
          <w:tcPr>
            <w:tcW w:w="3601"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3" w:type="dxa"/>
            <w:tcBorders/>
            <w:shd w:fill="CCEEFF" w:val="clear"/>
            <w:vAlign w:val="center"/>
          </w:tcPr>
          <w:p>
            <w:pPr>
              <w:pStyle w:val="TableContents"/>
              <w:spacing w:before="0" w:after="0"/>
              <w:ind w:left="0" w:right="0" w:hanging="0"/>
              <w:rPr/>
            </w:pPr>
            <w:r>
              <w:rPr/>
              <w:t> </w:t>
            </w:r>
          </w:p>
        </w:tc>
        <w:tc>
          <w:tcPr>
            <w:tcW w:w="799"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92" w:type="dxa"/>
            <w:tcBorders/>
            <w:shd w:fill="CCEEFF" w:val="clear"/>
            <w:vAlign w:val="center"/>
          </w:tcPr>
          <w:p>
            <w:pPr>
              <w:pStyle w:val="TableContents"/>
              <w:spacing w:before="0" w:after="0"/>
              <w:ind w:left="0" w:right="0" w:hanging="0"/>
              <w:rPr/>
            </w:pPr>
            <w:r>
              <w:rPr/>
              <w:t> </w:t>
            </w:r>
          </w:p>
        </w:tc>
      </w:tr>
      <w:tr>
        <w:trPr/>
        <w:tc>
          <w:tcPr>
            <w:tcW w:w="3601" w:type="dxa"/>
            <w:tcBorders/>
            <w:shd w:fill="FFFFFF" w:val="clear"/>
            <w:vAlign w:val="center"/>
          </w:tcPr>
          <w:p>
            <w:pPr>
              <w:pStyle w:val="TableContents"/>
              <w:spacing w:before="0" w:after="0"/>
              <w:ind w:left="0" w:right="0" w:hanging="0"/>
              <w:rPr/>
            </w:pPr>
            <w:r>
              <w:rPr>
                <w:rStyle w:val="StrongEmphasis"/>
              </w:rPr>
              <w:t xml:space="preserve">Year ended December 31, 2019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03" w:type="dxa"/>
            <w:tcBorders/>
            <w:shd w:fill="FFFFFF" w:val="clear"/>
            <w:vAlign w:val="center"/>
          </w:tcPr>
          <w:p>
            <w:pPr>
              <w:pStyle w:val="TableContents"/>
              <w:spacing w:before="0" w:after="0"/>
              <w:ind w:left="0" w:right="0" w:hanging="0"/>
              <w:rPr/>
            </w:pPr>
            <w:r>
              <w:rPr/>
              <w:t> </w:t>
            </w:r>
          </w:p>
        </w:tc>
        <w:tc>
          <w:tcPr>
            <w:tcW w:w="799"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92" w:type="dxa"/>
            <w:tcBorders/>
            <w:shd w:fill="FFFFFF" w:val="clear"/>
            <w:vAlign w:val="center"/>
          </w:tcPr>
          <w:p>
            <w:pPr>
              <w:pStyle w:val="TableContents"/>
              <w:spacing w:before="0" w:after="0"/>
              <w:ind w:left="0" w:right="0" w:hanging="0"/>
              <w:rPr/>
            </w:pPr>
            <w:r>
              <w:rPr/>
              <w:t> </w:t>
            </w:r>
          </w:p>
        </w:tc>
      </w:tr>
      <w:tr>
        <w:trPr/>
        <w:tc>
          <w:tcPr>
            <w:tcW w:w="3601" w:type="dxa"/>
            <w:tcBorders/>
            <w:shd w:fill="CCEEFF" w:val="clear"/>
            <w:vAlign w:val="center"/>
          </w:tcPr>
          <w:p>
            <w:pPr>
              <w:pStyle w:val="TableContents"/>
              <w:spacing w:before="0" w:after="0"/>
              <w:ind w:left="0" w:right="0" w:firstLine="180"/>
              <w:rPr/>
            </w:pPr>
            <w:r>
              <w:rPr/>
              <w:t xml:space="preserve">Written premiums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171,214,091</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3" w:type="dxa"/>
            <w:tcBorders/>
            <w:shd w:fill="CCEEFF" w:val="clear"/>
            <w:vAlign w:val="center"/>
          </w:tcPr>
          <w:p>
            <w:pPr>
              <w:pStyle w:val="TableContents"/>
              <w:spacing w:before="0" w:after="283"/>
              <w:rPr/>
            </w:pPr>
            <w:r>
              <w:rPr/>
              <w:t>$</w:t>
            </w:r>
          </w:p>
        </w:tc>
        <w:tc>
          <w:tcPr>
            <w:tcW w:w="799" w:type="dxa"/>
            <w:tcBorders/>
            <w:shd w:fill="CCEEFF" w:val="clear"/>
            <w:vAlign w:val="center"/>
          </w:tcPr>
          <w:p>
            <w:pPr>
              <w:pStyle w:val="TableContents"/>
              <w:spacing w:before="0" w:after="283"/>
              <w:jc w:val="right"/>
              <w:rPr/>
            </w:pPr>
            <w:r>
              <w:rPr/>
              <w:t>939</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05" w:type="dxa"/>
            <w:tcBorders/>
            <w:shd w:fill="CCEEFF" w:val="clear"/>
            <w:vAlign w:val="center"/>
          </w:tcPr>
          <w:p>
            <w:pPr>
              <w:pStyle w:val="TableContents"/>
              <w:spacing w:before="0" w:after="283"/>
              <w:jc w:val="right"/>
              <w:rPr/>
            </w:pPr>
            <w:r>
              <w:rPr/>
              <w:t>(45,635,899</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125,579,131</w:t>
            </w:r>
          </w:p>
        </w:tc>
        <w:tc>
          <w:tcPr>
            <w:tcW w:w="292" w:type="dxa"/>
            <w:tcBorders/>
            <w:shd w:fill="CCEEFF" w:val="clear"/>
            <w:vAlign w:val="center"/>
          </w:tcPr>
          <w:p>
            <w:pPr>
              <w:pStyle w:val="TableContents"/>
              <w:spacing w:before="0" w:after="0"/>
              <w:ind w:left="0" w:right="0" w:hanging="0"/>
              <w:rPr/>
            </w:pPr>
            <w:r>
              <w:rPr/>
              <w:t> </w:t>
            </w:r>
          </w:p>
        </w:tc>
      </w:tr>
      <w:tr>
        <w:trPr/>
        <w:tc>
          <w:tcPr>
            <w:tcW w:w="3601" w:type="dxa"/>
            <w:tcBorders/>
            <w:shd w:fill="FFFFFF" w:val="clear"/>
            <w:vAlign w:val="center"/>
          </w:tcPr>
          <w:p>
            <w:pPr>
              <w:pStyle w:val="TableContents"/>
              <w:spacing w:before="0" w:after="0"/>
              <w:ind w:left="0" w:right="0" w:firstLine="180"/>
              <w:rPr/>
            </w:pPr>
            <w:r>
              <w:rPr/>
              <w:t xml:space="preserve">Change in unearned premiums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(11,350,864</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203"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799" w:type="dxa"/>
            <w:tcBorders>
              <w:bottom w:val="single" w:sz="2" w:space="0" w:color="000000"/>
            </w:tcBorders>
            <w:shd w:fill="FFFFFF" w:val="clear"/>
            <w:tcMar>
              <w:bottom w:w="28" w:type="dxa"/>
            </w:tcMar>
            <w:vAlign w:val="center"/>
          </w:tcPr>
          <w:p>
            <w:pPr>
              <w:pStyle w:val="TableContents"/>
              <w:spacing w:before="0" w:after="283"/>
              <w:jc w:val="right"/>
              <w:rPr/>
            </w:pPr>
            <w:r>
              <w:rPr/>
              <w:t>(243</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13,395,418</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2,044,311</w:t>
            </w:r>
          </w:p>
        </w:tc>
        <w:tc>
          <w:tcPr>
            <w:tcW w:w="292" w:type="dxa"/>
            <w:tcBorders/>
            <w:shd w:fill="FFFFFF" w:val="clear"/>
            <w:vAlign w:val="center"/>
          </w:tcPr>
          <w:p>
            <w:pPr>
              <w:pStyle w:val="TableContents"/>
              <w:spacing w:before="0" w:after="0"/>
              <w:ind w:left="0" w:right="0" w:hanging="0"/>
              <w:rPr/>
            </w:pPr>
            <w:r>
              <w:rPr/>
              <w:t> </w:t>
            </w:r>
          </w:p>
        </w:tc>
      </w:tr>
      <w:tr>
        <w:trPr/>
        <w:tc>
          <w:tcPr>
            <w:tcW w:w="3601" w:type="dxa"/>
            <w:tcBorders/>
            <w:shd w:fill="CCEEFF" w:val="clear"/>
            <w:vAlign w:val="center"/>
          </w:tcPr>
          <w:p>
            <w:pPr>
              <w:pStyle w:val="TableContents"/>
              <w:spacing w:before="0" w:after="0"/>
              <w:ind w:left="0" w:right="0" w:firstLine="180"/>
              <w:rPr/>
            </w:pPr>
            <w:r>
              <w:rPr/>
              <w:t xml:space="preserve">Earned premiums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159,863,227</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3" w:type="dxa"/>
            <w:tcBorders>
              <w:bottom w:val="double" w:sz="6" w:space="0" w:color="000000"/>
            </w:tcBorders>
            <w:shd w:fill="CCEEFF" w:val="clear"/>
            <w:tcMar>
              <w:bottom w:w="28" w:type="dxa"/>
            </w:tcMar>
            <w:vAlign w:val="center"/>
          </w:tcPr>
          <w:p>
            <w:pPr>
              <w:pStyle w:val="TableContents"/>
              <w:spacing w:before="0" w:after="283"/>
              <w:rPr/>
            </w:pPr>
            <w:r>
              <w:rPr/>
              <w:t>$</w:t>
            </w:r>
          </w:p>
        </w:tc>
        <w:tc>
          <w:tcPr>
            <w:tcW w:w="799" w:type="dxa"/>
            <w:tcBorders>
              <w:bottom w:val="double" w:sz="6" w:space="0" w:color="000000"/>
            </w:tcBorders>
            <w:shd w:fill="CCEEFF" w:val="clear"/>
            <w:tcMar>
              <w:bottom w:w="28" w:type="dxa"/>
            </w:tcMar>
            <w:vAlign w:val="center"/>
          </w:tcPr>
          <w:p>
            <w:pPr>
              <w:pStyle w:val="TableContents"/>
              <w:spacing w:before="0" w:after="283"/>
              <w:jc w:val="right"/>
              <w:rPr/>
            </w:pPr>
            <w:r>
              <w:rPr/>
              <w:t>696</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05" w:type="dxa"/>
            <w:tcBorders>
              <w:bottom w:val="double" w:sz="6" w:space="0" w:color="000000"/>
            </w:tcBorders>
            <w:shd w:fill="CCEEFF" w:val="clear"/>
            <w:tcMar>
              <w:bottom w:w="28" w:type="dxa"/>
            </w:tcMar>
            <w:vAlign w:val="center"/>
          </w:tcPr>
          <w:p>
            <w:pPr>
              <w:pStyle w:val="TableContents"/>
              <w:spacing w:before="0" w:after="283"/>
              <w:jc w:val="right"/>
              <w:rPr/>
            </w:pPr>
            <w:r>
              <w:rPr/>
              <w:t>(32,240,481</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127,623,442</w:t>
            </w:r>
          </w:p>
        </w:tc>
        <w:tc>
          <w:tcPr>
            <w:tcW w:w="292" w:type="dxa"/>
            <w:tcBorders/>
            <w:shd w:fill="CCEEFF" w:val="clear"/>
            <w:vAlign w:val="center"/>
          </w:tcPr>
          <w:p>
            <w:pPr>
              <w:pStyle w:val="TableContents"/>
              <w:spacing w:before="0" w:after="0"/>
              <w:ind w:left="0" w:right="0" w:hanging="0"/>
              <w:rPr/>
            </w:pPr>
            <w:r>
              <w:rPr/>
              <w:t> </w:t>
            </w:r>
          </w:p>
        </w:tc>
      </w:tr>
      <w:tr>
        <w:trPr/>
        <w:tc>
          <w:tcPr>
            <w:tcW w:w="3601" w:type="dxa"/>
            <w:tcBorders/>
            <w:shd w:fill="FFFFFF" w:val="clear"/>
            <w:vAlign w:val="center"/>
          </w:tcPr>
          <w:p>
            <w:pPr>
              <w:pStyle w:val="TableContents"/>
              <w:spacing w:before="0" w:after="0"/>
              <w:ind w:left="0" w:right="0" w:firstLine="18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03" w:type="dxa"/>
            <w:tcBorders/>
            <w:shd w:fill="FFFFFF" w:val="clear"/>
            <w:vAlign w:val="center"/>
          </w:tcPr>
          <w:p>
            <w:pPr>
              <w:pStyle w:val="TableContents"/>
              <w:spacing w:before="0" w:after="0"/>
              <w:ind w:left="0" w:right="0" w:hanging="0"/>
              <w:rPr/>
            </w:pPr>
            <w:r>
              <w:rPr/>
              <w:t> </w:t>
            </w:r>
          </w:p>
        </w:tc>
        <w:tc>
          <w:tcPr>
            <w:tcW w:w="799"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92" w:type="dxa"/>
            <w:tcBorders/>
            <w:shd w:fill="FFFFFF" w:val="clear"/>
            <w:vAlign w:val="center"/>
          </w:tcPr>
          <w:p>
            <w:pPr>
              <w:pStyle w:val="TableContents"/>
              <w:spacing w:before="0" w:after="0"/>
              <w:ind w:left="0" w:right="0" w:hanging="0"/>
              <w:rPr/>
            </w:pPr>
            <w:r>
              <w:rPr/>
              <w:t> </w:t>
            </w:r>
          </w:p>
        </w:tc>
      </w:tr>
      <w:tr>
        <w:trPr/>
        <w:tc>
          <w:tcPr>
            <w:tcW w:w="3601" w:type="dxa"/>
            <w:tcBorders/>
            <w:shd w:fill="CCEEFF" w:val="clear"/>
            <w:vAlign w:val="center"/>
          </w:tcPr>
          <w:p>
            <w:pPr>
              <w:pStyle w:val="TableContents"/>
              <w:spacing w:before="0" w:after="0"/>
              <w:ind w:left="0" w:right="0" w:hanging="0"/>
              <w:rPr/>
            </w:pPr>
            <w:r>
              <w:rPr/>
              <w:t xml:space="preserve">Loss and loss adjustment expenses exluding the effect of catastrophes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94,776,624</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3" w:type="dxa"/>
            <w:tcBorders/>
            <w:shd w:fill="CCEEFF" w:val="clear"/>
            <w:vAlign w:val="center"/>
          </w:tcPr>
          <w:p>
            <w:pPr>
              <w:pStyle w:val="TableContents"/>
              <w:spacing w:before="0" w:after="283"/>
              <w:rPr/>
            </w:pPr>
            <w:r>
              <w:rPr/>
              <w:t>$</w:t>
            </w:r>
          </w:p>
        </w:tc>
        <w:tc>
          <w:tcPr>
            <w:tcW w:w="799" w:type="dxa"/>
            <w:tcBorders/>
            <w:shd w:fill="CCEEFF" w:val="clear"/>
            <w:vAlign w:val="center"/>
          </w:tcPr>
          <w:p>
            <w:pPr>
              <w:pStyle w:val="TableContents"/>
              <w:spacing w:before="0" w:after="283"/>
              <w:jc w:val="right"/>
              <w:rPr/>
            </w:pPr>
            <w:r>
              <w:rPr/>
              <w:t>(1,813</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05" w:type="dxa"/>
            <w:tcBorders/>
            <w:shd w:fill="CCEEFF" w:val="clear"/>
            <w:vAlign w:val="center"/>
          </w:tcPr>
          <w:p>
            <w:pPr>
              <w:pStyle w:val="TableContents"/>
              <w:spacing w:before="0" w:after="283"/>
              <w:jc w:val="right"/>
              <w:rPr/>
            </w:pPr>
            <w:r>
              <w:rPr/>
              <w:t>(12,287,304</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82,487,507</w:t>
            </w:r>
          </w:p>
        </w:tc>
        <w:tc>
          <w:tcPr>
            <w:tcW w:w="292" w:type="dxa"/>
            <w:tcBorders/>
            <w:shd w:fill="CCEEFF" w:val="clear"/>
            <w:vAlign w:val="center"/>
          </w:tcPr>
          <w:p>
            <w:pPr>
              <w:pStyle w:val="TableContents"/>
              <w:spacing w:before="0" w:after="0"/>
              <w:ind w:left="0" w:right="0" w:hanging="0"/>
              <w:rPr/>
            </w:pPr>
            <w:r>
              <w:rPr/>
              <w:t> </w:t>
            </w:r>
          </w:p>
        </w:tc>
      </w:tr>
      <w:tr>
        <w:trPr/>
        <w:tc>
          <w:tcPr>
            <w:tcW w:w="3601" w:type="dxa"/>
            <w:tcBorders/>
            <w:shd w:fill="FFFFFF" w:val="clear"/>
            <w:vAlign w:val="center"/>
          </w:tcPr>
          <w:p>
            <w:pPr>
              <w:pStyle w:val="TableContents"/>
              <w:spacing w:before="0" w:after="0"/>
              <w:ind w:left="0" w:right="0" w:firstLine="180"/>
              <w:rPr/>
            </w:pPr>
            <w:r>
              <w:rPr/>
              <w:t xml:space="preserve">Catastrophe loss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8,176,529</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03"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799"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(481,712</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7,694,817</w:t>
            </w:r>
          </w:p>
        </w:tc>
        <w:tc>
          <w:tcPr>
            <w:tcW w:w="292" w:type="dxa"/>
            <w:tcBorders/>
            <w:shd w:fill="FFFFFF" w:val="clear"/>
            <w:vAlign w:val="center"/>
          </w:tcPr>
          <w:p>
            <w:pPr>
              <w:pStyle w:val="TableContents"/>
              <w:spacing w:before="0" w:after="0"/>
              <w:ind w:left="0" w:right="0" w:hanging="0"/>
              <w:rPr/>
            </w:pPr>
            <w:r>
              <w:rPr/>
              <w:t> </w:t>
            </w:r>
          </w:p>
        </w:tc>
      </w:tr>
      <w:tr>
        <w:trPr/>
        <w:tc>
          <w:tcPr>
            <w:tcW w:w="3601" w:type="dxa"/>
            <w:tcBorders/>
            <w:shd w:fill="CCEEFF" w:val="clear"/>
            <w:vAlign w:val="center"/>
          </w:tcPr>
          <w:p>
            <w:pPr>
              <w:pStyle w:val="TableContents"/>
              <w:spacing w:before="0" w:after="0"/>
              <w:ind w:left="0" w:right="0" w:firstLine="180"/>
              <w:rPr/>
            </w:pPr>
            <w:r>
              <w:rPr/>
              <w:t xml:space="preserve">Loss and loss adjustment expenses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102,953,153</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3" w:type="dxa"/>
            <w:tcBorders>
              <w:bottom w:val="double" w:sz="6" w:space="0" w:color="000000"/>
            </w:tcBorders>
            <w:shd w:fill="CCEEFF" w:val="clear"/>
            <w:tcMar>
              <w:bottom w:w="28" w:type="dxa"/>
            </w:tcMar>
            <w:vAlign w:val="center"/>
          </w:tcPr>
          <w:p>
            <w:pPr>
              <w:pStyle w:val="TableContents"/>
              <w:spacing w:before="0" w:after="283"/>
              <w:rPr/>
            </w:pPr>
            <w:r>
              <w:rPr/>
              <w:t>$</w:t>
            </w:r>
          </w:p>
        </w:tc>
        <w:tc>
          <w:tcPr>
            <w:tcW w:w="799" w:type="dxa"/>
            <w:tcBorders>
              <w:bottom w:val="double" w:sz="6" w:space="0" w:color="000000"/>
            </w:tcBorders>
            <w:shd w:fill="CCEEFF" w:val="clear"/>
            <w:tcMar>
              <w:bottom w:w="28" w:type="dxa"/>
            </w:tcMar>
            <w:vAlign w:val="center"/>
          </w:tcPr>
          <w:p>
            <w:pPr>
              <w:pStyle w:val="TableContents"/>
              <w:spacing w:before="0" w:after="283"/>
              <w:jc w:val="right"/>
              <w:rPr/>
            </w:pPr>
            <w:r>
              <w:rPr/>
              <w:t>(1,813</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05" w:type="dxa"/>
            <w:tcBorders>
              <w:bottom w:val="double" w:sz="6" w:space="0" w:color="000000"/>
            </w:tcBorders>
            <w:shd w:fill="CCEEFF" w:val="clear"/>
            <w:tcMar>
              <w:bottom w:w="28" w:type="dxa"/>
            </w:tcMar>
            <w:vAlign w:val="center"/>
          </w:tcPr>
          <w:p>
            <w:pPr>
              <w:pStyle w:val="TableContents"/>
              <w:spacing w:before="0" w:after="283"/>
              <w:jc w:val="right"/>
              <w:rPr/>
            </w:pPr>
            <w:r>
              <w:rPr/>
              <w:t>(12,769,016</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90,182,324</w:t>
            </w:r>
          </w:p>
        </w:tc>
        <w:tc>
          <w:tcPr>
            <w:tcW w:w="292" w:type="dxa"/>
            <w:tcBorders/>
            <w:shd w:fill="CCEEFF" w:val="clear"/>
            <w:vAlign w:val="center"/>
          </w:tcPr>
          <w:p>
            <w:pPr>
              <w:pStyle w:val="TableContents"/>
              <w:spacing w:before="0" w:after="0"/>
              <w:ind w:left="0" w:right="0" w:hanging="0"/>
              <w:rPr/>
            </w:pPr>
            <w:r>
              <w:rPr/>
              <w:t> </w:t>
            </w:r>
          </w:p>
        </w:tc>
      </w:tr>
      <w:tr>
        <w:trPr/>
        <w:tc>
          <w:tcPr>
            <w:tcW w:w="3601"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03" w:type="dxa"/>
            <w:tcBorders/>
            <w:shd w:fill="FFFFFF" w:val="clear"/>
            <w:vAlign w:val="center"/>
          </w:tcPr>
          <w:p>
            <w:pPr>
              <w:pStyle w:val="TableContents"/>
              <w:spacing w:before="0" w:after="0"/>
              <w:ind w:left="0" w:right="0" w:hanging="0"/>
              <w:rPr/>
            </w:pPr>
            <w:r>
              <w:rPr/>
              <w:t> </w:t>
            </w:r>
          </w:p>
        </w:tc>
        <w:tc>
          <w:tcPr>
            <w:tcW w:w="799"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92" w:type="dxa"/>
            <w:tcBorders/>
            <w:shd w:fill="FFFFFF" w:val="clear"/>
            <w:vAlign w:val="center"/>
          </w:tcPr>
          <w:p>
            <w:pPr>
              <w:pStyle w:val="TableContents"/>
              <w:spacing w:before="0" w:after="0"/>
              <w:ind w:left="0" w:right="0" w:hanging="0"/>
              <w:rPr/>
            </w:pPr>
            <w:r>
              <w:rPr/>
              <w:t> </w:t>
            </w:r>
          </w:p>
        </w:tc>
      </w:tr>
      <w:tr>
        <w:trPr/>
        <w:tc>
          <w:tcPr>
            <w:tcW w:w="3601" w:type="dxa"/>
            <w:tcBorders/>
            <w:shd w:fill="CCEEFF" w:val="clear"/>
            <w:vAlign w:val="center"/>
          </w:tcPr>
          <w:p>
            <w:pPr>
              <w:pStyle w:val="TableContents"/>
              <w:spacing w:before="0" w:after="0"/>
              <w:ind w:left="0" w:right="0" w:firstLine="180"/>
              <w:rPr/>
            </w:pPr>
            <w:r>
              <w:rPr/>
              <w:t xml:space="preserve">Loss ratio excluding the effect of catastrophes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59.3</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203" w:type="dxa"/>
            <w:tcBorders/>
            <w:shd w:fill="CCEEFF" w:val="clear"/>
            <w:vAlign w:val="center"/>
          </w:tcPr>
          <w:p>
            <w:pPr>
              <w:pStyle w:val="TableContents"/>
              <w:spacing w:before="0" w:after="0"/>
              <w:ind w:left="0" w:right="0" w:hanging="0"/>
              <w:rPr/>
            </w:pPr>
            <w:r>
              <w:rPr/>
              <w:t> </w:t>
            </w:r>
          </w:p>
        </w:tc>
        <w:tc>
          <w:tcPr>
            <w:tcW w:w="799" w:type="dxa"/>
            <w:tcBorders/>
            <w:shd w:fill="CCEEFF" w:val="clear"/>
            <w:vAlign w:val="center"/>
          </w:tcPr>
          <w:p>
            <w:pPr>
              <w:pStyle w:val="TableContents"/>
              <w:spacing w:before="0" w:after="283"/>
              <w:jc w:val="right"/>
              <w:rPr/>
            </w:pPr>
            <w:r>
              <w:rPr/>
              <w:t>-260.5</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38.1</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64.6</w:t>
            </w:r>
          </w:p>
        </w:tc>
        <w:tc>
          <w:tcPr>
            <w:tcW w:w="292" w:type="dxa"/>
            <w:tcBorders/>
            <w:shd w:fill="CCEEFF" w:val="clear"/>
            <w:vAlign w:val="center"/>
          </w:tcPr>
          <w:p>
            <w:pPr>
              <w:pStyle w:val="TableContents"/>
              <w:spacing w:before="0" w:after="283"/>
              <w:rPr/>
            </w:pPr>
            <w:r>
              <w:rPr/>
              <w:t>%</w:t>
            </w:r>
          </w:p>
        </w:tc>
      </w:tr>
      <w:tr>
        <w:trPr/>
        <w:tc>
          <w:tcPr>
            <w:tcW w:w="3601" w:type="dxa"/>
            <w:tcBorders/>
            <w:shd w:fill="FFFFFF" w:val="clear"/>
            <w:vAlign w:val="center"/>
          </w:tcPr>
          <w:p>
            <w:pPr>
              <w:pStyle w:val="TableContents"/>
              <w:spacing w:before="0" w:after="0"/>
              <w:ind w:left="0" w:right="0" w:firstLine="180"/>
              <w:rPr/>
            </w:pPr>
            <w:r>
              <w:rPr/>
              <w:t xml:space="preserve">Catastrophe loss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5.1</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203"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799" w:type="dxa"/>
            <w:tcBorders>
              <w:bottom w:val="single" w:sz="2" w:space="0" w:color="000000"/>
            </w:tcBorders>
            <w:shd w:fill="FFFFFF" w:val="clear"/>
            <w:tcMar>
              <w:bottom w:w="28" w:type="dxa"/>
            </w:tcMar>
            <w:vAlign w:val="center"/>
          </w:tcPr>
          <w:p>
            <w:pPr>
              <w:pStyle w:val="TableContents"/>
              <w:spacing w:before="0" w:after="283"/>
              <w:jc w:val="right"/>
              <w:rPr/>
            </w:pPr>
            <w:r>
              <w:rPr/>
              <w:t>0.0</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1.5</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6.1</w:t>
            </w:r>
          </w:p>
        </w:tc>
        <w:tc>
          <w:tcPr>
            <w:tcW w:w="292" w:type="dxa"/>
            <w:tcBorders/>
            <w:shd w:fill="FFFFFF" w:val="clear"/>
            <w:vAlign w:val="center"/>
          </w:tcPr>
          <w:p>
            <w:pPr>
              <w:pStyle w:val="TableContents"/>
              <w:spacing w:before="0" w:after="283"/>
              <w:rPr/>
            </w:pPr>
            <w:r>
              <w:rPr/>
              <w:t>%</w:t>
            </w:r>
          </w:p>
        </w:tc>
      </w:tr>
      <w:tr>
        <w:trPr/>
        <w:tc>
          <w:tcPr>
            <w:tcW w:w="3601" w:type="dxa"/>
            <w:tcBorders/>
            <w:shd w:fill="CCEEFF" w:val="clear"/>
            <w:vAlign w:val="center"/>
          </w:tcPr>
          <w:p>
            <w:pPr>
              <w:pStyle w:val="TableContents"/>
              <w:spacing w:before="0" w:after="0"/>
              <w:ind w:left="0" w:right="0" w:firstLine="180"/>
              <w:rPr/>
            </w:pPr>
            <w:r>
              <w:rPr/>
              <w:t xml:space="preserve">Loss ratio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64.4</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203"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799" w:type="dxa"/>
            <w:tcBorders>
              <w:bottom w:val="double" w:sz="6" w:space="0" w:color="000000"/>
            </w:tcBorders>
            <w:shd w:fill="CCEEFF" w:val="clear"/>
            <w:tcMar>
              <w:bottom w:w="28" w:type="dxa"/>
            </w:tcMar>
            <w:vAlign w:val="center"/>
          </w:tcPr>
          <w:p>
            <w:pPr>
              <w:pStyle w:val="TableContents"/>
              <w:spacing w:before="0" w:after="283"/>
              <w:jc w:val="right"/>
              <w:rPr/>
            </w:pPr>
            <w:r>
              <w:rPr/>
              <w:t>-260.5</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1205" w:type="dxa"/>
            <w:tcBorders>
              <w:bottom w:val="double" w:sz="6" w:space="0" w:color="000000"/>
            </w:tcBorders>
            <w:shd w:fill="CCEEFF" w:val="clear"/>
            <w:tcMar>
              <w:bottom w:w="28" w:type="dxa"/>
            </w:tcMar>
            <w:vAlign w:val="center"/>
          </w:tcPr>
          <w:p>
            <w:pPr>
              <w:pStyle w:val="TableContents"/>
              <w:spacing w:before="0" w:after="283"/>
              <w:jc w:val="right"/>
              <w:rPr/>
            </w:pPr>
            <w:r>
              <w:rPr/>
              <w:t>39.6</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70.7</w:t>
            </w:r>
          </w:p>
        </w:tc>
        <w:tc>
          <w:tcPr>
            <w:tcW w:w="292" w:type="dxa"/>
            <w:tcBorders/>
            <w:shd w:fill="CCEEFF" w:val="clear"/>
            <w:vAlign w:val="center"/>
          </w:tcPr>
          <w:p>
            <w:pPr>
              <w:pStyle w:val="TableContents"/>
              <w:spacing w:before="0" w:after="283"/>
              <w:rPr/>
            </w:pPr>
            <w:r>
              <w:rPr/>
              <w:t>%</w:t>
            </w:r>
          </w:p>
        </w:tc>
      </w:tr>
    </w:tbl>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46</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360" w:right="0" w:firstLine="360"/>
        <w:jc w:val="both"/>
        <w:rPr>
          <w:rFonts w:ascii="times new roman" w:hAnsi="times new roman"/>
          <w:sz w:val="20"/>
        </w:rPr>
      </w:pPr>
      <w:r>
        <w:rPr>
          <w:rFonts w:ascii="times new roman" w:hAnsi="times new roman"/>
          <w:sz w:val="20"/>
        </w:rPr>
        <w:t>The key measures for our insurance underwriting business for the years ended December 31, 2020 and 2019 are as follows:</w:t>
      </w:r>
    </w:p>
    <w:p>
      <w:pPr>
        <w:pStyle w:val="TextBody"/>
        <w:spacing w:before="0" w:after="0"/>
        <w:ind w:left="0" w:right="0" w:hanging="0"/>
        <w:jc w:val="both"/>
        <w:rPr/>
      </w:pPr>
      <w:r>
        <w:rPr/>
        <w:t> </w:t>
      </w:r>
    </w:p>
    <w:tbl>
      <w:tblPr>
        <w:tblW w:w="9250" w:type="dxa"/>
        <w:jc w:val="left"/>
        <w:tblInd w:w="0" w:type="dxa"/>
        <w:tblCellMar>
          <w:top w:w="0" w:type="dxa"/>
          <w:left w:w="0" w:type="dxa"/>
          <w:bottom w:w="0" w:type="dxa"/>
          <w:right w:w="0" w:type="dxa"/>
        </w:tblCellMar>
      </w:tblPr>
      <w:tblGrid>
        <w:gridCol w:w="5695"/>
        <w:gridCol w:w="90"/>
        <w:gridCol w:w="170"/>
        <w:gridCol w:w="1250"/>
        <w:gridCol w:w="245"/>
        <w:gridCol w:w="90"/>
        <w:gridCol w:w="170"/>
        <w:gridCol w:w="1250"/>
        <w:gridCol w:w="290"/>
      </w:tblGrid>
      <w:tr>
        <w:trPr/>
        <w:tc>
          <w:tcPr>
            <w:tcW w:w="569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3175" w:type="dxa"/>
            <w:gridSpan w:val="6"/>
            <w:tcBorders/>
            <w:shd w:fill="auto" w:val="clear"/>
            <w:vAlign w:val="center"/>
          </w:tcPr>
          <w:p>
            <w:pPr>
              <w:pStyle w:val="TableContents"/>
              <w:spacing w:before="0" w:after="0"/>
              <w:ind w:left="0" w:right="0" w:hanging="0"/>
              <w:jc w:val="center"/>
              <w:rPr/>
            </w:pPr>
            <w:r>
              <w:rPr>
                <w:rStyle w:val="StrongEmphasis"/>
              </w:rPr>
              <w:t xml:space="preserve">Years ended </w:t>
            </w:r>
          </w:p>
        </w:tc>
        <w:tc>
          <w:tcPr>
            <w:tcW w:w="290" w:type="dxa"/>
            <w:tcBorders/>
            <w:shd w:fill="auto" w:val="clear"/>
            <w:vAlign w:val="center"/>
          </w:tcPr>
          <w:p>
            <w:pPr>
              <w:pStyle w:val="TableContents"/>
              <w:spacing w:before="0" w:after="0"/>
              <w:ind w:left="0" w:right="0" w:hanging="0"/>
              <w:rPr/>
            </w:pPr>
            <w:r>
              <w:rPr/>
              <w:t> </w:t>
            </w:r>
          </w:p>
        </w:tc>
      </w:tr>
      <w:tr>
        <w:trPr/>
        <w:tc>
          <w:tcPr>
            <w:tcW w:w="569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3175"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December 31, </w:t>
            </w:r>
          </w:p>
        </w:tc>
        <w:tc>
          <w:tcPr>
            <w:tcW w:w="290" w:type="dxa"/>
            <w:tcBorders/>
            <w:shd w:fill="auto" w:val="clear"/>
            <w:vAlign w:val="center"/>
          </w:tcPr>
          <w:p>
            <w:pPr>
              <w:pStyle w:val="TableContents"/>
              <w:spacing w:before="0" w:after="0"/>
              <w:ind w:left="0" w:right="0" w:hanging="0"/>
              <w:rPr/>
            </w:pPr>
            <w:r>
              <w:rPr/>
              <w:t> </w:t>
            </w:r>
          </w:p>
        </w:tc>
      </w:tr>
      <w:tr>
        <w:trPr/>
        <w:tc>
          <w:tcPr>
            <w:tcW w:w="569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2020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2019 </w:t>
            </w:r>
          </w:p>
        </w:tc>
        <w:tc>
          <w:tcPr>
            <w:tcW w:w="290" w:type="dxa"/>
            <w:tcBorders/>
            <w:shd w:fill="auto" w:val="clear"/>
            <w:vAlign w:val="center"/>
          </w:tcPr>
          <w:p>
            <w:pPr>
              <w:pStyle w:val="TableContents"/>
              <w:spacing w:before="0" w:after="0"/>
              <w:ind w:left="0" w:right="0" w:hanging="0"/>
              <w:rPr/>
            </w:pPr>
            <w:r>
              <w:rPr/>
              <w:t> </w:t>
            </w:r>
          </w:p>
        </w:tc>
      </w:tr>
      <w:tr>
        <w:trPr/>
        <w:tc>
          <w:tcPr>
            <w:tcW w:w="569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290" w:type="dxa"/>
            <w:tcBorders/>
            <w:shd w:fill="auto" w:val="clear"/>
            <w:vAlign w:val="center"/>
          </w:tcPr>
          <w:p>
            <w:pPr>
              <w:pStyle w:val="TableContents"/>
              <w:spacing w:before="0" w:after="0"/>
              <w:ind w:left="0" w:right="0" w:hanging="0"/>
              <w:rPr/>
            </w:pPr>
            <w:r>
              <w:rPr/>
              <w:t> </w:t>
            </w:r>
          </w:p>
        </w:tc>
      </w:tr>
      <w:tr>
        <w:trPr/>
        <w:tc>
          <w:tcPr>
            <w:tcW w:w="5695" w:type="dxa"/>
            <w:tcBorders/>
            <w:shd w:fill="CCEEFF" w:val="clear"/>
            <w:vAlign w:val="center"/>
          </w:tcPr>
          <w:p>
            <w:pPr>
              <w:pStyle w:val="TableContents"/>
              <w:spacing w:before="0" w:after="0"/>
              <w:ind w:left="0" w:right="0" w:hanging="0"/>
              <w:rPr/>
            </w:pPr>
            <w:r>
              <w:rPr/>
              <w:t xml:space="preserve">Net premiums earned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108,080,629</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127,623,442</w:t>
            </w:r>
          </w:p>
        </w:tc>
        <w:tc>
          <w:tcPr>
            <w:tcW w:w="290" w:type="dxa"/>
            <w:tcBorders/>
            <w:shd w:fill="CCEEFF" w:val="clear"/>
            <w:vAlign w:val="center"/>
          </w:tcPr>
          <w:p>
            <w:pPr>
              <w:pStyle w:val="TableContents"/>
              <w:spacing w:before="0" w:after="0"/>
              <w:ind w:left="0" w:right="0" w:hanging="0"/>
              <w:rPr/>
            </w:pPr>
            <w:r>
              <w:rPr/>
              <w:t> </w:t>
            </w:r>
          </w:p>
        </w:tc>
      </w:tr>
      <w:tr>
        <w:trPr/>
        <w:tc>
          <w:tcPr>
            <w:tcW w:w="5695" w:type="dxa"/>
            <w:tcBorders/>
            <w:shd w:fill="FFFFFF" w:val="clear"/>
            <w:vAlign w:val="center"/>
          </w:tcPr>
          <w:p>
            <w:pPr>
              <w:pStyle w:val="TableContents"/>
              <w:spacing w:before="0" w:after="0"/>
              <w:ind w:left="0" w:right="0" w:hanging="0"/>
              <w:rPr/>
            </w:pPr>
            <w:r>
              <w:rPr/>
              <w:t xml:space="preserve">Ceding commission revenue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14,202,353</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4,650,851</w:t>
            </w:r>
          </w:p>
        </w:tc>
        <w:tc>
          <w:tcPr>
            <w:tcW w:w="290" w:type="dxa"/>
            <w:tcBorders/>
            <w:shd w:fill="FFFFFF" w:val="clear"/>
            <w:vAlign w:val="center"/>
          </w:tcPr>
          <w:p>
            <w:pPr>
              <w:pStyle w:val="TableContents"/>
              <w:spacing w:before="0" w:after="0"/>
              <w:ind w:left="0" w:right="0" w:hanging="0"/>
              <w:rPr/>
            </w:pPr>
            <w:r>
              <w:rPr/>
              <w:t> </w:t>
            </w:r>
          </w:p>
        </w:tc>
      </w:tr>
      <w:tr>
        <w:trPr/>
        <w:tc>
          <w:tcPr>
            <w:tcW w:w="5695" w:type="dxa"/>
            <w:tcBorders/>
            <w:shd w:fill="CCEEFF" w:val="clear"/>
            <w:vAlign w:val="center"/>
          </w:tcPr>
          <w:p>
            <w:pPr>
              <w:pStyle w:val="TableContents"/>
              <w:spacing w:before="0" w:after="0"/>
              <w:ind w:left="0" w:right="0" w:hanging="0"/>
              <w:rPr/>
            </w:pPr>
            <w:r>
              <w:rPr/>
              <w:t xml:space="preserve">Other income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970,595</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1,306,820</w:t>
            </w:r>
          </w:p>
        </w:tc>
        <w:tc>
          <w:tcPr>
            <w:tcW w:w="290" w:type="dxa"/>
            <w:tcBorders/>
            <w:shd w:fill="CCEEFF" w:val="clear"/>
            <w:vAlign w:val="center"/>
          </w:tcPr>
          <w:p>
            <w:pPr>
              <w:pStyle w:val="TableContents"/>
              <w:spacing w:before="0" w:after="0"/>
              <w:ind w:left="0" w:right="0" w:hanging="0"/>
              <w:rPr/>
            </w:pPr>
            <w:r>
              <w:rPr/>
              <w:t> </w:t>
            </w:r>
          </w:p>
        </w:tc>
      </w:tr>
      <w:tr>
        <w:trPr/>
        <w:tc>
          <w:tcPr>
            <w:tcW w:w="569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90" w:type="dxa"/>
            <w:tcBorders/>
            <w:shd w:fill="FFFFFF" w:val="clear"/>
            <w:vAlign w:val="center"/>
          </w:tcPr>
          <w:p>
            <w:pPr>
              <w:pStyle w:val="TableContents"/>
              <w:spacing w:before="0" w:after="0"/>
              <w:ind w:left="0" w:right="0" w:hanging="0"/>
              <w:rPr/>
            </w:pPr>
            <w:r>
              <w:rPr/>
              <w:t> </w:t>
            </w:r>
          </w:p>
        </w:tc>
      </w:tr>
      <w:tr>
        <w:trPr/>
        <w:tc>
          <w:tcPr>
            <w:tcW w:w="5695" w:type="dxa"/>
            <w:tcBorders/>
            <w:shd w:fill="CCEEFF" w:val="clear"/>
            <w:vAlign w:val="center"/>
          </w:tcPr>
          <w:p>
            <w:pPr>
              <w:pStyle w:val="TableContents"/>
              <w:spacing w:before="0" w:after="0"/>
              <w:ind w:left="0" w:right="0" w:hanging="0"/>
              <w:rPr/>
            </w:pPr>
            <w:r>
              <w:rPr/>
              <w:t xml:space="preserve">Loss and loss adjustment expenses (1)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66,431,072</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90,182,324</w:t>
            </w:r>
          </w:p>
        </w:tc>
        <w:tc>
          <w:tcPr>
            <w:tcW w:w="290" w:type="dxa"/>
            <w:tcBorders/>
            <w:shd w:fill="CCEEFF" w:val="clear"/>
            <w:vAlign w:val="center"/>
          </w:tcPr>
          <w:p>
            <w:pPr>
              <w:pStyle w:val="TableContents"/>
              <w:spacing w:before="0" w:after="0"/>
              <w:ind w:left="0" w:right="0" w:hanging="0"/>
              <w:rPr/>
            </w:pPr>
            <w:r>
              <w:rPr/>
              <w:t> </w:t>
            </w:r>
          </w:p>
        </w:tc>
      </w:tr>
      <w:tr>
        <w:trPr/>
        <w:tc>
          <w:tcPr>
            <w:tcW w:w="569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90" w:type="dxa"/>
            <w:tcBorders/>
            <w:shd w:fill="FFFFFF" w:val="clear"/>
            <w:vAlign w:val="center"/>
          </w:tcPr>
          <w:p>
            <w:pPr>
              <w:pStyle w:val="TableContents"/>
              <w:spacing w:before="0" w:after="0"/>
              <w:ind w:left="0" w:right="0" w:hanging="0"/>
              <w:rPr/>
            </w:pPr>
            <w:r>
              <w:rPr/>
              <w:t> </w:t>
            </w:r>
          </w:p>
        </w:tc>
      </w:tr>
      <w:tr>
        <w:trPr/>
        <w:tc>
          <w:tcPr>
            <w:tcW w:w="5695" w:type="dxa"/>
            <w:tcBorders/>
            <w:shd w:fill="CCEEFF" w:val="clear"/>
            <w:vAlign w:val="center"/>
          </w:tcPr>
          <w:p>
            <w:pPr>
              <w:pStyle w:val="TableContents"/>
              <w:spacing w:before="0" w:after="0"/>
              <w:ind w:left="0" w:right="0" w:hanging="0"/>
              <w:rPr/>
            </w:pPr>
            <w:r>
              <w:rPr/>
              <w:t xml:space="preserve">Acquisition costs and other underwriting expenses: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90" w:type="dxa"/>
            <w:tcBorders/>
            <w:shd w:fill="CCEEFF" w:val="clear"/>
            <w:vAlign w:val="center"/>
          </w:tcPr>
          <w:p>
            <w:pPr>
              <w:pStyle w:val="TableContents"/>
              <w:spacing w:before="0" w:after="0"/>
              <w:ind w:left="0" w:right="0" w:hanging="0"/>
              <w:rPr/>
            </w:pPr>
            <w:r>
              <w:rPr/>
              <w:t> </w:t>
            </w:r>
          </w:p>
        </w:tc>
      </w:tr>
      <w:tr>
        <w:trPr/>
        <w:tc>
          <w:tcPr>
            <w:tcW w:w="5695" w:type="dxa"/>
            <w:tcBorders/>
            <w:shd w:fill="FFFFFF" w:val="clear"/>
            <w:vAlign w:val="center"/>
          </w:tcPr>
          <w:p>
            <w:pPr>
              <w:pStyle w:val="TableContents"/>
              <w:spacing w:before="0" w:after="0"/>
              <w:ind w:left="0" w:right="0" w:firstLine="200"/>
              <w:rPr/>
            </w:pPr>
            <w:r>
              <w:rPr/>
              <w:t xml:space="preserve">Commission expense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31,828,174</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30,093,106</w:t>
            </w:r>
          </w:p>
        </w:tc>
        <w:tc>
          <w:tcPr>
            <w:tcW w:w="290" w:type="dxa"/>
            <w:tcBorders/>
            <w:shd w:fill="FFFFFF" w:val="clear"/>
            <w:vAlign w:val="center"/>
          </w:tcPr>
          <w:p>
            <w:pPr>
              <w:pStyle w:val="TableContents"/>
              <w:spacing w:before="0" w:after="0"/>
              <w:ind w:left="0" w:right="0" w:hanging="0"/>
              <w:rPr/>
            </w:pPr>
            <w:r>
              <w:rPr/>
              <w:t> </w:t>
            </w:r>
          </w:p>
        </w:tc>
      </w:tr>
      <w:tr>
        <w:trPr/>
        <w:tc>
          <w:tcPr>
            <w:tcW w:w="5695" w:type="dxa"/>
            <w:tcBorders/>
            <w:shd w:fill="CCEEFF" w:val="clear"/>
            <w:vAlign w:val="center"/>
          </w:tcPr>
          <w:p>
            <w:pPr>
              <w:pStyle w:val="TableContents"/>
              <w:spacing w:before="0" w:after="0"/>
              <w:ind w:left="0" w:right="0" w:firstLine="200"/>
              <w:rPr/>
            </w:pPr>
            <w:r>
              <w:rPr/>
              <w:t xml:space="preserve">Other underwriting expenses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25,424,779</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24,420,208</w:t>
            </w:r>
          </w:p>
        </w:tc>
        <w:tc>
          <w:tcPr>
            <w:tcW w:w="290" w:type="dxa"/>
            <w:tcBorders/>
            <w:shd w:fill="CCEEFF" w:val="clear"/>
            <w:vAlign w:val="center"/>
          </w:tcPr>
          <w:p>
            <w:pPr>
              <w:pStyle w:val="TableContents"/>
              <w:spacing w:before="0" w:after="0"/>
              <w:ind w:left="0" w:right="0" w:hanging="0"/>
              <w:rPr/>
            </w:pPr>
            <w:r>
              <w:rPr/>
              <w:t> </w:t>
            </w:r>
          </w:p>
        </w:tc>
      </w:tr>
      <w:tr>
        <w:trPr/>
        <w:tc>
          <w:tcPr>
            <w:tcW w:w="569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90" w:type="dxa"/>
            <w:tcBorders/>
            <w:shd w:fill="FFFFFF" w:val="clear"/>
            <w:vAlign w:val="center"/>
          </w:tcPr>
          <w:p>
            <w:pPr>
              <w:pStyle w:val="TableContents"/>
              <w:spacing w:before="0" w:after="0"/>
              <w:ind w:left="0" w:right="0" w:hanging="0"/>
              <w:rPr/>
            </w:pPr>
            <w:r>
              <w:rPr/>
              <w:t> </w:t>
            </w:r>
          </w:p>
        </w:tc>
      </w:tr>
      <w:tr>
        <w:trPr/>
        <w:tc>
          <w:tcPr>
            <w:tcW w:w="569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Total acquisition costs and other underwriting expenses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57,252,953</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54,513,314</w:t>
            </w:r>
          </w:p>
        </w:tc>
        <w:tc>
          <w:tcPr>
            <w:tcW w:w="290" w:type="dxa"/>
            <w:tcBorders/>
            <w:shd w:fill="CCEEFF" w:val="clear"/>
            <w:vAlign w:val="center"/>
          </w:tcPr>
          <w:p>
            <w:pPr>
              <w:pStyle w:val="TableContents"/>
              <w:spacing w:before="0" w:after="0"/>
              <w:ind w:left="0" w:right="0" w:hanging="0"/>
              <w:rPr/>
            </w:pPr>
            <w:r>
              <w:rPr/>
              <w:t> </w:t>
            </w:r>
          </w:p>
        </w:tc>
      </w:tr>
      <w:tr>
        <w:trPr/>
        <w:tc>
          <w:tcPr>
            <w:tcW w:w="569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90" w:type="dxa"/>
            <w:tcBorders/>
            <w:shd w:fill="FFFFFF" w:val="clear"/>
            <w:vAlign w:val="center"/>
          </w:tcPr>
          <w:p>
            <w:pPr>
              <w:pStyle w:val="TableContents"/>
              <w:spacing w:before="0" w:after="0"/>
              <w:ind w:left="0" w:right="0" w:hanging="0"/>
              <w:rPr/>
            </w:pPr>
            <w:r>
              <w:rPr/>
              <w:t> </w:t>
            </w:r>
          </w:p>
        </w:tc>
      </w:tr>
      <w:tr>
        <w:trPr/>
        <w:tc>
          <w:tcPr>
            <w:tcW w:w="5695" w:type="dxa"/>
            <w:tcBorders/>
            <w:shd w:fill="CCEEFF" w:val="clear"/>
            <w:vAlign w:val="center"/>
          </w:tcPr>
          <w:p>
            <w:pPr>
              <w:pStyle w:val="TableContents"/>
              <w:spacing w:before="0" w:after="0"/>
              <w:ind w:left="0" w:right="0" w:hanging="0"/>
              <w:rPr/>
            </w:pPr>
            <w:r>
              <w:rPr/>
              <w:t xml:space="preserve">Underwriting loss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(430,448</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(11,114,525</w:t>
            </w:r>
          </w:p>
        </w:tc>
        <w:tc>
          <w:tcPr>
            <w:tcW w:w="290" w:type="dxa"/>
            <w:tcBorders/>
            <w:shd w:fill="CCEEFF" w:val="clear"/>
            <w:vAlign w:val="center"/>
          </w:tcPr>
          <w:p>
            <w:pPr>
              <w:pStyle w:val="TableContents"/>
              <w:spacing w:before="0" w:after="283"/>
              <w:rPr/>
            </w:pPr>
            <w:r>
              <w:rPr/>
              <w:t>)</w:t>
            </w:r>
          </w:p>
        </w:tc>
      </w:tr>
      <w:tr>
        <w:trPr/>
        <w:tc>
          <w:tcPr>
            <w:tcW w:w="569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90" w:type="dxa"/>
            <w:tcBorders/>
            <w:shd w:fill="FFFFFF" w:val="clear"/>
            <w:vAlign w:val="center"/>
          </w:tcPr>
          <w:p>
            <w:pPr>
              <w:pStyle w:val="TableContents"/>
              <w:spacing w:before="0" w:after="0"/>
              <w:ind w:left="0" w:right="0" w:hanging="0"/>
              <w:rPr/>
            </w:pPr>
            <w:r>
              <w:rPr/>
              <w:t> </w:t>
            </w:r>
          </w:p>
        </w:tc>
      </w:tr>
      <w:tr>
        <w:trPr/>
        <w:tc>
          <w:tcPr>
            <w:tcW w:w="5695" w:type="dxa"/>
            <w:tcBorders/>
            <w:shd w:fill="CCEEFF" w:val="clear"/>
            <w:vAlign w:val="center"/>
          </w:tcPr>
          <w:p>
            <w:pPr>
              <w:pStyle w:val="TableContents"/>
              <w:spacing w:before="0" w:after="0"/>
              <w:ind w:left="0" w:right="0" w:hanging="0"/>
              <w:rPr/>
            </w:pPr>
            <w:r>
              <w:rPr/>
              <w:t xml:space="preserve">Key Measures: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90" w:type="dxa"/>
            <w:tcBorders/>
            <w:shd w:fill="CCEEFF" w:val="clear"/>
            <w:vAlign w:val="center"/>
          </w:tcPr>
          <w:p>
            <w:pPr>
              <w:pStyle w:val="TableContents"/>
              <w:spacing w:before="0" w:after="0"/>
              <w:ind w:left="0" w:right="0" w:hanging="0"/>
              <w:rPr/>
            </w:pPr>
            <w:r>
              <w:rPr/>
              <w:t> </w:t>
            </w:r>
          </w:p>
        </w:tc>
      </w:tr>
      <w:tr>
        <w:trPr/>
        <w:tc>
          <w:tcPr>
            <w:tcW w:w="5695" w:type="dxa"/>
            <w:tcBorders/>
            <w:shd w:fill="FFFFFF" w:val="clear"/>
            <w:vAlign w:val="center"/>
          </w:tcPr>
          <w:p>
            <w:pPr>
              <w:pStyle w:val="TableContents"/>
              <w:spacing w:before="0" w:after="0"/>
              <w:ind w:left="0" w:right="0" w:firstLine="200"/>
              <w:rPr/>
            </w:pPr>
            <w:r>
              <w:rPr/>
              <w:t xml:space="preserve">Net loss ratio excluding the effect of catastrophes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50.7</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64.6</w:t>
            </w:r>
          </w:p>
        </w:tc>
        <w:tc>
          <w:tcPr>
            <w:tcW w:w="290" w:type="dxa"/>
            <w:tcBorders/>
            <w:shd w:fill="FFFFFF" w:val="clear"/>
            <w:vAlign w:val="center"/>
          </w:tcPr>
          <w:p>
            <w:pPr>
              <w:pStyle w:val="TableContents"/>
              <w:spacing w:before="0" w:after="283"/>
              <w:rPr/>
            </w:pPr>
            <w:r>
              <w:rPr/>
              <w:t>%</w:t>
            </w:r>
          </w:p>
        </w:tc>
      </w:tr>
      <w:tr>
        <w:trPr/>
        <w:tc>
          <w:tcPr>
            <w:tcW w:w="5695" w:type="dxa"/>
            <w:tcBorders/>
            <w:shd w:fill="CCEEFF" w:val="clear"/>
            <w:vAlign w:val="center"/>
          </w:tcPr>
          <w:p>
            <w:pPr>
              <w:pStyle w:val="TableContents"/>
              <w:spacing w:before="0" w:after="0"/>
              <w:ind w:left="0" w:right="0" w:firstLine="200"/>
              <w:rPr/>
            </w:pPr>
            <w:r>
              <w:rPr/>
              <w:t xml:space="preserve">Effect of catastrophe loss on net loss ratio (1)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10.8</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6.1</w:t>
            </w:r>
          </w:p>
        </w:tc>
        <w:tc>
          <w:tcPr>
            <w:tcW w:w="290" w:type="dxa"/>
            <w:tcBorders/>
            <w:shd w:fill="CCEEFF" w:val="clear"/>
            <w:vAlign w:val="center"/>
          </w:tcPr>
          <w:p>
            <w:pPr>
              <w:pStyle w:val="TableContents"/>
              <w:spacing w:before="0" w:after="283"/>
              <w:rPr/>
            </w:pPr>
            <w:r>
              <w:rPr/>
              <w:t>%</w:t>
            </w:r>
          </w:p>
        </w:tc>
      </w:tr>
      <w:tr>
        <w:trPr/>
        <w:tc>
          <w:tcPr>
            <w:tcW w:w="5695" w:type="dxa"/>
            <w:tcBorders/>
            <w:shd w:fill="FFFFFF" w:val="clear"/>
            <w:vAlign w:val="center"/>
          </w:tcPr>
          <w:p>
            <w:pPr>
              <w:pStyle w:val="TableContents"/>
              <w:spacing w:before="0" w:after="0"/>
              <w:ind w:left="0" w:right="0" w:firstLine="200"/>
              <w:rPr/>
            </w:pPr>
            <w:r>
              <w:rPr/>
              <w:t xml:space="preserve">Net loss ratio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61.5</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70.7</w:t>
            </w:r>
          </w:p>
        </w:tc>
        <w:tc>
          <w:tcPr>
            <w:tcW w:w="290" w:type="dxa"/>
            <w:tcBorders/>
            <w:shd w:fill="FFFFFF" w:val="clear"/>
            <w:vAlign w:val="center"/>
          </w:tcPr>
          <w:p>
            <w:pPr>
              <w:pStyle w:val="TableContents"/>
              <w:spacing w:before="0" w:after="283"/>
              <w:rPr/>
            </w:pPr>
            <w:r>
              <w:rPr/>
              <w:t>%</w:t>
            </w:r>
          </w:p>
        </w:tc>
      </w:tr>
      <w:tr>
        <w:trPr/>
        <w:tc>
          <w:tcPr>
            <w:tcW w:w="5695" w:type="dxa"/>
            <w:tcBorders/>
            <w:shd w:fill="CCEEFF" w:val="clear"/>
            <w:vAlign w:val="center"/>
          </w:tcPr>
          <w:p>
            <w:pPr>
              <w:pStyle w:val="TableContents"/>
              <w:spacing w:before="0" w:after="0"/>
              <w:ind w:left="0" w:right="0" w:firstLine="20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90" w:type="dxa"/>
            <w:tcBorders/>
            <w:shd w:fill="CCEEFF" w:val="clear"/>
            <w:vAlign w:val="center"/>
          </w:tcPr>
          <w:p>
            <w:pPr>
              <w:pStyle w:val="TableContents"/>
              <w:spacing w:before="0" w:after="0"/>
              <w:ind w:left="0" w:right="0" w:hanging="0"/>
              <w:rPr/>
            </w:pPr>
            <w:r>
              <w:rPr/>
              <w:t> </w:t>
            </w:r>
          </w:p>
        </w:tc>
      </w:tr>
      <w:tr>
        <w:trPr/>
        <w:tc>
          <w:tcPr>
            <w:tcW w:w="5695" w:type="dxa"/>
            <w:tcBorders/>
            <w:shd w:fill="FFFF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Net underwriting expense ratio excluding the effect of catastrophes</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38.9</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38.0</w:t>
            </w:r>
          </w:p>
        </w:tc>
        <w:tc>
          <w:tcPr>
            <w:tcW w:w="290" w:type="dxa"/>
            <w:tcBorders/>
            <w:shd w:fill="FFFFFF" w:val="clear"/>
            <w:vAlign w:val="center"/>
          </w:tcPr>
          <w:p>
            <w:pPr>
              <w:pStyle w:val="TableContents"/>
              <w:spacing w:before="0" w:after="283"/>
              <w:rPr/>
            </w:pPr>
            <w:r>
              <w:rPr/>
              <w:t>%</w:t>
            </w:r>
          </w:p>
        </w:tc>
      </w:tr>
      <w:tr>
        <w:trPr/>
        <w:tc>
          <w:tcPr>
            <w:tcW w:w="5695" w:type="dxa"/>
            <w:tcBorders/>
            <w:shd w:fill="CCEE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Effect of catastrophe loss on net underwriting expense ratio</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0.0</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0.0</w:t>
            </w:r>
          </w:p>
        </w:tc>
        <w:tc>
          <w:tcPr>
            <w:tcW w:w="290" w:type="dxa"/>
            <w:tcBorders/>
            <w:shd w:fill="CCEEFF" w:val="clear"/>
            <w:vAlign w:val="center"/>
          </w:tcPr>
          <w:p>
            <w:pPr>
              <w:pStyle w:val="TableContents"/>
              <w:spacing w:before="0" w:after="283"/>
              <w:rPr/>
            </w:pPr>
            <w:r>
              <w:rPr/>
              <w:t>%</w:t>
            </w:r>
          </w:p>
        </w:tc>
      </w:tr>
      <w:tr>
        <w:trPr/>
        <w:tc>
          <w:tcPr>
            <w:tcW w:w="5695" w:type="dxa"/>
            <w:tcBorders/>
            <w:shd w:fill="FFFFFF" w:val="clear"/>
            <w:vAlign w:val="center"/>
          </w:tcPr>
          <w:p>
            <w:pPr>
              <w:pStyle w:val="TableContents"/>
              <w:spacing w:before="0" w:after="0"/>
              <w:ind w:left="0" w:right="0" w:firstLine="200"/>
              <w:rPr/>
            </w:pPr>
            <w:r>
              <w:rPr/>
              <w:t xml:space="preserve">Net underwriting expense ratio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38.9</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38.0</w:t>
            </w:r>
          </w:p>
        </w:tc>
        <w:tc>
          <w:tcPr>
            <w:tcW w:w="290" w:type="dxa"/>
            <w:tcBorders/>
            <w:shd w:fill="FFFFFF" w:val="clear"/>
            <w:vAlign w:val="center"/>
          </w:tcPr>
          <w:p>
            <w:pPr>
              <w:pStyle w:val="TableContents"/>
              <w:spacing w:before="0" w:after="283"/>
              <w:rPr/>
            </w:pPr>
            <w:r>
              <w:rPr/>
              <w:t>%</w:t>
            </w:r>
          </w:p>
        </w:tc>
      </w:tr>
      <w:tr>
        <w:trPr/>
        <w:tc>
          <w:tcPr>
            <w:tcW w:w="5695" w:type="dxa"/>
            <w:tcBorders/>
            <w:shd w:fill="CCEEFF" w:val="clear"/>
            <w:vAlign w:val="center"/>
          </w:tcPr>
          <w:p>
            <w:pPr>
              <w:pStyle w:val="TableContents"/>
              <w:spacing w:before="0" w:after="0"/>
              <w:ind w:left="0" w:right="0" w:firstLine="20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90" w:type="dxa"/>
            <w:tcBorders/>
            <w:shd w:fill="CCEEFF" w:val="clear"/>
            <w:vAlign w:val="center"/>
          </w:tcPr>
          <w:p>
            <w:pPr>
              <w:pStyle w:val="TableContents"/>
              <w:spacing w:before="0" w:after="0"/>
              <w:ind w:left="0" w:right="0" w:hanging="0"/>
              <w:rPr/>
            </w:pPr>
            <w:r>
              <w:rPr/>
              <w:t> </w:t>
            </w:r>
          </w:p>
        </w:tc>
      </w:tr>
      <w:tr>
        <w:trPr/>
        <w:tc>
          <w:tcPr>
            <w:tcW w:w="5695" w:type="dxa"/>
            <w:tcBorders/>
            <w:shd w:fill="FFFF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 xml:space="preserve">Net combined ratio excluding the effect of catastrophes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89.6</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102.6</w:t>
            </w:r>
          </w:p>
        </w:tc>
        <w:tc>
          <w:tcPr>
            <w:tcW w:w="290" w:type="dxa"/>
            <w:tcBorders/>
            <w:shd w:fill="FFFFFF" w:val="clear"/>
            <w:vAlign w:val="center"/>
          </w:tcPr>
          <w:p>
            <w:pPr>
              <w:pStyle w:val="TableContents"/>
              <w:spacing w:before="0" w:after="283"/>
              <w:rPr/>
            </w:pPr>
            <w:r>
              <w:rPr/>
              <w:t>%</w:t>
            </w:r>
          </w:p>
        </w:tc>
      </w:tr>
      <w:tr>
        <w:trPr/>
        <w:tc>
          <w:tcPr>
            <w:tcW w:w="5695" w:type="dxa"/>
            <w:tcBorders/>
            <w:shd w:fill="CCEEFF" w:val="clear"/>
            <w:vAlign w:val="center"/>
          </w:tcPr>
          <w:p>
            <w:pPr>
              <w:pStyle w:val="TableContents"/>
              <w:spacing w:before="0" w:after="0"/>
              <w:ind w:left="0" w:right="0" w:firstLine="20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90" w:type="dxa"/>
            <w:tcBorders/>
            <w:shd w:fill="CCEEFF" w:val="clear"/>
            <w:vAlign w:val="center"/>
          </w:tcPr>
          <w:p>
            <w:pPr>
              <w:pStyle w:val="TableContents"/>
              <w:spacing w:before="0" w:after="0"/>
              <w:ind w:left="0" w:right="0" w:hanging="0"/>
              <w:rPr/>
            </w:pPr>
            <w:r>
              <w:rPr/>
              <w:t> </w:t>
            </w:r>
          </w:p>
        </w:tc>
      </w:tr>
      <w:tr>
        <w:trPr/>
        <w:tc>
          <w:tcPr>
            <w:tcW w:w="5695" w:type="dxa"/>
            <w:tcBorders/>
            <w:shd w:fill="FFFF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 xml:space="preserve">Effect of catastrophe loss on net combined ratio (1)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10.8</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6.1</w:t>
            </w:r>
          </w:p>
        </w:tc>
        <w:tc>
          <w:tcPr>
            <w:tcW w:w="290" w:type="dxa"/>
            <w:tcBorders/>
            <w:shd w:fill="FFFFFF" w:val="clear"/>
            <w:vAlign w:val="center"/>
          </w:tcPr>
          <w:p>
            <w:pPr>
              <w:pStyle w:val="TableContents"/>
              <w:spacing w:before="0" w:after="283"/>
              <w:rPr/>
            </w:pPr>
            <w:r>
              <w:rPr/>
              <w:t>%</w:t>
            </w:r>
          </w:p>
        </w:tc>
      </w:tr>
      <w:tr>
        <w:trPr/>
        <w:tc>
          <w:tcPr>
            <w:tcW w:w="5695" w:type="dxa"/>
            <w:tcBorders/>
            <w:shd w:fill="CCEEFF" w:val="clear"/>
            <w:vAlign w:val="center"/>
          </w:tcPr>
          <w:p>
            <w:pPr>
              <w:pStyle w:val="TableContents"/>
              <w:spacing w:before="0" w:after="0"/>
              <w:ind w:left="0" w:right="0" w:firstLine="200"/>
              <w:rPr/>
            </w:pPr>
            <w:r>
              <w:rPr/>
              <w:t xml:space="preserve">Net combined ratio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100.4</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108.7</w:t>
            </w:r>
          </w:p>
        </w:tc>
        <w:tc>
          <w:tcPr>
            <w:tcW w:w="290" w:type="dxa"/>
            <w:tcBorders/>
            <w:shd w:fill="CCEEFF" w:val="clear"/>
            <w:vAlign w:val="center"/>
          </w:tcPr>
          <w:p>
            <w:pPr>
              <w:pStyle w:val="TableContents"/>
              <w:spacing w:before="0" w:after="283"/>
              <w:rPr/>
            </w:pPr>
            <w:r>
              <w:rPr/>
              <w:t>%</w:t>
            </w:r>
          </w:p>
        </w:tc>
      </w:tr>
      <w:tr>
        <w:trPr/>
        <w:tc>
          <w:tcPr>
            <w:tcW w:w="569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90" w:type="dxa"/>
            <w:tcBorders/>
            <w:shd w:fill="FFFFFF" w:val="clear"/>
            <w:vAlign w:val="center"/>
          </w:tcPr>
          <w:p>
            <w:pPr>
              <w:pStyle w:val="TableContents"/>
              <w:spacing w:before="0" w:after="0"/>
              <w:ind w:left="0" w:right="0" w:hanging="0"/>
              <w:rPr/>
            </w:pPr>
            <w:r>
              <w:rPr/>
              <w:t> </w:t>
            </w:r>
          </w:p>
        </w:tc>
      </w:tr>
      <w:tr>
        <w:trPr/>
        <w:tc>
          <w:tcPr>
            <w:tcW w:w="5695" w:type="dxa"/>
            <w:tcBorders/>
            <w:shd w:fill="CCEEFF" w:val="clear"/>
            <w:vAlign w:val="center"/>
          </w:tcPr>
          <w:p>
            <w:pPr>
              <w:pStyle w:val="TableContents"/>
              <w:spacing w:before="0" w:after="0"/>
              <w:ind w:left="0" w:right="0" w:firstLine="200"/>
              <w:rPr/>
            </w:pPr>
            <w:r>
              <w:rPr/>
              <w:t xml:space="preserve">Reconciliation of net underwriting expense ratio: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90" w:type="dxa"/>
            <w:tcBorders/>
            <w:shd w:fill="CCEEFF" w:val="clear"/>
            <w:vAlign w:val="center"/>
          </w:tcPr>
          <w:p>
            <w:pPr>
              <w:pStyle w:val="TableContents"/>
              <w:spacing w:before="0" w:after="0"/>
              <w:ind w:left="0" w:right="0" w:hanging="0"/>
              <w:rPr/>
            </w:pPr>
            <w:r>
              <w:rPr/>
              <w:t> </w:t>
            </w:r>
          </w:p>
        </w:tc>
      </w:tr>
      <w:tr>
        <w:trPr/>
        <w:tc>
          <w:tcPr>
            <w:tcW w:w="5695" w:type="dxa"/>
            <w:tcBorders/>
            <w:shd w:fill="FFFF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 xml:space="preserve">Acquisition costs and other underwriting expenses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57,252,953</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54,513,314</w:t>
            </w:r>
          </w:p>
        </w:tc>
        <w:tc>
          <w:tcPr>
            <w:tcW w:w="290" w:type="dxa"/>
            <w:tcBorders/>
            <w:shd w:fill="FFFFFF" w:val="clear"/>
            <w:vAlign w:val="center"/>
          </w:tcPr>
          <w:p>
            <w:pPr>
              <w:pStyle w:val="TableContents"/>
              <w:spacing w:before="0" w:after="0"/>
              <w:ind w:left="0" w:right="0" w:hanging="0"/>
              <w:rPr/>
            </w:pPr>
            <w:r>
              <w:rPr/>
              <w:t> </w:t>
            </w:r>
          </w:p>
        </w:tc>
      </w:tr>
      <w:tr>
        <w:trPr/>
        <w:tc>
          <w:tcPr>
            <w:tcW w:w="5695" w:type="dxa"/>
            <w:tcBorders/>
            <w:shd w:fill="CCEEFF" w:val="clear"/>
            <w:vAlign w:val="center"/>
          </w:tcPr>
          <w:p>
            <w:pPr>
              <w:pStyle w:val="TableContents"/>
              <w:spacing w:before="0" w:after="0"/>
              <w:ind w:left="0" w:right="0" w:firstLine="200"/>
              <w:rPr/>
            </w:pPr>
            <w:r>
              <w:rPr/>
              <w:t xml:space="preserve">Less: Ceding commission revenue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(14,202,353</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(4,650,851</w:t>
            </w:r>
          </w:p>
        </w:tc>
        <w:tc>
          <w:tcPr>
            <w:tcW w:w="290" w:type="dxa"/>
            <w:tcBorders/>
            <w:shd w:fill="CCEEFF" w:val="clear"/>
            <w:vAlign w:val="center"/>
          </w:tcPr>
          <w:p>
            <w:pPr>
              <w:pStyle w:val="TableContents"/>
              <w:spacing w:before="0" w:after="283"/>
              <w:rPr/>
            </w:pPr>
            <w:r>
              <w:rPr/>
              <w:t>)</w:t>
            </w:r>
          </w:p>
        </w:tc>
      </w:tr>
      <w:tr>
        <w:trPr/>
        <w:tc>
          <w:tcPr>
            <w:tcW w:w="5695" w:type="dxa"/>
            <w:tcBorders/>
            <w:shd w:fill="FFFFFF" w:val="clear"/>
            <w:vAlign w:val="center"/>
          </w:tcPr>
          <w:p>
            <w:pPr>
              <w:pStyle w:val="TableContents"/>
              <w:spacing w:before="0" w:after="0"/>
              <w:ind w:left="0" w:right="0" w:firstLine="200"/>
              <w:rPr/>
            </w:pPr>
            <w:r>
              <w:rPr/>
              <w:t xml:space="preserve">Less: Other income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(970,595</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(1,306,820</w:t>
            </w:r>
          </w:p>
        </w:tc>
        <w:tc>
          <w:tcPr>
            <w:tcW w:w="290" w:type="dxa"/>
            <w:tcBorders/>
            <w:shd w:fill="FFFFFF" w:val="clear"/>
            <w:vAlign w:val="center"/>
          </w:tcPr>
          <w:p>
            <w:pPr>
              <w:pStyle w:val="TableContents"/>
              <w:spacing w:before="0" w:after="283"/>
              <w:rPr/>
            </w:pPr>
            <w:r>
              <w:rPr/>
              <w:t>)</w:t>
            </w:r>
          </w:p>
        </w:tc>
      </w:tr>
      <w:tr>
        <w:trPr/>
        <w:tc>
          <w:tcPr>
            <w:tcW w:w="569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42,080,005</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48,555,643</w:t>
            </w:r>
          </w:p>
        </w:tc>
        <w:tc>
          <w:tcPr>
            <w:tcW w:w="290" w:type="dxa"/>
            <w:tcBorders/>
            <w:shd w:fill="CCEEFF" w:val="clear"/>
            <w:vAlign w:val="center"/>
          </w:tcPr>
          <w:p>
            <w:pPr>
              <w:pStyle w:val="TableContents"/>
              <w:spacing w:before="0" w:after="0"/>
              <w:ind w:left="0" w:right="0" w:hanging="0"/>
              <w:rPr/>
            </w:pPr>
            <w:r>
              <w:rPr/>
              <w:t> </w:t>
            </w:r>
          </w:p>
        </w:tc>
      </w:tr>
      <w:tr>
        <w:trPr/>
        <w:tc>
          <w:tcPr>
            <w:tcW w:w="569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90" w:type="dxa"/>
            <w:tcBorders/>
            <w:shd w:fill="FFFFFF" w:val="clear"/>
            <w:vAlign w:val="center"/>
          </w:tcPr>
          <w:p>
            <w:pPr>
              <w:pStyle w:val="TableContents"/>
              <w:spacing w:before="0" w:after="0"/>
              <w:ind w:left="0" w:right="0" w:hanging="0"/>
              <w:rPr/>
            </w:pPr>
            <w:r>
              <w:rPr/>
              <w:t> </w:t>
            </w:r>
          </w:p>
        </w:tc>
      </w:tr>
      <w:tr>
        <w:trPr/>
        <w:tc>
          <w:tcPr>
            <w:tcW w:w="5695" w:type="dxa"/>
            <w:tcBorders/>
            <w:shd w:fill="CCEEFF" w:val="clear"/>
            <w:vAlign w:val="center"/>
          </w:tcPr>
          <w:p>
            <w:pPr>
              <w:pStyle w:val="TableContents"/>
              <w:spacing w:before="0" w:after="0"/>
              <w:ind w:left="0" w:right="0" w:firstLine="200"/>
              <w:rPr/>
            </w:pPr>
            <w:r>
              <w:rPr/>
              <w:t xml:space="preserve">Net earned premium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108,080,629</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127,623,442</w:t>
            </w:r>
          </w:p>
        </w:tc>
        <w:tc>
          <w:tcPr>
            <w:tcW w:w="290" w:type="dxa"/>
            <w:tcBorders/>
            <w:shd w:fill="CCEEFF" w:val="clear"/>
            <w:vAlign w:val="center"/>
          </w:tcPr>
          <w:p>
            <w:pPr>
              <w:pStyle w:val="TableContents"/>
              <w:spacing w:before="0" w:after="0"/>
              <w:ind w:left="0" w:right="0" w:hanging="0"/>
              <w:rPr/>
            </w:pPr>
            <w:r>
              <w:rPr/>
              <w:t> </w:t>
            </w:r>
          </w:p>
        </w:tc>
      </w:tr>
      <w:tr>
        <w:trPr/>
        <w:tc>
          <w:tcPr>
            <w:tcW w:w="569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90" w:type="dxa"/>
            <w:tcBorders/>
            <w:shd w:fill="FFFFFF" w:val="clear"/>
            <w:vAlign w:val="center"/>
          </w:tcPr>
          <w:p>
            <w:pPr>
              <w:pStyle w:val="TableContents"/>
              <w:spacing w:before="0" w:after="0"/>
              <w:ind w:left="0" w:right="0" w:hanging="0"/>
              <w:rPr/>
            </w:pPr>
            <w:r>
              <w:rPr/>
              <w:t> </w:t>
            </w:r>
          </w:p>
        </w:tc>
      </w:tr>
      <w:tr>
        <w:trPr/>
        <w:tc>
          <w:tcPr>
            <w:tcW w:w="5695" w:type="dxa"/>
            <w:tcBorders/>
            <w:shd w:fill="CCEEFF" w:val="clear"/>
            <w:vAlign w:val="center"/>
          </w:tcPr>
          <w:p>
            <w:pPr>
              <w:pStyle w:val="TableContents"/>
              <w:spacing w:before="0" w:after="0"/>
              <w:ind w:left="0" w:right="0" w:firstLine="200"/>
              <w:rPr/>
            </w:pPr>
            <w:r>
              <w:rPr/>
              <w:t xml:space="preserve">Net Underwriting Expense Ratio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38.9</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38.0</w:t>
            </w:r>
          </w:p>
        </w:tc>
        <w:tc>
          <w:tcPr>
            <w:tcW w:w="290" w:type="dxa"/>
            <w:tcBorders/>
            <w:shd w:fill="CCEEFF" w:val="clear"/>
            <w:vAlign w:val="center"/>
          </w:tcPr>
          <w:p>
            <w:pPr>
              <w:pStyle w:val="TableContents"/>
              <w:spacing w:before="0" w:after="283"/>
              <w:rPr/>
            </w:pPr>
            <w:r>
              <w:rPr/>
              <w:t>%</w:t>
            </w:r>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338"/>
        <w:gridCol w:w="9867"/>
      </w:tblGrid>
      <w:tr>
        <w:trPr/>
        <w:tc>
          <w:tcPr>
            <w:tcW w:w="338" w:type="dxa"/>
            <w:tcBorders/>
            <w:shd w:fill="auto" w:val="clear"/>
            <w:vAlign w:val="center"/>
          </w:tcPr>
          <w:p>
            <w:pPr>
              <w:pStyle w:val="TableContents"/>
              <w:spacing w:before="0" w:after="0"/>
              <w:ind w:left="0" w:right="0" w:hanging="0"/>
              <w:rPr/>
            </w:pPr>
            <w:r>
              <w:rPr/>
              <w:t xml:space="preserve">(1) </w:t>
            </w:r>
          </w:p>
        </w:tc>
        <w:tc>
          <w:tcPr>
            <w:tcW w:w="9867" w:type="dxa"/>
            <w:tcBorders/>
            <w:shd w:fill="auto" w:val="clear"/>
            <w:vAlign w:val="center"/>
          </w:tcPr>
          <w:p>
            <w:pPr>
              <w:pStyle w:val="TableContents"/>
              <w:spacing w:before="0" w:after="283"/>
              <w:rPr/>
            </w:pPr>
            <w:r>
              <w:rPr/>
              <w:t>For the years ended December 31, 2020 and 2019, includes the sum of net catastrophe losses and loss adjustment expenses of $11,601,760 and $7,694,817, respectively.</w:t>
            </w:r>
          </w:p>
        </w:tc>
      </w:tr>
    </w:tbl>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47</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Investments</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Portfolio Summary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presents a breakdown of the amortized cost, aggregate estimated fair value and unrealized gains and losses by investment type as of December 31, 2020 and 2019:</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Available-for-Sale Securities</w:t>
      </w:r>
    </w:p>
    <w:p>
      <w:pPr>
        <w:pStyle w:val="TextBody"/>
        <w:spacing w:before="0" w:after="0"/>
        <w:ind w:left="0" w:right="0" w:firstLine="720"/>
        <w:jc w:val="center"/>
        <w:rPr/>
      </w:pPr>
      <w:r>
        <w:rPr/>
        <w:t> </w:t>
      </w:r>
    </w:p>
    <w:tbl>
      <w:tblPr>
        <w:tblW w:w="10205" w:type="dxa"/>
        <w:jc w:val="left"/>
        <w:tblInd w:w="0" w:type="dxa"/>
        <w:tblCellMar>
          <w:top w:w="0" w:type="dxa"/>
          <w:left w:w="0" w:type="dxa"/>
          <w:bottom w:w="0" w:type="dxa"/>
          <w:right w:w="0" w:type="dxa"/>
        </w:tblCellMar>
      </w:tblPr>
      <w:tblGrid>
        <w:gridCol w:w="1610"/>
        <w:gridCol w:w="90"/>
        <w:gridCol w:w="170"/>
        <w:gridCol w:w="1250"/>
        <w:gridCol w:w="90"/>
        <w:gridCol w:w="90"/>
        <w:gridCol w:w="170"/>
        <w:gridCol w:w="1130"/>
        <w:gridCol w:w="90"/>
        <w:gridCol w:w="90"/>
        <w:gridCol w:w="170"/>
        <w:gridCol w:w="786"/>
        <w:gridCol w:w="125"/>
        <w:gridCol w:w="90"/>
        <w:gridCol w:w="170"/>
        <w:gridCol w:w="906"/>
        <w:gridCol w:w="125"/>
        <w:gridCol w:w="90"/>
        <w:gridCol w:w="170"/>
        <w:gridCol w:w="1250"/>
        <w:gridCol w:w="90"/>
        <w:gridCol w:w="90"/>
        <w:gridCol w:w="141"/>
        <w:gridCol w:w="929"/>
        <w:gridCol w:w="293"/>
      </w:tblGrid>
      <w:tr>
        <w:trPr/>
        <w:tc>
          <w:tcPr>
            <w:tcW w:w="161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8212" w:type="dxa"/>
            <w:gridSpan w:val="2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December 31, 2020</w:t>
            </w:r>
          </w:p>
        </w:tc>
        <w:tc>
          <w:tcPr>
            <w:tcW w:w="293" w:type="dxa"/>
            <w:tcBorders/>
            <w:shd w:fill="auto" w:val="clear"/>
            <w:vAlign w:val="center"/>
          </w:tcPr>
          <w:p>
            <w:pPr>
              <w:pStyle w:val="TableContents"/>
              <w:spacing w:before="0" w:after="0"/>
              <w:ind w:left="0" w:right="0" w:hanging="0"/>
              <w:jc w:val="center"/>
              <w:rPr/>
            </w:pPr>
            <w:r>
              <w:rPr/>
              <w:t> </w:t>
            </w:r>
          </w:p>
        </w:tc>
      </w:tr>
      <w:tr>
        <w:trPr/>
        <w:tc>
          <w:tcPr>
            <w:tcW w:w="161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420" w:type="dxa"/>
            <w:gridSpan w:val="2"/>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300" w:type="dxa"/>
            <w:gridSpan w:val="2"/>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956" w:type="dxa"/>
            <w:gridSpan w:val="2"/>
            <w:tcBorders/>
            <w:shd w:fill="auto" w:val="clear"/>
            <w:vAlign w:val="center"/>
          </w:tcPr>
          <w:p>
            <w:pPr>
              <w:pStyle w:val="TableContents"/>
              <w:spacing w:before="0" w:after="0"/>
              <w:ind w:left="0" w:right="0" w:hanging="0"/>
              <w:jc w:val="center"/>
              <w:rPr/>
            </w:pPr>
            <w:r>
              <w:rPr/>
              <w:t> </w:t>
            </w:r>
          </w:p>
        </w:tc>
        <w:tc>
          <w:tcPr>
            <w:tcW w:w="125"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076" w:type="dxa"/>
            <w:gridSpan w:val="2"/>
            <w:tcBorders/>
            <w:shd w:fill="auto" w:val="clear"/>
            <w:vAlign w:val="center"/>
          </w:tcPr>
          <w:p>
            <w:pPr>
              <w:pStyle w:val="TableContents"/>
              <w:spacing w:before="0" w:after="0"/>
              <w:ind w:left="0" w:right="0" w:hanging="0"/>
              <w:jc w:val="center"/>
              <w:rPr/>
            </w:pPr>
            <w:r>
              <w:rPr/>
              <w:t> </w:t>
            </w:r>
          </w:p>
        </w:tc>
        <w:tc>
          <w:tcPr>
            <w:tcW w:w="125"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420" w:type="dxa"/>
            <w:gridSpan w:val="2"/>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070" w:type="dxa"/>
            <w:gridSpan w:val="2"/>
            <w:tcBorders/>
            <w:shd w:fill="auto" w:val="clear"/>
            <w:vAlign w:val="center"/>
          </w:tcPr>
          <w:p>
            <w:pPr>
              <w:pStyle w:val="TableContents"/>
              <w:spacing w:before="0" w:after="0"/>
              <w:ind w:left="0" w:right="0" w:hanging="0"/>
              <w:jc w:val="center"/>
              <w:rPr/>
            </w:pPr>
            <w:r>
              <w:rPr/>
              <w:t> </w:t>
            </w:r>
          </w:p>
        </w:tc>
        <w:tc>
          <w:tcPr>
            <w:tcW w:w="293" w:type="dxa"/>
            <w:tcBorders/>
            <w:shd w:fill="auto" w:val="clear"/>
            <w:vAlign w:val="center"/>
          </w:tcPr>
          <w:p>
            <w:pPr>
              <w:pStyle w:val="TableContents"/>
              <w:spacing w:before="0" w:after="0"/>
              <w:ind w:left="0" w:right="0" w:hanging="0"/>
              <w:jc w:val="center"/>
              <w:rPr/>
            </w:pPr>
            <w:r>
              <w:rPr/>
              <w:t> </w:t>
            </w:r>
          </w:p>
        </w:tc>
      </w:tr>
      <w:tr>
        <w:trPr/>
        <w:tc>
          <w:tcPr>
            <w:tcW w:w="161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Pr>
              <w:t xml:space="preserve">Cost or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Pr>
              <w:t xml:space="preserve">Gross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2247"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Gross Unrealized Losses </w:t>
            </w:r>
          </w:p>
        </w:tc>
        <w:tc>
          <w:tcPr>
            <w:tcW w:w="125"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Pr>
              <w:t xml:space="preserve">Estimated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070" w:type="dxa"/>
            <w:gridSpan w:val="2"/>
            <w:tcBorders/>
            <w:shd w:fill="auto" w:val="clear"/>
            <w:vAlign w:val="center"/>
          </w:tcPr>
          <w:p>
            <w:pPr>
              <w:pStyle w:val="TableContents"/>
              <w:spacing w:before="0" w:after="0"/>
              <w:ind w:left="0" w:right="0" w:hanging="0"/>
              <w:jc w:val="center"/>
              <w:rPr/>
            </w:pPr>
            <w:r>
              <w:rPr>
                <w:rStyle w:val="StrongEmphasis"/>
              </w:rPr>
              <w:t>% of</w:t>
            </w:r>
          </w:p>
        </w:tc>
        <w:tc>
          <w:tcPr>
            <w:tcW w:w="293" w:type="dxa"/>
            <w:tcBorders/>
            <w:shd w:fill="auto" w:val="clear"/>
            <w:vAlign w:val="center"/>
          </w:tcPr>
          <w:p>
            <w:pPr>
              <w:pStyle w:val="TableContents"/>
              <w:spacing w:before="0" w:after="0"/>
              <w:ind w:left="0" w:right="0" w:hanging="0"/>
              <w:jc w:val="center"/>
              <w:rPr/>
            </w:pPr>
            <w:r>
              <w:rPr/>
              <w:t> </w:t>
            </w:r>
          </w:p>
        </w:tc>
      </w:tr>
      <w:tr>
        <w:trPr/>
        <w:tc>
          <w:tcPr>
            <w:tcW w:w="161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Pr>
              <w:t xml:space="preserve">Amortized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Pr>
              <w:t xml:space="preserve">Unrealized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956" w:type="dxa"/>
            <w:gridSpan w:val="2"/>
            <w:tcBorders/>
            <w:shd w:fill="auto" w:val="clear"/>
            <w:vAlign w:val="center"/>
          </w:tcPr>
          <w:p>
            <w:pPr>
              <w:pStyle w:val="TableContents"/>
              <w:spacing w:before="0" w:after="0"/>
              <w:ind w:left="0" w:right="0" w:hanging="0"/>
              <w:jc w:val="center"/>
              <w:rPr/>
            </w:pPr>
            <w:r>
              <w:rPr>
                <w:rStyle w:val="StrongEmphasis"/>
              </w:rPr>
              <w:t xml:space="preserve">Less than 12 </w:t>
            </w:r>
          </w:p>
        </w:tc>
        <w:tc>
          <w:tcPr>
            <w:tcW w:w="125"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076" w:type="dxa"/>
            <w:gridSpan w:val="2"/>
            <w:tcBorders/>
            <w:shd w:fill="auto" w:val="clear"/>
            <w:vAlign w:val="center"/>
          </w:tcPr>
          <w:p>
            <w:pPr>
              <w:pStyle w:val="TableContents"/>
              <w:spacing w:before="0" w:after="0"/>
              <w:ind w:left="0" w:right="0" w:hanging="0"/>
              <w:jc w:val="center"/>
              <w:rPr/>
            </w:pPr>
            <w:r>
              <w:rPr>
                <w:rStyle w:val="StrongEmphasis"/>
              </w:rPr>
              <w:t xml:space="preserve">More than 12 </w:t>
            </w:r>
          </w:p>
        </w:tc>
        <w:tc>
          <w:tcPr>
            <w:tcW w:w="125"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Pr>
              <w:t xml:space="preserve">Fair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070" w:type="dxa"/>
            <w:gridSpan w:val="2"/>
            <w:tcBorders/>
            <w:shd w:fill="auto" w:val="clear"/>
            <w:vAlign w:val="center"/>
          </w:tcPr>
          <w:p>
            <w:pPr>
              <w:pStyle w:val="TableContents"/>
              <w:spacing w:before="0" w:after="0"/>
              <w:ind w:left="0" w:right="0" w:hanging="0"/>
              <w:jc w:val="center"/>
              <w:rPr/>
            </w:pPr>
            <w:r>
              <w:rPr>
                <w:rStyle w:val="StrongEmphasis"/>
              </w:rPr>
              <w:t>Estimated</w:t>
            </w:r>
          </w:p>
        </w:tc>
        <w:tc>
          <w:tcPr>
            <w:tcW w:w="293" w:type="dxa"/>
            <w:tcBorders/>
            <w:shd w:fill="auto" w:val="clear"/>
            <w:vAlign w:val="center"/>
          </w:tcPr>
          <w:p>
            <w:pPr>
              <w:pStyle w:val="TableContents"/>
              <w:spacing w:before="0" w:after="0"/>
              <w:ind w:left="0" w:right="0" w:hanging="0"/>
              <w:rPr/>
            </w:pPr>
            <w:r>
              <w:rPr/>
              <w:t> </w:t>
            </w:r>
          </w:p>
        </w:tc>
      </w:tr>
      <w:tr>
        <w:trPr/>
        <w:tc>
          <w:tcPr>
            <w:tcW w:w="1610"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Pr>
              <w:t xml:space="preserve">Category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Cost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Gains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95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Months </w:t>
            </w:r>
          </w:p>
        </w:tc>
        <w:tc>
          <w:tcPr>
            <w:tcW w:w="125"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07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Months </w:t>
            </w:r>
          </w:p>
        </w:tc>
        <w:tc>
          <w:tcPr>
            <w:tcW w:w="125"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Value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07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Fair Value</w:t>
            </w:r>
          </w:p>
        </w:tc>
        <w:tc>
          <w:tcPr>
            <w:tcW w:w="293" w:type="dxa"/>
            <w:tcBorders/>
            <w:shd w:fill="auto" w:val="clear"/>
            <w:vAlign w:val="center"/>
          </w:tcPr>
          <w:p>
            <w:pPr>
              <w:pStyle w:val="TableContents"/>
              <w:spacing w:before="0" w:after="0"/>
              <w:ind w:left="0" w:right="0" w:hanging="0"/>
              <w:rPr/>
            </w:pPr>
            <w:r>
              <w:rPr/>
              <w:t> </w:t>
            </w:r>
          </w:p>
        </w:tc>
      </w:tr>
      <w:tr>
        <w:trPr/>
        <w:tc>
          <w:tcPr>
            <w:tcW w:w="161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c>
          <w:tcPr>
            <w:tcW w:w="113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5515" w:type="dxa"/>
            <w:gridSpan w:val="16"/>
            <w:tcBorders/>
            <w:shd w:fill="auto" w:val="clear"/>
            <w:vAlign w:val="center"/>
          </w:tcPr>
          <w:p>
            <w:pPr>
              <w:pStyle w:val="TableContents"/>
              <w:spacing w:before="0" w:after="0"/>
              <w:ind w:left="0" w:right="0" w:hanging="0"/>
              <w:rPr/>
            </w:pPr>
            <w:r>
              <w:rPr/>
              <w:t> </w:t>
            </w:r>
          </w:p>
        </w:tc>
      </w:tr>
      <w:tr>
        <w:trPr/>
        <w:tc>
          <w:tcPr>
            <w:tcW w:w="1610" w:type="dxa"/>
            <w:tcBorders/>
            <w:shd w:fill="CCEEFF" w:val="clear"/>
            <w:vAlign w:val="center"/>
          </w:tcPr>
          <w:p>
            <w:pPr>
              <w:pStyle w:val="TableContents"/>
              <w:spacing w:before="0" w:after="0"/>
              <w:ind w:left="0" w:right="0" w:hanging="0"/>
              <w:rPr/>
            </w:pPr>
            <w:r>
              <w:rPr/>
              <w:t xml:space="preserve">U.S. Treasury securities and obligations of U.S. government corporations and agencies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3,020,710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29,190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786"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906"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3,049,900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1" w:type="dxa"/>
            <w:tcBorders/>
            <w:shd w:fill="CCEEFF" w:val="clear"/>
            <w:vAlign w:val="center"/>
          </w:tcPr>
          <w:p>
            <w:pPr>
              <w:pStyle w:val="TableContents"/>
              <w:spacing w:before="0" w:after="0"/>
              <w:ind w:left="0" w:right="0" w:hanging="0"/>
              <w:rPr/>
            </w:pPr>
            <w:r>
              <w:rPr/>
              <w:t> </w:t>
            </w:r>
          </w:p>
        </w:tc>
        <w:tc>
          <w:tcPr>
            <w:tcW w:w="929" w:type="dxa"/>
            <w:tcBorders/>
            <w:shd w:fill="CCEEFF" w:val="clear"/>
            <w:vAlign w:val="center"/>
          </w:tcPr>
          <w:p>
            <w:pPr>
              <w:pStyle w:val="TableContents"/>
              <w:spacing w:before="0" w:after="283"/>
              <w:jc w:val="right"/>
              <w:rPr/>
            </w:pPr>
            <w:r>
              <w:rPr/>
              <w:t>1.9</w:t>
            </w:r>
          </w:p>
        </w:tc>
        <w:tc>
          <w:tcPr>
            <w:tcW w:w="293" w:type="dxa"/>
            <w:tcBorders/>
            <w:shd w:fill="CCEEFF" w:val="clear"/>
            <w:vAlign w:val="center"/>
          </w:tcPr>
          <w:p>
            <w:pPr>
              <w:pStyle w:val="TableContents"/>
              <w:spacing w:before="0" w:after="283"/>
              <w:rPr/>
            </w:pPr>
            <w:r>
              <w:rPr/>
              <w:t>%</w:t>
            </w:r>
          </w:p>
        </w:tc>
      </w:tr>
      <w:tr>
        <w:trPr/>
        <w:tc>
          <w:tcPr>
            <w:tcW w:w="16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86"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6"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1" w:type="dxa"/>
            <w:tcBorders/>
            <w:shd w:fill="FFFFFF" w:val="clear"/>
            <w:vAlign w:val="center"/>
          </w:tcPr>
          <w:p>
            <w:pPr>
              <w:pStyle w:val="TableContents"/>
              <w:spacing w:before="0" w:after="0"/>
              <w:ind w:left="0" w:right="0" w:hanging="0"/>
              <w:rPr/>
            </w:pPr>
            <w:r>
              <w:rPr/>
              <w:t> </w:t>
            </w:r>
          </w:p>
        </w:tc>
        <w:tc>
          <w:tcPr>
            <w:tcW w:w="929" w:type="dxa"/>
            <w:tcBorders/>
            <w:shd w:fill="FFFFFF" w:val="clear"/>
            <w:vAlign w:val="center"/>
          </w:tcPr>
          <w:p>
            <w:pPr>
              <w:pStyle w:val="TableContents"/>
              <w:spacing w:before="0" w:after="0"/>
              <w:ind w:left="0" w:right="0" w:hanging="0"/>
              <w:rPr/>
            </w:pPr>
            <w:r>
              <w:rPr/>
              <w:t> </w:t>
            </w:r>
          </w:p>
        </w:tc>
        <w:tc>
          <w:tcPr>
            <w:tcW w:w="293" w:type="dxa"/>
            <w:tcBorders/>
            <w:shd w:fill="FFFFFF" w:val="clear"/>
            <w:vAlign w:val="center"/>
          </w:tcPr>
          <w:p>
            <w:pPr>
              <w:pStyle w:val="TableContents"/>
              <w:spacing w:before="0" w:after="0"/>
              <w:ind w:left="0" w:right="0" w:hanging="0"/>
              <w:rPr/>
            </w:pPr>
            <w:r>
              <w:rPr/>
              <w:t> </w:t>
            </w:r>
          </w:p>
        </w:tc>
      </w:tr>
      <w:tr>
        <w:trPr/>
        <w:tc>
          <w:tcPr>
            <w:tcW w:w="1610" w:type="dxa"/>
            <w:tcBorders/>
            <w:shd w:fill="CCEEFF" w:val="clear"/>
            <w:vAlign w:val="center"/>
          </w:tcPr>
          <w:p>
            <w:pPr>
              <w:pStyle w:val="TableContents"/>
              <w:spacing w:before="0" w:after="0"/>
              <w:ind w:left="0" w:right="0" w:hanging="0"/>
              <w:rPr/>
            </w:pPr>
            <w:r>
              <w:rPr/>
              <w:t xml:space="preserve">Political subdivisions of States,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86"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906"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1" w:type="dxa"/>
            <w:tcBorders/>
            <w:shd w:fill="CCEEFF" w:val="clear"/>
            <w:vAlign w:val="center"/>
          </w:tcPr>
          <w:p>
            <w:pPr>
              <w:pStyle w:val="TableContents"/>
              <w:spacing w:before="0" w:after="0"/>
              <w:ind w:left="0" w:right="0" w:hanging="0"/>
              <w:rPr/>
            </w:pPr>
            <w:r>
              <w:rPr/>
              <w:t> </w:t>
            </w:r>
          </w:p>
        </w:tc>
        <w:tc>
          <w:tcPr>
            <w:tcW w:w="929" w:type="dxa"/>
            <w:tcBorders/>
            <w:shd w:fill="CCEEFF" w:val="clear"/>
            <w:vAlign w:val="center"/>
          </w:tcPr>
          <w:p>
            <w:pPr>
              <w:pStyle w:val="TableContents"/>
              <w:spacing w:before="0" w:after="0"/>
              <w:ind w:left="0" w:right="0" w:hanging="0"/>
              <w:rPr/>
            </w:pPr>
            <w:r>
              <w:rPr/>
              <w:t> </w:t>
            </w:r>
          </w:p>
        </w:tc>
        <w:tc>
          <w:tcPr>
            <w:tcW w:w="293" w:type="dxa"/>
            <w:tcBorders/>
            <w:shd w:fill="CCEEFF" w:val="clear"/>
            <w:vAlign w:val="center"/>
          </w:tcPr>
          <w:p>
            <w:pPr>
              <w:pStyle w:val="TableContents"/>
              <w:spacing w:before="0" w:after="0"/>
              <w:ind w:left="0" w:right="0" w:hanging="0"/>
              <w:rPr/>
            </w:pPr>
            <w:r>
              <w:rPr/>
              <w:t> </w:t>
            </w:r>
          </w:p>
        </w:tc>
      </w:tr>
      <w:tr>
        <w:trPr/>
        <w:tc>
          <w:tcPr>
            <w:tcW w:w="1610" w:type="dxa"/>
            <w:tcBorders/>
            <w:shd w:fill="CCEEFF" w:val="clear"/>
            <w:vAlign w:val="center"/>
          </w:tcPr>
          <w:p>
            <w:pPr>
              <w:pStyle w:val="TableContents"/>
              <w:spacing w:before="0" w:after="0"/>
              <w:ind w:left="0" w:right="0" w:hanging="0"/>
              <w:rPr/>
            </w:pPr>
            <w:r>
              <w:rPr/>
              <w:t xml:space="preserve">Territories and Possessions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5,287,561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355,541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86"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906"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5,643,102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1" w:type="dxa"/>
            <w:tcBorders/>
            <w:shd w:fill="CCEEFF" w:val="clear"/>
            <w:vAlign w:val="center"/>
          </w:tcPr>
          <w:p>
            <w:pPr>
              <w:pStyle w:val="TableContents"/>
              <w:spacing w:before="0" w:after="0"/>
              <w:ind w:left="0" w:right="0" w:hanging="0"/>
              <w:rPr/>
            </w:pPr>
            <w:r>
              <w:rPr/>
              <w:t> </w:t>
            </w:r>
          </w:p>
        </w:tc>
        <w:tc>
          <w:tcPr>
            <w:tcW w:w="929" w:type="dxa"/>
            <w:tcBorders/>
            <w:shd w:fill="CCEEFF" w:val="clear"/>
            <w:vAlign w:val="center"/>
          </w:tcPr>
          <w:p>
            <w:pPr>
              <w:pStyle w:val="TableContents"/>
              <w:spacing w:before="0" w:after="283"/>
              <w:jc w:val="right"/>
              <w:rPr/>
            </w:pPr>
            <w:r>
              <w:rPr/>
              <w:t>3.6</w:t>
            </w:r>
          </w:p>
        </w:tc>
        <w:tc>
          <w:tcPr>
            <w:tcW w:w="293" w:type="dxa"/>
            <w:tcBorders/>
            <w:shd w:fill="CCEEFF" w:val="clear"/>
            <w:vAlign w:val="center"/>
          </w:tcPr>
          <w:p>
            <w:pPr>
              <w:pStyle w:val="TableContents"/>
              <w:spacing w:before="0" w:after="283"/>
              <w:rPr/>
            </w:pPr>
            <w:r>
              <w:rPr/>
              <w:t>%</w:t>
            </w:r>
          </w:p>
        </w:tc>
      </w:tr>
      <w:tr>
        <w:trPr/>
        <w:tc>
          <w:tcPr>
            <w:tcW w:w="16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86"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6"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1" w:type="dxa"/>
            <w:tcBorders/>
            <w:shd w:fill="FFFFFF" w:val="clear"/>
            <w:vAlign w:val="center"/>
          </w:tcPr>
          <w:p>
            <w:pPr>
              <w:pStyle w:val="TableContents"/>
              <w:spacing w:before="0" w:after="0"/>
              <w:ind w:left="0" w:right="0" w:hanging="0"/>
              <w:rPr/>
            </w:pPr>
            <w:r>
              <w:rPr/>
              <w:t> </w:t>
            </w:r>
          </w:p>
        </w:tc>
        <w:tc>
          <w:tcPr>
            <w:tcW w:w="929" w:type="dxa"/>
            <w:tcBorders/>
            <w:shd w:fill="FFFFFF" w:val="clear"/>
            <w:vAlign w:val="center"/>
          </w:tcPr>
          <w:p>
            <w:pPr>
              <w:pStyle w:val="TableContents"/>
              <w:spacing w:before="0" w:after="0"/>
              <w:ind w:left="0" w:right="0" w:hanging="0"/>
              <w:rPr/>
            </w:pPr>
            <w:r>
              <w:rPr/>
              <w:t> </w:t>
            </w:r>
          </w:p>
        </w:tc>
        <w:tc>
          <w:tcPr>
            <w:tcW w:w="293" w:type="dxa"/>
            <w:tcBorders/>
            <w:shd w:fill="FFFFFF" w:val="clear"/>
            <w:vAlign w:val="center"/>
          </w:tcPr>
          <w:p>
            <w:pPr>
              <w:pStyle w:val="TableContents"/>
              <w:spacing w:before="0" w:after="0"/>
              <w:ind w:left="0" w:right="0" w:hanging="0"/>
              <w:rPr/>
            </w:pPr>
            <w:r>
              <w:rPr/>
              <w:t> </w:t>
            </w:r>
          </w:p>
        </w:tc>
      </w:tr>
      <w:tr>
        <w:trPr/>
        <w:tc>
          <w:tcPr>
            <w:tcW w:w="1610" w:type="dxa"/>
            <w:tcBorders/>
            <w:shd w:fill="CCEEFF" w:val="clear"/>
            <w:vAlign w:val="center"/>
          </w:tcPr>
          <w:p>
            <w:pPr>
              <w:pStyle w:val="TableContents"/>
              <w:spacing w:before="0" w:after="0"/>
              <w:ind w:left="0" w:right="0" w:hanging="0"/>
              <w:rPr/>
            </w:pPr>
            <w:r>
              <w:rPr/>
              <w:t xml:space="preserve">Corporate and other bonds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86"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906"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1" w:type="dxa"/>
            <w:tcBorders/>
            <w:shd w:fill="CCEEFF" w:val="clear"/>
            <w:vAlign w:val="center"/>
          </w:tcPr>
          <w:p>
            <w:pPr>
              <w:pStyle w:val="TableContents"/>
              <w:spacing w:before="0" w:after="0"/>
              <w:ind w:left="0" w:right="0" w:hanging="0"/>
              <w:rPr/>
            </w:pPr>
            <w:r>
              <w:rPr/>
              <w:t> </w:t>
            </w:r>
          </w:p>
        </w:tc>
        <w:tc>
          <w:tcPr>
            <w:tcW w:w="929" w:type="dxa"/>
            <w:tcBorders/>
            <w:shd w:fill="CCEEFF" w:val="clear"/>
            <w:vAlign w:val="center"/>
          </w:tcPr>
          <w:p>
            <w:pPr>
              <w:pStyle w:val="TableContents"/>
              <w:spacing w:before="0" w:after="0"/>
              <w:ind w:left="0" w:right="0" w:hanging="0"/>
              <w:rPr/>
            </w:pPr>
            <w:r>
              <w:rPr/>
              <w:t> </w:t>
            </w:r>
          </w:p>
        </w:tc>
        <w:tc>
          <w:tcPr>
            <w:tcW w:w="293" w:type="dxa"/>
            <w:tcBorders/>
            <w:shd w:fill="CCEEFF" w:val="clear"/>
            <w:vAlign w:val="center"/>
          </w:tcPr>
          <w:p>
            <w:pPr>
              <w:pStyle w:val="TableContents"/>
              <w:spacing w:before="0" w:after="0"/>
              <w:ind w:left="0" w:right="0" w:hanging="0"/>
              <w:rPr/>
            </w:pPr>
            <w:r>
              <w:rPr/>
              <w:t> </w:t>
            </w:r>
          </w:p>
        </w:tc>
      </w:tr>
      <w:tr>
        <w:trPr/>
        <w:tc>
          <w:tcPr>
            <w:tcW w:w="1610" w:type="dxa"/>
            <w:tcBorders/>
            <w:shd w:fill="CCEEFF" w:val="clear"/>
            <w:vAlign w:val="center"/>
          </w:tcPr>
          <w:p>
            <w:pPr>
              <w:pStyle w:val="TableContents"/>
              <w:spacing w:before="0" w:after="0"/>
              <w:ind w:left="0" w:right="0" w:hanging="0"/>
              <w:rPr/>
            </w:pPr>
            <w:r>
              <w:rPr/>
              <w:t xml:space="preserve">Industrial and miscellaneous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108,573,422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11,634,123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86" w:type="dxa"/>
            <w:tcBorders/>
            <w:shd w:fill="CCEEFF" w:val="clear"/>
            <w:vAlign w:val="center"/>
          </w:tcPr>
          <w:p>
            <w:pPr>
              <w:pStyle w:val="TableContents"/>
              <w:spacing w:before="0" w:after="283"/>
              <w:jc w:val="right"/>
              <w:rPr/>
            </w:pPr>
            <w:r>
              <w:rPr/>
              <w:t>(13,216</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906"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120,194,329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1" w:type="dxa"/>
            <w:tcBorders/>
            <w:shd w:fill="CCEEFF" w:val="clear"/>
            <w:vAlign w:val="center"/>
          </w:tcPr>
          <w:p>
            <w:pPr>
              <w:pStyle w:val="TableContents"/>
              <w:spacing w:before="0" w:after="0"/>
              <w:ind w:left="0" w:right="0" w:hanging="0"/>
              <w:rPr/>
            </w:pPr>
            <w:r>
              <w:rPr/>
              <w:t> </w:t>
            </w:r>
          </w:p>
        </w:tc>
        <w:tc>
          <w:tcPr>
            <w:tcW w:w="929" w:type="dxa"/>
            <w:tcBorders/>
            <w:shd w:fill="CCEEFF" w:val="clear"/>
            <w:vAlign w:val="center"/>
          </w:tcPr>
          <w:p>
            <w:pPr>
              <w:pStyle w:val="TableContents"/>
              <w:spacing w:before="0" w:after="283"/>
              <w:jc w:val="right"/>
              <w:rPr/>
            </w:pPr>
            <w:r>
              <w:rPr/>
              <w:t>76.3</w:t>
            </w:r>
          </w:p>
        </w:tc>
        <w:tc>
          <w:tcPr>
            <w:tcW w:w="293" w:type="dxa"/>
            <w:tcBorders/>
            <w:shd w:fill="CCEEFF" w:val="clear"/>
            <w:vAlign w:val="center"/>
          </w:tcPr>
          <w:p>
            <w:pPr>
              <w:pStyle w:val="TableContents"/>
              <w:spacing w:before="0" w:after="283"/>
              <w:rPr/>
            </w:pPr>
            <w:r>
              <w:rPr/>
              <w:t>%</w:t>
            </w:r>
          </w:p>
        </w:tc>
      </w:tr>
      <w:tr>
        <w:trPr/>
        <w:tc>
          <w:tcPr>
            <w:tcW w:w="16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86"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6"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1" w:type="dxa"/>
            <w:tcBorders/>
            <w:shd w:fill="FFFFFF" w:val="clear"/>
            <w:vAlign w:val="center"/>
          </w:tcPr>
          <w:p>
            <w:pPr>
              <w:pStyle w:val="TableContents"/>
              <w:spacing w:before="0" w:after="0"/>
              <w:ind w:left="0" w:right="0" w:hanging="0"/>
              <w:rPr/>
            </w:pPr>
            <w:r>
              <w:rPr/>
              <w:t> </w:t>
            </w:r>
          </w:p>
        </w:tc>
        <w:tc>
          <w:tcPr>
            <w:tcW w:w="929" w:type="dxa"/>
            <w:tcBorders/>
            <w:shd w:fill="FFFFFF" w:val="clear"/>
            <w:vAlign w:val="center"/>
          </w:tcPr>
          <w:p>
            <w:pPr>
              <w:pStyle w:val="TableContents"/>
              <w:spacing w:before="0" w:after="0"/>
              <w:ind w:left="0" w:right="0" w:hanging="0"/>
              <w:rPr/>
            </w:pPr>
            <w:r>
              <w:rPr/>
              <w:t> </w:t>
            </w:r>
          </w:p>
        </w:tc>
        <w:tc>
          <w:tcPr>
            <w:tcW w:w="293" w:type="dxa"/>
            <w:tcBorders/>
            <w:shd w:fill="FFFFFF" w:val="clear"/>
            <w:vAlign w:val="center"/>
          </w:tcPr>
          <w:p>
            <w:pPr>
              <w:pStyle w:val="TableContents"/>
              <w:spacing w:before="0" w:after="0"/>
              <w:ind w:left="0" w:right="0" w:hanging="0"/>
              <w:rPr/>
            </w:pPr>
            <w:r>
              <w:rPr/>
              <w:t> </w:t>
            </w:r>
          </w:p>
        </w:tc>
      </w:tr>
      <w:tr>
        <w:trPr/>
        <w:tc>
          <w:tcPr>
            <w:tcW w:w="1610" w:type="dxa"/>
            <w:tcBorders/>
            <w:shd w:fill="CCEEFF" w:val="clear"/>
            <w:vAlign w:val="center"/>
          </w:tcPr>
          <w:p>
            <w:pPr>
              <w:pStyle w:val="TableContents"/>
              <w:spacing w:before="0" w:after="0"/>
              <w:ind w:left="0" w:right="0" w:hanging="0"/>
              <w:rPr/>
            </w:pPr>
            <w:r>
              <w:rPr/>
              <w:t xml:space="preserve">Residential mortgage and other </w:t>
            </w:r>
          </w:p>
          <w:p>
            <w:pPr>
              <w:pStyle w:val="TableContents"/>
              <w:spacing w:before="0" w:after="0"/>
              <w:ind w:left="0" w:right="0" w:hanging="0"/>
              <w:rPr>
                <w:rFonts w:ascii="times new roman" w:hAnsi="times new roman"/>
                <w:sz w:val="20"/>
              </w:rPr>
            </w:pPr>
            <w:r>
              <w:rPr>
                <w:rFonts w:ascii="times new roman" w:hAnsi="times new roman"/>
                <w:sz w:val="20"/>
              </w:rPr>
              <w:t xml:space="preserve">asset backed securities (1)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28,163,891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CCEEFF" w:val="clear"/>
            <w:tcMar>
              <w:bottom w:w="28" w:type="dxa"/>
            </w:tcMar>
            <w:vAlign w:val="center"/>
          </w:tcPr>
          <w:p>
            <w:pPr>
              <w:pStyle w:val="TableContents"/>
              <w:spacing w:before="0" w:after="283"/>
              <w:jc w:val="right"/>
              <w:rPr/>
            </w:pPr>
            <w:r>
              <w:rPr/>
              <w:t>617,368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6" w:type="dxa"/>
            <w:tcBorders>
              <w:bottom w:val="single" w:sz="2" w:space="0" w:color="000000"/>
            </w:tcBorders>
            <w:shd w:fill="CCEEFF" w:val="clear"/>
            <w:tcMar>
              <w:bottom w:w="28" w:type="dxa"/>
            </w:tcMar>
            <w:vAlign w:val="center"/>
          </w:tcPr>
          <w:p>
            <w:pPr>
              <w:pStyle w:val="TableContents"/>
              <w:spacing w:before="0" w:after="283"/>
              <w:jc w:val="right"/>
              <w:rPr/>
            </w:pPr>
            <w:r>
              <w:rPr/>
              <w:t>(7,371</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06" w:type="dxa"/>
            <w:tcBorders>
              <w:bottom w:val="single" w:sz="2" w:space="0" w:color="000000"/>
            </w:tcBorders>
            <w:shd w:fill="CCEEFF" w:val="clear"/>
            <w:tcMar>
              <w:bottom w:w="28" w:type="dxa"/>
            </w:tcMar>
            <w:vAlign w:val="center"/>
          </w:tcPr>
          <w:p>
            <w:pPr>
              <w:pStyle w:val="TableContents"/>
              <w:spacing w:before="0" w:after="283"/>
              <w:jc w:val="right"/>
              <w:rPr/>
            </w:pPr>
            <w:r>
              <w:rPr/>
              <w:t>(111,947</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28,661,941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29" w:type="dxa"/>
            <w:tcBorders>
              <w:bottom w:val="single" w:sz="2" w:space="0" w:color="000000"/>
            </w:tcBorders>
            <w:shd w:fill="CCEEFF" w:val="clear"/>
            <w:tcMar>
              <w:bottom w:w="28" w:type="dxa"/>
            </w:tcMar>
            <w:vAlign w:val="center"/>
          </w:tcPr>
          <w:p>
            <w:pPr>
              <w:pStyle w:val="TableContents"/>
              <w:spacing w:before="0" w:after="283"/>
              <w:jc w:val="right"/>
              <w:rPr/>
            </w:pPr>
            <w:r>
              <w:rPr/>
              <w:t>18.2</w:t>
            </w:r>
          </w:p>
        </w:tc>
        <w:tc>
          <w:tcPr>
            <w:tcW w:w="293" w:type="dxa"/>
            <w:tcBorders/>
            <w:shd w:fill="CCEEFF" w:val="clear"/>
            <w:vAlign w:val="center"/>
          </w:tcPr>
          <w:p>
            <w:pPr>
              <w:pStyle w:val="TableContents"/>
              <w:spacing w:before="0" w:after="283"/>
              <w:rPr/>
            </w:pPr>
            <w:r>
              <w:rPr/>
              <w:t>%</w:t>
            </w:r>
          </w:p>
        </w:tc>
      </w:tr>
      <w:tr>
        <w:trPr/>
        <w:tc>
          <w:tcPr>
            <w:tcW w:w="1610" w:type="dxa"/>
            <w:tcBorders/>
            <w:shd w:fill="FFFFFF" w:val="clear"/>
            <w:vAlign w:val="center"/>
          </w:tcPr>
          <w:p>
            <w:pPr>
              <w:pStyle w:val="TableContents"/>
              <w:spacing w:before="0" w:after="0"/>
              <w:ind w:left="0" w:right="0" w:firstLine="180"/>
              <w:rPr/>
            </w:pPr>
            <w:r>
              <w:rPr/>
              <w:t xml:space="preserve">Total fixed-maturity securities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145,045,584</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130" w:type="dxa"/>
            <w:tcBorders>
              <w:bottom w:val="double" w:sz="6" w:space="0" w:color="000000"/>
            </w:tcBorders>
            <w:shd w:fill="FFFFFF" w:val="clear"/>
            <w:tcMar>
              <w:bottom w:w="28" w:type="dxa"/>
            </w:tcMar>
            <w:vAlign w:val="center"/>
          </w:tcPr>
          <w:p>
            <w:pPr>
              <w:pStyle w:val="TableContents"/>
              <w:spacing w:before="0" w:after="283"/>
              <w:jc w:val="right"/>
              <w:rPr/>
            </w:pPr>
            <w:r>
              <w:rPr/>
              <w:t>12,636,222</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786" w:type="dxa"/>
            <w:tcBorders>
              <w:bottom w:val="double" w:sz="6" w:space="0" w:color="000000"/>
            </w:tcBorders>
            <w:shd w:fill="FFFFFF" w:val="clear"/>
            <w:tcMar>
              <w:bottom w:w="28" w:type="dxa"/>
            </w:tcMar>
            <w:vAlign w:val="center"/>
          </w:tcPr>
          <w:p>
            <w:pPr>
              <w:pStyle w:val="TableContents"/>
              <w:spacing w:before="0" w:after="283"/>
              <w:jc w:val="right"/>
              <w:rPr/>
            </w:pPr>
            <w:r>
              <w:rPr/>
              <w:t>(20,587</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906" w:type="dxa"/>
            <w:tcBorders>
              <w:bottom w:val="double" w:sz="6" w:space="0" w:color="000000"/>
            </w:tcBorders>
            <w:shd w:fill="FFFFFF" w:val="clear"/>
            <w:tcMar>
              <w:bottom w:w="28" w:type="dxa"/>
            </w:tcMar>
            <w:vAlign w:val="center"/>
          </w:tcPr>
          <w:p>
            <w:pPr>
              <w:pStyle w:val="TableContents"/>
              <w:spacing w:before="0" w:after="283"/>
              <w:jc w:val="right"/>
              <w:rPr/>
            </w:pPr>
            <w:r>
              <w:rPr/>
              <w:t>(111,947</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157,549,272</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1" w:type="dxa"/>
            <w:tcBorders>
              <w:bottom w:val="double" w:sz="6" w:space="0" w:color="000000"/>
            </w:tcBorders>
            <w:shd w:fill="FFFFFF" w:val="clear"/>
            <w:tcMar>
              <w:bottom w:w="28" w:type="dxa"/>
            </w:tcMar>
            <w:vAlign w:val="center"/>
          </w:tcPr>
          <w:p>
            <w:pPr>
              <w:pStyle w:val="TableContents"/>
              <w:spacing w:before="0" w:after="0"/>
              <w:ind w:left="0" w:right="0" w:hanging="0"/>
              <w:rPr/>
            </w:pPr>
            <w:r>
              <w:rPr/>
              <w:t> </w:t>
            </w:r>
          </w:p>
        </w:tc>
        <w:tc>
          <w:tcPr>
            <w:tcW w:w="929" w:type="dxa"/>
            <w:tcBorders>
              <w:bottom w:val="double" w:sz="6" w:space="0" w:color="000000"/>
            </w:tcBorders>
            <w:shd w:fill="FFFFFF" w:val="clear"/>
            <w:tcMar>
              <w:bottom w:w="28" w:type="dxa"/>
            </w:tcMar>
            <w:vAlign w:val="center"/>
          </w:tcPr>
          <w:p>
            <w:pPr>
              <w:pStyle w:val="TableContents"/>
              <w:spacing w:before="0" w:after="283"/>
              <w:jc w:val="right"/>
              <w:rPr/>
            </w:pPr>
            <w:r>
              <w:rPr/>
              <w:t>100.0</w:t>
            </w:r>
          </w:p>
        </w:tc>
        <w:tc>
          <w:tcPr>
            <w:tcW w:w="293" w:type="dxa"/>
            <w:tcBorders/>
            <w:shd w:fill="FFFFFF" w:val="clear"/>
            <w:vAlign w:val="center"/>
          </w:tcPr>
          <w:p>
            <w:pPr>
              <w:pStyle w:val="TableContents"/>
              <w:spacing w:before="0" w:after="283"/>
              <w:rPr/>
            </w:pPr>
            <w:r>
              <w:rPr/>
              <w:t>%</w:t>
            </w:r>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277"/>
        <w:gridCol w:w="9928"/>
      </w:tblGrid>
      <w:tr>
        <w:trPr/>
        <w:tc>
          <w:tcPr>
            <w:tcW w:w="277" w:type="dxa"/>
            <w:tcBorders/>
            <w:shd w:fill="auto" w:val="clear"/>
            <w:vAlign w:val="center"/>
          </w:tcPr>
          <w:p>
            <w:pPr>
              <w:pStyle w:val="TableContents"/>
              <w:spacing w:before="0" w:after="0"/>
              <w:ind w:left="0" w:right="0" w:hanging="0"/>
              <w:rPr/>
            </w:pPr>
            <w:r>
              <w:rPr/>
              <w:t xml:space="preserve">(1) </w:t>
            </w:r>
          </w:p>
        </w:tc>
        <w:tc>
          <w:tcPr>
            <w:tcW w:w="9928" w:type="dxa"/>
            <w:tcBorders/>
            <w:shd w:fill="auto" w:val="clear"/>
            <w:vAlign w:val="center"/>
          </w:tcPr>
          <w:p>
            <w:pPr>
              <w:pStyle w:val="TableContents"/>
              <w:spacing w:before="0" w:after="0"/>
              <w:ind w:left="0" w:right="0" w:hanging="0"/>
              <w:jc w:val="both"/>
              <w:rPr/>
            </w:pPr>
            <w:r>
              <w:rPr/>
              <w:t>KICO placed certain residential mortgage backed securities as eligible collateral in a designated custodian account related to its membership in the Federal Home Loan Bank of New York ("FHLBNY") see Note 9, in the accompanying consolidated financial statements following Item 16 of this Annual Report). The eligible collateral would be pledged to FHLBNY if KICO draws an advance from the FHLBNY credit line. As of December 31, 2020, the estimated fair value of the eligible investments was approximately $11,391,000. KICO will retain all rights regarding all securities if pledged as collateral. As of December 31, 2020, there was no outstanding balance on the FHLBNY credit line.</w:t>
            </w:r>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1698"/>
        <w:gridCol w:w="90"/>
        <w:gridCol w:w="170"/>
        <w:gridCol w:w="1250"/>
        <w:gridCol w:w="90"/>
        <w:gridCol w:w="90"/>
        <w:gridCol w:w="170"/>
        <w:gridCol w:w="1011"/>
        <w:gridCol w:w="90"/>
        <w:gridCol w:w="90"/>
        <w:gridCol w:w="172"/>
        <w:gridCol w:w="797"/>
        <w:gridCol w:w="125"/>
        <w:gridCol w:w="90"/>
        <w:gridCol w:w="172"/>
        <w:gridCol w:w="917"/>
        <w:gridCol w:w="125"/>
        <w:gridCol w:w="90"/>
        <w:gridCol w:w="170"/>
        <w:gridCol w:w="1250"/>
        <w:gridCol w:w="90"/>
        <w:gridCol w:w="90"/>
        <w:gridCol w:w="141"/>
        <w:gridCol w:w="931"/>
        <w:gridCol w:w="296"/>
      </w:tblGrid>
      <w:tr>
        <w:trPr/>
        <w:tc>
          <w:tcPr>
            <w:tcW w:w="1698"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121" w:type="dxa"/>
            <w:gridSpan w:val="2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December 31, 2019</w:t>
            </w:r>
          </w:p>
        </w:tc>
        <w:tc>
          <w:tcPr>
            <w:tcW w:w="296" w:type="dxa"/>
            <w:tcBorders/>
            <w:shd w:fill="auto" w:val="clear"/>
            <w:vAlign w:val="center"/>
          </w:tcPr>
          <w:p>
            <w:pPr>
              <w:pStyle w:val="TableContents"/>
              <w:spacing w:before="0" w:after="0"/>
              <w:ind w:left="0" w:right="0" w:hanging="0"/>
              <w:jc w:val="center"/>
              <w:rPr/>
            </w:pPr>
            <w:r>
              <w:rPr/>
              <w:t> </w:t>
            </w:r>
          </w:p>
        </w:tc>
      </w:tr>
      <w:tr>
        <w:trPr/>
        <w:tc>
          <w:tcPr>
            <w:tcW w:w="1698"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420" w:type="dxa"/>
            <w:gridSpan w:val="2"/>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181" w:type="dxa"/>
            <w:gridSpan w:val="2"/>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969" w:type="dxa"/>
            <w:gridSpan w:val="2"/>
            <w:tcBorders/>
            <w:shd w:fill="auto" w:val="clear"/>
            <w:vAlign w:val="center"/>
          </w:tcPr>
          <w:p>
            <w:pPr>
              <w:pStyle w:val="TableContents"/>
              <w:spacing w:before="0" w:after="0"/>
              <w:ind w:left="0" w:right="0" w:hanging="0"/>
              <w:jc w:val="center"/>
              <w:rPr/>
            </w:pPr>
            <w:r>
              <w:rPr/>
              <w:t> </w:t>
            </w:r>
          </w:p>
        </w:tc>
        <w:tc>
          <w:tcPr>
            <w:tcW w:w="125"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089" w:type="dxa"/>
            <w:gridSpan w:val="2"/>
            <w:tcBorders/>
            <w:shd w:fill="auto" w:val="clear"/>
            <w:vAlign w:val="center"/>
          </w:tcPr>
          <w:p>
            <w:pPr>
              <w:pStyle w:val="TableContents"/>
              <w:spacing w:before="0" w:after="0"/>
              <w:ind w:left="0" w:right="0" w:hanging="0"/>
              <w:jc w:val="center"/>
              <w:rPr/>
            </w:pPr>
            <w:r>
              <w:rPr/>
              <w:t> </w:t>
            </w:r>
          </w:p>
        </w:tc>
        <w:tc>
          <w:tcPr>
            <w:tcW w:w="125"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420" w:type="dxa"/>
            <w:gridSpan w:val="2"/>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072" w:type="dxa"/>
            <w:gridSpan w:val="2"/>
            <w:tcBorders/>
            <w:shd w:fill="auto" w:val="clear"/>
            <w:vAlign w:val="center"/>
          </w:tcPr>
          <w:p>
            <w:pPr>
              <w:pStyle w:val="TableContents"/>
              <w:spacing w:before="0" w:after="0"/>
              <w:ind w:left="0" w:right="0" w:hanging="0"/>
              <w:jc w:val="center"/>
              <w:rPr/>
            </w:pPr>
            <w:r>
              <w:rPr/>
              <w:t> </w:t>
            </w:r>
          </w:p>
        </w:tc>
        <w:tc>
          <w:tcPr>
            <w:tcW w:w="296" w:type="dxa"/>
            <w:tcBorders/>
            <w:shd w:fill="auto" w:val="clear"/>
            <w:vAlign w:val="center"/>
          </w:tcPr>
          <w:p>
            <w:pPr>
              <w:pStyle w:val="TableContents"/>
              <w:spacing w:before="0" w:after="0"/>
              <w:ind w:left="0" w:right="0" w:hanging="0"/>
              <w:jc w:val="center"/>
              <w:rPr/>
            </w:pPr>
            <w:r>
              <w:rPr/>
              <w:t> </w:t>
            </w:r>
          </w:p>
        </w:tc>
      </w:tr>
      <w:tr>
        <w:trPr/>
        <w:tc>
          <w:tcPr>
            <w:tcW w:w="1698"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Pr>
              <w:t xml:space="preserve">Cost or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181"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Pr>
              <w:t xml:space="preserve">Gross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2273"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Pr>
              <w:t xml:space="preserve">Gross Unrealized Losses </w:t>
            </w:r>
          </w:p>
        </w:tc>
        <w:tc>
          <w:tcPr>
            <w:tcW w:w="125"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Pr>
              <w:t xml:space="preserve">Estimated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072" w:type="dxa"/>
            <w:gridSpan w:val="2"/>
            <w:tcBorders/>
            <w:shd w:fill="auto" w:val="clear"/>
            <w:vAlign w:val="center"/>
          </w:tcPr>
          <w:p>
            <w:pPr>
              <w:pStyle w:val="TableContents"/>
              <w:spacing w:before="0" w:after="0"/>
              <w:ind w:left="0" w:right="0" w:hanging="0"/>
              <w:jc w:val="center"/>
              <w:rPr/>
            </w:pPr>
            <w:r>
              <w:rPr>
                <w:rStyle w:val="StrongEmphasis"/>
              </w:rPr>
              <w:t>% of</w:t>
            </w:r>
          </w:p>
        </w:tc>
        <w:tc>
          <w:tcPr>
            <w:tcW w:w="296" w:type="dxa"/>
            <w:tcBorders/>
            <w:shd w:fill="auto" w:val="clear"/>
            <w:vAlign w:val="center"/>
          </w:tcPr>
          <w:p>
            <w:pPr>
              <w:pStyle w:val="TableContents"/>
              <w:spacing w:before="0" w:after="0"/>
              <w:ind w:left="0" w:right="0" w:hanging="0"/>
              <w:jc w:val="center"/>
              <w:rPr/>
            </w:pPr>
            <w:r>
              <w:rPr/>
              <w:t> </w:t>
            </w:r>
          </w:p>
        </w:tc>
      </w:tr>
      <w:tr>
        <w:trPr/>
        <w:tc>
          <w:tcPr>
            <w:tcW w:w="1698"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Pr>
              <w:t xml:space="preserve">Amortized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181" w:type="dxa"/>
            <w:gridSpan w:val="2"/>
            <w:tcBorders/>
            <w:shd w:fill="auto" w:val="clear"/>
            <w:vAlign w:val="center"/>
          </w:tcPr>
          <w:p>
            <w:pPr>
              <w:pStyle w:val="TableContents"/>
              <w:spacing w:before="0" w:after="0"/>
              <w:ind w:left="0" w:right="0" w:hanging="0"/>
              <w:jc w:val="center"/>
              <w:rPr/>
            </w:pPr>
            <w:r>
              <w:rPr>
                <w:rStyle w:val="StrongEmphasis"/>
              </w:rPr>
              <w:t xml:space="preserve">Unrealized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969" w:type="dxa"/>
            <w:gridSpan w:val="2"/>
            <w:tcBorders/>
            <w:shd w:fill="auto" w:val="clear"/>
            <w:vAlign w:val="center"/>
          </w:tcPr>
          <w:p>
            <w:pPr>
              <w:pStyle w:val="TableContents"/>
              <w:spacing w:before="0" w:after="0"/>
              <w:ind w:left="0" w:right="0" w:hanging="0"/>
              <w:jc w:val="center"/>
              <w:rPr/>
            </w:pPr>
            <w:r>
              <w:rPr>
                <w:rStyle w:val="StrongEmphasis"/>
              </w:rPr>
              <w:t xml:space="preserve">Less than 12 </w:t>
            </w:r>
          </w:p>
        </w:tc>
        <w:tc>
          <w:tcPr>
            <w:tcW w:w="125"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089" w:type="dxa"/>
            <w:gridSpan w:val="2"/>
            <w:tcBorders/>
            <w:shd w:fill="auto" w:val="clear"/>
            <w:vAlign w:val="center"/>
          </w:tcPr>
          <w:p>
            <w:pPr>
              <w:pStyle w:val="TableContents"/>
              <w:spacing w:before="0" w:after="0"/>
              <w:ind w:left="0" w:right="0" w:hanging="0"/>
              <w:jc w:val="center"/>
              <w:rPr/>
            </w:pPr>
            <w:r>
              <w:rPr>
                <w:rStyle w:val="StrongEmphasis"/>
              </w:rPr>
              <w:t xml:space="preserve">More than 12 </w:t>
            </w:r>
          </w:p>
        </w:tc>
        <w:tc>
          <w:tcPr>
            <w:tcW w:w="125"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Pr>
              <w:t xml:space="preserve">Fair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072" w:type="dxa"/>
            <w:gridSpan w:val="2"/>
            <w:tcBorders/>
            <w:shd w:fill="auto" w:val="clear"/>
            <w:vAlign w:val="center"/>
          </w:tcPr>
          <w:p>
            <w:pPr>
              <w:pStyle w:val="TableContents"/>
              <w:spacing w:before="0" w:after="0"/>
              <w:ind w:left="0" w:right="0" w:hanging="0"/>
              <w:jc w:val="center"/>
              <w:rPr/>
            </w:pPr>
            <w:r>
              <w:rPr>
                <w:rStyle w:val="StrongEmphasis"/>
              </w:rPr>
              <w:t>Estimated</w:t>
            </w:r>
          </w:p>
        </w:tc>
        <w:tc>
          <w:tcPr>
            <w:tcW w:w="296" w:type="dxa"/>
            <w:tcBorders/>
            <w:shd w:fill="auto" w:val="clear"/>
            <w:vAlign w:val="center"/>
          </w:tcPr>
          <w:p>
            <w:pPr>
              <w:pStyle w:val="TableContents"/>
              <w:spacing w:before="0" w:after="0"/>
              <w:ind w:left="0" w:right="0" w:hanging="0"/>
              <w:rPr/>
            </w:pPr>
            <w:r>
              <w:rPr/>
              <w:t> </w:t>
            </w:r>
          </w:p>
        </w:tc>
      </w:tr>
      <w:tr>
        <w:trPr/>
        <w:tc>
          <w:tcPr>
            <w:tcW w:w="1698"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Pr>
              <w:t xml:space="preserve">Category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Cost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18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Gains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96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Months </w:t>
            </w:r>
          </w:p>
        </w:tc>
        <w:tc>
          <w:tcPr>
            <w:tcW w:w="125"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08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Months </w:t>
            </w:r>
          </w:p>
        </w:tc>
        <w:tc>
          <w:tcPr>
            <w:tcW w:w="125"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Value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07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Fair Value</w:t>
            </w:r>
          </w:p>
        </w:tc>
        <w:tc>
          <w:tcPr>
            <w:tcW w:w="296" w:type="dxa"/>
            <w:tcBorders/>
            <w:shd w:fill="auto" w:val="clear"/>
            <w:vAlign w:val="center"/>
          </w:tcPr>
          <w:p>
            <w:pPr>
              <w:pStyle w:val="TableContents"/>
              <w:spacing w:before="0" w:after="0"/>
              <w:ind w:left="0" w:right="0" w:hanging="0"/>
              <w:rPr/>
            </w:pPr>
            <w:r>
              <w:rPr/>
              <w:t> </w:t>
            </w:r>
          </w:p>
        </w:tc>
      </w:tr>
      <w:tr>
        <w:trPr/>
        <w:tc>
          <w:tcPr>
            <w:tcW w:w="1698"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c>
          <w:tcPr>
            <w:tcW w:w="1011"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5546" w:type="dxa"/>
            <w:gridSpan w:val="16"/>
            <w:tcBorders/>
            <w:shd w:fill="auto" w:val="clear"/>
            <w:vAlign w:val="center"/>
          </w:tcPr>
          <w:p>
            <w:pPr>
              <w:pStyle w:val="TableContents"/>
              <w:spacing w:before="0" w:after="0"/>
              <w:ind w:left="0" w:right="0" w:hanging="0"/>
              <w:rPr/>
            </w:pPr>
            <w:r>
              <w:rPr/>
              <w:t> </w:t>
            </w:r>
          </w:p>
        </w:tc>
      </w:tr>
      <w:tr>
        <w:trPr/>
        <w:tc>
          <w:tcPr>
            <w:tcW w:w="1698" w:type="dxa"/>
            <w:tcBorders/>
            <w:shd w:fill="CCEEFF" w:val="clear"/>
            <w:vAlign w:val="center"/>
          </w:tcPr>
          <w:p>
            <w:pPr>
              <w:pStyle w:val="TableContents"/>
              <w:spacing w:before="0" w:after="0"/>
              <w:ind w:left="0" w:right="0" w:hanging="0"/>
              <w:rPr/>
            </w:pPr>
            <w:r>
              <w:rPr/>
              <w:t xml:space="preserve">U.S. Treasury securities and </w:t>
            </w:r>
          </w:p>
          <w:p>
            <w:pPr>
              <w:pStyle w:val="TableContents"/>
              <w:spacing w:before="0" w:after="0"/>
              <w:ind w:left="0" w:right="0" w:hanging="0"/>
              <w:rPr>
                <w:rFonts w:ascii="times new roman" w:hAnsi="times new roman"/>
                <w:sz w:val="20"/>
              </w:rPr>
            </w:pPr>
            <w:r>
              <w:rPr>
                <w:rFonts w:ascii="times new roman" w:hAnsi="times new roman"/>
                <w:sz w:val="20"/>
              </w:rPr>
              <w:t xml:space="preserve">obligations of U.S. government corporations and agencies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7,037,856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1" w:type="dxa"/>
            <w:tcBorders/>
            <w:shd w:fill="CCEEFF" w:val="clear"/>
            <w:vAlign w:val="center"/>
          </w:tcPr>
          <w:p>
            <w:pPr>
              <w:pStyle w:val="TableContents"/>
              <w:spacing w:before="0" w:after="283"/>
              <w:jc w:val="right"/>
              <w:rPr/>
            </w:pPr>
            <w:r>
              <w:rPr/>
              <w:t>23,244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2" w:type="dxa"/>
            <w:tcBorders/>
            <w:shd w:fill="CCEEFF" w:val="clear"/>
            <w:vAlign w:val="center"/>
          </w:tcPr>
          <w:p>
            <w:pPr>
              <w:pStyle w:val="TableContents"/>
              <w:spacing w:before="0" w:after="283"/>
              <w:rPr/>
            </w:pPr>
            <w:r>
              <w:rPr/>
              <w:t>$</w:t>
            </w:r>
          </w:p>
        </w:tc>
        <w:tc>
          <w:tcPr>
            <w:tcW w:w="797"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2" w:type="dxa"/>
            <w:tcBorders/>
            <w:shd w:fill="CCEEFF" w:val="clear"/>
            <w:vAlign w:val="center"/>
          </w:tcPr>
          <w:p>
            <w:pPr>
              <w:pStyle w:val="TableContents"/>
              <w:spacing w:before="0" w:after="283"/>
              <w:rPr/>
            </w:pPr>
            <w:r>
              <w:rPr/>
              <w:t>$</w:t>
            </w:r>
          </w:p>
        </w:tc>
        <w:tc>
          <w:tcPr>
            <w:tcW w:w="917"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7,061,100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283"/>
              <w:jc w:val="right"/>
              <w:rPr/>
            </w:pPr>
            <w:r>
              <w:rPr/>
              <w:t>4.2</w:t>
            </w:r>
          </w:p>
        </w:tc>
        <w:tc>
          <w:tcPr>
            <w:tcW w:w="296" w:type="dxa"/>
            <w:tcBorders/>
            <w:shd w:fill="CCEEFF" w:val="clear"/>
            <w:vAlign w:val="center"/>
          </w:tcPr>
          <w:p>
            <w:pPr>
              <w:pStyle w:val="TableContents"/>
              <w:spacing w:before="0" w:after="283"/>
              <w:rPr/>
            </w:pPr>
            <w:r>
              <w:rPr/>
              <w:t>%</w:t>
            </w:r>
          </w:p>
        </w:tc>
      </w:tr>
      <w:tr>
        <w:trPr/>
        <w:tc>
          <w:tcPr>
            <w:tcW w:w="169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1"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2" w:type="dxa"/>
            <w:tcBorders/>
            <w:shd w:fill="FFFFFF" w:val="clear"/>
            <w:vAlign w:val="center"/>
          </w:tcPr>
          <w:p>
            <w:pPr>
              <w:pStyle w:val="TableContents"/>
              <w:spacing w:before="0" w:after="0"/>
              <w:ind w:left="0" w:right="0" w:hanging="0"/>
              <w:rPr/>
            </w:pPr>
            <w:r>
              <w:rPr/>
              <w:t> </w:t>
            </w:r>
          </w:p>
        </w:tc>
        <w:tc>
          <w:tcPr>
            <w:tcW w:w="797"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2" w:type="dxa"/>
            <w:tcBorders/>
            <w:shd w:fill="FFFFFF" w:val="clear"/>
            <w:vAlign w:val="center"/>
          </w:tcPr>
          <w:p>
            <w:pPr>
              <w:pStyle w:val="TableContents"/>
              <w:spacing w:before="0" w:after="0"/>
              <w:ind w:left="0" w:right="0" w:hanging="0"/>
              <w:rPr/>
            </w:pPr>
            <w:r>
              <w:rPr/>
              <w:t> </w:t>
            </w:r>
          </w:p>
        </w:tc>
        <w:tc>
          <w:tcPr>
            <w:tcW w:w="917"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1" w:type="dxa"/>
            <w:tcBorders/>
            <w:shd w:fill="FFFFFF" w:val="clear"/>
            <w:vAlign w:val="center"/>
          </w:tcPr>
          <w:p>
            <w:pPr>
              <w:pStyle w:val="TableContents"/>
              <w:spacing w:before="0" w:after="0"/>
              <w:ind w:left="0" w:right="0" w:hanging="0"/>
              <w:rPr/>
            </w:pPr>
            <w:r>
              <w:rPr/>
              <w:t> </w:t>
            </w:r>
          </w:p>
        </w:tc>
        <w:tc>
          <w:tcPr>
            <w:tcW w:w="931" w:type="dxa"/>
            <w:tcBorders/>
            <w:shd w:fill="FFFFFF" w:val="clear"/>
            <w:vAlign w:val="center"/>
          </w:tcPr>
          <w:p>
            <w:pPr>
              <w:pStyle w:val="TableContents"/>
              <w:spacing w:before="0" w:after="0"/>
              <w:ind w:left="0" w:right="0" w:hanging="0"/>
              <w:rPr/>
            </w:pPr>
            <w:r>
              <w:rPr/>
              <w:t> </w:t>
            </w:r>
          </w:p>
        </w:tc>
        <w:tc>
          <w:tcPr>
            <w:tcW w:w="296" w:type="dxa"/>
            <w:tcBorders/>
            <w:shd w:fill="FFFFFF" w:val="clear"/>
            <w:vAlign w:val="center"/>
          </w:tcPr>
          <w:p>
            <w:pPr>
              <w:pStyle w:val="TableContents"/>
              <w:spacing w:before="0" w:after="0"/>
              <w:ind w:left="0" w:right="0" w:hanging="0"/>
              <w:rPr/>
            </w:pPr>
            <w:r>
              <w:rPr/>
              <w:t> </w:t>
            </w:r>
          </w:p>
        </w:tc>
      </w:tr>
      <w:tr>
        <w:trPr/>
        <w:tc>
          <w:tcPr>
            <w:tcW w:w="1698" w:type="dxa"/>
            <w:tcBorders/>
            <w:shd w:fill="CCEEFF" w:val="clear"/>
            <w:vAlign w:val="center"/>
          </w:tcPr>
          <w:p>
            <w:pPr>
              <w:pStyle w:val="TableContents"/>
              <w:spacing w:before="0" w:after="0"/>
              <w:ind w:left="0" w:right="0" w:hanging="0"/>
              <w:rPr/>
            </w:pPr>
            <w:r>
              <w:rPr/>
              <w:t xml:space="preserve">Political subdivisions of States,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1"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2" w:type="dxa"/>
            <w:tcBorders/>
            <w:shd w:fill="CCEEFF" w:val="clear"/>
            <w:vAlign w:val="center"/>
          </w:tcPr>
          <w:p>
            <w:pPr>
              <w:pStyle w:val="TableContents"/>
              <w:spacing w:before="0" w:after="0"/>
              <w:ind w:left="0" w:right="0" w:hanging="0"/>
              <w:rPr/>
            </w:pPr>
            <w:r>
              <w:rPr/>
              <w:t> </w:t>
            </w:r>
          </w:p>
        </w:tc>
        <w:tc>
          <w:tcPr>
            <w:tcW w:w="797"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2" w:type="dxa"/>
            <w:tcBorders/>
            <w:shd w:fill="CCEEFF" w:val="clear"/>
            <w:vAlign w:val="center"/>
          </w:tcPr>
          <w:p>
            <w:pPr>
              <w:pStyle w:val="TableContents"/>
              <w:spacing w:before="0" w:after="0"/>
              <w:ind w:left="0" w:right="0" w:hanging="0"/>
              <w:rPr/>
            </w:pPr>
            <w:r>
              <w:rPr/>
              <w:t> </w:t>
            </w:r>
          </w:p>
        </w:tc>
        <w:tc>
          <w:tcPr>
            <w:tcW w:w="917"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rPr/>
            </w:pPr>
            <w:r>
              <w:rPr/>
              <w:t> </w:t>
            </w:r>
          </w:p>
        </w:tc>
        <w:tc>
          <w:tcPr>
            <w:tcW w:w="296" w:type="dxa"/>
            <w:tcBorders/>
            <w:shd w:fill="CCEEFF" w:val="clear"/>
            <w:vAlign w:val="center"/>
          </w:tcPr>
          <w:p>
            <w:pPr>
              <w:pStyle w:val="TableContents"/>
              <w:spacing w:before="0" w:after="0"/>
              <w:ind w:left="0" w:right="0" w:hanging="0"/>
              <w:rPr/>
            </w:pPr>
            <w:r>
              <w:rPr/>
              <w:t> </w:t>
            </w:r>
          </w:p>
        </w:tc>
      </w:tr>
      <w:tr>
        <w:trPr/>
        <w:tc>
          <w:tcPr>
            <w:tcW w:w="1698" w:type="dxa"/>
            <w:tcBorders/>
            <w:shd w:fill="CCEEFF" w:val="clear"/>
            <w:vAlign w:val="center"/>
          </w:tcPr>
          <w:p>
            <w:pPr>
              <w:pStyle w:val="TableContents"/>
              <w:spacing w:before="0" w:after="0"/>
              <w:ind w:left="0" w:right="0" w:hanging="0"/>
              <w:rPr/>
            </w:pPr>
            <w:r>
              <w:rPr/>
              <w:t xml:space="preserve">Territories and Possessions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9,151,293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1" w:type="dxa"/>
            <w:tcBorders/>
            <w:shd w:fill="CCEEFF" w:val="clear"/>
            <w:vAlign w:val="center"/>
          </w:tcPr>
          <w:p>
            <w:pPr>
              <w:pStyle w:val="TableContents"/>
              <w:spacing w:before="0" w:after="283"/>
              <w:jc w:val="right"/>
              <w:rPr/>
            </w:pPr>
            <w:r>
              <w:rPr/>
              <w:t>181,835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2" w:type="dxa"/>
            <w:tcBorders/>
            <w:shd w:fill="CCEEFF" w:val="clear"/>
            <w:vAlign w:val="center"/>
          </w:tcPr>
          <w:p>
            <w:pPr>
              <w:pStyle w:val="TableContents"/>
              <w:spacing w:before="0" w:after="0"/>
              <w:ind w:left="0" w:right="0" w:hanging="0"/>
              <w:rPr/>
            </w:pPr>
            <w:r>
              <w:rPr/>
              <w:t> </w:t>
            </w:r>
          </w:p>
        </w:tc>
        <w:tc>
          <w:tcPr>
            <w:tcW w:w="797" w:type="dxa"/>
            <w:tcBorders/>
            <w:shd w:fill="CCEEFF" w:val="clear"/>
            <w:vAlign w:val="center"/>
          </w:tcPr>
          <w:p>
            <w:pPr>
              <w:pStyle w:val="TableContents"/>
              <w:spacing w:before="0" w:after="283"/>
              <w:jc w:val="right"/>
              <w:rPr/>
            </w:pPr>
            <w:r>
              <w:rPr/>
              <w:t>(11,316</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2" w:type="dxa"/>
            <w:tcBorders/>
            <w:shd w:fill="CCEEFF" w:val="clear"/>
            <w:vAlign w:val="center"/>
          </w:tcPr>
          <w:p>
            <w:pPr>
              <w:pStyle w:val="TableContents"/>
              <w:spacing w:before="0" w:after="0"/>
              <w:ind w:left="0" w:right="0" w:hanging="0"/>
              <w:rPr/>
            </w:pPr>
            <w:r>
              <w:rPr/>
              <w:t> </w:t>
            </w:r>
          </w:p>
        </w:tc>
        <w:tc>
          <w:tcPr>
            <w:tcW w:w="917"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9,321,812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283"/>
              <w:jc w:val="right"/>
              <w:rPr/>
            </w:pPr>
            <w:r>
              <w:rPr/>
              <w:t>5.5</w:t>
            </w:r>
          </w:p>
        </w:tc>
        <w:tc>
          <w:tcPr>
            <w:tcW w:w="296" w:type="dxa"/>
            <w:tcBorders/>
            <w:shd w:fill="CCEEFF" w:val="clear"/>
            <w:vAlign w:val="center"/>
          </w:tcPr>
          <w:p>
            <w:pPr>
              <w:pStyle w:val="TableContents"/>
              <w:spacing w:before="0" w:after="283"/>
              <w:rPr/>
            </w:pPr>
            <w:r>
              <w:rPr/>
              <w:t>%</w:t>
            </w:r>
          </w:p>
        </w:tc>
      </w:tr>
      <w:tr>
        <w:trPr/>
        <w:tc>
          <w:tcPr>
            <w:tcW w:w="169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1"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2" w:type="dxa"/>
            <w:tcBorders/>
            <w:shd w:fill="FFFFFF" w:val="clear"/>
            <w:vAlign w:val="center"/>
          </w:tcPr>
          <w:p>
            <w:pPr>
              <w:pStyle w:val="TableContents"/>
              <w:spacing w:before="0" w:after="0"/>
              <w:ind w:left="0" w:right="0" w:hanging="0"/>
              <w:rPr/>
            </w:pPr>
            <w:r>
              <w:rPr/>
              <w:t> </w:t>
            </w:r>
          </w:p>
        </w:tc>
        <w:tc>
          <w:tcPr>
            <w:tcW w:w="797"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2" w:type="dxa"/>
            <w:tcBorders/>
            <w:shd w:fill="FFFFFF" w:val="clear"/>
            <w:vAlign w:val="center"/>
          </w:tcPr>
          <w:p>
            <w:pPr>
              <w:pStyle w:val="TableContents"/>
              <w:spacing w:before="0" w:after="0"/>
              <w:ind w:left="0" w:right="0" w:hanging="0"/>
              <w:rPr/>
            </w:pPr>
            <w:r>
              <w:rPr/>
              <w:t> </w:t>
            </w:r>
          </w:p>
        </w:tc>
        <w:tc>
          <w:tcPr>
            <w:tcW w:w="917"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1" w:type="dxa"/>
            <w:tcBorders/>
            <w:shd w:fill="FFFFFF" w:val="clear"/>
            <w:vAlign w:val="center"/>
          </w:tcPr>
          <w:p>
            <w:pPr>
              <w:pStyle w:val="TableContents"/>
              <w:spacing w:before="0" w:after="0"/>
              <w:ind w:left="0" w:right="0" w:hanging="0"/>
              <w:rPr/>
            </w:pPr>
            <w:r>
              <w:rPr/>
              <w:t> </w:t>
            </w:r>
          </w:p>
        </w:tc>
        <w:tc>
          <w:tcPr>
            <w:tcW w:w="931" w:type="dxa"/>
            <w:tcBorders/>
            <w:shd w:fill="FFFFFF" w:val="clear"/>
            <w:vAlign w:val="center"/>
          </w:tcPr>
          <w:p>
            <w:pPr>
              <w:pStyle w:val="TableContents"/>
              <w:spacing w:before="0" w:after="0"/>
              <w:ind w:left="0" w:right="0" w:hanging="0"/>
              <w:rPr/>
            </w:pPr>
            <w:r>
              <w:rPr/>
              <w:t> </w:t>
            </w:r>
          </w:p>
        </w:tc>
        <w:tc>
          <w:tcPr>
            <w:tcW w:w="296" w:type="dxa"/>
            <w:tcBorders/>
            <w:shd w:fill="FFFFFF" w:val="clear"/>
            <w:vAlign w:val="center"/>
          </w:tcPr>
          <w:p>
            <w:pPr>
              <w:pStyle w:val="TableContents"/>
              <w:spacing w:before="0" w:after="0"/>
              <w:ind w:left="0" w:right="0" w:hanging="0"/>
              <w:rPr/>
            </w:pPr>
            <w:r>
              <w:rPr/>
              <w:t> </w:t>
            </w:r>
          </w:p>
        </w:tc>
      </w:tr>
      <w:tr>
        <w:trPr/>
        <w:tc>
          <w:tcPr>
            <w:tcW w:w="1698" w:type="dxa"/>
            <w:tcBorders/>
            <w:shd w:fill="CCEEFF" w:val="clear"/>
            <w:vAlign w:val="center"/>
          </w:tcPr>
          <w:p>
            <w:pPr>
              <w:pStyle w:val="TableContents"/>
              <w:spacing w:before="0" w:after="0"/>
              <w:ind w:left="0" w:right="0" w:hanging="0"/>
              <w:rPr/>
            </w:pPr>
            <w:r>
              <w:rPr/>
              <w:t xml:space="preserve">Corporate and other bonds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1"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2" w:type="dxa"/>
            <w:tcBorders/>
            <w:shd w:fill="CCEEFF" w:val="clear"/>
            <w:vAlign w:val="center"/>
          </w:tcPr>
          <w:p>
            <w:pPr>
              <w:pStyle w:val="TableContents"/>
              <w:spacing w:before="0" w:after="0"/>
              <w:ind w:left="0" w:right="0" w:hanging="0"/>
              <w:rPr/>
            </w:pPr>
            <w:r>
              <w:rPr/>
              <w:t> </w:t>
            </w:r>
          </w:p>
        </w:tc>
        <w:tc>
          <w:tcPr>
            <w:tcW w:w="797"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2" w:type="dxa"/>
            <w:tcBorders/>
            <w:shd w:fill="CCEEFF" w:val="clear"/>
            <w:vAlign w:val="center"/>
          </w:tcPr>
          <w:p>
            <w:pPr>
              <w:pStyle w:val="TableContents"/>
              <w:spacing w:before="0" w:after="0"/>
              <w:ind w:left="0" w:right="0" w:hanging="0"/>
              <w:rPr/>
            </w:pPr>
            <w:r>
              <w:rPr/>
              <w:t> </w:t>
            </w:r>
          </w:p>
        </w:tc>
        <w:tc>
          <w:tcPr>
            <w:tcW w:w="917"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rPr/>
            </w:pPr>
            <w:r>
              <w:rPr/>
              <w:t> </w:t>
            </w:r>
          </w:p>
        </w:tc>
        <w:tc>
          <w:tcPr>
            <w:tcW w:w="296" w:type="dxa"/>
            <w:tcBorders/>
            <w:shd w:fill="CCEEFF" w:val="clear"/>
            <w:vAlign w:val="center"/>
          </w:tcPr>
          <w:p>
            <w:pPr>
              <w:pStyle w:val="TableContents"/>
              <w:spacing w:before="0" w:after="0"/>
              <w:ind w:left="0" w:right="0" w:hanging="0"/>
              <w:rPr/>
            </w:pPr>
            <w:r>
              <w:rPr/>
              <w:t> </w:t>
            </w:r>
          </w:p>
        </w:tc>
      </w:tr>
      <w:tr>
        <w:trPr/>
        <w:tc>
          <w:tcPr>
            <w:tcW w:w="1698" w:type="dxa"/>
            <w:tcBorders/>
            <w:shd w:fill="CCEEFF" w:val="clear"/>
            <w:vAlign w:val="center"/>
          </w:tcPr>
          <w:p>
            <w:pPr>
              <w:pStyle w:val="TableContents"/>
              <w:spacing w:before="0" w:after="0"/>
              <w:ind w:left="0" w:right="0" w:hanging="0"/>
              <w:rPr/>
            </w:pPr>
            <w:r>
              <w:rPr/>
              <w:t xml:space="preserve">Industrial and miscellaneous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119,874,573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1" w:type="dxa"/>
            <w:tcBorders/>
            <w:shd w:fill="CCEEFF" w:val="clear"/>
            <w:vAlign w:val="center"/>
          </w:tcPr>
          <w:p>
            <w:pPr>
              <w:pStyle w:val="TableContents"/>
              <w:spacing w:before="0" w:after="283"/>
              <w:jc w:val="right"/>
              <w:rPr/>
            </w:pPr>
            <w:r>
              <w:rPr/>
              <w:t>5,777,624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2" w:type="dxa"/>
            <w:tcBorders/>
            <w:shd w:fill="CCEEFF" w:val="clear"/>
            <w:vAlign w:val="center"/>
          </w:tcPr>
          <w:p>
            <w:pPr>
              <w:pStyle w:val="TableContents"/>
              <w:spacing w:before="0" w:after="0"/>
              <w:ind w:left="0" w:right="0" w:hanging="0"/>
              <w:rPr/>
            </w:pPr>
            <w:r>
              <w:rPr/>
              <w:t> </w:t>
            </w:r>
          </w:p>
        </w:tc>
        <w:tc>
          <w:tcPr>
            <w:tcW w:w="797" w:type="dxa"/>
            <w:tcBorders/>
            <w:shd w:fill="CCEEFF" w:val="clear"/>
            <w:vAlign w:val="center"/>
          </w:tcPr>
          <w:p>
            <w:pPr>
              <w:pStyle w:val="TableContents"/>
              <w:spacing w:before="0" w:after="283"/>
              <w:jc w:val="right"/>
              <w:rPr/>
            </w:pPr>
            <w:r>
              <w:rPr/>
              <w:t>(16,685</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2" w:type="dxa"/>
            <w:tcBorders/>
            <w:shd w:fill="CCEEFF" w:val="clear"/>
            <w:vAlign w:val="center"/>
          </w:tcPr>
          <w:p>
            <w:pPr>
              <w:pStyle w:val="TableContents"/>
              <w:spacing w:before="0" w:after="0"/>
              <w:ind w:left="0" w:right="0" w:hanging="0"/>
              <w:rPr/>
            </w:pPr>
            <w:r>
              <w:rPr/>
              <w:t> </w:t>
            </w:r>
          </w:p>
        </w:tc>
        <w:tc>
          <w:tcPr>
            <w:tcW w:w="917" w:type="dxa"/>
            <w:tcBorders/>
            <w:shd w:fill="CCEEFF" w:val="clear"/>
            <w:vAlign w:val="center"/>
          </w:tcPr>
          <w:p>
            <w:pPr>
              <w:pStyle w:val="TableContents"/>
              <w:spacing w:before="0" w:after="283"/>
              <w:jc w:val="right"/>
              <w:rPr/>
            </w:pPr>
            <w:r>
              <w:rPr/>
              <w:t>(13,473</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125,622,039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283"/>
              <w:jc w:val="right"/>
              <w:rPr/>
            </w:pPr>
            <w:r>
              <w:rPr/>
              <w:t>74.7</w:t>
            </w:r>
          </w:p>
        </w:tc>
        <w:tc>
          <w:tcPr>
            <w:tcW w:w="296" w:type="dxa"/>
            <w:tcBorders/>
            <w:shd w:fill="CCEEFF" w:val="clear"/>
            <w:vAlign w:val="center"/>
          </w:tcPr>
          <w:p>
            <w:pPr>
              <w:pStyle w:val="TableContents"/>
              <w:spacing w:before="0" w:after="283"/>
              <w:rPr/>
            </w:pPr>
            <w:r>
              <w:rPr/>
              <w:t>%</w:t>
            </w:r>
          </w:p>
        </w:tc>
      </w:tr>
      <w:tr>
        <w:trPr/>
        <w:tc>
          <w:tcPr>
            <w:tcW w:w="169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1"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2" w:type="dxa"/>
            <w:tcBorders/>
            <w:shd w:fill="FFFFFF" w:val="clear"/>
            <w:vAlign w:val="center"/>
          </w:tcPr>
          <w:p>
            <w:pPr>
              <w:pStyle w:val="TableContents"/>
              <w:spacing w:before="0" w:after="0"/>
              <w:ind w:left="0" w:right="0" w:hanging="0"/>
              <w:rPr/>
            </w:pPr>
            <w:r>
              <w:rPr/>
              <w:t> </w:t>
            </w:r>
          </w:p>
        </w:tc>
        <w:tc>
          <w:tcPr>
            <w:tcW w:w="797"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2" w:type="dxa"/>
            <w:tcBorders/>
            <w:shd w:fill="FFFFFF" w:val="clear"/>
            <w:vAlign w:val="center"/>
          </w:tcPr>
          <w:p>
            <w:pPr>
              <w:pStyle w:val="TableContents"/>
              <w:spacing w:before="0" w:after="0"/>
              <w:ind w:left="0" w:right="0" w:hanging="0"/>
              <w:rPr/>
            </w:pPr>
            <w:r>
              <w:rPr/>
              <w:t> </w:t>
            </w:r>
          </w:p>
        </w:tc>
        <w:tc>
          <w:tcPr>
            <w:tcW w:w="917"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1" w:type="dxa"/>
            <w:tcBorders/>
            <w:shd w:fill="FFFFFF" w:val="clear"/>
            <w:vAlign w:val="center"/>
          </w:tcPr>
          <w:p>
            <w:pPr>
              <w:pStyle w:val="TableContents"/>
              <w:spacing w:before="0" w:after="0"/>
              <w:ind w:left="0" w:right="0" w:hanging="0"/>
              <w:rPr/>
            </w:pPr>
            <w:r>
              <w:rPr/>
              <w:t> </w:t>
            </w:r>
          </w:p>
        </w:tc>
        <w:tc>
          <w:tcPr>
            <w:tcW w:w="931" w:type="dxa"/>
            <w:tcBorders/>
            <w:shd w:fill="FFFFFF" w:val="clear"/>
            <w:vAlign w:val="center"/>
          </w:tcPr>
          <w:p>
            <w:pPr>
              <w:pStyle w:val="TableContents"/>
              <w:spacing w:before="0" w:after="0"/>
              <w:ind w:left="0" w:right="0" w:hanging="0"/>
              <w:rPr/>
            </w:pPr>
            <w:r>
              <w:rPr/>
              <w:t> </w:t>
            </w:r>
          </w:p>
        </w:tc>
        <w:tc>
          <w:tcPr>
            <w:tcW w:w="296" w:type="dxa"/>
            <w:tcBorders/>
            <w:shd w:fill="FFFFFF" w:val="clear"/>
            <w:vAlign w:val="center"/>
          </w:tcPr>
          <w:p>
            <w:pPr>
              <w:pStyle w:val="TableContents"/>
              <w:spacing w:before="0" w:after="0"/>
              <w:ind w:left="0" w:right="0" w:hanging="0"/>
              <w:rPr/>
            </w:pPr>
            <w:r>
              <w:rPr/>
              <w:t> </w:t>
            </w:r>
          </w:p>
        </w:tc>
      </w:tr>
      <w:tr>
        <w:trPr/>
        <w:tc>
          <w:tcPr>
            <w:tcW w:w="1698" w:type="dxa"/>
            <w:tcBorders/>
            <w:shd w:fill="CCEEFF" w:val="clear"/>
            <w:vAlign w:val="center"/>
          </w:tcPr>
          <w:p>
            <w:pPr>
              <w:pStyle w:val="TableContents"/>
              <w:spacing w:before="0" w:after="0"/>
              <w:ind w:left="0" w:right="0" w:hanging="0"/>
              <w:rPr/>
            </w:pPr>
            <w:r>
              <w:rPr/>
              <w:t xml:space="preserve">Residential mortgage and other </w:t>
            </w:r>
          </w:p>
          <w:p>
            <w:pPr>
              <w:pStyle w:val="TableContents"/>
              <w:spacing w:before="0" w:after="0"/>
              <w:ind w:left="0" w:right="0" w:hanging="0"/>
              <w:rPr>
                <w:rFonts w:ascii="times new roman" w:hAnsi="times new roman"/>
                <w:sz w:val="20"/>
              </w:rPr>
            </w:pPr>
            <w:r>
              <w:rPr>
                <w:rFonts w:ascii="times new roman" w:hAnsi="times new roman"/>
                <w:sz w:val="20"/>
              </w:rPr>
              <w:t>asset backed securities (1)</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26,138,633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1" w:type="dxa"/>
            <w:tcBorders>
              <w:bottom w:val="single" w:sz="2" w:space="0" w:color="000000"/>
            </w:tcBorders>
            <w:shd w:fill="CCEEFF" w:val="clear"/>
            <w:tcMar>
              <w:bottom w:w="28" w:type="dxa"/>
            </w:tcMar>
            <w:vAlign w:val="center"/>
          </w:tcPr>
          <w:p>
            <w:pPr>
              <w:pStyle w:val="TableContents"/>
              <w:spacing w:before="0" w:after="283"/>
              <w:jc w:val="right"/>
              <w:rPr/>
            </w:pPr>
            <w:r>
              <w:rPr/>
              <w:t>437,841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2"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7" w:type="dxa"/>
            <w:tcBorders>
              <w:bottom w:val="single" w:sz="2" w:space="0" w:color="000000"/>
            </w:tcBorders>
            <w:shd w:fill="CCEEFF" w:val="clear"/>
            <w:tcMar>
              <w:bottom w:w="28" w:type="dxa"/>
            </w:tcMar>
            <w:vAlign w:val="center"/>
          </w:tcPr>
          <w:p>
            <w:pPr>
              <w:pStyle w:val="TableContents"/>
              <w:spacing w:before="0" w:after="283"/>
              <w:jc w:val="right"/>
              <w:rPr/>
            </w:pPr>
            <w:r>
              <w:rPr/>
              <w:t>(68,793</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2"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17" w:type="dxa"/>
            <w:tcBorders>
              <w:bottom w:val="single" w:sz="2" w:space="0" w:color="000000"/>
            </w:tcBorders>
            <w:shd w:fill="CCEEFF" w:val="clear"/>
            <w:tcMar>
              <w:bottom w:w="28" w:type="dxa"/>
            </w:tcMar>
            <w:vAlign w:val="center"/>
          </w:tcPr>
          <w:p>
            <w:pPr>
              <w:pStyle w:val="TableContents"/>
              <w:spacing w:before="0" w:after="283"/>
              <w:jc w:val="right"/>
              <w:rPr/>
            </w:pPr>
            <w:r>
              <w:rPr/>
              <w:t>(276,451</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26,231,230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283"/>
              <w:jc w:val="right"/>
              <w:rPr/>
            </w:pPr>
            <w:r>
              <w:rPr/>
              <w:t>15.6</w:t>
            </w:r>
          </w:p>
        </w:tc>
        <w:tc>
          <w:tcPr>
            <w:tcW w:w="296" w:type="dxa"/>
            <w:tcBorders/>
            <w:shd w:fill="CCEEFF" w:val="clear"/>
            <w:vAlign w:val="center"/>
          </w:tcPr>
          <w:p>
            <w:pPr>
              <w:pStyle w:val="TableContents"/>
              <w:spacing w:before="0" w:after="283"/>
              <w:rPr/>
            </w:pPr>
            <w:r>
              <w:rPr/>
              <w:t>%</w:t>
            </w:r>
          </w:p>
        </w:tc>
      </w:tr>
      <w:tr>
        <w:trPr/>
        <w:tc>
          <w:tcPr>
            <w:tcW w:w="1698" w:type="dxa"/>
            <w:tcBorders/>
            <w:shd w:fill="FFFFFF" w:val="clear"/>
            <w:vAlign w:val="center"/>
          </w:tcPr>
          <w:p>
            <w:pPr>
              <w:pStyle w:val="TableContents"/>
              <w:spacing w:before="0" w:after="0"/>
              <w:ind w:left="0" w:right="0" w:firstLine="180"/>
              <w:rPr/>
            </w:pPr>
            <w:r>
              <w:rPr/>
              <w:t xml:space="preserve">Total fixed-maturity securities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162,202,355</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011" w:type="dxa"/>
            <w:tcBorders>
              <w:bottom w:val="double" w:sz="6" w:space="0" w:color="000000"/>
            </w:tcBorders>
            <w:shd w:fill="FFFFFF" w:val="clear"/>
            <w:tcMar>
              <w:bottom w:w="28" w:type="dxa"/>
            </w:tcMar>
            <w:vAlign w:val="center"/>
          </w:tcPr>
          <w:p>
            <w:pPr>
              <w:pStyle w:val="TableContents"/>
              <w:spacing w:before="0" w:after="283"/>
              <w:jc w:val="right"/>
              <w:rPr/>
            </w:pPr>
            <w:r>
              <w:rPr/>
              <w:t>6,420,544</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2" w:type="dxa"/>
            <w:tcBorders>
              <w:bottom w:val="double" w:sz="6" w:space="0" w:color="000000"/>
            </w:tcBorders>
            <w:shd w:fill="FFFFFF" w:val="clear"/>
            <w:tcMar>
              <w:bottom w:w="28" w:type="dxa"/>
            </w:tcMar>
            <w:vAlign w:val="center"/>
          </w:tcPr>
          <w:p>
            <w:pPr>
              <w:pStyle w:val="TableContents"/>
              <w:spacing w:before="0" w:after="283"/>
              <w:rPr/>
            </w:pPr>
            <w:r>
              <w:rPr/>
              <w:t>$</w:t>
            </w:r>
          </w:p>
        </w:tc>
        <w:tc>
          <w:tcPr>
            <w:tcW w:w="797" w:type="dxa"/>
            <w:tcBorders>
              <w:bottom w:val="double" w:sz="6" w:space="0" w:color="000000"/>
            </w:tcBorders>
            <w:shd w:fill="FFFFFF" w:val="clear"/>
            <w:tcMar>
              <w:bottom w:w="28" w:type="dxa"/>
            </w:tcMar>
            <w:vAlign w:val="center"/>
          </w:tcPr>
          <w:p>
            <w:pPr>
              <w:pStyle w:val="TableContents"/>
              <w:spacing w:before="0" w:after="283"/>
              <w:jc w:val="right"/>
              <w:rPr/>
            </w:pPr>
            <w:r>
              <w:rPr/>
              <w:t>(96,794</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2" w:type="dxa"/>
            <w:tcBorders>
              <w:bottom w:val="double" w:sz="6" w:space="0" w:color="000000"/>
            </w:tcBorders>
            <w:shd w:fill="FFFFFF" w:val="clear"/>
            <w:tcMar>
              <w:bottom w:w="28" w:type="dxa"/>
            </w:tcMar>
            <w:vAlign w:val="center"/>
          </w:tcPr>
          <w:p>
            <w:pPr>
              <w:pStyle w:val="TableContents"/>
              <w:spacing w:before="0" w:after="283"/>
              <w:rPr/>
            </w:pPr>
            <w:r>
              <w:rPr/>
              <w:t>$</w:t>
            </w:r>
          </w:p>
        </w:tc>
        <w:tc>
          <w:tcPr>
            <w:tcW w:w="917" w:type="dxa"/>
            <w:tcBorders>
              <w:bottom w:val="double" w:sz="6" w:space="0" w:color="000000"/>
            </w:tcBorders>
            <w:shd w:fill="FFFFFF" w:val="clear"/>
            <w:tcMar>
              <w:bottom w:w="28" w:type="dxa"/>
            </w:tcMar>
            <w:vAlign w:val="center"/>
          </w:tcPr>
          <w:p>
            <w:pPr>
              <w:pStyle w:val="TableContents"/>
              <w:spacing w:before="0" w:after="283"/>
              <w:jc w:val="right"/>
              <w:rPr/>
            </w:pPr>
            <w:r>
              <w:rPr/>
              <w:t>(289,924</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168,236,181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1" w:type="dxa"/>
            <w:tcBorders>
              <w:bottom w:val="double" w:sz="6" w:space="0" w:color="000000"/>
            </w:tcBorders>
            <w:shd w:fill="FFFFFF" w:val="clear"/>
            <w:tcMar>
              <w:bottom w:w="28" w:type="dxa"/>
            </w:tcMar>
            <w:vAlign w:val="center"/>
          </w:tcPr>
          <w:p>
            <w:pPr>
              <w:pStyle w:val="TableContents"/>
              <w:spacing w:before="0" w:after="0"/>
              <w:ind w:left="0" w:right="0" w:hanging="0"/>
              <w:rPr/>
            </w:pPr>
            <w:r>
              <w:rPr/>
              <w:t> </w:t>
            </w:r>
          </w:p>
        </w:tc>
        <w:tc>
          <w:tcPr>
            <w:tcW w:w="931" w:type="dxa"/>
            <w:tcBorders>
              <w:bottom w:val="double" w:sz="6" w:space="0" w:color="000000"/>
            </w:tcBorders>
            <w:shd w:fill="FFFFFF" w:val="clear"/>
            <w:tcMar>
              <w:bottom w:w="28" w:type="dxa"/>
            </w:tcMar>
            <w:vAlign w:val="center"/>
          </w:tcPr>
          <w:p>
            <w:pPr>
              <w:pStyle w:val="TableContents"/>
              <w:spacing w:before="0" w:after="283"/>
              <w:jc w:val="right"/>
              <w:rPr/>
            </w:pPr>
            <w:r>
              <w:rPr/>
              <w:t>100.0</w:t>
            </w:r>
          </w:p>
        </w:tc>
        <w:tc>
          <w:tcPr>
            <w:tcW w:w="296" w:type="dxa"/>
            <w:tcBorders/>
            <w:shd w:fill="FFFFFF" w:val="clear"/>
            <w:vAlign w:val="center"/>
          </w:tcPr>
          <w:p>
            <w:pPr>
              <w:pStyle w:val="TableContents"/>
              <w:spacing w:before="0" w:after="283"/>
              <w:rPr/>
            </w:pPr>
            <w:r>
              <w:rPr/>
              <w:t>%</w:t>
            </w:r>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279"/>
        <w:gridCol w:w="9926"/>
      </w:tblGrid>
      <w:tr>
        <w:trPr/>
        <w:tc>
          <w:tcPr>
            <w:tcW w:w="279" w:type="dxa"/>
            <w:tcBorders/>
            <w:shd w:fill="auto" w:val="clear"/>
            <w:vAlign w:val="center"/>
          </w:tcPr>
          <w:p>
            <w:pPr>
              <w:pStyle w:val="TableContents"/>
              <w:spacing w:before="0" w:after="283"/>
              <w:rPr/>
            </w:pPr>
            <w:r>
              <w:rPr/>
              <w:t xml:space="preserve">(1) </w:t>
            </w:r>
          </w:p>
        </w:tc>
        <w:tc>
          <w:tcPr>
            <w:tcW w:w="9926" w:type="dxa"/>
            <w:tcBorders/>
            <w:shd w:fill="auto" w:val="clear"/>
            <w:vAlign w:val="center"/>
          </w:tcPr>
          <w:p>
            <w:pPr>
              <w:pStyle w:val="TableContents"/>
              <w:spacing w:before="0" w:after="283"/>
              <w:rPr/>
            </w:pPr>
            <w:r>
              <w:rPr/>
              <w:t>KICO placed certain residential mortgage backed securities as eligible collateral in a designated custodian account related to its membership in FHLBNY (see note 9, in the accompanying consolidated financial statements following Item 16 of this Annual Report). The eligible collateral would be pledged to FHLBNY if KICO draws an advance from the FHLBNY credit line. As of December 31, 2019, the estimated fair value of the eligible investments was approximately $7,284,000. KICO will retain all rights regarding all securities if pledged as collateral. As of December 31, 2019, there was no outstanding balance on the FHLBNY credit line.</w:t>
            </w:r>
          </w:p>
        </w:tc>
      </w:tr>
    </w:tbl>
    <w:p>
      <w:pPr>
        <w:pStyle w:val="TextBody"/>
        <w:spacing w:before="0" w:after="0"/>
        <w:ind w:left="0" w:right="0" w:hanging="0"/>
        <w:jc w:val="both"/>
        <w:rPr/>
      </w:pPr>
      <w:r>
        <w:rPr/>
        <w:t xml:space="preserve">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48</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u w:val="single"/>
        </w:rPr>
      </w:pPr>
      <w:r>
        <w:rPr>
          <w:rFonts w:ascii="times new roman" w:hAnsi="times new roman"/>
          <w:sz w:val="20"/>
          <w:u w:val="single"/>
        </w:rPr>
        <w:t>Equity Securities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The following table presents a breakdown of the cost, estimated fair value, and gross gains and losses of investments in equity securities as of December 31, 2020 and 2019: </w:t>
      </w:r>
    </w:p>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3011"/>
        <w:gridCol w:w="90"/>
        <w:gridCol w:w="170"/>
        <w:gridCol w:w="1130"/>
        <w:gridCol w:w="90"/>
        <w:gridCol w:w="90"/>
        <w:gridCol w:w="170"/>
        <w:gridCol w:w="1010"/>
        <w:gridCol w:w="90"/>
        <w:gridCol w:w="90"/>
        <w:gridCol w:w="170"/>
        <w:gridCol w:w="905"/>
        <w:gridCol w:w="125"/>
        <w:gridCol w:w="90"/>
        <w:gridCol w:w="170"/>
        <w:gridCol w:w="1130"/>
        <w:gridCol w:w="90"/>
        <w:gridCol w:w="90"/>
        <w:gridCol w:w="156"/>
        <w:gridCol w:w="1046"/>
        <w:gridCol w:w="292"/>
      </w:tblGrid>
      <w:tr>
        <w:trPr/>
        <w:tc>
          <w:tcPr>
            <w:tcW w:w="3011"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6812" w:type="dxa"/>
            <w:gridSpan w:val="18"/>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December 31, 2020</w:t>
            </w:r>
          </w:p>
        </w:tc>
        <w:tc>
          <w:tcPr>
            <w:tcW w:w="292" w:type="dxa"/>
            <w:tcBorders/>
            <w:shd w:fill="auto" w:val="clear"/>
            <w:vAlign w:val="center"/>
          </w:tcPr>
          <w:p>
            <w:pPr>
              <w:pStyle w:val="TableContents"/>
              <w:spacing w:before="0" w:after="0"/>
              <w:ind w:left="0" w:right="0" w:hanging="0"/>
              <w:rPr/>
            </w:pPr>
            <w:r>
              <w:rPr/>
              <w:t> </w:t>
            </w:r>
          </w:p>
        </w:tc>
      </w:tr>
      <w:tr>
        <w:trPr/>
        <w:tc>
          <w:tcPr>
            <w:tcW w:w="3011"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Pr>
              <w:t>Estimated</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02" w:type="dxa"/>
            <w:gridSpan w:val="2"/>
            <w:tcBorders/>
            <w:shd w:fill="auto" w:val="clear"/>
            <w:vAlign w:val="center"/>
          </w:tcPr>
          <w:p>
            <w:pPr>
              <w:pStyle w:val="TableContents"/>
              <w:spacing w:before="0" w:after="0"/>
              <w:ind w:left="0" w:right="0" w:hanging="0"/>
              <w:jc w:val="center"/>
              <w:rPr/>
            </w:pPr>
            <w:r>
              <w:rPr>
                <w:rStyle w:val="StrongEmphasis"/>
              </w:rPr>
              <w:t xml:space="preserve">% of </w:t>
            </w:r>
          </w:p>
        </w:tc>
        <w:tc>
          <w:tcPr>
            <w:tcW w:w="292" w:type="dxa"/>
            <w:tcBorders/>
            <w:shd w:fill="auto" w:val="clear"/>
            <w:vAlign w:val="center"/>
          </w:tcPr>
          <w:p>
            <w:pPr>
              <w:pStyle w:val="TableContents"/>
              <w:spacing w:before="0" w:after="0"/>
              <w:ind w:left="0" w:right="0" w:hanging="0"/>
              <w:rPr/>
            </w:pPr>
            <w:r>
              <w:rPr/>
              <w:t> </w:t>
            </w:r>
          </w:p>
        </w:tc>
      </w:tr>
      <w:tr>
        <w:trPr/>
        <w:tc>
          <w:tcPr>
            <w:tcW w:w="3011"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 xml:space="preserve">Gross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jc w:val="center"/>
              <w:rPr/>
            </w:pPr>
            <w:r>
              <w:rPr>
                <w:rStyle w:val="StrongEmphasis"/>
              </w:rPr>
              <w:t xml:space="preserve">Gross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Pr>
              <w:t xml:space="preserve">Fair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02" w:type="dxa"/>
            <w:gridSpan w:val="2"/>
            <w:tcBorders/>
            <w:shd w:fill="auto" w:val="clear"/>
            <w:vAlign w:val="center"/>
          </w:tcPr>
          <w:p>
            <w:pPr>
              <w:pStyle w:val="TableContents"/>
              <w:spacing w:before="0" w:after="0"/>
              <w:ind w:left="0" w:right="0" w:hanging="0"/>
              <w:jc w:val="center"/>
              <w:rPr/>
            </w:pPr>
            <w:r>
              <w:rPr>
                <w:rStyle w:val="StrongEmphasis"/>
              </w:rPr>
              <w:t xml:space="preserve">Estimated </w:t>
            </w:r>
          </w:p>
        </w:tc>
        <w:tc>
          <w:tcPr>
            <w:tcW w:w="292" w:type="dxa"/>
            <w:tcBorders/>
            <w:shd w:fill="auto" w:val="clear"/>
            <w:vAlign w:val="center"/>
          </w:tcPr>
          <w:p>
            <w:pPr>
              <w:pStyle w:val="TableContents"/>
              <w:spacing w:before="0" w:after="0"/>
              <w:ind w:left="0" w:right="0" w:hanging="0"/>
              <w:rPr/>
            </w:pPr>
            <w:r>
              <w:rPr/>
              <w:t> </w:t>
            </w:r>
          </w:p>
        </w:tc>
      </w:tr>
      <w:tr>
        <w:trPr/>
        <w:tc>
          <w:tcPr>
            <w:tcW w:w="3011"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Pr>
              <w:t xml:space="preserve">Category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Cost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Gains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Losses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Value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Fair Value </w:t>
            </w:r>
          </w:p>
        </w:tc>
        <w:tc>
          <w:tcPr>
            <w:tcW w:w="292" w:type="dxa"/>
            <w:tcBorders/>
            <w:shd w:fill="auto" w:val="clear"/>
            <w:vAlign w:val="center"/>
          </w:tcPr>
          <w:p>
            <w:pPr>
              <w:pStyle w:val="TableContents"/>
              <w:spacing w:before="0" w:after="0"/>
              <w:ind w:left="0" w:right="0" w:hanging="0"/>
              <w:rPr/>
            </w:pPr>
            <w:r>
              <w:rPr/>
              <w:t> </w:t>
            </w:r>
          </w:p>
        </w:tc>
      </w:tr>
      <w:tr>
        <w:trPr/>
        <w:tc>
          <w:tcPr>
            <w:tcW w:w="3011"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c>
          <w:tcPr>
            <w:tcW w:w="1010" w:type="dxa"/>
            <w:tcBorders/>
            <w:shd w:fill="auto" w:val="clear"/>
            <w:vAlign w:val="center"/>
          </w:tcPr>
          <w:p>
            <w:pPr>
              <w:pStyle w:val="TableContents"/>
              <w:spacing w:before="0" w:after="0"/>
              <w:ind w:left="0" w:right="0" w:hanging="0"/>
              <w:rPr/>
            </w:pPr>
            <w:r>
              <w:rPr/>
              <w:t> </w:t>
            </w:r>
          </w:p>
        </w:tc>
        <w:tc>
          <w:tcPr>
            <w:tcW w:w="4444" w:type="dxa"/>
            <w:gridSpan w:val="13"/>
            <w:tcBorders/>
            <w:shd w:fill="auto" w:val="clear"/>
            <w:vAlign w:val="center"/>
          </w:tcPr>
          <w:p>
            <w:pPr>
              <w:pStyle w:val="TableContents"/>
              <w:spacing w:before="0" w:after="0"/>
              <w:ind w:left="0" w:right="0" w:hanging="0"/>
              <w:rPr/>
            </w:pPr>
            <w:r>
              <w:rPr/>
              <w:t> </w:t>
            </w:r>
          </w:p>
        </w:tc>
      </w:tr>
      <w:tr>
        <w:trPr/>
        <w:tc>
          <w:tcPr>
            <w:tcW w:w="3011" w:type="dxa"/>
            <w:tcBorders/>
            <w:shd w:fill="auto" w:val="clear"/>
            <w:vAlign w:val="center"/>
          </w:tcPr>
          <w:p>
            <w:pPr>
              <w:pStyle w:val="TableContents"/>
              <w:spacing w:before="0" w:after="0"/>
              <w:ind w:left="0" w:right="0" w:hanging="0"/>
              <w:rPr/>
            </w:pPr>
            <w:r>
              <w:rPr>
                <w:rStyle w:val="StrongEmphasis"/>
              </w:rPr>
              <w:t xml:space="preserve">Equity Securities: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02" w:type="dxa"/>
            <w:gridSpan w:val="2"/>
            <w:tcBorders/>
            <w:shd w:fill="auto" w:val="clear"/>
            <w:vAlign w:val="center"/>
          </w:tcPr>
          <w:p>
            <w:pPr>
              <w:pStyle w:val="TableContents"/>
              <w:spacing w:before="0" w:after="0"/>
              <w:ind w:left="0" w:right="0" w:hanging="0"/>
              <w:rPr/>
            </w:pPr>
            <w:r>
              <w:rPr/>
              <w:t> </w:t>
            </w:r>
          </w:p>
        </w:tc>
        <w:tc>
          <w:tcPr>
            <w:tcW w:w="292" w:type="dxa"/>
            <w:tcBorders/>
            <w:shd w:fill="auto" w:val="clear"/>
            <w:vAlign w:val="center"/>
          </w:tcPr>
          <w:p>
            <w:pPr>
              <w:pStyle w:val="TableContents"/>
              <w:spacing w:before="0" w:after="0"/>
              <w:ind w:left="0" w:right="0" w:hanging="0"/>
              <w:rPr/>
            </w:pPr>
            <w:r>
              <w:rPr/>
              <w:t> </w:t>
            </w:r>
          </w:p>
        </w:tc>
      </w:tr>
      <w:tr>
        <w:trPr/>
        <w:tc>
          <w:tcPr>
            <w:tcW w:w="3011" w:type="dxa"/>
            <w:tcBorders/>
            <w:shd w:fill="CCEEFF" w:val="clear"/>
            <w:vAlign w:val="center"/>
          </w:tcPr>
          <w:p>
            <w:pPr>
              <w:pStyle w:val="TableContents"/>
              <w:spacing w:before="0" w:after="0"/>
              <w:ind w:left="0" w:right="0" w:hanging="0"/>
              <w:rPr/>
            </w:pPr>
            <w:r>
              <w:rPr/>
              <w:t xml:space="preserve">Preferred stocks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18,097,942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853,277</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905" w:type="dxa"/>
            <w:tcBorders/>
            <w:shd w:fill="CCEEFF" w:val="clear"/>
            <w:vAlign w:val="center"/>
          </w:tcPr>
          <w:p>
            <w:pPr>
              <w:pStyle w:val="TableContents"/>
              <w:spacing w:before="0" w:after="283"/>
              <w:jc w:val="right"/>
              <w:rPr/>
            </w:pPr>
            <w:r>
              <w:rPr/>
              <w:t>(426,942</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18,524,277</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56" w:type="dxa"/>
            <w:tcBorders/>
            <w:shd w:fill="CCEEFF" w:val="clear"/>
            <w:vAlign w:val="center"/>
          </w:tcPr>
          <w:p>
            <w:pPr>
              <w:pStyle w:val="TableContents"/>
              <w:spacing w:before="0" w:after="0"/>
              <w:ind w:left="0" w:right="0" w:hanging="0"/>
              <w:rPr/>
            </w:pPr>
            <w:r>
              <w:rPr/>
              <w:t> </w:t>
            </w:r>
          </w:p>
        </w:tc>
        <w:tc>
          <w:tcPr>
            <w:tcW w:w="1046" w:type="dxa"/>
            <w:tcBorders/>
            <w:shd w:fill="CCEEFF" w:val="clear"/>
            <w:vAlign w:val="center"/>
          </w:tcPr>
          <w:p>
            <w:pPr>
              <w:pStyle w:val="TableContents"/>
              <w:spacing w:before="0" w:after="283"/>
              <w:jc w:val="right"/>
              <w:rPr/>
            </w:pPr>
            <w:r>
              <w:rPr/>
              <w:t>53.8</w:t>
            </w:r>
          </w:p>
        </w:tc>
        <w:tc>
          <w:tcPr>
            <w:tcW w:w="292" w:type="dxa"/>
            <w:tcBorders/>
            <w:shd w:fill="CCEEFF" w:val="clear"/>
            <w:vAlign w:val="center"/>
          </w:tcPr>
          <w:p>
            <w:pPr>
              <w:pStyle w:val="TableContents"/>
              <w:spacing w:before="0" w:after="283"/>
              <w:rPr/>
            </w:pPr>
            <w:r>
              <w:rPr/>
              <w:t>%</w:t>
            </w:r>
          </w:p>
        </w:tc>
      </w:tr>
      <w:tr>
        <w:trPr/>
        <w:tc>
          <w:tcPr>
            <w:tcW w:w="3011" w:type="dxa"/>
            <w:tcBorders/>
            <w:shd w:fill="FFFFFF" w:val="clear"/>
            <w:vAlign w:val="center"/>
          </w:tcPr>
          <w:p>
            <w:pPr>
              <w:pStyle w:val="TableContents"/>
              <w:spacing w:before="0" w:after="0"/>
              <w:ind w:left="0" w:right="0" w:hanging="0"/>
              <w:rPr/>
            </w:pPr>
            <w:r>
              <w:rPr/>
              <w:t xml:space="preserve">Common stocks and exchange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56" w:type="dxa"/>
            <w:tcBorders/>
            <w:shd w:fill="FFFFFF" w:val="clear"/>
            <w:vAlign w:val="center"/>
          </w:tcPr>
          <w:p>
            <w:pPr>
              <w:pStyle w:val="TableContents"/>
              <w:spacing w:before="0" w:after="0"/>
              <w:ind w:left="0" w:right="0" w:hanging="0"/>
              <w:rPr/>
            </w:pPr>
            <w:r>
              <w:rPr/>
              <w:t> </w:t>
            </w:r>
          </w:p>
        </w:tc>
        <w:tc>
          <w:tcPr>
            <w:tcW w:w="1046" w:type="dxa"/>
            <w:tcBorders/>
            <w:shd w:fill="FFFFFF" w:val="clear"/>
            <w:vAlign w:val="center"/>
          </w:tcPr>
          <w:p>
            <w:pPr>
              <w:pStyle w:val="TableContents"/>
              <w:spacing w:before="0" w:after="0"/>
              <w:ind w:left="0" w:right="0" w:hanging="0"/>
              <w:rPr/>
            </w:pPr>
            <w:r>
              <w:rPr/>
              <w:t> </w:t>
            </w:r>
          </w:p>
        </w:tc>
        <w:tc>
          <w:tcPr>
            <w:tcW w:w="292" w:type="dxa"/>
            <w:tcBorders/>
            <w:shd w:fill="FFFFFF" w:val="clear"/>
            <w:vAlign w:val="center"/>
          </w:tcPr>
          <w:p>
            <w:pPr>
              <w:pStyle w:val="TableContents"/>
              <w:spacing w:before="0" w:after="0"/>
              <w:ind w:left="0" w:right="0" w:hanging="0"/>
              <w:rPr/>
            </w:pPr>
            <w:r>
              <w:rPr/>
              <w:t> </w:t>
            </w:r>
          </w:p>
        </w:tc>
      </w:tr>
      <w:tr>
        <w:trPr/>
        <w:tc>
          <w:tcPr>
            <w:tcW w:w="3011" w:type="dxa"/>
            <w:tcBorders/>
            <w:shd w:fill="CCEEFF" w:val="clear"/>
            <w:vAlign w:val="center"/>
          </w:tcPr>
          <w:p>
            <w:pPr>
              <w:pStyle w:val="TableContents"/>
              <w:spacing w:before="0" w:after="0"/>
              <w:ind w:left="0" w:right="0" w:firstLine="180"/>
              <w:rPr/>
            </w:pPr>
            <w:r>
              <w:rPr/>
              <w:t xml:space="preserve">traded mutual funds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CCEEFF" w:val="clear"/>
            <w:tcMar>
              <w:bottom w:w="28" w:type="dxa"/>
            </w:tcMar>
            <w:vAlign w:val="center"/>
          </w:tcPr>
          <w:p>
            <w:pPr>
              <w:pStyle w:val="TableContents"/>
              <w:spacing w:before="0" w:after="283"/>
              <w:jc w:val="right"/>
              <w:rPr/>
            </w:pPr>
            <w:r>
              <w:rPr/>
              <w:t>14,473,224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1,820,512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05" w:type="dxa"/>
            <w:tcBorders>
              <w:bottom w:val="single" w:sz="2" w:space="0" w:color="000000"/>
            </w:tcBorders>
            <w:shd w:fill="CCEEFF" w:val="clear"/>
            <w:tcMar>
              <w:bottom w:w="28" w:type="dxa"/>
            </w:tcMar>
            <w:vAlign w:val="center"/>
          </w:tcPr>
          <w:p>
            <w:pPr>
              <w:pStyle w:val="TableContents"/>
              <w:spacing w:before="0" w:after="283"/>
              <w:jc w:val="right"/>
              <w:rPr/>
            </w:pPr>
            <w:r>
              <w:rPr/>
              <w:t>(404,700</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CCEEFF" w:val="clear"/>
            <w:tcMar>
              <w:bottom w:w="28" w:type="dxa"/>
            </w:tcMar>
            <w:vAlign w:val="center"/>
          </w:tcPr>
          <w:p>
            <w:pPr>
              <w:pStyle w:val="TableContents"/>
              <w:spacing w:before="0" w:after="283"/>
              <w:jc w:val="right"/>
              <w:rPr/>
            </w:pPr>
            <w:r>
              <w:rPr/>
              <w:t>15,889,036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5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46" w:type="dxa"/>
            <w:tcBorders>
              <w:bottom w:val="single" w:sz="2" w:space="0" w:color="000000"/>
            </w:tcBorders>
            <w:shd w:fill="CCEEFF" w:val="clear"/>
            <w:tcMar>
              <w:bottom w:w="28" w:type="dxa"/>
            </w:tcMar>
            <w:vAlign w:val="center"/>
          </w:tcPr>
          <w:p>
            <w:pPr>
              <w:pStyle w:val="TableContents"/>
              <w:spacing w:before="0" w:after="283"/>
              <w:jc w:val="right"/>
              <w:rPr/>
            </w:pPr>
            <w:r>
              <w:rPr/>
              <w:t>46.2</w:t>
            </w:r>
          </w:p>
        </w:tc>
        <w:tc>
          <w:tcPr>
            <w:tcW w:w="292" w:type="dxa"/>
            <w:tcBorders/>
            <w:shd w:fill="CCEEFF" w:val="clear"/>
            <w:vAlign w:val="center"/>
          </w:tcPr>
          <w:p>
            <w:pPr>
              <w:pStyle w:val="TableContents"/>
              <w:spacing w:before="0" w:after="283"/>
              <w:rPr/>
            </w:pPr>
            <w:r>
              <w:rPr/>
              <w:t>%</w:t>
            </w:r>
          </w:p>
        </w:tc>
      </w:tr>
      <w:tr>
        <w:trPr/>
        <w:tc>
          <w:tcPr>
            <w:tcW w:w="3011" w:type="dxa"/>
            <w:tcBorders/>
            <w:shd w:fill="FFFFFF" w:val="clear"/>
            <w:vAlign w:val="center"/>
          </w:tcPr>
          <w:p>
            <w:pPr>
              <w:pStyle w:val="TableContents"/>
              <w:spacing w:before="0" w:after="0"/>
              <w:ind w:left="0" w:right="0" w:hanging="0"/>
              <w:rPr/>
            </w:pPr>
            <w:r>
              <w:rPr/>
              <w:t xml:space="preserve">Total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130" w:type="dxa"/>
            <w:tcBorders>
              <w:bottom w:val="double" w:sz="6" w:space="0" w:color="000000"/>
            </w:tcBorders>
            <w:shd w:fill="FFFFFF" w:val="clear"/>
            <w:tcMar>
              <w:bottom w:w="28" w:type="dxa"/>
            </w:tcMar>
            <w:vAlign w:val="center"/>
          </w:tcPr>
          <w:p>
            <w:pPr>
              <w:pStyle w:val="TableContents"/>
              <w:spacing w:before="0" w:after="283"/>
              <w:jc w:val="right"/>
              <w:rPr/>
            </w:pPr>
            <w:r>
              <w:rPr/>
              <w:t>32,571,166</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010" w:type="dxa"/>
            <w:tcBorders>
              <w:bottom w:val="double" w:sz="6" w:space="0" w:color="000000"/>
            </w:tcBorders>
            <w:shd w:fill="FFFFFF" w:val="clear"/>
            <w:tcMar>
              <w:bottom w:w="28" w:type="dxa"/>
            </w:tcMar>
            <w:vAlign w:val="center"/>
          </w:tcPr>
          <w:p>
            <w:pPr>
              <w:pStyle w:val="TableContents"/>
              <w:spacing w:before="0" w:after="283"/>
              <w:jc w:val="right"/>
              <w:rPr/>
            </w:pPr>
            <w:r>
              <w:rPr/>
              <w:t>2,673,789</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905" w:type="dxa"/>
            <w:tcBorders>
              <w:bottom w:val="double" w:sz="6" w:space="0" w:color="000000"/>
            </w:tcBorders>
            <w:shd w:fill="FFFFFF" w:val="clear"/>
            <w:tcMar>
              <w:bottom w:w="28" w:type="dxa"/>
            </w:tcMar>
            <w:vAlign w:val="center"/>
          </w:tcPr>
          <w:p>
            <w:pPr>
              <w:pStyle w:val="TableContents"/>
              <w:spacing w:before="0" w:after="283"/>
              <w:jc w:val="right"/>
              <w:rPr/>
            </w:pPr>
            <w:r>
              <w:rPr/>
              <w:t>(831,642</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130" w:type="dxa"/>
            <w:tcBorders>
              <w:bottom w:val="double" w:sz="6" w:space="0" w:color="000000"/>
            </w:tcBorders>
            <w:shd w:fill="FFFFFF" w:val="clear"/>
            <w:tcMar>
              <w:bottom w:w="28" w:type="dxa"/>
            </w:tcMar>
            <w:vAlign w:val="center"/>
          </w:tcPr>
          <w:p>
            <w:pPr>
              <w:pStyle w:val="TableContents"/>
              <w:spacing w:before="0" w:after="283"/>
              <w:jc w:val="right"/>
              <w:rPr/>
            </w:pPr>
            <w:r>
              <w:rPr/>
              <w:t>34,413,313</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56" w:type="dxa"/>
            <w:tcBorders>
              <w:bottom w:val="double" w:sz="6" w:space="0" w:color="000000"/>
            </w:tcBorders>
            <w:shd w:fill="FFFFFF" w:val="clear"/>
            <w:tcMar>
              <w:bottom w:w="28" w:type="dxa"/>
            </w:tcMar>
            <w:vAlign w:val="center"/>
          </w:tcPr>
          <w:p>
            <w:pPr>
              <w:pStyle w:val="TableContents"/>
              <w:spacing w:before="0" w:after="0"/>
              <w:ind w:left="0" w:right="0" w:hanging="0"/>
              <w:rPr/>
            </w:pPr>
            <w:r>
              <w:rPr/>
              <w:t> </w:t>
            </w:r>
          </w:p>
        </w:tc>
        <w:tc>
          <w:tcPr>
            <w:tcW w:w="1046" w:type="dxa"/>
            <w:tcBorders>
              <w:bottom w:val="double" w:sz="6" w:space="0" w:color="000000"/>
            </w:tcBorders>
            <w:shd w:fill="FFFFFF" w:val="clear"/>
            <w:tcMar>
              <w:bottom w:w="28" w:type="dxa"/>
            </w:tcMar>
            <w:vAlign w:val="center"/>
          </w:tcPr>
          <w:p>
            <w:pPr>
              <w:pStyle w:val="TableContents"/>
              <w:spacing w:before="0" w:after="283"/>
              <w:jc w:val="right"/>
              <w:rPr/>
            </w:pPr>
            <w:r>
              <w:rPr/>
              <w:t>100.0</w:t>
            </w:r>
          </w:p>
        </w:tc>
        <w:tc>
          <w:tcPr>
            <w:tcW w:w="292" w:type="dxa"/>
            <w:tcBorders/>
            <w:shd w:fill="FFFFFF" w:val="clear"/>
            <w:vAlign w:val="center"/>
          </w:tcPr>
          <w:p>
            <w:pPr>
              <w:pStyle w:val="TableContents"/>
              <w:spacing w:before="0" w:after="283"/>
              <w:rPr/>
            </w:pPr>
            <w:r>
              <w:rPr/>
              <w:t>%</w:t>
            </w:r>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3011"/>
        <w:gridCol w:w="90"/>
        <w:gridCol w:w="170"/>
        <w:gridCol w:w="1130"/>
        <w:gridCol w:w="90"/>
        <w:gridCol w:w="90"/>
        <w:gridCol w:w="170"/>
        <w:gridCol w:w="1010"/>
        <w:gridCol w:w="90"/>
        <w:gridCol w:w="90"/>
        <w:gridCol w:w="170"/>
        <w:gridCol w:w="905"/>
        <w:gridCol w:w="125"/>
        <w:gridCol w:w="90"/>
        <w:gridCol w:w="170"/>
        <w:gridCol w:w="1130"/>
        <w:gridCol w:w="90"/>
        <w:gridCol w:w="90"/>
        <w:gridCol w:w="157"/>
        <w:gridCol w:w="1045"/>
        <w:gridCol w:w="292"/>
      </w:tblGrid>
      <w:tr>
        <w:trPr/>
        <w:tc>
          <w:tcPr>
            <w:tcW w:w="3011"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6812" w:type="dxa"/>
            <w:gridSpan w:val="18"/>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December 31, 2019</w:t>
            </w:r>
          </w:p>
        </w:tc>
        <w:tc>
          <w:tcPr>
            <w:tcW w:w="292" w:type="dxa"/>
            <w:tcBorders/>
            <w:shd w:fill="auto" w:val="clear"/>
            <w:vAlign w:val="center"/>
          </w:tcPr>
          <w:p>
            <w:pPr>
              <w:pStyle w:val="TableContents"/>
              <w:spacing w:before="0" w:after="0"/>
              <w:ind w:left="0" w:right="0" w:hanging="0"/>
              <w:rPr/>
            </w:pPr>
            <w:r>
              <w:rPr/>
              <w:t> </w:t>
            </w:r>
          </w:p>
        </w:tc>
      </w:tr>
      <w:tr>
        <w:trPr/>
        <w:tc>
          <w:tcPr>
            <w:tcW w:w="3011"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Pr>
              <w:t>Estimated</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02"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Pr>
              <w:t xml:space="preserve">% of </w:t>
            </w:r>
          </w:p>
        </w:tc>
        <w:tc>
          <w:tcPr>
            <w:tcW w:w="292" w:type="dxa"/>
            <w:tcBorders/>
            <w:shd w:fill="auto" w:val="clear"/>
            <w:vAlign w:val="center"/>
          </w:tcPr>
          <w:p>
            <w:pPr>
              <w:pStyle w:val="TableContents"/>
              <w:spacing w:before="0" w:after="0"/>
              <w:ind w:left="0" w:right="0" w:hanging="0"/>
              <w:rPr/>
            </w:pPr>
            <w:r>
              <w:rPr/>
              <w:t> </w:t>
            </w:r>
          </w:p>
        </w:tc>
      </w:tr>
      <w:tr>
        <w:trPr/>
        <w:tc>
          <w:tcPr>
            <w:tcW w:w="3011"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Pr>
              <w:t xml:space="preserve">Gross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Pr>
              <w:t xml:space="preserve">Gross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Pr>
              <w:t xml:space="preserve">Fair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02"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Pr>
              <w:t xml:space="preserve">Estimated </w:t>
            </w:r>
          </w:p>
        </w:tc>
        <w:tc>
          <w:tcPr>
            <w:tcW w:w="292" w:type="dxa"/>
            <w:tcBorders/>
            <w:shd w:fill="auto" w:val="clear"/>
            <w:vAlign w:val="center"/>
          </w:tcPr>
          <w:p>
            <w:pPr>
              <w:pStyle w:val="TableContents"/>
              <w:spacing w:before="0" w:after="0"/>
              <w:ind w:left="0" w:right="0" w:hanging="0"/>
              <w:rPr/>
            </w:pPr>
            <w:r>
              <w:rPr/>
              <w:t> </w:t>
            </w:r>
          </w:p>
        </w:tc>
      </w:tr>
      <w:tr>
        <w:trPr/>
        <w:tc>
          <w:tcPr>
            <w:tcW w:w="3011"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Pr>
              <w:t xml:space="preserve">Category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Cost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Gains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Losses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Value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Fair Value </w:t>
            </w:r>
          </w:p>
        </w:tc>
        <w:tc>
          <w:tcPr>
            <w:tcW w:w="292" w:type="dxa"/>
            <w:tcBorders/>
            <w:shd w:fill="auto" w:val="clear"/>
            <w:vAlign w:val="center"/>
          </w:tcPr>
          <w:p>
            <w:pPr>
              <w:pStyle w:val="TableContents"/>
              <w:spacing w:before="0" w:after="0"/>
              <w:ind w:left="0" w:right="0" w:hanging="0"/>
              <w:rPr/>
            </w:pPr>
            <w:r>
              <w:rPr/>
              <w:t> </w:t>
            </w:r>
          </w:p>
        </w:tc>
      </w:tr>
      <w:tr>
        <w:trPr/>
        <w:tc>
          <w:tcPr>
            <w:tcW w:w="3011"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c>
          <w:tcPr>
            <w:tcW w:w="1010" w:type="dxa"/>
            <w:tcBorders/>
            <w:shd w:fill="auto" w:val="clear"/>
            <w:vAlign w:val="center"/>
          </w:tcPr>
          <w:p>
            <w:pPr>
              <w:pStyle w:val="TableContents"/>
              <w:spacing w:before="0" w:after="0"/>
              <w:ind w:left="0" w:right="0" w:hanging="0"/>
              <w:rPr/>
            </w:pPr>
            <w:r>
              <w:rPr/>
              <w:t> </w:t>
            </w:r>
          </w:p>
        </w:tc>
        <w:tc>
          <w:tcPr>
            <w:tcW w:w="4444" w:type="dxa"/>
            <w:gridSpan w:val="13"/>
            <w:tcBorders/>
            <w:shd w:fill="auto" w:val="clear"/>
            <w:vAlign w:val="center"/>
          </w:tcPr>
          <w:p>
            <w:pPr>
              <w:pStyle w:val="TableContents"/>
              <w:spacing w:before="0" w:after="0"/>
              <w:ind w:left="0" w:right="0" w:hanging="0"/>
              <w:rPr/>
            </w:pPr>
            <w:r>
              <w:rPr/>
              <w:t> </w:t>
            </w:r>
          </w:p>
        </w:tc>
      </w:tr>
      <w:tr>
        <w:trPr/>
        <w:tc>
          <w:tcPr>
            <w:tcW w:w="3011" w:type="dxa"/>
            <w:tcBorders/>
            <w:shd w:fill="auto" w:val="clear"/>
            <w:vAlign w:val="center"/>
          </w:tcPr>
          <w:p>
            <w:pPr>
              <w:pStyle w:val="TableContents"/>
              <w:spacing w:before="0" w:after="0"/>
              <w:ind w:left="0" w:right="0" w:hanging="0"/>
              <w:rPr/>
            </w:pPr>
            <w:r>
              <w:rPr>
                <w:rStyle w:val="StrongEmphasis"/>
              </w:rPr>
              <w:t xml:space="preserve">Equity Securities: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02" w:type="dxa"/>
            <w:gridSpan w:val="2"/>
            <w:tcBorders/>
            <w:shd w:fill="auto" w:val="clear"/>
            <w:vAlign w:val="center"/>
          </w:tcPr>
          <w:p>
            <w:pPr>
              <w:pStyle w:val="TableContents"/>
              <w:spacing w:before="0" w:after="0"/>
              <w:ind w:left="0" w:right="0" w:hanging="0"/>
              <w:rPr/>
            </w:pPr>
            <w:r>
              <w:rPr/>
              <w:t> </w:t>
            </w:r>
          </w:p>
        </w:tc>
        <w:tc>
          <w:tcPr>
            <w:tcW w:w="292" w:type="dxa"/>
            <w:tcBorders/>
            <w:shd w:fill="auto" w:val="clear"/>
            <w:vAlign w:val="center"/>
          </w:tcPr>
          <w:p>
            <w:pPr>
              <w:pStyle w:val="TableContents"/>
              <w:spacing w:before="0" w:after="0"/>
              <w:ind w:left="0" w:right="0" w:hanging="0"/>
              <w:rPr/>
            </w:pPr>
            <w:r>
              <w:rPr/>
              <w:t> </w:t>
            </w:r>
          </w:p>
        </w:tc>
      </w:tr>
      <w:tr>
        <w:trPr/>
        <w:tc>
          <w:tcPr>
            <w:tcW w:w="3011" w:type="dxa"/>
            <w:tcBorders/>
            <w:shd w:fill="CCEEFF" w:val="clear"/>
            <w:vAlign w:val="center"/>
          </w:tcPr>
          <w:p>
            <w:pPr>
              <w:pStyle w:val="TableContents"/>
              <w:spacing w:before="0" w:after="0"/>
              <w:ind w:left="0" w:right="0" w:hanging="0"/>
              <w:rPr/>
            </w:pPr>
            <w:r>
              <w:rPr/>
              <w:t xml:space="preserve">Preferred stocks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8,374,424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339,257</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905" w:type="dxa"/>
            <w:tcBorders/>
            <w:shd w:fill="CCEEFF" w:val="clear"/>
            <w:vAlign w:val="center"/>
          </w:tcPr>
          <w:p>
            <w:pPr>
              <w:pStyle w:val="TableContents"/>
              <w:spacing w:before="0" w:after="283"/>
              <w:jc w:val="right"/>
              <w:rPr/>
            </w:pPr>
            <w:r>
              <w:rPr/>
              <w:t>(11,794</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8,701,887</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57" w:type="dxa"/>
            <w:tcBorders/>
            <w:shd w:fill="CCEEFF" w:val="clear"/>
            <w:vAlign w:val="center"/>
          </w:tcPr>
          <w:p>
            <w:pPr>
              <w:pStyle w:val="TableContents"/>
              <w:spacing w:before="0" w:after="0"/>
              <w:ind w:left="0" w:right="0" w:hanging="0"/>
              <w:rPr/>
            </w:pPr>
            <w:r>
              <w:rPr/>
              <w:t> </w:t>
            </w:r>
          </w:p>
        </w:tc>
        <w:tc>
          <w:tcPr>
            <w:tcW w:w="1045" w:type="dxa"/>
            <w:tcBorders/>
            <w:shd w:fill="CCEEFF" w:val="clear"/>
            <w:vAlign w:val="center"/>
          </w:tcPr>
          <w:p>
            <w:pPr>
              <w:pStyle w:val="TableContents"/>
              <w:spacing w:before="0" w:after="283"/>
              <w:jc w:val="right"/>
              <w:rPr/>
            </w:pPr>
            <w:r>
              <w:rPr/>
              <w:t>35.3</w:t>
            </w:r>
          </w:p>
        </w:tc>
        <w:tc>
          <w:tcPr>
            <w:tcW w:w="292" w:type="dxa"/>
            <w:tcBorders/>
            <w:shd w:fill="CCEEFF" w:val="clear"/>
            <w:vAlign w:val="center"/>
          </w:tcPr>
          <w:p>
            <w:pPr>
              <w:pStyle w:val="TableContents"/>
              <w:spacing w:before="0" w:after="283"/>
              <w:rPr/>
            </w:pPr>
            <w:r>
              <w:rPr/>
              <w:t>%</w:t>
            </w:r>
          </w:p>
        </w:tc>
      </w:tr>
      <w:tr>
        <w:trPr/>
        <w:tc>
          <w:tcPr>
            <w:tcW w:w="3011" w:type="dxa"/>
            <w:tcBorders/>
            <w:shd w:fill="FFFFFF" w:val="clear"/>
            <w:vAlign w:val="center"/>
          </w:tcPr>
          <w:p>
            <w:pPr>
              <w:pStyle w:val="TableContents"/>
              <w:spacing w:before="0" w:after="0"/>
              <w:ind w:left="0" w:right="0" w:hanging="0"/>
              <w:rPr/>
            </w:pPr>
            <w:r>
              <w:rPr/>
              <w:t xml:space="preserve">Common stocks and exchange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57" w:type="dxa"/>
            <w:tcBorders/>
            <w:shd w:fill="FFFFFF" w:val="clear"/>
            <w:vAlign w:val="center"/>
          </w:tcPr>
          <w:p>
            <w:pPr>
              <w:pStyle w:val="TableContents"/>
              <w:spacing w:before="0" w:after="0"/>
              <w:ind w:left="0" w:right="0" w:hanging="0"/>
              <w:rPr/>
            </w:pPr>
            <w:r>
              <w:rPr/>
              <w:t> </w:t>
            </w:r>
          </w:p>
        </w:tc>
        <w:tc>
          <w:tcPr>
            <w:tcW w:w="1045" w:type="dxa"/>
            <w:tcBorders/>
            <w:shd w:fill="FFFFFF" w:val="clear"/>
            <w:vAlign w:val="center"/>
          </w:tcPr>
          <w:p>
            <w:pPr>
              <w:pStyle w:val="TableContents"/>
              <w:spacing w:before="0" w:after="0"/>
              <w:ind w:left="0" w:right="0" w:hanging="0"/>
              <w:rPr/>
            </w:pPr>
            <w:r>
              <w:rPr/>
              <w:t> </w:t>
            </w:r>
          </w:p>
        </w:tc>
        <w:tc>
          <w:tcPr>
            <w:tcW w:w="292" w:type="dxa"/>
            <w:tcBorders/>
            <w:shd w:fill="FFFFFF" w:val="clear"/>
            <w:vAlign w:val="center"/>
          </w:tcPr>
          <w:p>
            <w:pPr>
              <w:pStyle w:val="TableContents"/>
              <w:spacing w:before="0" w:after="0"/>
              <w:ind w:left="0" w:right="0" w:hanging="0"/>
              <w:rPr/>
            </w:pPr>
            <w:r>
              <w:rPr/>
              <w:t> </w:t>
            </w:r>
          </w:p>
        </w:tc>
      </w:tr>
      <w:tr>
        <w:trPr/>
        <w:tc>
          <w:tcPr>
            <w:tcW w:w="3011" w:type="dxa"/>
            <w:tcBorders/>
            <w:shd w:fill="FFFFFF" w:val="clear"/>
            <w:vAlign w:val="center"/>
          </w:tcPr>
          <w:p>
            <w:pPr>
              <w:pStyle w:val="TableContents"/>
              <w:spacing w:before="0" w:after="0"/>
              <w:ind w:left="0" w:right="0" w:firstLine="180"/>
              <w:rPr/>
            </w:pPr>
            <w:r>
              <w:rPr/>
              <w:t xml:space="preserve">traded mutual funds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FFFFFF" w:val="clear"/>
            <w:tcMar>
              <w:bottom w:w="28" w:type="dxa"/>
            </w:tcMar>
            <w:vAlign w:val="center"/>
          </w:tcPr>
          <w:p>
            <w:pPr>
              <w:pStyle w:val="TableContents"/>
              <w:spacing w:before="0" w:after="283"/>
              <w:jc w:val="right"/>
              <w:rPr/>
            </w:pPr>
            <w:r>
              <w:rPr/>
              <w:t>14,250,244</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283"/>
              <w:jc w:val="right"/>
              <w:rPr/>
            </w:pPr>
            <w:r>
              <w:rPr/>
              <w:t>1,982,878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905" w:type="dxa"/>
            <w:tcBorders>
              <w:bottom w:val="single" w:sz="2" w:space="0" w:color="000000"/>
            </w:tcBorders>
            <w:shd w:fill="FFFFFF" w:val="clear"/>
            <w:tcMar>
              <w:bottom w:w="28" w:type="dxa"/>
            </w:tcMar>
            <w:vAlign w:val="center"/>
          </w:tcPr>
          <w:p>
            <w:pPr>
              <w:pStyle w:val="TableContents"/>
              <w:spacing w:before="0" w:after="283"/>
              <w:jc w:val="right"/>
              <w:rPr/>
            </w:pPr>
            <w:r>
              <w:rPr/>
              <w:t>(273,627</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FFFFFF" w:val="clear"/>
            <w:tcMar>
              <w:bottom w:w="28" w:type="dxa"/>
            </w:tcMar>
            <w:vAlign w:val="center"/>
          </w:tcPr>
          <w:p>
            <w:pPr>
              <w:pStyle w:val="TableContents"/>
              <w:spacing w:before="0" w:after="283"/>
              <w:jc w:val="right"/>
              <w:rPr/>
            </w:pPr>
            <w:r>
              <w:rPr/>
              <w:t>15,959,495</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57"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45" w:type="dxa"/>
            <w:tcBorders>
              <w:bottom w:val="single" w:sz="2" w:space="0" w:color="000000"/>
            </w:tcBorders>
            <w:shd w:fill="FFFFFF" w:val="clear"/>
            <w:tcMar>
              <w:bottom w:w="28" w:type="dxa"/>
            </w:tcMar>
            <w:vAlign w:val="center"/>
          </w:tcPr>
          <w:p>
            <w:pPr>
              <w:pStyle w:val="TableContents"/>
              <w:spacing w:before="0" w:after="283"/>
              <w:jc w:val="right"/>
              <w:rPr/>
            </w:pPr>
            <w:r>
              <w:rPr/>
              <w:t>64.7</w:t>
            </w:r>
          </w:p>
        </w:tc>
        <w:tc>
          <w:tcPr>
            <w:tcW w:w="292" w:type="dxa"/>
            <w:tcBorders/>
            <w:shd w:fill="FFFFFF" w:val="clear"/>
            <w:vAlign w:val="center"/>
          </w:tcPr>
          <w:p>
            <w:pPr>
              <w:pStyle w:val="TableContents"/>
              <w:spacing w:before="0" w:after="283"/>
              <w:rPr/>
            </w:pPr>
            <w:r>
              <w:rPr/>
              <w:t>%</w:t>
            </w:r>
          </w:p>
        </w:tc>
      </w:tr>
      <w:tr>
        <w:trPr/>
        <w:tc>
          <w:tcPr>
            <w:tcW w:w="3011" w:type="dxa"/>
            <w:tcBorders/>
            <w:shd w:fill="CCEEFF" w:val="clear"/>
            <w:vAlign w:val="center"/>
          </w:tcPr>
          <w:p>
            <w:pPr>
              <w:pStyle w:val="TableContents"/>
              <w:spacing w:before="0" w:after="0"/>
              <w:ind w:left="0" w:right="0" w:hanging="0"/>
              <w:rPr/>
            </w:pPr>
            <w:r>
              <w:rPr/>
              <w:t xml:space="preserve">Total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130" w:type="dxa"/>
            <w:tcBorders>
              <w:bottom w:val="double" w:sz="6" w:space="0" w:color="000000"/>
            </w:tcBorders>
            <w:shd w:fill="CCEEFF" w:val="clear"/>
            <w:tcMar>
              <w:bottom w:w="28" w:type="dxa"/>
            </w:tcMar>
            <w:vAlign w:val="center"/>
          </w:tcPr>
          <w:p>
            <w:pPr>
              <w:pStyle w:val="TableContents"/>
              <w:spacing w:before="0" w:after="283"/>
              <w:jc w:val="right"/>
              <w:rPr/>
            </w:pPr>
            <w:r>
              <w:rPr/>
              <w:t>22,624,668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6" w:space="0" w:color="000000"/>
            </w:tcBorders>
            <w:shd w:fill="CCEEFF" w:val="clear"/>
            <w:tcMar>
              <w:bottom w:w="28" w:type="dxa"/>
            </w:tcMar>
            <w:vAlign w:val="center"/>
          </w:tcPr>
          <w:p>
            <w:pPr>
              <w:pStyle w:val="TableContents"/>
              <w:spacing w:before="0" w:after="283"/>
              <w:jc w:val="right"/>
              <w:rPr/>
            </w:pPr>
            <w:r>
              <w:rPr/>
              <w:t>2,322,135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905" w:type="dxa"/>
            <w:tcBorders>
              <w:bottom w:val="double" w:sz="6" w:space="0" w:color="000000"/>
            </w:tcBorders>
            <w:shd w:fill="CCEEFF" w:val="clear"/>
            <w:tcMar>
              <w:bottom w:w="28" w:type="dxa"/>
            </w:tcMar>
            <w:vAlign w:val="center"/>
          </w:tcPr>
          <w:p>
            <w:pPr>
              <w:pStyle w:val="TableContents"/>
              <w:spacing w:before="0" w:after="283"/>
              <w:jc w:val="right"/>
              <w:rPr/>
            </w:pPr>
            <w:r>
              <w:rPr/>
              <w:t>(285,421</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130" w:type="dxa"/>
            <w:tcBorders>
              <w:bottom w:val="double" w:sz="6" w:space="0" w:color="000000"/>
            </w:tcBorders>
            <w:shd w:fill="CCEEFF" w:val="clear"/>
            <w:tcMar>
              <w:bottom w:w="28" w:type="dxa"/>
            </w:tcMar>
            <w:vAlign w:val="center"/>
          </w:tcPr>
          <w:p>
            <w:pPr>
              <w:pStyle w:val="TableContents"/>
              <w:spacing w:before="0" w:after="283"/>
              <w:jc w:val="right"/>
              <w:rPr/>
            </w:pPr>
            <w:r>
              <w:rPr/>
              <w:t>24,661,382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57"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1045" w:type="dxa"/>
            <w:tcBorders>
              <w:bottom w:val="double" w:sz="6" w:space="0" w:color="000000"/>
            </w:tcBorders>
            <w:shd w:fill="CCEEFF" w:val="clear"/>
            <w:tcMar>
              <w:bottom w:w="28" w:type="dxa"/>
            </w:tcMar>
            <w:vAlign w:val="center"/>
          </w:tcPr>
          <w:p>
            <w:pPr>
              <w:pStyle w:val="TableContents"/>
              <w:spacing w:before="0" w:after="283"/>
              <w:jc w:val="right"/>
              <w:rPr/>
            </w:pPr>
            <w:r>
              <w:rPr/>
              <w:t>100.0</w:t>
            </w:r>
          </w:p>
        </w:tc>
        <w:tc>
          <w:tcPr>
            <w:tcW w:w="292" w:type="dxa"/>
            <w:tcBorders/>
            <w:shd w:fill="CCEEFF" w:val="clear"/>
            <w:vAlign w:val="center"/>
          </w:tcPr>
          <w:p>
            <w:pPr>
              <w:pStyle w:val="TableContents"/>
              <w:spacing w:before="0" w:after="283"/>
              <w:rPr/>
            </w:pPr>
            <w:r>
              <w:rPr/>
              <w:t>%</w:t>
            </w:r>
          </w:p>
        </w:tc>
      </w:tr>
    </w:tbl>
    <w:p>
      <w:pPr>
        <w:pStyle w:val="TextBody"/>
        <w:spacing w:before="0" w:after="0"/>
        <w:ind w:left="0" w:right="0" w:hanging="0"/>
        <w:jc w:val="both"/>
        <w:rPr/>
      </w:pPr>
      <w:r>
        <w:rPr/>
        <w:t> </w:t>
      </w:r>
    </w:p>
    <w:p>
      <w:pPr>
        <w:pStyle w:val="TextBody"/>
        <w:spacing w:before="0" w:after="0"/>
        <w:ind w:left="0" w:right="0" w:hanging="0"/>
        <w:jc w:val="both"/>
        <w:rPr/>
      </w:pPr>
      <w:r>
        <w:rPr/>
        <w:t xml:space="preserve">                </w:t>
      </w:r>
      <w:r>
        <w:rPr>
          <w:rFonts w:ascii="times new roman" w:hAnsi="times new roman"/>
          <w:sz w:val="20"/>
          <w:u w:val="single"/>
        </w:rPr>
        <w:t>Other Investments</w:t>
      </w:r>
    </w:p>
    <w:p>
      <w:pPr>
        <w:pStyle w:val="TextBody"/>
        <w:spacing w:before="0" w:after="0"/>
        <w:ind w:left="0" w:right="0" w:hanging="0"/>
        <w:jc w:val="both"/>
        <w:rPr/>
      </w:pPr>
      <w:r>
        <w:rPr/>
        <w:t> </w:t>
      </w:r>
    </w:p>
    <w:p>
      <w:pPr>
        <w:pStyle w:val="TextBody"/>
        <w:spacing w:before="0" w:after="0"/>
        <w:ind w:left="0" w:right="0" w:hanging="0"/>
        <w:jc w:val="both"/>
        <w:rPr/>
      </w:pPr>
      <w:r>
        <w:rPr/>
        <w:t xml:space="preserve">                </w:t>
      </w:r>
      <w:r>
        <w:rPr>
          <w:rFonts w:ascii="times new roman" w:hAnsi="times new roman"/>
          <w:sz w:val="20"/>
        </w:rPr>
        <w:t>Pursuant to the definition of “Fair Value Measurement,” set forth in the Accounting Standards Codification 820 “Fair Value Measurement” (“ASC 820”), an entity is permitted, as a practical expedient, to estimate the fair value of an investment within the scope of ASC 820 using the net asset value (“NAV”) per share (or its equivalent) of the investment. The following table presents a breakdown of the cost, estimated fair value, and gross gain of our other investments as of December 31, 2020 and 2019:</w:t>
      </w:r>
    </w:p>
    <w:p>
      <w:pPr>
        <w:pStyle w:val="TextBody"/>
        <w:spacing w:before="0" w:after="0"/>
        <w:ind w:left="0" w:right="0" w:hanging="0"/>
        <w:jc w:val="both"/>
        <w:rPr/>
      </w:pPr>
      <w:r>
        <w:rPr/>
        <w:t xml:space="preserve">  </w:t>
      </w:r>
    </w:p>
    <w:tbl>
      <w:tblPr>
        <w:tblW w:w="10148" w:type="dxa"/>
        <w:jc w:val="left"/>
        <w:tblInd w:w="0" w:type="dxa"/>
        <w:tblCellMar>
          <w:top w:w="0" w:type="dxa"/>
          <w:left w:w="0" w:type="dxa"/>
          <w:bottom w:w="0" w:type="dxa"/>
          <w:right w:w="0" w:type="dxa"/>
        </w:tblCellMar>
      </w:tblPr>
      <w:tblGrid>
        <w:gridCol w:w="2075"/>
        <w:gridCol w:w="90"/>
        <w:gridCol w:w="170"/>
        <w:gridCol w:w="1010"/>
        <w:gridCol w:w="90"/>
        <w:gridCol w:w="90"/>
        <w:gridCol w:w="170"/>
        <w:gridCol w:w="1010"/>
        <w:gridCol w:w="90"/>
        <w:gridCol w:w="90"/>
        <w:gridCol w:w="173"/>
        <w:gridCol w:w="1031"/>
        <w:gridCol w:w="90"/>
        <w:gridCol w:w="90"/>
        <w:gridCol w:w="170"/>
        <w:gridCol w:w="1010"/>
        <w:gridCol w:w="90"/>
        <w:gridCol w:w="90"/>
        <w:gridCol w:w="170"/>
        <w:gridCol w:w="830"/>
        <w:gridCol w:w="90"/>
        <w:gridCol w:w="90"/>
        <w:gridCol w:w="173"/>
        <w:gridCol w:w="1031"/>
        <w:gridCol w:w="135"/>
      </w:tblGrid>
      <w:tr>
        <w:trPr/>
        <w:tc>
          <w:tcPr>
            <w:tcW w:w="207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3924" w:type="dxa"/>
            <w:gridSpan w:val="10"/>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December 31, 2020</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3744" w:type="dxa"/>
            <w:gridSpan w:val="10"/>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December 31, 2019</w:t>
            </w:r>
          </w:p>
        </w:tc>
        <w:tc>
          <w:tcPr>
            <w:tcW w:w="135" w:type="dxa"/>
            <w:tcBorders/>
            <w:shd w:fill="auto" w:val="clear"/>
            <w:vAlign w:val="center"/>
          </w:tcPr>
          <w:p>
            <w:pPr>
              <w:pStyle w:val="TableContents"/>
              <w:spacing w:before="0" w:after="0"/>
              <w:ind w:left="0" w:right="0" w:hanging="0"/>
              <w:rPr/>
            </w:pPr>
            <w:r>
              <w:rPr/>
              <w:t> </w:t>
            </w:r>
          </w:p>
        </w:tc>
      </w:tr>
      <w:tr>
        <w:trPr/>
        <w:tc>
          <w:tcPr>
            <w:tcW w:w="207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 xml:space="preserve">Gross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04" w:type="dxa"/>
            <w:gridSpan w:val="2"/>
            <w:tcBorders/>
            <w:shd w:fill="auto" w:val="clear"/>
            <w:vAlign w:val="center"/>
          </w:tcPr>
          <w:p>
            <w:pPr>
              <w:pStyle w:val="TableContents"/>
              <w:spacing w:before="0" w:after="0"/>
              <w:ind w:left="0" w:right="0" w:hanging="0"/>
              <w:jc w:val="center"/>
              <w:rPr/>
            </w:pPr>
            <w:r>
              <w:rPr>
                <w:rStyle w:val="StrongEmphasis"/>
              </w:rPr>
              <w:t xml:space="preserve">Estimated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0" w:type="dxa"/>
            <w:gridSpan w:val="2"/>
            <w:tcBorders/>
            <w:shd w:fill="auto" w:val="clear"/>
            <w:vAlign w:val="center"/>
          </w:tcPr>
          <w:p>
            <w:pPr>
              <w:pStyle w:val="TableContents"/>
              <w:spacing w:before="0" w:after="0"/>
              <w:ind w:left="0" w:right="0" w:hanging="0"/>
              <w:jc w:val="center"/>
              <w:rPr/>
            </w:pPr>
            <w:r>
              <w:rPr>
                <w:rStyle w:val="StrongEmphasis"/>
              </w:rPr>
              <w:t xml:space="preserve">Gross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04" w:type="dxa"/>
            <w:gridSpan w:val="2"/>
            <w:tcBorders/>
            <w:shd w:fill="auto" w:val="clear"/>
            <w:vAlign w:val="center"/>
          </w:tcPr>
          <w:p>
            <w:pPr>
              <w:pStyle w:val="TableContents"/>
              <w:spacing w:before="0" w:after="0"/>
              <w:ind w:left="0" w:right="0" w:hanging="0"/>
              <w:jc w:val="center"/>
              <w:rPr/>
            </w:pPr>
            <w:r>
              <w:rPr>
                <w:rStyle w:val="StrongEmphasis"/>
              </w:rPr>
              <w:t xml:space="preserve">Estimated </w:t>
            </w:r>
          </w:p>
        </w:tc>
        <w:tc>
          <w:tcPr>
            <w:tcW w:w="135" w:type="dxa"/>
            <w:tcBorders/>
            <w:shd w:fill="auto" w:val="clear"/>
            <w:vAlign w:val="center"/>
          </w:tcPr>
          <w:p>
            <w:pPr>
              <w:pStyle w:val="TableContents"/>
              <w:spacing w:before="0" w:after="0"/>
              <w:ind w:left="0" w:right="0" w:hanging="0"/>
              <w:rPr/>
            </w:pPr>
            <w:r>
              <w:rPr/>
              <w:t> </w:t>
            </w:r>
          </w:p>
        </w:tc>
      </w:tr>
      <w:tr>
        <w:trPr/>
        <w:tc>
          <w:tcPr>
            <w:tcW w:w="2075"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Pr>
              <w:t xml:space="preserve">Category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Cost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Gains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0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Fair Value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Cost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Gains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0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Fair Value </w:t>
            </w:r>
          </w:p>
        </w:tc>
        <w:tc>
          <w:tcPr>
            <w:tcW w:w="135" w:type="dxa"/>
            <w:tcBorders/>
            <w:shd w:fill="auto" w:val="clear"/>
            <w:vAlign w:val="center"/>
          </w:tcPr>
          <w:p>
            <w:pPr>
              <w:pStyle w:val="TableContents"/>
              <w:spacing w:before="0" w:after="0"/>
              <w:ind w:left="0" w:right="0" w:hanging="0"/>
              <w:rPr/>
            </w:pPr>
            <w:r>
              <w:rPr/>
              <w:t> </w:t>
            </w:r>
          </w:p>
        </w:tc>
      </w:tr>
      <w:tr>
        <w:trPr/>
        <w:tc>
          <w:tcPr>
            <w:tcW w:w="207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04"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519" w:type="dxa"/>
            <w:gridSpan w:val="7"/>
            <w:tcBorders/>
            <w:shd w:fill="auto" w:val="clear"/>
            <w:vAlign w:val="center"/>
          </w:tcPr>
          <w:p>
            <w:pPr>
              <w:pStyle w:val="TableContents"/>
              <w:spacing w:before="0" w:after="0"/>
              <w:ind w:left="0" w:right="0" w:hanging="0"/>
              <w:rPr/>
            </w:pPr>
            <w:r>
              <w:rPr/>
              <w:t> </w:t>
            </w:r>
          </w:p>
        </w:tc>
      </w:tr>
      <w:tr>
        <w:trPr/>
        <w:tc>
          <w:tcPr>
            <w:tcW w:w="2075" w:type="dxa"/>
            <w:tcBorders/>
            <w:shd w:fill="auto" w:val="clear"/>
            <w:vAlign w:val="center"/>
          </w:tcPr>
          <w:p>
            <w:pPr>
              <w:pStyle w:val="TableContents"/>
              <w:spacing w:before="0" w:after="0"/>
              <w:ind w:left="0" w:right="0" w:hanging="0"/>
              <w:rPr/>
            </w:pPr>
            <w:r>
              <w:rPr>
                <w:rStyle w:val="StrongEmphasis"/>
              </w:rPr>
              <w:t xml:space="preserve">Other Investments: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04"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04" w:type="dxa"/>
            <w:gridSpan w:val="2"/>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2075" w:type="dxa"/>
            <w:tcBorders/>
            <w:shd w:fill="CCEEFF" w:val="clear"/>
            <w:vAlign w:val="center"/>
          </w:tcPr>
          <w:p>
            <w:pPr>
              <w:pStyle w:val="TableContents"/>
              <w:spacing w:before="0" w:after="0"/>
              <w:ind w:left="0" w:right="0" w:hanging="0"/>
              <w:rPr/>
            </w:pPr>
            <w:r>
              <w:rPr/>
              <w:t xml:space="preserve">Hedge fund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283"/>
              <w:rPr/>
            </w:pPr>
            <w:r>
              <w:rPr/>
              <w:t>$</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1,999,381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283"/>
              <w:rPr/>
            </w:pPr>
            <w:r>
              <w:rPr/>
              <w:t>$</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1,519,245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3" w:type="dxa"/>
            <w:tcBorders>
              <w:bottom w:val="single" w:sz="2" w:space="0" w:color="000000"/>
            </w:tcBorders>
            <w:shd w:fill="CCEEFF" w:val="clear"/>
            <w:tcMar>
              <w:bottom w:w="28" w:type="dxa"/>
            </w:tcMar>
            <w:vAlign w:val="center"/>
          </w:tcPr>
          <w:p>
            <w:pPr>
              <w:pStyle w:val="TableContents"/>
              <w:spacing w:before="0" w:after="283"/>
              <w:rPr/>
            </w:pPr>
            <w:r>
              <w:rPr/>
              <w:t>$</w:t>
            </w:r>
          </w:p>
        </w:tc>
        <w:tc>
          <w:tcPr>
            <w:tcW w:w="1031" w:type="dxa"/>
            <w:tcBorders>
              <w:bottom w:val="single" w:sz="2" w:space="0" w:color="000000"/>
            </w:tcBorders>
            <w:shd w:fill="CCEEFF" w:val="clear"/>
            <w:tcMar>
              <w:bottom w:w="28" w:type="dxa"/>
            </w:tcMar>
            <w:vAlign w:val="center"/>
          </w:tcPr>
          <w:p>
            <w:pPr>
              <w:pStyle w:val="TableContents"/>
              <w:spacing w:before="0" w:after="283"/>
              <w:jc w:val="right"/>
              <w:rPr/>
            </w:pPr>
            <w:r>
              <w:rPr/>
              <w:t>3,518,626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283"/>
              <w:rPr/>
            </w:pPr>
            <w:r>
              <w:rPr/>
              <w:t>$</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1,999,381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283"/>
              <w:rPr/>
            </w:pPr>
            <w:r>
              <w:rPr/>
              <w:t>$</w:t>
            </w:r>
          </w:p>
        </w:tc>
        <w:tc>
          <w:tcPr>
            <w:tcW w:w="830" w:type="dxa"/>
            <w:tcBorders>
              <w:bottom w:val="single" w:sz="2" w:space="0" w:color="000000"/>
            </w:tcBorders>
            <w:shd w:fill="CCEEFF" w:val="clear"/>
            <w:tcMar>
              <w:bottom w:w="28" w:type="dxa"/>
            </w:tcMar>
            <w:vAlign w:val="center"/>
          </w:tcPr>
          <w:p>
            <w:pPr>
              <w:pStyle w:val="TableContents"/>
              <w:spacing w:before="0" w:after="283"/>
              <w:jc w:val="right"/>
              <w:rPr/>
            </w:pPr>
            <w:r>
              <w:rPr/>
              <w:t>585,532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3" w:type="dxa"/>
            <w:tcBorders>
              <w:bottom w:val="single" w:sz="2" w:space="0" w:color="000000"/>
            </w:tcBorders>
            <w:shd w:fill="CCEEFF" w:val="clear"/>
            <w:tcMar>
              <w:bottom w:w="28" w:type="dxa"/>
            </w:tcMar>
            <w:vAlign w:val="center"/>
          </w:tcPr>
          <w:p>
            <w:pPr>
              <w:pStyle w:val="TableContents"/>
              <w:spacing w:before="0" w:after="283"/>
              <w:rPr/>
            </w:pPr>
            <w:r>
              <w:rPr/>
              <w:t>$</w:t>
            </w:r>
          </w:p>
        </w:tc>
        <w:tc>
          <w:tcPr>
            <w:tcW w:w="1031" w:type="dxa"/>
            <w:tcBorders>
              <w:bottom w:val="single" w:sz="2" w:space="0" w:color="000000"/>
            </w:tcBorders>
            <w:shd w:fill="CCEEFF" w:val="clear"/>
            <w:tcMar>
              <w:bottom w:w="28" w:type="dxa"/>
            </w:tcMar>
            <w:vAlign w:val="center"/>
          </w:tcPr>
          <w:p>
            <w:pPr>
              <w:pStyle w:val="TableContents"/>
              <w:spacing w:before="0" w:after="283"/>
              <w:jc w:val="right"/>
              <w:rPr/>
            </w:pPr>
            <w:r>
              <w:rPr/>
              <w:t>2,584,913</w:t>
            </w:r>
          </w:p>
        </w:tc>
        <w:tc>
          <w:tcPr>
            <w:tcW w:w="135" w:type="dxa"/>
            <w:tcBorders/>
            <w:shd w:fill="CCEEFF" w:val="clear"/>
            <w:vAlign w:val="center"/>
          </w:tcPr>
          <w:p>
            <w:pPr>
              <w:pStyle w:val="TableContents"/>
              <w:spacing w:before="0" w:after="0"/>
              <w:ind w:left="0" w:right="0" w:hanging="0"/>
              <w:rPr/>
            </w:pPr>
            <w:r>
              <w:rPr/>
              <w:t> </w:t>
            </w:r>
          </w:p>
        </w:tc>
      </w:tr>
      <w:tr>
        <w:trPr/>
        <w:tc>
          <w:tcPr>
            <w:tcW w:w="2075" w:type="dxa"/>
            <w:tcBorders/>
            <w:shd w:fill="FFFFFF" w:val="clear"/>
            <w:vAlign w:val="center"/>
          </w:tcPr>
          <w:p>
            <w:pPr>
              <w:pStyle w:val="TableContents"/>
              <w:spacing w:before="0" w:after="0"/>
              <w:ind w:left="0" w:right="0" w:hanging="0"/>
              <w:rPr/>
            </w:pPr>
            <w:r>
              <w:rPr/>
              <w:t xml:space="preserve">Total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010" w:type="dxa"/>
            <w:tcBorders>
              <w:bottom w:val="double" w:sz="6" w:space="0" w:color="000000"/>
            </w:tcBorders>
            <w:shd w:fill="FFFFFF" w:val="clear"/>
            <w:tcMar>
              <w:bottom w:w="28" w:type="dxa"/>
            </w:tcMar>
            <w:vAlign w:val="center"/>
          </w:tcPr>
          <w:p>
            <w:pPr>
              <w:pStyle w:val="TableContents"/>
              <w:spacing w:before="0" w:after="283"/>
              <w:jc w:val="right"/>
              <w:rPr/>
            </w:pPr>
            <w:r>
              <w:rPr/>
              <w:t>1,999,381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010" w:type="dxa"/>
            <w:tcBorders>
              <w:bottom w:val="double" w:sz="6" w:space="0" w:color="000000"/>
            </w:tcBorders>
            <w:shd w:fill="FFFFFF" w:val="clear"/>
            <w:tcMar>
              <w:bottom w:w="28" w:type="dxa"/>
            </w:tcMar>
            <w:vAlign w:val="center"/>
          </w:tcPr>
          <w:p>
            <w:pPr>
              <w:pStyle w:val="TableContents"/>
              <w:spacing w:before="0" w:after="283"/>
              <w:jc w:val="right"/>
              <w:rPr/>
            </w:pPr>
            <w:r>
              <w:rPr/>
              <w:t>1,519,245</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3" w:type="dxa"/>
            <w:tcBorders>
              <w:bottom w:val="double" w:sz="6" w:space="0" w:color="000000"/>
            </w:tcBorders>
            <w:shd w:fill="FFFFFF" w:val="clear"/>
            <w:tcMar>
              <w:bottom w:w="28" w:type="dxa"/>
            </w:tcMar>
            <w:vAlign w:val="center"/>
          </w:tcPr>
          <w:p>
            <w:pPr>
              <w:pStyle w:val="TableContents"/>
              <w:spacing w:before="0" w:after="283"/>
              <w:rPr/>
            </w:pPr>
            <w:r>
              <w:rPr/>
              <w:t>$</w:t>
            </w:r>
          </w:p>
        </w:tc>
        <w:tc>
          <w:tcPr>
            <w:tcW w:w="1031" w:type="dxa"/>
            <w:tcBorders>
              <w:bottom w:val="double" w:sz="6" w:space="0" w:color="000000"/>
            </w:tcBorders>
            <w:shd w:fill="FFFFFF" w:val="clear"/>
            <w:tcMar>
              <w:bottom w:w="28" w:type="dxa"/>
            </w:tcMar>
            <w:vAlign w:val="center"/>
          </w:tcPr>
          <w:p>
            <w:pPr>
              <w:pStyle w:val="TableContents"/>
              <w:spacing w:before="0" w:after="283"/>
              <w:jc w:val="right"/>
              <w:rPr/>
            </w:pPr>
            <w:r>
              <w:rPr/>
              <w:t>3,518,626</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010" w:type="dxa"/>
            <w:tcBorders>
              <w:bottom w:val="double" w:sz="6" w:space="0" w:color="000000"/>
            </w:tcBorders>
            <w:shd w:fill="FFFFFF" w:val="clear"/>
            <w:tcMar>
              <w:bottom w:w="28" w:type="dxa"/>
            </w:tcMar>
            <w:vAlign w:val="center"/>
          </w:tcPr>
          <w:p>
            <w:pPr>
              <w:pStyle w:val="TableContents"/>
              <w:spacing w:before="0" w:after="283"/>
              <w:jc w:val="right"/>
              <w:rPr/>
            </w:pPr>
            <w:r>
              <w:rPr/>
              <w:t>1,999,381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830" w:type="dxa"/>
            <w:tcBorders>
              <w:bottom w:val="double" w:sz="6" w:space="0" w:color="000000"/>
            </w:tcBorders>
            <w:shd w:fill="FFFFFF" w:val="clear"/>
            <w:tcMar>
              <w:bottom w:w="28" w:type="dxa"/>
            </w:tcMar>
            <w:vAlign w:val="center"/>
          </w:tcPr>
          <w:p>
            <w:pPr>
              <w:pStyle w:val="TableContents"/>
              <w:spacing w:before="0" w:after="283"/>
              <w:jc w:val="right"/>
              <w:rPr/>
            </w:pPr>
            <w:r>
              <w:rPr/>
              <w:t>585,532</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3" w:type="dxa"/>
            <w:tcBorders>
              <w:bottom w:val="double" w:sz="6" w:space="0" w:color="000000"/>
            </w:tcBorders>
            <w:shd w:fill="FFFFFF" w:val="clear"/>
            <w:tcMar>
              <w:bottom w:w="28" w:type="dxa"/>
            </w:tcMar>
            <w:vAlign w:val="center"/>
          </w:tcPr>
          <w:p>
            <w:pPr>
              <w:pStyle w:val="TableContents"/>
              <w:spacing w:before="0" w:after="283"/>
              <w:rPr/>
            </w:pPr>
            <w:r>
              <w:rPr/>
              <w:t>$</w:t>
            </w:r>
          </w:p>
        </w:tc>
        <w:tc>
          <w:tcPr>
            <w:tcW w:w="1031" w:type="dxa"/>
            <w:tcBorders>
              <w:bottom w:val="double" w:sz="6" w:space="0" w:color="000000"/>
            </w:tcBorders>
            <w:shd w:fill="FFFFFF" w:val="clear"/>
            <w:tcMar>
              <w:bottom w:w="28" w:type="dxa"/>
            </w:tcMar>
            <w:vAlign w:val="center"/>
          </w:tcPr>
          <w:p>
            <w:pPr>
              <w:pStyle w:val="TableContents"/>
              <w:spacing w:before="0" w:after="283"/>
              <w:jc w:val="right"/>
              <w:rPr/>
            </w:pPr>
            <w:r>
              <w:rPr/>
              <w:t>2,584,913</w:t>
            </w:r>
          </w:p>
        </w:tc>
        <w:tc>
          <w:tcPr>
            <w:tcW w:w="135" w:type="dxa"/>
            <w:tcBorders/>
            <w:shd w:fill="FFFF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49</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u w:val="single"/>
        </w:rPr>
      </w:pPr>
      <w:r>
        <w:rPr>
          <w:rFonts w:ascii="times new roman" w:hAnsi="times new roman"/>
          <w:sz w:val="20"/>
          <w:u w:val="single"/>
        </w:rPr>
        <w:t>Held-to-Maturity Securities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presents a breakdown of the amortized cost, aggregate estimated fair value and unrealized gains and losses by investment type as of December 31, 2020 and 2019:</w:t>
      </w:r>
    </w:p>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1981"/>
        <w:gridCol w:w="90"/>
        <w:gridCol w:w="170"/>
        <w:gridCol w:w="1012"/>
        <w:gridCol w:w="90"/>
        <w:gridCol w:w="90"/>
        <w:gridCol w:w="200"/>
        <w:gridCol w:w="980"/>
        <w:gridCol w:w="90"/>
        <w:gridCol w:w="90"/>
        <w:gridCol w:w="698"/>
        <w:gridCol w:w="330"/>
        <w:gridCol w:w="194"/>
        <w:gridCol w:w="194"/>
        <w:gridCol w:w="717"/>
        <w:gridCol w:w="349"/>
        <w:gridCol w:w="90"/>
        <w:gridCol w:w="90"/>
        <w:gridCol w:w="170"/>
        <w:gridCol w:w="1010"/>
        <w:gridCol w:w="90"/>
        <w:gridCol w:w="90"/>
        <w:gridCol w:w="144"/>
        <w:gridCol w:w="952"/>
        <w:gridCol w:w="294"/>
      </w:tblGrid>
      <w:tr>
        <w:trPr/>
        <w:tc>
          <w:tcPr>
            <w:tcW w:w="1981"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840" w:type="dxa"/>
            <w:gridSpan w:val="2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December 31, 2020</w:t>
            </w:r>
          </w:p>
        </w:tc>
        <w:tc>
          <w:tcPr>
            <w:tcW w:w="294" w:type="dxa"/>
            <w:tcBorders/>
            <w:shd w:fill="auto" w:val="clear"/>
            <w:vAlign w:val="center"/>
          </w:tcPr>
          <w:p>
            <w:pPr>
              <w:pStyle w:val="TableContents"/>
              <w:spacing w:before="0" w:after="0"/>
              <w:ind w:left="0" w:right="0" w:hanging="0"/>
              <w:rPr/>
            </w:pPr>
            <w:r>
              <w:rPr/>
              <w:t> </w:t>
            </w:r>
          </w:p>
        </w:tc>
      </w:tr>
      <w:tr>
        <w:trPr/>
        <w:tc>
          <w:tcPr>
            <w:tcW w:w="1981"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2"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28" w:type="dxa"/>
            <w:gridSpan w:val="2"/>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0"/>
              <w:ind w:left="0" w:right="0" w:hanging="0"/>
              <w:rPr/>
            </w:pPr>
            <w:r>
              <w:rPr/>
              <w:t> </w:t>
            </w:r>
          </w:p>
        </w:tc>
        <w:tc>
          <w:tcPr>
            <w:tcW w:w="194" w:type="dxa"/>
            <w:tcBorders/>
            <w:shd w:fill="auto" w:val="clear"/>
            <w:vAlign w:val="center"/>
          </w:tcPr>
          <w:p>
            <w:pPr>
              <w:pStyle w:val="TableContents"/>
              <w:spacing w:before="0" w:after="0"/>
              <w:ind w:left="0" w:right="0" w:hanging="0"/>
              <w:rPr/>
            </w:pPr>
            <w:r>
              <w:rPr/>
              <w:t> </w:t>
            </w:r>
          </w:p>
        </w:tc>
        <w:tc>
          <w:tcPr>
            <w:tcW w:w="1066"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96" w:type="dxa"/>
            <w:gridSpan w:val="2"/>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0"/>
              <w:ind w:left="0" w:right="0" w:hanging="0"/>
              <w:rPr/>
            </w:pPr>
            <w:r>
              <w:rPr/>
              <w:t> </w:t>
            </w:r>
          </w:p>
        </w:tc>
      </w:tr>
      <w:tr>
        <w:trPr/>
        <w:tc>
          <w:tcPr>
            <w:tcW w:w="1981"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2" w:type="dxa"/>
            <w:gridSpan w:val="2"/>
            <w:tcBorders/>
            <w:shd w:fill="auto" w:val="clear"/>
            <w:vAlign w:val="center"/>
          </w:tcPr>
          <w:p>
            <w:pPr>
              <w:pStyle w:val="TableContents"/>
              <w:spacing w:before="0" w:after="0"/>
              <w:ind w:left="0" w:right="0" w:hanging="0"/>
              <w:jc w:val="center"/>
              <w:rPr/>
            </w:pPr>
            <w:r>
              <w:rPr>
                <w:rStyle w:val="StrongEmphasis"/>
              </w:rPr>
              <w:t xml:space="preserve">Cost or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 xml:space="preserve">Gross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482"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Gross Unrealized Losses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 xml:space="preserve">Estimated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96" w:type="dxa"/>
            <w:gridSpan w:val="2"/>
            <w:tcBorders/>
            <w:shd w:fill="auto" w:val="clear"/>
            <w:vAlign w:val="center"/>
          </w:tcPr>
          <w:p>
            <w:pPr>
              <w:pStyle w:val="TableContents"/>
              <w:spacing w:before="0" w:after="0"/>
              <w:ind w:left="0" w:right="0" w:hanging="0"/>
              <w:jc w:val="center"/>
              <w:rPr/>
            </w:pPr>
            <w:r>
              <w:rPr>
                <w:rStyle w:val="StrongEmphasis"/>
              </w:rPr>
              <w:t>% of</w:t>
            </w:r>
          </w:p>
        </w:tc>
        <w:tc>
          <w:tcPr>
            <w:tcW w:w="294" w:type="dxa"/>
            <w:tcBorders/>
            <w:shd w:fill="auto" w:val="clear"/>
            <w:vAlign w:val="center"/>
          </w:tcPr>
          <w:p>
            <w:pPr>
              <w:pStyle w:val="TableContents"/>
              <w:spacing w:before="0" w:after="0"/>
              <w:ind w:left="0" w:right="0" w:hanging="0"/>
              <w:rPr/>
            </w:pPr>
            <w:r>
              <w:rPr/>
              <w:t> </w:t>
            </w:r>
          </w:p>
        </w:tc>
      </w:tr>
      <w:tr>
        <w:trPr/>
        <w:tc>
          <w:tcPr>
            <w:tcW w:w="1981"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2" w:type="dxa"/>
            <w:gridSpan w:val="2"/>
            <w:tcBorders/>
            <w:shd w:fill="auto" w:val="clear"/>
            <w:vAlign w:val="center"/>
          </w:tcPr>
          <w:p>
            <w:pPr>
              <w:pStyle w:val="TableContents"/>
              <w:spacing w:before="0" w:after="0"/>
              <w:ind w:left="0" w:right="0" w:hanging="0"/>
              <w:jc w:val="center"/>
              <w:rPr/>
            </w:pPr>
            <w:r>
              <w:rPr>
                <w:rStyle w:val="StrongEmphasis"/>
              </w:rPr>
              <w:t xml:space="preserve">Amortized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 xml:space="preserve">Unrealized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28" w:type="dxa"/>
            <w:gridSpan w:val="2"/>
            <w:tcBorders/>
            <w:shd w:fill="auto" w:val="clear"/>
            <w:vAlign w:val="center"/>
          </w:tcPr>
          <w:p>
            <w:pPr>
              <w:pStyle w:val="TableContents"/>
              <w:spacing w:before="0" w:after="0"/>
              <w:ind w:left="0" w:right="0" w:hanging="0"/>
              <w:jc w:val="center"/>
              <w:rPr/>
            </w:pPr>
            <w:r>
              <w:rPr>
                <w:rStyle w:val="StrongEmphasis"/>
              </w:rPr>
              <w:t xml:space="preserve">Less than 12 </w:t>
            </w:r>
          </w:p>
        </w:tc>
        <w:tc>
          <w:tcPr>
            <w:tcW w:w="194" w:type="dxa"/>
            <w:tcBorders/>
            <w:shd w:fill="auto" w:val="clear"/>
            <w:vAlign w:val="center"/>
          </w:tcPr>
          <w:p>
            <w:pPr>
              <w:pStyle w:val="TableContents"/>
              <w:spacing w:before="0" w:after="0"/>
              <w:ind w:left="0" w:right="0" w:hanging="0"/>
              <w:rPr/>
            </w:pPr>
            <w:r>
              <w:rPr/>
              <w:t> </w:t>
            </w:r>
          </w:p>
        </w:tc>
        <w:tc>
          <w:tcPr>
            <w:tcW w:w="194" w:type="dxa"/>
            <w:tcBorders/>
            <w:shd w:fill="auto" w:val="clear"/>
            <w:vAlign w:val="center"/>
          </w:tcPr>
          <w:p>
            <w:pPr>
              <w:pStyle w:val="TableContents"/>
              <w:spacing w:before="0" w:after="0"/>
              <w:ind w:left="0" w:right="0" w:hanging="0"/>
              <w:rPr/>
            </w:pPr>
            <w:r>
              <w:rPr/>
              <w:t> </w:t>
            </w:r>
          </w:p>
        </w:tc>
        <w:tc>
          <w:tcPr>
            <w:tcW w:w="1066" w:type="dxa"/>
            <w:gridSpan w:val="2"/>
            <w:tcBorders/>
            <w:shd w:fill="auto" w:val="clear"/>
            <w:vAlign w:val="center"/>
          </w:tcPr>
          <w:p>
            <w:pPr>
              <w:pStyle w:val="TableContents"/>
              <w:spacing w:before="0" w:after="0"/>
              <w:ind w:left="0" w:right="0" w:hanging="0"/>
              <w:jc w:val="center"/>
              <w:rPr/>
            </w:pPr>
            <w:r>
              <w:rPr>
                <w:rStyle w:val="StrongEmphasis"/>
              </w:rPr>
              <w:t xml:space="preserve">More than 12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 xml:space="preserve">Fair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96" w:type="dxa"/>
            <w:gridSpan w:val="2"/>
            <w:tcBorders/>
            <w:shd w:fill="auto" w:val="clear"/>
            <w:vAlign w:val="center"/>
          </w:tcPr>
          <w:p>
            <w:pPr>
              <w:pStyle w:val="TableContents"/>
              <w:spacing w:before="0" w:after="0"/>
              <w:ind w:left="0" w:right="0" w:hanging="0"/>
              <w:jc w:val="center"/>
              <w:rPr/>
            </w:pPr>
            <w:r>
              <w:rPr>
                <w:rStyle w:val="StrongEmphasis"/>
              </w:rPr>
              <w:t>Estimated</w:t>
            </w:r>
          </w:p>
        </w:tc>
        <w:tc>
          <w:tcPr>
            <w:tcW w:w="294" w:type="dxa"/>
            <w:tcBorders/>
            <w:shd w:fill="auto" w:val="clear"/>
            <w:vAlign w:val="center"/>
          </w:tcPr>
          <w:p>
            <w:pPr>
              <w:pStyle w:val="TableContents"/>
              <w:spacing w:before="0" w:after="0"/>
              <w:ind w:left="0" w:right="0" w:hanging="0"/>
              <w:rPr/>
            </w:pPr>
            <w:r>
              <w:rPr/>
              <w:t> </w:t>
            </w:r>
          </w:p>
        </w:tc>
      </w:tr>
      <w:tr>
        <w:trPr/>
        <w:tc>
          <w:tcPr>
            <w:tcW w:w="1981"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Pr>
              <w:t xml:space="preserve">Category </w:t>
            </w:r>
          </w:p>
        </w:tc>
        <w:tc>
          <w:tcPr>
            <w:tcW w:w="90" w:type="dxa"/>
            <w:tcBorders/>
            <w:shd w:fill="auto" w:val="clear"/>
            <w:vAlign w:val="center"/>
          </w:tcPr>
          <w:p>
            <w:pPr>
              <w:pStyle w:val="TableContents"/>
              <w:spacing w:before="0" w:after="0"/>
              <w:ind w:left="0" w:right="0" w:hanging="0"/>
              <w:rPr/>
            </w:pPr>
            <w:r>
              <w:rPr/>
              <w:t> </w:t>
            </w:r>
          </w:p>
        </w:tc>
        <w:tc>
          <w:tcPr>
            <w:tcW w:w="11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Cost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Gains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2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Months </w:t>
            </w:r>
          </w:p>
        </w:tc>
        <w:tc>
          <w:tcPr>
            <w:tcW w:w="194" w:type="dxa"/>
            <w:tcBorders/>
            <w:shd w:fill="auto" w:val="clear"/>
            <w:vAlign w:val="center"/>
          </w:tcPr>
          <w:p>
            <w:pPr>
              <w:pStyle w:val="TableContents"/>
              <w:spacing w:before="0" w:after="0"/>
              <w:ind w:left="0" w:right="0" w:hanging="0"/>
              <w:rPr/>
            </w:pPr>
            <w:r>
              <w:rPr/>
              <w:t> </w:t>
            </w:r>
          </w:p>
        </w:tc>
        <w:tc>
          <w:tcPr>
            <w:tcW w:w="194" w:type="dxa"/>
            <w:tcBorders/>
            <w:shd w:fill="auto" w:val="clear"/>
            <w:vAlign w:val="center"/>
          </w:tcPr>
          <w:p>
            <w:pPr>
              <w:pStyle w:val="TableContents"/>
              <w:spacing w:before="0" w:after="0"/>
              <w:ind w:left="0" w:right="0" w:hanging="0"/>
              <w:rPr/>
            </w:pPr>
            <w:r>
              <w:rPr/>
              <w:t> </w:t>
            </w:r>
          </w:p>
        </w:tc>
        <w:tc>
          <w:tcPr>
            <w:tcW w:w="106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Months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Value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9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Fair Value</w:t>
            </w:r>
          </w:p>
        </w:tc>
        <w:tc>
          <w:tcPr>
            <w:tcW w:w="294" w:type="dxa"/>
            <w:tcBorders/>
            <w:shd w:fill="auto" w:val="clear"/>
            <w:vAlign w:val="center"/>
          </w:tcPr>
          <w:p>
            <w:pPr>
              <w:pStyle w:val="TableContents"/>
              <w:spacing w:before="0" w:after="0"/>
              <w:ind w:left="0" w:right="0" w:hanging="0"/>
              <w:rPr/>
            </w:pPr>
            <w:r>
              <w:rPr/>
              <w:t> </w:t>
            </w:r>
          </w:p>
        </w:tc>
      </w:tr>
      <w:tr>
        <w:trPr/>
        <w:tc>
          <w:tcPr>
            <w:tcW w:w="1981"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2"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00" w:type="dxa"/>
            <w:tcBorders/>
            <w:shd w:fill="auto" w:val="clear"/>
            <w:vAlign w:val="center"/>
          </w:tcPr>
          <w:p>
            <w:pPr>
              <w:pStyle w:val="TableContents"/>
              <w:spacing w:before="0" w:after="0"/>
              <w:ind w:left="0" w:right="0" w:hanging="0"/>
              <w:rPr/>
            </w:pPr>
            <w:r>
              <w:rPr/>
              <w:t> </w:t>
            </w:r>
          </w:p>
        </w:tc>
        <w:tc>
          <w:tcPr>
            <w:tcW w:w="98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5502" w:type="dxa"/>
            <w:gridSpan w:val="16"/>
            <w:tcBorders/>
            <w:shd w:fill="auto" w:val="clear"/>
            <w:vAlign w:val="center"/>
          </w:tcPr>
          <w:p>
            <w:pPr>
              <w:pStyle w:val="TableContents"/>
              <w:spacing w:before="0" w:after="0"/>
              <w:ind w:left="0" w:right="0" w:hanging="0"/>
              <w:rPr/>
            </w:pPr>
            <w:r>
              <w:rPr/>
              <w:t> </w:t>
            </w:r>
          </w:p>
        </w:tc>
      </w:tr>
      <w:tr>
        <w:trPr/>
        <w:tc>
          <w:tcPr>
            <w:tcW w:w="1981" w:type="dxa"/>
            <w:tcBorders/>
            <w:shd w:fill="CCEEFF" w:val="clear"/>
            <w:vAlign w:val="center"/>
          </w:tcPr>
          <w:p>
            <w:pPr>
              <w:pStyle w:val="TableContents"/>
              <w:spacing w:before="0" w:after="0"/>
              <w:ind w:left="0" w:right="0" w:hanging="0"/>
              <w:rPr/>
            </w:pPr>
            <w:r>
              <w:rPr/>
              <w:t xml:space="preserve">U.S. Treasury securities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2" w:type="dxa"/>
            <w:tcBorders/>
            <w:shd w:fill="CCEEFF" w:val="clear"/>
            <w:vAlign w:val="center"/>
          </w:tcPr>
          <w:p>
            <w:pPr>
              <w:pStyle w:val="TableContents"/>
              <w:spacing w:before="0" w:after="283"/>
              <w:jc w:val="right"/>
              <w:rPr/>
            </w:pPr>
            <w:r>
              <w:rPr/>
              <w:t>729,595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319,714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698" w:type="dxa"/>
            <w:tcBorders/>
            <w:shd w:fill="CCEEFF" w:val="clear"/>
            <w:vAlign w:val="center"/>
          </w:tcPr>
          <w:p>
            <w:pPr>
              <w:pStyle w:val="TableContents"/>
              <w:spacing w:before="0" w:after="283"/>
              <w:rPr/>
            </w:pPr>
            <w:r>
              <w:rPr/>
              <w:t>$</w:t>
            </w:r>
          </w:p>
        </w:tc>
        <w:tc>
          <w:tcPr>
            <w:tcW w:w="330" w:type="dxa"/>
            <w:tcBorders/>
            <w:shd w:fill="CCEEFF" w:val="clear"/>
            <w:vAlign w:val="center"/>
          </w:tcPr>
          <w:p>
            <w:pPr>
              <w:pStyle w:val="TableContents"/>
              <w:spacing w:before="0" w:after="283"/>
              <w:jc w:val="right"/>
              <w:rPr/>
            </w:pPr>
            <w:r>
              <w:rPr/>
              <w:t>-</w:t>
            </w:r>
          </w:p>
        </w:tc>
        <w:tc>
          <w:tcPr>
            <w:tcW w:w="194" w:type="dxa"/>
            <w:tcBorders/>
            <w:shd w:fill="CCEEFF" w:val="clear"/>
            <w:vAlign w:val="center"/>
          </w:tcPr>
          <w:p>
            <w:pPr>
              <w:pStyle w:val="TableContents"/>
              <w:spacing w:before="0" w:after="0"/>
              <w:ind w:left="0" w:right="0" w:hanging="0"/>
              <w:rPr/>
            </w:pPr>
            <w:r>
              <w:rPr/>
              <w:t> </w:t>
            </w:r>
          </w:p>
        </w:tc>
        <w:tc>
          <w:tcPr>
            <w:tcW w:w="194" w:type="dxa"/>
            <w:tcBorders/>
            <w:shd w:fill="CCEEFF" w:val="clear"/>
            <w:vAlign w:val="center"/>
          </w:tcPr>
          <w:p>
            <w:pPr>
              <w:pStyle w:val="TableContents"/>
              <w:spacing w:before="0" w:after="0"/>
              <w:ind w:left="0" w:right="0" w:hanging="0"/>
              <w:rPr/>
            </w:pPr>
            <w:r>
              <w:rPr/>
              <w:t> </w:t>
            </w:r>
          </w:p>
        </w:tc>
        <w:tc>
          <w:tcPr>
            <w:tcW w:w="717" w:type="dxa"/>
            <w:tcBorders/>
            <w:shd w:fill="CCEEFF" w:val="clear"/>
            <w:vAlign w:val="center"/>
          </w:tcPr>
          <w:p>
            <w:pPr>
              <w:pStyle w:val="TableContents"/>
              <w:spacing w:before="0" w:after="283"/>
              <w:rPr/>
            </w:pPr>
            <w:r>
              <w:rPr/>
              <w:t>$</w:t>
            </w:r>
          </w:p>
        </w:tc>
        <w:tc>
          <w:tcPr>
            <w:tcW w:w="349"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1,049,309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4" w:type="dxa"/>
            <w:tcBorders/>
            <w:shd w:fill="CCEEFF" w:val="clear"/>
            <w:vAlign w:val="center"/>
          </w:tcPr>
          <w:p>
            <w:pPr>
              <w:pStyle w:val="TableContents"/>
              <w:spacing w:before="0" w:after="0"/>
              <w:ind w:left="0" w:right="0" w:hanging="0"/>
              <w:rPr/>
            </w:pPr>
            <w:r>
              <w:rPr/>
              <w:t> </w:t>
            </w:r>
          </w:p>
        </w:tc>
        <w:tc>
          <w:tcPr>
            <w:tcW w:w="952" w:type="dxa"/>
            <w:tcBorders/>
            <w:shd w:fill="CCEEFF" w:val="clear"/>
            <w:vAlign w:val="center"/>
          </w:tcPr>
          <w:p>
            <w:pPr>
              <w:pStyle w:val="TableContents"/>
              <w:spacing w:before="0" w:after="283"/>
              <w:jc w:val="right"/>
              <w:rPr/>
            </w:pPr>
            <w:r>
              <w:rPr/>
              <w:t>12.8</w:t>
            </w:r>
          </w:p>
        </w:tc>
        <w:tc>
          <w:tcPr>
            <w:tcW w:w="294" w:type="dxa"/>
            <w:tcBorders/>
            <w:shd w:fill="CCEEFF" w:val="clear"/>
            <w:vAlign w:val="center"/>
          </w:tcPr>
          <w:p>
            <w:pPr>
              <w:pStyle w:val="TableContents"/>
              <w:spacing w:before="0" w:after="283"/>
              <w:rPr/>
            </w:pPr>
            <w:r>
              <w:rPr/>
              <w:t>%</w:t>
            </w:r>
          </w:p>
        </w:tc>
      </w:tr>
      <w:tr>
        <w:trPr/>
        <w:tc>
          <w:tcPr>
            <w:tcW w:w="1981"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2"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00" w:type="dxa"/>
            <w:tcBorders/>
            <w:shd w:fill="FFFFFF" w:val="clear"/>
            <w:vAlign w:val="center"/>
          </w:tcPr>
          <w:p>
            <w:pPr>
              <w:pStyle w:val="TableContents"/>
              <w:spacing w:before="0" w:after="0"/>
              <w:ind w:left="0" w:right="0" w:hanging="0"/>
              <w:rPr/>
            </w:pPr>
            <w:r>
              <w:rPr/>
              <w:t> </w:t>
            </w:r>
          </w:p>
        </w:tc>
        <w:tc>
          <w:tcPr>
            <w:tcW w:w="98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698" w:type="dxa"/>
            <w:tcBorders/>
            <w:shd w:fill="FFFFFF" w:val="clear"/>
            <w:vAlign w:val="center"/>
          </w:tcPr>
          <w:p>
            <w:pPr>
              <w:pStyle w:val="TableContents"/>
              <w:spacing w:before="0" w:after="0"/>
              <w:ind w:left="0" w:right="0" w:hanging="0"/>
              <w:rPr/>
            </w:pPr>
            <w:r>
              <w:rPr/>
              <w:t> </w:t>
            </w:r>
          </w:p>
        </w:tc>
        <w:tc>
          <w:tcPr>
            <w:tcW w:w="330" w:type="dxa"/>
            <w:tcBorders/>
            <w:shd w:fill="FFFFFF" w:val="clear"/>
            <w:vAlign w:val="center"/>
          </w:tcPr>
          <w:p>
            <w:pPr>
              <w:pStyle w:val="TableContents"/>
              <w:spacing w:before="0" w:after="0"/>
              <w:ind w:left="0" w:right="0" w:hanging="0"/>
              <w:rPr/>
            </w:pPr>
            <w:r>
              <w:rPr/>
              <w:t> </w:t>
            </w:r>
          </w:p>
        </w:tc>
        <w:tc>
          <w:tcPr>
            <w:tcW w:w="194" w:type="dxa"/>
            <w:tcBorders/>
            <w:shd w:fill="FFFFFF" w:val="clear"/>
            <w:vAlign w:val="center"/>
          </w:tcPr>
          <w:p>
            <w:pPr>
              <w:pStyle w:val="TableContents"/>
              <w:spacing w:before="0" w:after="0"/>
              <w:ind w:left="0" w:right="0" w:hanging="0"/>
              <w:rPr/>
            </w:pPr>
            <w:r>
              <w:rPr/>
              <w:t> </w:t>
            </w:r>
          </w:p>
        </w:tc>
        <w:tc>
          <w:tcPr>
            <w:tcW w:w="194" w:type="dxa"/>
            <w:tcBorders/>
            <w:shd w:fill="FFFFFF" w:val="clear"/>
            <w:vAlign w:val="center"/>
          </w:tcPr>
          <w:p>
            <w:pPr>
              <w:pStyle w:val="TableContents"/>
              <w:spacing w:before="0" w:after="0"/>
              <w:ind w:left="0" w:right="0" w:hanging="0"/>
              <w:rPr/>
            </w:pPr>
            <w:r>
              <w:rPr/>
              <w:t> </w:t>
            </w:r>
          </w:p>
        </w:tc>
        <w:tc>
          <w:tcPr>
            <w:tcW w:w="717" w:type="dxa"/>
            <w:tcBorders/>
            <w:shd w:fill="FFFFFF" w:val="clear"/>
            <w:vAlign w:val="center"/>
          </w:tcPr>
          <w:p>
            <w:pPr>
              <w:pStyle w:val="TableContents"/>
              <w:spacing w:before="0" w:after="0"/>
              <w:ind w:left="0" w:right="0" w:hanging="0"/>
              <w:rPr/>
            </w:pPr>
            <w:r>
              <w:rPr/>
              <w:t> </w:t>
            </w:r>
          </w:p>
        </w:tc>
        <w:tc>
          <w:tcPr>
            <w:tcW w:w="349"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4" w:type="dxa"/>
            <w:tcBorders/>
            <w:shd w:fill="FFFFFF" w:val="clear"/>
            <w:vAlign w:val="center"/>
          </w:tcPr>
          <w:p>
            <w:pPr>
              <w:pStyle w:val="TableContents"/>
              <w:spacing w:before="0" w:after="0"/>
              <w:ind w:left="0" w:right="0" w:hanging="0"/>
              <w:rPr/>
            </w:pPr>
            <w:r>
              <w:rPr/>
              <w:t> </w:t>
            </w:r>
          </w:p>
        </w:tc>
        <w:tc>
          <w:tcPr>
            <w:tcW w:w="952" w:type="dxa"/>
            <w:tcBorders/>
            <w:shd w:fill="FFFFFF" w:val="clear"/>
            <w:vAlign w:val="center"/>
          </w:tcPr>
          <w:p>
            <w:pPr>
              <w:pStyle w:val="TableContents"/>
              <w:spacing w:before="0" w:after="0"/>
              <w:ind w:left="0" w:right="0" w:hanging="0"/>
              <w:rPr/>
            </w:pPr>
            <w:r>
              <w:rPr/>
              <w:t> </w:t>
            </w:r>
          </w:p>
        </w:tc>
        <w:tc>
          <w:tcPr>
            <w:tcW w:w="294" w:type="dxa"/>
            <w:tcBorders/>
            <w:shd w:fill="FFFFFF" w:val="clear"/>
            <w:vAlign w:val="center"/>
          </w:tcPr>
          <w:p>
            <w:pPr>
              <w:pStyle w:val="TableContents"/>
              <w:spacing w:before="0" w:after="0"/>
              <w:ind w:left="0" w:right="0" w:hanging="0"/>
              <w:rPr/>
            </w:pPr>
            <w:r>
              <w:rPr/>
              <w:t> </w:t>
            </w:r>
          </w:p>
        </w:tc>
      </w:tr>
      <w:tr>
        <w:trPr/>
        <w:tc>
          <w:tcPr>
            <w:tcW w:w="1981" w:type="dxa"/>
            <w:tcBorders/>
            <w:shd w:fill="CCEEFF" w:val="clear"/>
            <w:vAlign w:val="center"/>
          </w:tcPr>
          <w:p>
            <w:pPr>
              <w:pStyle w:val="TableContents"/>
              <w:spacing w:before="0" w:after="0"/>
              <w:ind w:left="0" w:right="0" w:hanging="0"/>
              <w:rPr/>
            </w:pPr>
            <w:r>
              <w:rPr/>
              <w:t xml:space="preserve">Political subdivisions of States,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2"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0" w:type="dxa"/>
            <w:tcBorders/>
            <w:shd w:fill="CCEEFF" w:val="clear"/>
            <w:vAlign w:val="center"/>
          </w:tcPr>
          <w:p>
            <w:pPr>
              <w:pStyle w:val="TableContents"/>
              <w:spacing w:before="0" w:after="0"/>
              <w:ind w:left="0" w:right="0" w:hanging="0"/>
              <w:rPr/>
            </w:pPr>
            <w:r>
              <w:rPr/>
              <w:t> </w:t>
            </w:r>
          </w:p>
        </w:tc>
        <w:tc>
          <w:tcPr>
            <w:tcW w:w="98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698" w:type="dxa"/>
            <w:tcBorders/>
            <w:shd w:fill="CCEEFF" w:val="clear"/>
            <w:vAlign w:val="center"/>
          </w:tcPr>
          <w:p>
            <w:pPr>
              <w:pStyle w:val="TableContents"/>
              <w:spacing w:before="0" w:after="0"/>
              <w:ind w:left="0" w:right="0" w:hanging="0"/>
              <w:rPr/>
            </w:pPr>
            <w:r>
              <w:rPr/>
              <w:t> </w:t>
            </w:r>
          </w:p>
        </w:tc>
        <w:tc>
          <w:tcPr>
            <w:tcW w:w="330" w:type="dxa"/>
            <w:tcBorders/>
            <w:shd w:fill="CCEEFF" w:val="clear"/>
            <w:vAlign w:val="center"/>
          </w:tcPr>
          <w:p>
            <w:pPr>
              <w:pStyle w:val="TableContents"/>
              <w:spacing w:before="0" w:after="0"/>
              <w:ind w:left="0" w:right="0" w:hanging="0"/>
              <w:rPr/>
            </w:pPr>
            <w:r>
              <w:rPr/>
              <w:t> </w:t>
            </w:r>
          </w:p>
        </w:tc>
        <w:tc>
          <w:tcPr>
            <w:tcW w:w="194" w:type="dxa"/>
            <w:tcBorders/>
            <w:shd w:fill="CCEEFF" w:val="clear"/>
            <w:vAlign w:val="center"/>
          </w:tcPr>
          <w:p>
            <w:pPr>
              <w:pStyle w:val="TableContents"/>
              <w:spacing w:before="0" w:after="0"/>
              <w:ind w:left="0" w:right="0" w:hanging="0"/>
              <w:rPr/>
            </w:pPr>
            <w:r>
              <w:rPr/>
              <w:t> </w:t>
            </w:r>
          </w:p>
        </w:tc>
        <w:tc>
          <w:tcPr>
            <w:tcW w:w="194" w:type="dxa"/>
            <w:tcBorders/>
            <w:shd w:fill="CCEEFF" w:val="clear"/>
            <w:vAlign w:val="center"/>
          </w:tcPr>
          <w:p>
            <w:pPr>
              <w:pStyle w:val="TableContents"/>
              <w:spacing w:before="0" w:after="0"/>
              <w:ind w:left="0" w:right="0" w:hanging="0"/>
              <w:rPr/>
            </w:pPr>
            <w:r>
              <w:rPr/>
              <w:t> </w:t>
            </w:r>
          </w:p>
        </w:tc>
        <w:tc>
          <w:tcPr>
            <w:tcW w:w="717" w:type="dxa"/>
            <w:tcBorders/>
            <w:shd w:fill="CCEEFF" w:val="clear"/>
            <w:vAlign w:val="center"/>
          </w:tcPr>
          <w:p>
            <w:pPr>
              <w:pStyle w:val="TableContents"/>
              <w:spacing w:before="0" w:after="0"/>
              <w:ind w:left="0" w:right="0" w:hanging="0"/>
              <w:rPr/>
            </w:pPr>
            <w:r>
              <w:rPr/>
              <w:t> </w:t>
            </w:r>
          </w:p>
        </w:tc>
        <w:tc>
          <w:tcPr>
            <w:tcW w:w="349"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4" w:type="dxa"/>
            <w:tcBorders/>
            <w:shd w:fill="CCEEFF" w:val="clear"/>
            <w:vAlign w:val="center"/>
          </w:tcPr>
          <w:p>
            <w:pPr>
              <w:pStyle w:val="TableContents"/>
              <w:spacing w:before="0" w:after="0"/>
              <w:ind w:left="0" w:right="0" w:hanging="0"/>
              <w:rPr/>
            </w:pPr>
            <w:r>
              <w:rPr/>
              <w:t> </w:t>
            </w:r>
          </w:p>
        </w:tc>
        <w:tc>
          <w:tcPr>
            <w:tcW w:w="952" w:type="dxa"/>
            <w:tcBorders/>
            <w:shd w:fill="CCEEFF" w:val="clear"/>
            <w:vAlign w:val="center"/>
          </w:tcPr>
          <w:p>
            <w:pPr>
              <w:pStyle w:val="TableContents"/>
              <w:spacing w:before="0" w:after="0"/>
              <w:ind w:left="0" w:right="0" w:hanging="0"/>
              <w:rPr/>
            </w:pPr>
            <w:r>
              <w:rPr/>
              <w:t> </w:t>
            </w:r>
          </w:p>
        </w:tc>
        <w:tc>
          <w:tcPr>
            <w:tcW w:w="294" w:type="dxa"/>
            <w:tcBorders/>
            <w:shd w:fill="CCEEFF" w:val="clear"/>
            <w:vAlign w:val="center"/>
          </w:tcPr>
          <w:p>
            <w:pPr>
              <w:pStyle w:val="TableContents"/>
              <w:spacing w:before="0" w:after="0"/>
              <w:ind w:left="0" w:right="0" w:hanging="0"/>
              <w:rPr/>
            </w:pPr>
            <w:r>
              <w:rPr/>
              <w:t> </w:t>
            </w:r>
          </w:p>
        </w:tc>
      </w:tr>
      <w:tr>
        <w:trPr/>
        <w:tc>
          <w:tcPr>
            <w:tcW w:w="1981" w:type="dxa"/>
            <w:tcBorders/>
            <w:shd w:fill="CCEEFF" w:val="clear"/>
            <w:vAlign w:val="center"/>
          </w:tcPr>
          <w:p>
            <w:pPr>
              <w:pStyle w:val="TableContents"/>
              <w:spacing w:before="0" w:after="0"/>
              <w:ind w:left="0" w:right="0" w:hanging="0"/>
              <w:rPr/>
            </w:pPr>
            <w:r>
              <w:rPr/>
              <w:t xml:space="preserve">Territories and Possessions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2" w:type="dxa"/>
            <w:tcBorders/>
            <w:shd w:fill="CCEEFF" w:val="clear"/>
            <w:vAlign w:val="center"/>
          </w:tcPr>
          <w:p>
            <w:pPr>
              <w:pStyle w:val="TableContents"/>
              <w:spacing w:before="0" w:after="283"/>
              <w:jc w:val="right"/>
              <w:rPr/>
            </w:pPr>
            <w:r>
              <w:rPr/>
              <w:t>998,428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0" w:type="dxa"/>
            <w:tcBorders/>
            <w:shd w:fill="CCEEFF" w:val="clear"/>
            <w:vAlign w:val="center"/>
          </w:tcPr>
          <w:p>
            <w:pPr>
              <w:pStyle w:val="TableContents"/>
              <w:spacing w:before="0" w:after="0"/>
              <w:ind w:left="0" w:right="0" w:hanging="0"/>
              <w:rPr/>
            </w:pPr>
            <w:r>
              <w:rPr/>
              <w:t> </w:t>
            </w:r>
          </w:p>
        </w:tc>
        <w:tc>
          <w:tcPr>
            <w:tcW w:w="980" w:type="dxa"/>
            <w:tcBorders/>
            <w:shd w:fill="CCEEFF" w:val="clear"/>
            <w:vAlign w:val="center"/>
          </w:tcPr>
          <w:p>
            <w:pPr>
              <w:pStyle w:val="TableContents"/>
              <w:spacing w:before="0" w:after="283"/>
              <w:jc w:val="right"/>
              <w:rPr/>
            </w:pPr>
            <w:r>
              <w:rPr/>
              <w:t>50,917</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698" w:type="dxa"/>
            <w:tcBorders/>
            <w:shd w:fill="CCEEFF" w:val="clear"/>
            <w:vAlign w:val="center"/>
          </w:tcPr>
          <w:p>
            <w:pPr>
              <w:pStyle w:val="TableContents"/>
              <w:spacing w:before="0" w:after="0"/>
              <w:ind w:left="0" w:right="0" w:hanging="0"/>
              <w:rPr/>
            </w:pPr>
            <w:r>
              <w:rPr/>
              <w:t> </w:t>
            </w:r>
          </w:p>
        </w:tc>
        <w:tc>
          <w:tcPr>
            <w:tcW w:w="330" w:type="dxa"/>
            <w:tcBorders/>
            <w:shd w:fill="CCEEFF" w:val="clear"/>
            <w:vAlign w:val="center"/>
          </w:tcPr>
          <w:p>
            <w:pPr>
              <w:pStyle w:val="TableContents"/>
              <w:spacing w:before="0" w:after="283"/>
              <w:jc w:val="right"/>
              <w:rPr/>
            </w:pPr>
            <w:r>
              <w:rPr/>
              <w:t>-</w:t>
            </w:r>
          </w:p>
        </w:tc>
        <w:tc>
          <w:tcPr>
            <w:tcW w:w="194" w:type="dxa"/>
            <w:tcBorders/>
            <w:shd w:fill="CCEEFF" w:val="clear"/>
            <w:vAlign w:val="center"/>
          </w:tcPr>
          <w:p>
            <w:pPr>
              <w:pStyle w:val="TableContents"/>
              <w:spacing w:before="0" w:after="0"/>
              <w:ind w:left="0" w:right="0" w:hanging="0"/>
              <w:rPr/>
            </w:pPr>
            <w:r>
              <w:rPr/>
              <w:t> </w:t>
            </w:r>
          </w:p>
        </w:tc>
        <w:tc>
          <w:tcPr>
            <w:tcW w:w="194" w:type="dxa"/>
            <w:tcBorders/>
            <w:shd w:fill="CCEEFF" w:val="clear"/>
            <w:vAlign w:val="center"/>
          </w:tcPr>
          <w:p>
            <w:pPr>
              <w:pStyle w:val="TableContents"/>
              <w:spacing w:before="0" w:after="0"/>
              <w:ind w:left="0" w:right="0" w:hanging="0"/>
              <w:rPr/>
            </w:pPr>
            <w:r>
              <w:rPr/>
              <w:t> </w:t>
            </w:r>
          </w:p>
        </w:tc>
        <w:tc>
          <w:tcPr>
            <w:tcW w:w="717" w:type="dxa"/>
            <w:tcBorders/>
            <w:shd w:fill="CCEEFF" w:val="clear"/>
            <w:vAlign w:val="center"/>
          </w:tcPr>
          <w:p>
            <w:pPr>
              <w:pStyle w:val="TableContents"/>
              <w:spacing w:before="0" w:after="0"/>
              <w:ind w:left="0" w:right="0" w:hanging="0"/>
              <w:rPr/>
            </w:pPr>
            <w:r>
              <w:rPr/>
              <w:t> </w:t>
            </w:r>
          </w:p>
        </w:tc>
        <w:tc>
          <w:tcPr>
            <w:tcW w:w="349"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1,049,345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4" w:type="dxa"/>
            <w:tcBorders/>
            <w:shd w:fill="CCEEFF" w:val="clear"/>
            <w:vAlign w:val="center"/>
          </w:tcPr>
          <w:p>
            <w:pPr>
              <w:pStyle w:val="TableContents"/>
              <w:spacing w:before="0" w:after="0"/>
              <w:ind w:left="0" w:right="0" w:hanging="0"/>
              <w:rPr/>
            </w:pPr>
            <w:r>
              <w:rPr/>
              <w:t> </w:t>
            </w:r>
          </w:p>
        </w:tc>
        <w:tc>
          <w:tcPr>
            <w:tcW w:w="952" w:type="dxa"/>
            <w:tcBorders/>
            <w:shd w:fill="CCEEFF" w:val="clear"/>
            <w:vAlign w:val="center"/>
          </w:tcPr>
          <w:p>
            <w:pPr>
              <w:pStyle w:val="TableContents"/>
              <w:spacing w:before="0" w:after="283"/>
              <w:jc w:val="right"/>
              <w:rPr/>
            </w:pPr>
            <w:r>
              <w:rPr/>
              <w:t>12.8</w:t>
            </w:r>
          </w:p>
        </w:tc>
        <w:tc>
          <w:tcPr>
            <w:tcW w:w="294" w:type="dxa"/>
            <w:tcBorders/>
            <w:shd w:fill="CCEEFF" w:val="clear"/>
            <w:vAlign w:val="center"/>
          </w:tcPr>
          <w:p>
            <w:pPr>
              <w:pStyle w:val="TableContents"/>
              <w:spacing w:before="0" w:after="283"/>
              <w:rPr/>
            </w:pPr>
            <w:r>
              <w:rPr/>
              <w:t>%</w:t>
            </w:r>
          </w:p>
        </w:tc>
      </w:tr>
      <w:tr>
        <w:trPr/>
        <w:tc>
          <w:tcPr>
            <w:tcW w:w="1981"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2"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00" w:type="dxa"/>
            <w:tcBorders/>
            <w:shd w:fill="FFFFFF" w:val="clear"/>
            <w:vAlign w:val="center"/>
          </w:tcPr>
          <w:p>
            <w:pPr>
              <w:pStyle w:val="TableContents"/>
              <w:spacing w:before="0" w:after="0"/>
              <w:ind w:left="0" w:right="0" w:hanging="0"/>
              <w:rPr/>
            </w:pPr>
            <w:r>
              <w:rPr/>
              <w:t> </w:t>
            </w:r>
          </w:p>
        </w:tc>
        <w:tc>
          <w:tcPr>
            <w:tcW w:w="98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698" w:type="dxa"/>
            <w:tcBorders/>
            <w:shd w:fill="FFFFFF" w:val="clear"/>
            <w:vAlign w:val="center"/>
          </w:tcPr>
          <w:p>
            <w:pPr>
              <w:pStyle w:val="TableContents"/>
              <w:spacing w:before="0" w:after="0"/>
              <w:ind w:left="0" w:right="0" w:hanging="0"/>
              <w:rPr/>
            </w:pPr>
            <w:r>
              <w:rPr/>
              <w:t> </w:t>
            </w:r>
          </w:p>
        </w:tc>
        <w:tc>
          <w:tcPr>
            <w:tcW w:w="330" w:type="dxa"/>
            <w:tcBorders/>
            <w:shd w:fill="FFFFFF" w:val="clear"/>
            <w:vAlign w:val="center"/>
          </w:tcPr>
          <w:p>
            <w:pPr>
              <w:pStyle w:val="TableContents"/>
              <w:spacing w:before="0" w:after="0"/>
              <w:ind w:left="0" w:right="0" w:hanging="0"/>
              <w:rPr/>
            </w:pPr>
            <w:r>
              <w:rPr/>
              <w:t> </w:t>
            </w:r>
          </w:p>
        </w:tc>
        <w:tc>
          <w:tcPr>
            <w:tcW w:w="194" w:type="dxa"/>
            <w:tcBorders/>
            <w:shd w:fill="FFFFFF" w:val="clear"/>
            <w:vAlign w:val="center"/>
          </w:tcPr>
          <w:p>
            <w:pPr>
              <w:pStyle w:val="TableContents"/>
              <w:spacing w:before="0" w:after="0"/>
              <w:ind w:left="0" w:right="0" w:hanging="0"/>
              <w:rPr/>
            </w:pPr>
            <w:r>
              <w:rPr/>
              <w:t> </w:t>
            </w:r>
          </w:p>
        </w:tc>
        <w:tc>
          <w:tcPr>
            <w:tcW w:w="194" w:type="dxa"/>
            <w:tcBorders/>
            <w:shd w:fill="FFFFFF" w:val="clear"/>
            <w:vAlign w:val="center"/>
          </w:tcPr>
          <w:p>
            <w:pPr>
              <w:pStyle w:val="TableContents"/>
              <w:spacing w:before="0" w:after="0"/>
              <w:ind w:left="0" w:right="0" w:hanging="0"/>
              <w:rPr/>
            </w:pPr>
            <w:r>
              <w:rPr/>
              <w:t> </w:t>
            </w:r>
          </w:p>
        </w:tc>
        <w:tc>
          <w:tcPr>
            <w:tcW w:w="717" w:type="dxa"/>
            <w:tcBorders/>
            <w:shd w:fill="FFFFFF" w:val="clear"/>
            <w:vAlign w:val="center"/>
          </w:tcPr>
          <w:p>
            <w:pPr>
              <w:pStyle w:val="TableContents"/>
              <w:spacing w:before="0" w:after="0"/>
              <w:ind w:left="0" w:right="0" w:hanging="0"/>
              <w:rPr/>
            </w:pPr>
            <w:r>
              <w:rPr/>
              <w:t> </w:t>
            </w:r>
          </w:p>
        </w:tc>
        <w:tc>
          <w:tcPr>
            <w:tcW w:w="349"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4" w:type="dxa"/>
            <w:tcBorders/>
            <w:shd w:fill="FFFFFF" w:val="clear"/>
            <w:vAlign w:val="center"/>
          </w:tcPr>
          <w:p>
            <w:pPr>
              <w:pStyle w:val="TableContents"/>
              <w:spacing w:before="0" w:after="0"/>
              <w:ind w:left="0" w:right="0" w:hanging="0"/>
              <w:rPr/>
            </w:pPr>
            <w:r>
              <w:rPr/>
              <w:t> </w:t>
            </w:r>
          </w:p>
        </w:tc>
        <w:tc>
          <w:tcPr>
            <w:tcW w:w="952" w:type="dxa"/>
            <w:tcBorders/>
            <w:shd w:fill="FFFFFF" w:val="clear"/>
            <w:vAlign w:val="center"/>
          </w:tcPr>
          <w:p>
            <w:pPr>
              <w:pStyle w:val="TableContents"/>
              <w:spacing w:before="0" w:after="0"/>
              <w:ind w:left="0" w:right="0" w:hanging="0"/>
              <w:rPr/>
            </w:pPr>
            <w:r>
              <w:rPr/>
              <w:t> </w:t>
            </w:r>
          </w:p>
        </w:tc>
        <w:tc>
          <w:tcPr>
            <w:tcW w:w="294" w:type="dxa"/>
            <w:tcBorders/>
            <w:shd w:fill="FFFFFF" w:val="clear"/>
            <w:vAlign w:val="center"/>
          </w:tcPr>
          <w:p>
            <w:pPr>
              <w:pStyle w:val="TableContents"/>
              <w:spacing w:before="0" w:after="0"/>
              <w:ind w:left="0" w:right="0" w:hanging="0"/>
              <w:rPr/>
            </w:pPr>
            <w:r>
              <w:rPr/>
              <w:t> </w:t>
            </w:r>
          </w:p>
        </w:tc>
      </w:tr>
      <w:tr>
        <w:trPr/>
        <w:tc>
          <w:tcPr>
            <w:tcW w:w="1981" w:type="dxa"/>
            <w:tcBorders/>
            <w:shd w:fill="CCEEFF" w:val="clear"/>
            <w:vAlign w:val="center"/>
          </w:tcPr>
          <w:p>
            <w:pPr>
              <w:pStyle w:val="TableContents"/>
              <w:spacing w:before="0" w:after="0"/>
              <w:ind w:left="0" w:right="0" w:hanging="0"/>
              <w:rPr/>
            </w:pPr>
            <w:r>
              <w:rPr/>
              <w:t xml:space="preserve">Corporate and other bonds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2"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0" w:type="dxa"/>
            <w:tcBorders/>
            <w:shd w:fill="CCEEFF" w:val="clear"/>
            <w:vAlign w:val="center"/>
          </w:tcPr>
          <w:p>
            <w:pPr>
              <w:pStyle w:val="TableContents"/>
              <w:spacing w:before="0" w:after="0"/>
              <w:ind w:left="0" w:right="0" w:hanging="0"/>
              <w:rPr/>
            </w:pPr>
            <w:r>
              <w:rPr/>
              <w:t> </w:t>
            </w:r>
          </w:p>
        </w:tc>
        <w:tc>
          <w:tcPr>
            <w:tcW w:w="98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698" w:type="dxa"/>
            <w:tcBorders/>
            <w:shd w:fill="CCEEFF" w:val="clear"/>
            <w:vAlign w:val="center"/>
          </w:tcPr>
          <w:p>
            <w:pPr>
              <w:pStyle w:val="TableContents"/>
              <w:spacing w:before="0" w:after="0"/>
              <w:ind w:left="0" w:right="0" w:hanging="0"/>
              <w:rPr/>
            </w:pPr>
            <w:r>
              <w:rPr/>
              <w:t> </w:t>
            </w:r>
          </w:p>
        </w:tc>
        <w:tc>
          <w:tcPr>
            <w:tcW w:w="330" w:type="dxa"/>
            <w:tcBorders/>
            <w:shd w:fill="CCEEFF" w:val="clear"/>
            <w:vAlign w:val="center"/>
          </w:tcPr>
          <w:p>
            <w:pPr>
              <w:pStyle w:val="TableContents"/>
              <w:spacing w:before="0" w:after="0"/>
              <w:ind w:left="0" w:right="0" w:hanging="0"/>
              <w:rPr/>
            </w:pPr>
            <w:r>
              <w:rPr/>
              <w:t> </w:t>
            </w:r>
          </w:p>
        </w:tc>
        <w:tc>
          <w:tcPr>
            <w:tcW w:w="194" w:type="dxa"/>
            <w:tcBorders/>
            <w:shd w:fill="CCEEFF" w:val="clear"/>
            <w:vAlign w:val="center"/>
          </w:tcPr>
          <w:p>
            <w:pPr>
              <w:pStyle w:val="TableContents"/>
              <w:spacing w:before="0" w:after="0"/>
              <w:ind w:left="0" w:right="0" w:hanging="0"/>
              <w:rPr/>
            </w:pPr>
            <w:r>
              <w:rPr/>
              <w:t> </w:t>
            </w:r>
          </w:p>
        </w:tc>
        <w:tc>
          <w:tcPr>
            <w:tcW w:w="194" w:type="dxa"/>
            <w:tcBorders/>
            <w:shd w:fill="CCEEFF" w:val="clear"/>
            <w:vAlign w:val="center"/>
          </w:tcPr>
          <w:p>
            <w:pPr>
              <w:pStyle w:val="TableContents"/>
              <w:spacing w:before="0" w:after="0"/>
              <w:ind w:left="0" w:right="0" w:hanging="0"/>
              <w:rPr/>
            </w:pPr>
            <w:r>
              <w:rPr/>
              <w:t> </w:t>
            </w:r>
          </w:p>
        </w:tc>
        <w:tc>
          <w:tcPr>
            <w:tcW w:w="717" w:type="dxa"/>
            <w:tcBorders/>
            <w:shd w:fill="CCEEFF" w:val="clear"/>
            <w:vAlign w:val="center"/>
          </w:tcPr>
          <w:p>
            <w:pPr>
              <w:pStyle w:val="TableContents"/>
              <w:spacing w:before="0" w:after="0"/>
              <w:ind w:left="0" w:right="0" w:hanging="0"/>
              <w:rPr/>
            </w:pPr>
            <w:r>
              <w:rPr/>
              <w:t> </w:t>
            </w:r>
          </w:p>
        </w:tc>
        <w:tc>
          <w:tcPr>
            <w:tcW w:w="349"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4" w:type="dxa"/>
            <w:tcBorders/>
            <w:shd w:fill="CCEEFF" w:val="clear"/>
            <w:vAlign w:val="center"/>
          </w:tcPr>
          <w:p>
            <w:pPr>
              <w:pStyle w:val="TableContents"/>
              <w:spacing w:before="0" w:after="0"/>
              <w:ind w:left="0" w:right="0" w:hanging="0"/>
              <w:rPr/>
            </w:pPr>
            <w:r>
              <w:rPr/>
              <w:t> </w:t>
            </w:r>
          </w:p>
        </w:tc>
        <w:tc>
          <w:tcPr>
            <w:tcW w:w="952" w:type="dxa"/>
            <w:tcBorders/>
            <w:shd w:fill="CCEEFF" w:val="clear"/>
            <w:vAlign w:val="center"/>
          </w:tcPr>
          <w:p>
            <w:pPr>
              <w:pStyle w:val="TableContents"/>
              <w:spacing w:before="0" w:after="0"/>
              <w:ind w:left="0" w:right="0" w:hanging="0"/>
              <w:rPr/>
            </w:pPr>
            <w:r>
              <w:rPr/>
              <w:t> </w:t>
            </w:r>
          </w:p>
        </w:tc>
        <w:tc>
          <w:tcPr>
            <w:tcW w:w="294" w:type="dxa"/>
            <w:tcBorders/>
            <w:shd w:fill="CCEEFF" w:val="clear"/>
            <w:vAlign w:val="center"/>
          </w:tcPr>
          <w:p>
            <w:pPr>
              <w:pStyle w:val="TableContents"/>
              <w:spacing w:before="0" w:after="0"/>
              <w:ind w:left="0" w:right="0" w:hanging="0"/>
              <w:rPr/>
            </w:pPr>
            <w:r>
              <w:rPr/>
              <w:t> </w:t>
            </w:r>
          </w:p>
        </w:tc>
      </w:tr>
      <w:tr>
        <w:trPr/>
        <w:tc>
          <w:tcPr>
            <w:tcW w:w="1981" w:type="dxa"/>
            <w:tcBorders/>
            <w:shd w:fill="CCEEFF" w:val="clear"/>
            <w:vAlign w:val="center"/>
          </w:tcPr>
          <w:p>
            <w:pPr>
              <w:pStyle w:val="TableContents"/>
              <w:spacing w:before="0" w:after="0"/>
              <w:ind w:left="0" w:right="0" w:hanging="0"/>
              <w:rPr/>
            </w:pPr>
            <w:r>
              <w:rPr/>
              <w:t xml:space="preserve">Industrial and miscellaneous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2" w:type="dxa"/>
            <w:tcBorders>
              <w:bottom w:val="single" w:sz="2" w:space="0" w:color="000000"/>
            </w:tcBorders>
            <w:shd w:fill="CCEEFF" w:val="clear"/>
            <w:tcMar>
              <w:bottom w:w="28" w:type="dxa"/>
            </w:tcMar>
            <w:vAlign w:val="center"/>
          </w:tcPr>
          <w:p>
            <w:pPr>
              <w:pStyle w:val="TableContents"/>
              <w:spacing w:before="0" w:after="283"/>
              <w:jc w:val="right"/>
              <w:rPr/>
            </w:pPr>
            <w:r>
              <w:rPr/>
              <w:t>5,640,792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80" w:type="dxa"/>
            <w:tcBorders>
              <w:bottom w:val="single" w:sz="2" w:space="0" w:color="000000"/>
            </w:tcBorders>
            <w:shd w:fill="CCEEFF" w:val="clear"/>
            <w:tcMar>
              <w:bottom w:w="28" w:type="dxa"/>
            </w:tcMar>
            <w:vAlign w:val="center"/>
          </w:tcPr>
          <w:p>
            <w:pPr>
              <w:pStyle w:val="TableContents"/>
              <w:spacing w:before="0" w:after="283"/>
              <w:jc w:val="right"/>
              <w:rPr/>
            </w:pPr>
            <w:r>
              <w:rPr/>
              <w:t>455,378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69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330"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94" w:type="dxa"/>
            <w:tcBorders/>
            <w:shd w:fill="CCEEFF" w:val="clear"/>
            <w:vAlign w:val="center"/>
          </w:tcPr>
          <w:p>
            <w:pPr>
              <w:pStyle w:val="TableContents"/>
              <w:spacing w:before="0" w:after="0"/>
              <w:ind w:left="0" w:right="0" w:hanging="0"/>
              <w:rPr/>
            </w:pPr>
            <w:r>
              <w:rPr/>
              <w:t> </w:t>
            </w:r>
          </w:p>
        </w:tc>
        <w:tc>
          <w:tcPr>
            <w:tcW w:w="194" w:type="dxa"/>
            <w:tcBorders/>
            <w:shd w:fill="CCEEFF" w:val="clear"/>
            <w:vAlign w:val="center"/>
          </w:tcPr>
          <w:p>
            <w:pPr>
              <w:pStyle w:val="TableContents"/>
              <w:spacing w:before="0" w:after="0"/>
              <w:ind w:left="0" w:right="0" w:hanging="0"/>
              <w:rPr/>
            </w:pPr>
            <w:r>
              <w:rPr/>
              <w:t> </w:t>
            </w:r>
          </w:p>
        </w:tc>
        <w:tc>
          <w:tcPr>
            <w:tcW w:w="71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349"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6,096,170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52" w:type="dxa"/>
            <w:tcBorders>
              <w:bottom w:val="single" w:sz="2" w:space="0" w:color="000000"/>
            </w:tcBorders>
            <w:shd w:fill="CCEEFF" w:val="clear"/>
            <w:tcMar>
              <w:bottom w:w="28" w:type="dxa"/>
            </w:tcMar>
            <w:vAlign w:val="center"/>
          </w:tcPr>
          <w:p>
            <w:pPr>
              <w:pStyle w:val="TableContents"/>
              <w:spacing w:before="0" w:after="283"/>
              <w:jc w:val="right"/>
              <w:rPr/>
            </w:pPr>
            <w:r>
              <w:rPr/>
              <w:t>74.4</w:t>
            </w:r>
          </w:p>
        </w:tc>
        <w:tc>
          <w:tcPr>
            <w:tcW w:w="294" w:type="dxa"/>
            <w:tcBorders/>
            <w:shd w:fill="CCEEFF" w:val="clear"/>
            <w:vAlign w:val="center"/>
          </w:tcPr>
          <w:p>
            <w:pPr>
              <w:pStyle w:val="TableContents"/>
              <w:spacing w:before="0" w:after="283"/>
              <w:rPr/>
            </w:pPr>
            <w:r>
              <w:rPr/>
              <w:t>%</w:t>
            </w:r>
          </w:p>
        </w:tc>
      </w:tr>
      <w:tr>
        <w:trPr/>
        <w:tc>
          <w:tcPr>
            <w:tcW w:w="1981"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2"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00" w:type="dxa"/>
            <w:tcBorders/>
            <w:shd w:fill="FFFFFF" w:val="clear"/>
            <w:vAlign w:val="center"/>
          </w:tcPr>
          <w:p>
            <w:pPr>
              <w:pStyle w:val="TableContents"/>
              <w:spacing w:before="0" w:after="0"/>
              <w:ind w:left="0" w:right="0" w:hanging="0"/>
              <w:rPr/>
            </w:pPr>
            <w:r>
              <w:rPr/>
              <w:t> </w:t>
            </w:r>
          </w:p>
        </w:tc>
        <w:tc>
          <w:tcPr>
            <w:tcW w:w="98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698" w:type="dxa"/>
            <w:tcBorders/>
            <w:shd w:fill="FFFFFF" w:val="clear"/>
            <w:vAlign w:val="center"/>
          </w:tcPr>
          <w:p>
            <w:pPr>
              <w:pStyle w:val="TableContents"/>
              <w:spacing w:before="0" w:after="0"/>
              <w:ind w:left="0" w:right="0" w:hanging="0"/>
              <w:rPr/>
            </w:pPr>
            <w:r>
              <w:rPr/>
              <w:t> </w:t>
            </w:r>
          </w:p>
        </w:tc>
        <w:tc>
          <w:tcPr>
            <w:tcW w:w="330" w:type="dxa"/>
            <w:tcBorders/>
            <w:shd w:fill="FFFFFF" w:val="clear"/>
            <w:vAlign w:val="center"/>
          </w:tcPr>
          <w:p>
            <w:pPr>
              <w:pStyle w:val="TableContents"/>
              <w:spacing w:before="0" w:after="0"/>
              <w:ind w:left="0" w:right="0" w:hanging="0"/>
              <w:rPr/>
            </w:pPr>
            <w:r>
              <w:rPr/>
              <w:t> </w:t>
            </w:r>
          </w:p>
        </w:tc>
        <w:tc>
          <w:tcPr>
            <w:tcW w:w="194" w:type="dxa"/>
            <w:tcBorders/>
            <w:shd w:fill="FFFFFF" w:val="clear"/>
            <w:vAlign w:val="center"/>
          </w:tcPr>
          <w:p>
            <w:pPr>
              <w:pStyle w:val="TableContents"/>
              <w:spacing w:before="0" w:after="0"/>
              <w:ind w:left="0" w:right="0" w:hanging="0"/>
              <w:rPr/>
            </w:pPr>
            <w:r>
              <w:rPr/>
              <w:t> </w:t>
            </w:r>
          </w:p>
        </w:tc>
        <w:tc>
          <w:tcPr>
            <w:tcW w:w="194" w:type="dxa"/>
            <w:tcBorders/>
            <w:shd w:fill="FFFFFF" w:val="clear"/>
            <w:vAlign w:val="center"/>
          </w:tcPr>
          <w:p>
            <w:pPr>
              <w:pStyle w:val="TableContents"/>
              <w:spacing w:before="0" w:after="0"/>
              <w:ind w:left="0" w:right="0" w:hanging="0"/>
              <w:rPr/>
            </w:pPr>
            <w:r>
              <w:rPr/>
              <w:t> </w:t>
            </w:r>
          </w:p>
        </w:tc>
        <w:tc>
          <w:tcPr>
            <w:tcW w:w="717" w:type="dxa"/>
            <w:tcBorders/>
            <w:shd w:fill="FFFFFF" w:val="clear"/>
            <w:vAlign w:val="center"/>
          </w:tcPr>
          <w:p>
            <w:pPr>
              <w:pStyle w:val="TableContents"/>
              <w:spacing w:before="0" w:after="0"/>
              <w:ind w:left="0" w:right="0" w:hanging="0"/>
              <w:rPr/>
            </w:pPr>
            <w:r>
              <w:rPr/>
              <w:t> </w:t>
            </w:r>
          </w:p>
        </w:tc>
        <w:tc>
          <w:tcPr>
            <w:tcW w:w="349"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4" w:type="dxa"/>
            <w:tcBorders/>
            <w:shd w:fill="FFFFFF" w:val="clear"/>
            <w:vAlign w:val="center"/>
          </w:tcPr>
          <w:p>
            <w:pPr>
              <w:pStyle w:val="TableContents"/>
              <w:spacing w:before="0" w:after="0"/>
              <w:ind w:left="0" w:right="0" w:hanging="0"/>
              <w:rPr/>
            </w:pPr>
            <w:r>
              <w:rPr/>
              <w:t> </w:t>
            </w:r>
          </w:p>
        </w:tc>
        <w:tc>
          <w:tcPr>
            <w:tcW w:w="952" w:type="dxa"/>
            <w:tcBorders/>
            <w:shd w:fill="FFFFFF" w:val="clear"/>
            <w:vAlign w:val="center"/>
          </w:tcPr>
          <w:p>
            <w:pPr>
              <w:pStyle w:val="TableContents"/>
              <w:spacing w:before="0" w:after="0"/>
              <w:ind w:left="0" w:right="0" w:hanging="0"/>
              <w:rPr/>
            </w:pPr>
            <w:r>
              <w:rPr/>
              <w:t> </w:t>
            </w:r>
          </w:p>
        </w:tc>
        <w:tc>
          <w:tcPr>
            <w:tcW w:w="294" w:type="dxa"/>
            <w:tcBorders/>
            <w:shd w:fill="FFFFFF" w:val="clear"/>
            <w:vAlign w:val="center"/>
          </w:tcPr>
          <w:p>
            <w:pPr>
              <w:pStyle w:val="TableContents"/>
              <w:spacing w:before="0" w:after="0"/>
              <w:ind w:left="0" w:right="0" w:hanging="0"/>
              <w:rPr/>
            </w:pPr>
            <w:r>
              <w:rPr/>
              <w:t> </w:t>
            </w:r>
          </w:p>
        </w:tc>
      </w:tr>
      <w:tr>
        <w:trPr/>
        <w:tc>
          <w:tcPr>
            <w:tcW w:w="1981" w:type="dxa"/>
            <w:tcBorders/>
            <w:shd w:fill="CCEEFF" w:val="clear"/>
            <w:vAlign w:val="center"/>
          </w:tcPr>
          <w:p>
            <w:pPr>
              <w:pStyle w:val="TableContents"/>
              <w:spacing w:before="0" w:after="0"/>
              <w:ind w:left="0" w:right="0" w:hanging="0"/>
              <w:rPr/>
            </w:pPr>
            <w:r>
              <w:rPr/>
              <w:t xml:space="preserve">Total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012" w:type="dxa"/>
            <w:tcBorders>
              <w:bottom w:val="double" w:sz="6" w:space="0" w:color="000000"/>
            </w:tcBorders>
            <w:shd w:fill="CCEEFF" w:val="clear"/>
            <w:tcMar>
              <w:bottom w:w="28" w:type="dxa"/>
            </w:tcMar>
            <w:vAlign w:val="center"/>
          </w:tcPr>
          <w:p>
            <w:pPr>
              <w:pStyle w:val="TableContents"/>
              <w:spacing w:before="0" w:after="283"/>
              <w:jc w:val="right"/>
              <w:rPr/>
            </w:pPr>
            <w:r>
              <w:rPr/>
              <w:t>7,368,815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0" w:type="dxa"/>
            <w:tcBorders>
              <w:bottom w:val="double" w:sz="6" w:space="0" w:color="000000"/>
            </w:tcBorders>
            <w:shd w:fill="CCEEFF" w:val="clear"/>
            <w:tcMar>
              <w:bottom w:w="28" w:type="dxa"/>
            </w:tcMar>
            <w:vAlign w:val="center"/>
          </w:tcPr>
          <w:p>
            <w:pPr>
              <w:pStyle w:val="TableContents"/>
              <w:spacing w:before="0" w:after="283"/>
              <w:rPr/>
            </w:pPr>
            <w:r>
              <w:rPr/>
              <w:t>$</w:t>
            </w:r>
          </w:p>
        </w:tc>
        <w:tc>
          <w:tcPr>
            <w:tcW w:w="980" w:type="dxa"/>
            <w:tcBorders>
              <w:bottom w:val="double" w:sz="6" w:space="0" w:color="000000"/>
            </w:tcBorders>
            <w:shd w:fill="CCEEFF" w:val="clear"/>
            <w:tcMar>
              <w:bottom w:w="28" w:type="dxa"/>
            </w:tcMar>
            <w:vAlign w:val="center"/>
          </w:tcPr>
          <w:p>
            <w:pPr>
              <w:pStyle w:val="TableContents"/>
              <w:spacing w:before="0" w:after="283"/>
              <w:jc w:val="right"/>
              <w:rPr/>
            </w:pPr>
            <w:r>
              <w:rPr/>
              <w:t>826,009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698" w:type="dxa"/>
            <w:tcBorders>
              <w:bottom w:val="double" w:sz="6" w:space="0" w:color="000000"/>
            </w:tcBorders>
            <w:shd w:fill="CCEEFF" w:val="clear"/>
            <w:tcMar>
              <w:bottom w:w="28" w:type="dxa"/>
            </w:tcMar>
            <w:vAlign w:val="center"/>
          </w:tcPr>
          <w:p>
            <w:pPr>
              <w:pStyle w:val="TableContents"/>
              <w:spacing w:before="0" w:after="283"/>
              <w:rPr/>
            </w:pPr>
            <w:r>
              <w:rPr/>
              <w:t>$</w:t>
            </w:r>
          </w:p>
        </w:tc>
        <w:tc>
          <w:tcPr>
            <w:tcW w:w="330" w:type="dxa"/>
            <w:tcBorders>
              <w:bottom w:val="double" w:sz="6" w:space="0" w:color="000000"/>
            </w:tcBorders>
            <w:shd w:fill="CCEEFF" w:val="clear"/>
            <w:tcMar>
              <w:bottom w:w="28" w:type="dxa"/>
            </w:tcMar>
            <w:vAlign w:val="center"/>
          </w:tcPr>
          <w:p>
            <w:pPr>
              <w:pStyle w:val="TableContents"/>
              <w:spacing w:before="0" w:after="283"/>
              <w:jc w:val="right"/>
              <w:rPr/>
            </w:pPr>
            <w:r>
              <w:rPr/>
              <w:t>-</w:t>
            </w:r>
          </w:p>
        </w:tc>
        <w:tc>
          <w:tcPr>
            <w:tcW w:w="194" w:type="dxa"/>
            <w:tcBorders/>
            <w:shd w:fill="CCEEFF" w:val="clear"/>
            <w:vAlign w:val="center"/>
          </w:tcPr>
          <w:p>
            <w:pPr>
              <w:pStyle w:val="TableContents"/>
              <w:spacing w:before="0" w:after="0"/>
              <w:ind w:left="0" w:right="0" w:hanging="0"/>
              <w:rPr/>
            </w:pPr>
            <w:r>
              <w:rPr/>
              <w:t> </w:t>
            </w:r>
          </w:p>
        </w:tc>
        <w:tc>
          <w:tcPr>
            <w:tcW w:w="194" w:type="dxa"/>
            <w:tcBorders/>
            <w:shd w:fill="CCEEFF" w:val="clear"/>
            <w:vAlign w:val="center"/>
          </w:tcPr>
          <w:p>
            <w:pPr>
              <w:pStyle w:val="TableContents"/>
              <w:spacing w:before="0" w:after="0"/>
              <w:ind w:left="0" w:right="0" w:hanging="0"/>
              <w:rPr/>
            </w:pPr>
            <w:r>
              <w:rPr/>
              <w:t> </w:t>
            </w:r>
          </w:p>
        </w:tc>
        <w:tc>
          <w:tcPr>
            <w:tcW w:w="717" w:type="dxa"/>
            <w:tcBorders>
              <w:bottom w:val="double" w:sz="6" w:space="0" w:color="000000"/>
            </w:tcBorders>
            <w:shd w:fill="CCEEFF" w:val="clear"/>
            <w:tcMar>
              <w:bottom w:w="28" w:type="dxa"/>
            </w:tcMar>
            <w:vAlign w:val="center"/>
          </w:tcPr>
          <w:p>
            <w:pPr>
              <w:pStyle w:val="TableContents"/>
              <w:spacing w:before="0" w:after="283"/>
              <w:rPr/>
            </w:pPr>
            <w:r>
              <w:rPr/>
              <w:t>$</w:t>
            </w:r>
          </w:p>
        </w:tc>
        <w:tc>
          <w:tcPr>
            <w:tcW w:w="349" w:type="dxa"/>
            <w:tcBorders>
              <w:bottom w:val="double" w:sz="6" w:space="0" w:color="000000"/>
            </w:tcBorders>
            <w:shd w:fill="CCEEFF" w:val="clear"/>
            <w:tcMar>
              <w:bottom w:w="28" w:type="dxa"/>
            </w:tcM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6" w:space="0" w:color="000000"/>
            </w:tcBorders>
            <w:shd w:fill="CCEEFF" w:val="clear"/>
            <w:tcMar>
              <w:bottom w:w="28" w:type="dxa"/>
            </w:tcMar>
            <w:vAlign w:val="center"/>
          </w:tcPr>
          <w:p>
            <w:pPr>
              <w:pStyle w:val="TableContents"/>
              <w:spacing w:before="0" w:after="283"/>
              <w:jc w:val="right"/>
              <w:rPr/>
            </w:pPr>
            <w:r>
              <w:rPr/>
              <w:t>8,194,824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4"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952" w:type="dxa"/>
            <w:tcBorders>
              <w:bottom w:val="double" w:sz="6" w:space="0" w:color="000000"/>
            </w:tcBorders>
            <w:shd w:fill="CCEEFF" w:val="clear"/>
            <w:tcMar>
              <w:bottom w:w="28" w:type="dxa"/>
            </w:tcMar>
            <w:vAlign w:val="center"/>
          </w:tcPr>
          <w:p>
            <w:pPr>
              <w:pStyle w:val="TableContents"/>
              <w:spacing w:before="0" w:after="283"/>
              <w:jc w:val="right"/>
              <w:rPr/>
            </w:pPr>
            <w:r>
              <w:rPr/>
              <w:t>100.0</w:t>
            </w:r>
          </w:p>
        </w:tc>
        <w:tc>
          <w:tcPr>
            <w:tcW w:w="294" w:type="dxa"/>
            <w:tcBorders/>
            <w:shd w:fill="CCEEFF" w:val="clear"/>
            <w:vAlign w:val="center"/>
          </w:tcPr>
          <w:p>
            <w:pPr>
              <w:pStyle w:val="TableContents"/>
              <w:spacing w:before="0" w:after="283"/>
              <w:rPr/>
            </w:pPr>
            <w:r>
              <w:rPr/>
              <w:t>%</w:t>
            </w:r>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2008"/>
        <w:gridCol w:w="90"/>
        <w:gridCol w:w="170"/>
        <w:gridCol w:w="1012"/>
        <w:gridCol w:w="90"/>
        <w:gridCol w:w="90"/>
        <w:gridCol w:w="200"/>
        <w:gridCol w:w="981"/>
        <w:gridCol w:w="90"/>
        <w:gridCol w:w="90"/>
        <w:gridCol w:w="356"/>
        <w:gridCol w:w="706"/>
        <w:gridCol w:w="181"/>
        <w:gridCol w:w="130"/>
        <w:gridCol w:w="697"/>
        <w:gridCol w:w="378"/>
        <w:gridCol w:w="90"/>
        <w:gridCol w:w="90"/>
        <w:gridCol w:w="170"/>
        <w:gridCol w:w="1010"/>
        <w:gridCol w:w="90"/>
        <w:gridCol w:w="90"/>
        <w:gridCol w:w="144"/>
        <w:gridCol w:w="953"/>
        <w:gridCol w:w="299"/>
      </w:tblGrid>
      <w:tr>
        <w:trPr/>
        <w:tc>
          <w:tcPr>
            <w:tcW w:w="2008"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808" w:type="dxa"/>
            <w:gridSpan w:val="2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December 31, 2019</w:t>
            </w:r>
          </w:p>
        </w:tc>
        <w:tc>
          <w:tcPr>
            <w:tcW w:w="299" w:type="dxa"/>
            <w:tcBorders/>
            <w:shd w:fill="auto" w:val="clear"/>
            <w:vAlign w:val="center"/>
          </w:tcPr>
          <w:p>
            <w:pPr>
              <w:pStyle w:val="TableContents"/>
              <w:spacing w:before="0" w:after="0"/>
              <w:ind w:left="0" w:right="0" w:hanging="0"/>
              <w:rPr/>
            </w:pPr>
            <w:r>
              <w:rPr/>
              <w:t> </w:t>
            </w:r>
          </w:p>
        </w:tc>
      </w:tr>
      <w:tr>
        <w:trPr/>
        <w:tc>
          <w:tcPr>
            <w:tcW w:w="2008"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2"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1"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62" w:type="dxa"/>
            <w:gridSpan w:val="2"/>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0"/>
              <w:ind w:left="0" w:right="0" w:hanging="0"/>
              <w:rPr/>
            </w:pPr>
            <w:r>
              <w:rPr/>
              <w:t> </w:t>
            </w:r>
          </w:p>
        </w:tc>
        <w:tc>
          <w:tcPr>
            <w:tcW w:w="13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97" w:type="dxa"/>
            <w:gridSpan w:val="2"/>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0"/>
              <w:ind w:left="0" w:right="0" w:hanging="0"/>
              <w:rPr/>
            </w:pPr>
            <w:r>
              <w:rPr/>
              <w:t> </w:t>
            </w:r>
          </w:p>
        </w:tc>
      </w:tr>
      <w:tr>
        <w:trPr/>
        <w:tc>
          <w:tcPr>
            <w:tcW w:w="2008"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2" w:type="dxa"/>
            <w:gridSpan w:val="2"/>
            <w:tcBorders/>
            <w:shd w:fill="auto" w:val="clear"/>
            <w:vAlign w:val="center"/>
          </w:tcPr>
          <w:p>
            <w:pPr>
              <w:pStyle w:val="TableContents"/>
              <w:spacing w:before="0" w:after="0"/>
              <w:ind w:left="0" w:right="0" w:hanging="0"/>
              <w:jc w:val="center"/>
              <w:rPr/>
            </w:pPr>
            <w:r>
              <w:rPr>
                <w:rStyle w:val="StrongEmphasis"/>
              </w:rPr>
              <w:t xml:space="preserve">Cost or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1" w:type="dxa"/>
            <w:gridSpan w:val="2"/>
            <w:tcBorders/>
            <w:shd w:fill="auto" w:val="clear"/>
            <w:vAlign w:val="center"/>
          </w:tcPr>
          <w:p>
            <w:pPr>
              <w:pStyle w:val="TableContents"/>
              <w:spacing w:before="0" w:after="0"/>
              <w:ind w:left="0" w:right="0" w:hanging="0"/>
              <w:jc w:val="center"/>
              <w:rPr/>
            </w:pPr>
            <w:r>
              <w:rPr>
                <w:rStyle w:val="StrongEmphasis"/>
              </w:rPr>
              <w:t xml:space="preserve">Gross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448"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Gross Unrealized Losses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 xml:space="preserve">Estimated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97" w:type="dxa"/>
            <w:gridSpan w:val="2"/>
            <w:tcBorders/>
            <w:shd w:fill="auto" w:val="clear"/>
            <w:vAlign w:val="center"/>
          </w:tcPr>
          <w:p>
            <w:pPr>
              <w:pStyle w:val="TableContents"/>
              <w:spacing w:before="0" w:after="0"/>
              <w:ind w:left="0" w:right="0" w:hanging="0"/>
              <w:jc w:val="center"/>
              <w:rPr/>
            </w:pPr>
            <w:r>
              <w:rPr>
                <w:rStyle w:val="StrongEmphasis"/>
              </w:rPr>
              <w:t>% of</w:t>
            </w:r>
          </w:p>
        </w:tc>
        <w:tc>
          <w:tcPr>
            <w:tcW w:w="299" w:type="dxa"/>
            <w:tcBorders/>
            <w:shd w:fill="auto" w:val="clear"/>
            <w:vAlign w:val="center"/>
          </w:tcPr>
          <w:p>
            <w:pPr>
              <w:pStyle w:val="TableContents"/>
              <w:spacing w:before="0" w:after="0"/>
              <w:ind w:left="0" w:right="0" w:hanging="0"/>
              <w:rPr/>
            </w:pPr>
            <w:r>
              <w:rPr/>
              <w:t> </w:t>
            </w:r>
          </w:p>
        </w:tc>
      </w:tr>
      <w:tr>
        <w:trPr/>
        <w:tc>
          <w:tcPr>
            <w:tcW w:w="2008"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2" w:type="dxa"/>
            <w:gridSpan w:val="2"/>
            <w:tcBorders/>
            <w:shd w:fill="auto" w:val="clear"/>
            <w:vAlign w:val="center"/>
          </w:tcPr>
          <w:p>
            <w:pPr>
              <w:pStyle w:val="TableContents"/>
              <w:spacing w:before="0" w:after="0"/>
              <w:ind w:left="0" w:right="0" w:hanging="0"/>
              <w:jc w:val="center"/>
              <w:rPr/>
            </w:pPr>
            <w:r>
              <w:rPr>
                <w:rStyle w:val="StrongEmphasis"/>
              </w:rPr>
              <w:t xml:space="preserve">Amortized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1" w:type="dxa"/>
            <w:gridSpan w:val="2"/>
            <w:tcBorders/>
            <w:shd w:fill="auto" w:val="clear"/>
            <w:vAlign w:val="center"/>
          </w:tcPr>
          <w:p>
            <w:pPr>
              <w:pStyle w:val="TableContents"/>
              <w:spacing w:before="0" w:after="0"/>
              <w:ind w:left="0" w:right="0" w:hanging="0"/>
              <w:jc w:val="center"/>
              <w:rPr/>
            </w:pPr>
            <w:r>
              <w:rPr>
                <w:rStyle w:val="StrongEmphasis"/>
              </w:rPr>
              <w:t xml:space="preserve">Unrealized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62" w:type="dxa"/>
            <w:gridSpan w:val="2"/>
            <w:tcBorders/>
            <w:shd w:fill="auto" w:val="clear"/>
            <w:vAlign w:val="center"/>
          </w:tcPr>
          <w:p>
            <w:pPr>
              <w:pStyle w:val="TableContents"/>
              <w:spacing w:before="0" w:after="0"/>
              <w:ind w:left="0" w:right="0" w:hanging="0"/>
              <w:jc w:val="center"/>
              <w:rPr/>
            </w:pPr>
            <w:r>
              <w:rPr>
                <w:rStyle w:val="StrongEmphasis"/>
              </w:rPr>
              <w:t xml:space="preserve">Less than 12 </w:t>
            </w:r>
          </w:p>
        </w:tc>
        <w:tc>
          <w:tcPr>
            <w:tcW w:w="181" w:type="dxa"/>
            <w:tcBorders/>
            <w:shd w:fill="auto" w:val="clear"/>
            <w:vAlign w:val="center"/>
          </w:tcPr>
          <w:p>
            <w:pPr>
              <w:pStyle w:val="TableContents"/>
              <w:spacing w:before="0" w:after="0"/>
              <w:ind w:left="0" w:right="0" w:hanging="0"/>
              <w:rPr/>
            </w:pPr>
            <w:r>
              <w:rPr/>
              <w:t> </w:t>
            </w:r>
          </w:p>
        </w:tc>
        <w:tc>
          <w:tcPr>
            <w:tcW w:w="13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jc w:val="center"/>
              <w:rPr/>
            </w:pPr>
            <w:r>
              <w:rPr>
                <w:rStyle w:val="StrongEmphasis"/>
              </w:rPr>
              <w:t xml:space="preserve">More than 12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 xml:space="preserve">Fair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97" w:type="dxa"/>
            <w:gridSpan w:val="2"/>
            <w:tcBorders/>
            <w:shd w:fill="auto" w:val="clear"/>
            <w:vAlign w:val="center"/>
          </w:tcPr>
          <w:p>
            <w:pPr>
              <w:pStyle w:val="TableContents"/>
              <w:spacing w:before="0" w:after="0"/>
              <w:ind w:left="0" w:right="0" w:hanging="0"/>
              <w:jc w:val="center"/>
              <w:rPr/>
            </w:pPr>
            <w:r>
              <w:rPr>
                <w:rStyle w:val="StrongEmphasis"/>
              </w:rPr>
              <w:t>Estimated</w:t>
            </w:r>
          </w:p>
        </w:tc>
        <w:tc>
          <w:tcPr>
            <w:tcW w:w="299" w:type="dxa"/>
            <w:tcBorders/>
            <w:shd w:fill="auto" w:val="clear"/>
            <w:vAlign w:val="center"/>
          </w:tcPr>
          <w:p>
            <w:pPr>
              <w:pStyle w:val="TableContents"/>
              <w:spacing w:before="0" w:after="0"/>
              <w:ind w:left="0" w:right="0" w:hanging="0"/>
              <w:rPr/>
            </w:pPr>
            <w:r>
              <w:rPr/>
              <w:t> </w:t>
            </w:r>
          </w:p>
        </w:tc>
      </w:tr>
      <w:tr>
        <w:trPr/>
        <w:tc>
          <w:tcPr>
            <w:tcW w:w="2008"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Pr>
              <w:t xml:space="preserve">Category </w:t>
            </w:r>
          </w:p>
        </w:tc>
        <w:tc>
          <w:tcPr>
            <w:tcW w:w="90" w:type="dxa"/>
            <w:tcBorders/>
            <w:shd w:fill="auto" w:val="clear"/>
            <w:vAlign w:val="center"/>
          </w:tcPr>
          <w:p>
            <w:pPr>
              <w:pStyle w:val="TableContents"/>
              <w:spacing w:before="0" w:after="0"/>
              <w:ind w:left="0" w:right="0" w:hanging="0"/>
              <w:rPr/>
            </w:pPr>
            <w:r>
              <w:rPr/>
              <w:t> </w:t>
            </w:r>
          </w:p>
        </w:tc>
        <w:tc>
          <w:tcPr>
            <w:tcW w:w="11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Cost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Gains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6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Months </w:t>
            </w:r>
          </w:p>
        </w:tc>
        <w:tc>
          <w:tcPr>
            <w:tcW w:w="181" w:type="dxa"/>
            <w:tcBorders/>
            <w:shd w:fill="auto" w:val="clear"/>
            <w:vAlign w:val="center"/>
          </w:tcPr>
          <w:p>
            <w:pPr>
              <w:pStyle w:val="TableContents"/>
              <w:spacing w:before="0" w:after="0"/>
              <w:ind w:left="0" w:right="0" w:hanging="0"/>
              <w:rPr/>
            </w:pPr>
            <w:r>
              <w:rPr/>
              <w:t> </w:t>
            </w:r>
          </w:p>
        </w:tc>
        <w:tc>
          <w:tcPr>
            <w:tcW w:w="130" w:type="dxa"/>
            <w:tcBorders/>
            <w:shd w:fill="auto" w:val="clear"/>
            <w:vAlign w:val="center"/>
          </w:tcPr>
          <w:p>
            <w:pPr>
              <w:pStyle w:val="TableContents"/>
              <w:spacing w:before="0" w:after="0"/>
              <w:ind w:left="0" w:right="0" w:hanging="0"/>
              <w:rPr/>
            </w:pPr>
            <w:r>
              <w:rPr/>
              <w:t> </w:t>
            </w:r>
          </w:p>
        </w:tc>
        <w:tc>
          <w:tcPr>
            <w:tcW w:w="10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Months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Value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Fair Value</w:t>
            </w:r>
          </w:p>
        </w:tc>
        <w:tc>
          <w:tcPr>
            <w:tcW w:w="299" w:type="dxa"/>
            <w:tcBorders/>
            <w:shd w:fill="auto" w:val="clear"/>
            <w:vAlign w:val="center"/>
          </w:tcPr>
          <w:p>
            <w:pPr>
              <w:pStyle w:val="TableContents"/>
              <w:spacing w:before="0" w:after="0"/>
              <w:ind w:left="0" w:right="0" w:hanging="0"/>
              <w:rPr/>
            </w:pPr>
            <w:r>
              <w:rPr/>
              <w:t> </w:t>
            </w:r>
          </w:p>
        </w:tc>
      </w:tr>
      <w:tr>
        <w:trPr/>
        <w:tc>
          <w:tcPr>
            <w:tcW w:w="2008"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2"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00" w:type="dxa"/>
            <w:tcBorders/>
            <w:shd w:fill="auto" w:val="clear"/>
            <w:vAlign w:val="center"/>
          </w:tcPr>
          <w:p>
            <w:pPr>
              <w:pStyle w:val="TableContents"/>
              <w:spacing w:before="0" w:after="0"/>
              <w:ind w:left="0" w:right="0" w:hanging="0"/>
              <w:rPr/>
            </w:pPr>
            <w:r>
              <w:rPr/>
              <w:t> </w:t>
            </w:r>
          </w:p>
        </w:tc>
        <w:tc>
          <w:tcPr>
            <w:tcW w:w="981"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5474" w:type="dxa"/>
            <w:gridSpan w:val="16"/>
            <w:tcBorders/>
            <w:shd w:fill="auto" w:val="clear"/>
            <w:vAlign w:val="center"/>
          </w:tcPr>
          <w:p>
            <w:pPr>
              <w:pStyle w:val="TableContents"/>
              <w:spacing w:before="0" w:after="0"/>
              <w:ind w:left="0" w:right="0" w:hanging="0"/>
              <w:rPr/>
            </w:pPr>
            <w:r>
              <w:rPr/>
              <w:t> </w:t>
            </w:r>
          </w:p>
        </w:tc>
      </w:tr>
      <w:tr>
        <w:trPr/>
        <w:tc>
          <w:tcPr>
            <w:tcW w:w="2008" w:type="dxa"/>
            <w:tcBorders/>
            <w:shd w:fill="CCEEFF" w:val="clear"/>
            <w:vAlign w:val="center"/>
          </w:tcPr>
          <w:p>
            <w:pPr>
              <w:pStyle w:val="TableContents"/>
              <w:spacing w:before="0" w:after="0"/>
              <w:ind w:left="0" w:right="0" w:hanging="0"/>
              <w:rPr/>
            </w:pPr>
            <w:r>
              <w:rPr/>
              <w:t xml:space="preserve">U.S. Treasury securities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2" w:type="dxa"/>
            <w:tcBorders/>
            <w:shd w:fill="CCEEFF" w:val="clear"/>
            <w:vAlign w:val="center"/>
          </w:tcPr>
          <w:p>
            <w:pPr>
              <w:pStyle w:val="TableContents"/>
              <w:spacing w:before="0" w:after="283"/>
              <w:jc w:val="right"/>
              <w:rPr/>
            </w:pPr>
            <w:r>
              <w:rPr/>
              <w:t>729,550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0" w:type="dxa"/>
            <w:tcBorders/>
            <w:shd w:fill="CCEEFF" w:val="clear"/>
            <w:vAlign w:val="center"/>
          </w:tcPr>
          <w:p>
            <w:pPr>
              <w:pStyle w:val="TableContents"/>
              <w:spacing w:before="0" w:after="283"/>
              <w:rPr/>
            </w:pPr>
            <w:r>
              <w:rPr/>
              <w:t>$</w:t>
            </w:r>
          </w:p>
        </w:tc>
        <w:tc>
          <w:tcPr>
            <w:tcW w:w="981" w:type="dxa"/>
            <w:tcBorders/>
            <w:shd w:fill="CCEEFF" w:val="clear"/>
            <w:vAlign w:val="center"/>
          </w:tcPr>
          <w:p>
            <w:pPr>
              <w:pStyle w:val="TableContents"/>
              <w:spacing w:before="0" w:after="283"/>
              <w:jc w:val="right"/>
              <w:rPr/>
            </w:pPr>
            <w:r>
              <w:rPr/>
              <w:t>151,002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356" w:type="dxa"/>
            <w:tcBorders/>
            <w:shd w:fill="CCEEFF" w:val="clear"/>
            <w:vAlign w:val="center"/>
          </w:tcPr>
          <w:p>
            <w:pPr>
              <w:pStyle w:val="TableContents"/>
              <w:spacing w:before="0" w:after="283"/>
              <w:rPr/>
            </w:pPr>
            <w:r>
              <w:rPr/>
              <w:t>$</w:t>
            </w:r>
          </w:p>
        </w:tc>
        <w:tc>
          <w:tcPr>
            <w:tcW w:w="706" w:type="dxa"/>
            <w:tcBorders/>
            <w:shd w:fill="CCEEFF" w:val="clear"/>
            <w:vAlign w:val="center"/>
          </w:tcPr>
          <w:p>
            <w:pPr>
              <w:pStyle w:val="TableContents"/>
              <w:spacing w:before="0" w:after="283"/>
              <w:jc w:val="right"/>
              <w:rPr/>
            </w:pPr>
            <w:r>
              <w:rPr/>
              <w:t>-</w:t>
            </w:r>
          </w:p>
        </w:tc>
        <w:tc>
          <w:tcPr>
            <w:tcW w:w="181" w:type="dxa"/>
            <w:tcBorders/>
            <w:shd w:fill="CCEEFF" w:val="clear"/>
            <w:vAlign w:val="center"/>
          </w:tcPr>
          <w:p>
            <w:pPr>
              <w:pStyle w:val="TableContents"/>
              <w:spacing w:before="0" w:after="0"/>
              <w:ind w:left="0" w:right="0" w:hanging="0"/>
              <w:rPr/>
            </w:pPr>
            <w:r>
              <w:rPr/>
              <w:t> </w:t>
            </w:r>
          </w:p>
        </w:tc>
        <w:tc>
          <w:tcPr>
            <w:tcW w:w="130" w:type="dxa"/>
            <w:tcBorders/>
            <w:shd w:fill="CCEEFF" w:val="clear"/>
            <w:vAlign w:val="center"/>
          </w:tcPr>
          <w:p>
            <w:pPr>
              <w:pStyle w:val="TableContents"/>
              <w:spacing w:before="0" w:after="0"/>
              <w:ind w:left="0" w:right="0" w:hanging="0"/>
              <w:rPr/>
            </w:pPr>
            <w:r>
              <w:rPr/>
              <w:t> </w:t>
            </w:r>
          </w:p>
        </w:tc>
        <w:tc>
          <w:tcPr>
            <w:tcW w:w="697" w:type="dxa"/>
            <w:tcBorders/>
            <w:shd w:fill="CCEEFF" w:val="clear"/>
            <w:vAlign w:val="center"/>
          </w:tcPr>
          <w:p>
            <w:pPr>
              <w:pStyle w:val="TableContents"/>
              <w:spacing w:before="0" w:after="283"/>
              <w:rPr/>
            </w:pPr>
            <w:r>
              <w:rPr/>
              <w:t>$</w:t>
            </w:r>
          </w:p>
        </w:tc>
        <w:tc>
          <w:tcPr>
            <w:tcW w:w="378"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880,552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4" w:type="dxa"/>
            <w:tcBorders/>
            <w:shd w:fill="CCEEFF" w:val="clear"/>
            <w:vAlign w:val="center"/>
          </w:tcPr>
          <w:p>
            <w:pPr>
              <w:pStyle w:val="TableContents"/>
              <w:spacing w:before="0" w:after="0"/>
              <w:ind w:left="0" w:right="0" w:hanging="0"/>
              <w:rPr/>
            </w:pPr>
            <w:r>
              <w:rPr/>
              <w:t> </w:t>
            </w:r>
          </w:p>
        </w:tc>
        <w:tc>
          <w:tcPr>
            <w:tcW w:w="953" w:type="dxa"/>
            <w:tcBorders/>
            <w:shd w:fill="CCEEFF" w:val="clear"/>
            <w:vAlign w:val="center"/>
          </w:tcPr>
          <w:p>
            <w:pPr>
              <w:pStyle w:val="TableContents"/>
              <w:spacing w:before="0" w:after="283"/>
              <w:jc w:val="right"/>
              <w:rPr/>
            </w:pPr>
            <w:r>
              <w:rPr/>
              <w:t>21.3</w:t>
            </w:r>
          </w:p>
        </w:tc>
        <w:tc>
          <w:tcPr>
            <w:tcW w:w="299" w:type="dxa"/>
            <w:tcBorders/>
            <w:shd w:fill="CCEEFF" w:val="clear"/>
            <w:vAlign w:val="center"/>
          </w:tcPr>
          <w:p>
            <w:pPr>
              <w:pStyle w:val="TableContents"/>
              <w:spacing w:before="0" w:after="283"/>
              <w:rPr/>
            </w:pPr>
            <w:r>
              <w:rPr/>
              <w:t>%</w:t>
            </w:r>
          </w:p>
        </w:tc>
      </w:tr>
      <w:tr>
        <w:trPr/>
        <w:tc>
          <w:tcPr>
            <w:tcW w:w="200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2"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00" w:type="dxa"/>
            <w:tcBorders/>
            <w:shd w:fill="FFFFFF" w:val="clear"/>
            <w:vAlign w:val="center"/>
          </w:tcPr>
          <w:p>
            <w:pPr>
              <w:pStyle w:val="TableContents"/>
              <w:spacing w:before="0" w:after="0"/>
              <w:ind w:left="0" w:right="0" w:hanging="0"/>
              <w:rPr/>
            </w:pPr>
            <w:r>
              <w:rPr/>
              <w:t> </w:t>
            </w:r>
          </w:p>
        </w:tc>
        <w:tc>
          <w:tcPr>
            <w:tcW w:w="981"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356" w:type="dxa"/>
            <w:tcBorders/>
            <w:shd w:fill="FFFFFF" w:val="clear"/>
            <w:vAlign w:val="center"/>
          </w:tcPr>
          <w:p>
            <w:pPr>
              <w:pStyle w:val="TableContents"/>
              <w:spacing w:before="0" w:after="0"/>
              <w:ind w:left="0" w:right="0" w:hanging="0"/>
              <w:rPr/>
            </w:pPr>
            <w:r>
              <w:rPr/>
              <w:t> </w:t>
            </w:r>
          </w:p>
        </w:tc>
        <w:tc>
          <w:tcPr>
            <w:tcW w:w="706" w:type="dxa"/>
            <w:tcBorders/>
            <w:shd w:fill="FFFFFF" w:val="clear"/>
            <w:vAlign w:val="center"/>
          </w:tcPr>
          <w:p>
            <w:pPr>
              <w:pStyle w:val="TableContents"/>
              <w:spacing w:before="0" w:after="0"/>
              <w:ind w:left="0" w:right="0" w:hanging="0"/>
              <w:rPr/>
            </w:pPr>
            <w:r>
              <w:rPr/>
              <w:t> </w:t>
            </w:r>
          </w:p>
        </w:tc>
        <w:tc>
          <w:tcPr>
            <w:tcW w:w="181" w:type="dxa"/>
            <w:tcBorders/>
            <w:shd w:fill="FFFFFF" w:val="clear"/>
            <w:vAlign w:val="center"/>
          </w:tcPr>
          <w:p>
            <w:pPr>
              <w:pStyle w:val="TableContents"/>
              <w:spacing w:before="0" w:after="0"/>
              <w:ind w:left="0" w:right="0" w:hanging="0"/>
              <w:rPr/>
            </w:pPr>
            <w:r>
              <w:rPr/>
              <w:t> </w:t>
            </w:r>
          </w:p>
        </w:tc>
        <w:tc>
          <w:tcPr>
            <w:tcW w:w="130" w:type="dxa"/>
            <w:tcBorders/>
            <w:shd w:fill="FFFFFF" w:val="clear"/>
            <w:vAlign w:val="center"/>
          </w:tcPr>
          <w:p>
            <w:pPr>
              <w:pStyle w:val="TableContents"/>
              <w:spacing w:before="0" w:after="0"/>
              <w:ind w:left="0" w:right="0" w:hanging="0"/>
              <w:rPr/>
            </w:pPr>
            <w:r>
              <w:rPr/>
              <w:t> </w:t>
            </w:r>
          </w:p>
        </w:tc>
        <w:tc>
          <w:tcPr>
            <w:tcW w:w="697" w:type="dxa"/>
            <w:tcBorders/>
            <w:shd w:fill="FFFFFF" w:val="clear"/>
            <w:vAlign w:val="center"/>
          </w:tcPr>
          <w:p>
            <w:pPr>
              <w:pStyle w:val="TableContents"/>
              <w:spacing w:before="0" w:after="0"/>
              <w:ind w:left="0" w:right="0" w:hanging="0"/>
              <w:rPr/>
            </w:pPr>
            <w:r>
              <w:rPr/>
              <w:t> </w:t>
            </w:r>
          </w:p>
        </w:tc>
        <w:tc>
          <w:tcPr>
            <w:tcW w:w="37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4" w:type="dxa"/>
            <w:tcBorders/>
            <w:shd w:fill="FFFFFF" w:val="clear"/>
            <w:vAlign w:val="center"/>
          </w:tcPr>
          <w:p>
            <w:pPr>
              <w:pStyle w:val="TableContents"/>
              <w:spacing w:before="0" w:after="0"/>
              <w:ind w:left="0" w:right="0" w:hanging="0"/>
              <w:rPr/>
            </w:pPr>
            <w:r>
              <w:rPr/>
              <w:t> </w:t>
            </w:r>
          </w:p>
        </w:tc>
        <w:tc>
          <w:tcPr>
            <w:tcW w:w="953" w:type="dxa"/>
            <w:tcBorders/>
            <w:shd w:fill="FFFFFF" w:val="clear"/>
            <w:vAlign w:val="center"/>
          </w:tcPr>
          <w:p>
            <w:pPr>
              <w:pStyle w:val="TableContents"/>
              <w:spacing w:before="0" w:after="0"/>
              <w:ind w:left="0" w:right="0" w:hanging="0"/>
              <w:rPr/>
            </w:pPr>
            <w:r>
              <w:rPr/>
              <w:t> </w:t>
            </w:r>
          </w:p>
        </w:tc>
        <w:tc>
          <w:tcPr>
            <w:tcW w:w="299" w:type="dxa"/>
            <w:tcBorders/>
            <w:shd w:fill="FFFFFF" w:val="clear"/>
            <w:vAlign w:val="center"/>
          </w:tcPr>
          <w:p>
            <w:pPr>
              <w:pStyle w:val="TableContents"/>
              <w:spacing w:before="0" w:after="0"/>
              <w:ind w:left="0" w:right="0" w:hanging="0"/>
              <w:rPr/>
            </w:pPr>
            <w:r>
              <w:rPr/>
              <w:t> </w:t>
            </w:r>
          </w:p>
        </w:tc>
      </w:tr>
      <w:tr>
        <w:trPr/>
        <w:tc>
          <w:tcPr>
            <w:tcW w:w="2008" w:type="dxa"/>
            <w:tcBorders/>
            <w:shd w:fill="CCEEFF" w:val="clear"/>
            <w:vAlign w:val="center"/>
          </w:tcPr>
          <w:p>
            <w:pPr>
              <w:pStyle w:val="TableContents"/>
              <w:spacing w:before="0" w:after="0"/>
              <w:ind w:left="0" w:right="0" w:hanging="0"/>
              <w:rPr/>
            </w:pPr>
            <w:r>
              <w:rPr/>
              <w:t xml:space="preserve">Political subdivisions of States,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2"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0" w:type="dxa"/>
            <w:tcBorders/>
            <w:shd w:fill="CCEEFF" w:val="clear"/>
            <w:vAlign w:val="center"/>
          </w:tcPr>
          <w:p>
            <w:pPr>
              <w:pStyle w:val="TableContents"/>
              <w:spacing w:before="0" w:after="0"/>
              <w:ind w:left="0" w:right="0" w:hanging="0"/>
              <w:rPr/>
            </w:pPr>
            <w:r>
              <w:rPr/>
              <w:t> </w:t>
            </w:r>
          </w:p>
        </w:tc>
        <w:tc>
          <w:tcPr>
            <w:tcW w:w="981"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356" w:type="dxa"/>
            <w:tcBorders/>
            <w:shd w:fill="CCEEFF" w:val="clear"/>
            <w:vAlign w:val="center"/>
          </w:tcPr>
          <w:p>
            <w:pPr>
              <w:pStyle w:val="TableContents"/>
              <w:spacing w:before="0" w:after="0"/>
              <w:ind w:left="0" w:right="0" w:hanging="0"/>
              <w:rPr/>
            </w:pPr>
            <w:r>
              <w:rPr/>
              <w:t> </w:t>
            </w:r>
          </w:p>
        </w:tc>
        <w:tc>
          <w:tcPr>
            <w:tcW w:w="706" w:type="dxa"/>
            <w:tcBorders/>
            <w:shd w:fill="CCEEFF" w:val="clear"/>
            <w:vAlign w:val="center"/>
          </w:tcPr>
          <w:p>
            <w:pPr>
              <w:pStyle w:val="TableContents"/>
              <w:spacing w:before="0" w:after="0"/>
              <w:ind w:left="0" w:right="0" w:hanging="0"/>
              <w:rPr/>
            </w:pPr>
            <w:r>
              <w:rPr/>
              <w:t> </w:t>
            </w:r>
          </w:p>
        </w:tc>
        <w:tc>
          <w:tcPr>
            <w:tcW w:w="181" w:type="dxa"/>
            <w:tcBorders/>
            <w:shd w:fill="CCEEFF" w:val="clear"/>
            <w:vAlign w:val="center"/>
          </w:tcPr>
          <w:p>
            <w:pPr>
              <w:pStyle w:val="TableContents"/>
              <w:spacing w:before="0" w:after="0"/>
              <w:ind w:left="0" w:right="0" w:hanging="0"/>
              <w:rPr/>
            </w:pPr>
            <w:r>
              <w:rPr/>
              <w:t> </w:t>
            </w:r>
          </w:p>
        </w:tc>
        <w:tc>
          <w:tcPr>
            <w:tcW w:w="130" w:type="dxa"/>
            <w:tcBorders/>
            <w:shd w:fill="CCEEFF" w:val="clear"/>
            <w:vAlign w:val="center"/>
          </w:tcPr>
          <w:p>
            <w:pPr>
              <w:pStyle w:val="TableContents"/>
              <w:spacing w:before="0" w:after="0"/>
              <w:ind w:left="0" w:right="0" w:hanging="0"/>
              <w:rPr/>
            </w:pPr>
            <w:r>
              <w:rPr/>
              <w:t> </w:t>
            </w:r>
          </w:p>
        </w:tc>
        <w:tc>
          <w:tcPr>
            <w:tcW w:w="697" w:type="dxa"/>
            <w:tcBorders/>
            <w:shd w:fill="CCEEFF" w:val="clear"/>
            <w:vAlign w:val="center"/>
          </w:tcPr>
          <w:p>
            <w:pPr>
              <w:pStyle w:val="TableContents"/>
              <w:spacing w:before="0" w:after="0"/>
              <w:ind w:left="0" w:right="0" w:hanging="0"/>
              <w:rPr/>
            </w:pPr>
            <w:r>
              <w:rPr/>
              <w:t> </w:t>
            </w:r>
          </w:p>
        </w:tc>
        <w:tc>
          <w:tcPr>
            <w:tcW w:w="378"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4" w:type="dxa"/>
            <w:tcBorders/>
            <w:shd w:fill="CCEEFF" w:val="clear"/>
            <w:vAlign w:val="center"/>
          </w:tcPr>
          <w:p>
            <w:pPr>
              <w:pStyle w:val="TableContents"/>
              <w:spacing w:before="0" w:after="0"/>
              <w:ind w:left="0" w:right="0" w:hanging="0"/>
              <w:rPr/>
            </w:pPr>
            <w:r>
              <w:rPr/>
              <w:t> </w:t>
            </w:r>
          </w:p>
        </w:tc>
        <w:tc>
          <w:tcPr>
            <w:tcW w:w="953" w:type="dxa"/>
            <w:tcBorders/>
            <w:shd w:fill="CCEEFF" w:val="clear"/>
            <w:vAlign w:val="center"/>
          </w:tcPr>
          <w:p>
            <w:pPr>
              <w:pStyle w:val="TableContents"/>
              <w:spacing w:before="0" w:after="0"/>
              <w:ind w:left="0" w:right="0" w:hanging="0"/>
              <w:rPr/>
            </w:pPr>
            <w:r>
              <w:rPr/>
              <w:t> </w:t>
            </w:r>
          </w:p>
        </w:tc>
        <w:tc>
          <w:tcPr>
            <w:tcW w:w="299" w:type="dxa"/>
            <w:tcBorders/>
            <w:shd w:fill="CCEEFF" w:val="clear"/>
            <w:vAlign w:val="center"/>
          </w:tcPr>
          <w:p>
            <w:pPr>
              <w:pStyle w:val="TableContents"/>
              <w:spacing w:before="0" w:after="0"/>
              <w:ind w:left="0" w:right="0" w:hanging="0"/>
              <w:rPr/>
            </w:pPr>
            <w:r>
              <w:rPr/>
              <w:t> </w:t>
            </w:r>
          </w:p>
        </w:tc>
      </w:tr>
      <w:tr>
        <w:trPr/>
        <w:tc>
          <w:tcPr>
            <w:tcW w:w="2008" w:type="dxa"/>
            <w:tcBorders/>
            <w:shd w:fill="CCEEFF" w:val="clear"/>
            <w:vAlign w:val="center"/>
          </w:tcPr>
          <w:p>
            <w:pPr>
              <w:pStyle w:val="TableContents"/>
              <w:spacing w:before="0" w:after="0"/>
              <w:ind w:left="0" w:right="0" w:hanging="0"/>
              <w:rPr/>
            </w:pPr>
            <w:r>
              <w:rPr/>
              <w:t xml:space="preserve">Territories and Possessions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2" w:type="dxa"/>
            <w:tcBorders/>
            <w:shd w:fill="CCEEFF" w:val="clear"/>
            <w:vAlign w:val="center"/>
          </w:tcPr>
          <w:p>
            <w:pPr>
              <w:pStyle w:val="TableContents"/>
              <w:spacing w:before="0" w:after="283"/>
              <w:jc w:val="right"/>
              <w:rPr/>
            </w:pPr>
            <w:r>
              <w:rPr/>
              <w:t>998,619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0" w:type="dxa"/>
            <w:tcBorders/>
            <w:shd w:fill="CCEEFF" w:val="clear"/>
            <w:vAlign w:val="center"/>
          </w:tcPr>
          <w:p>
            <w:pPr>
              <w:pStyle w:val="TableContents"/>
              <w:spacing w:before="0" w:after="0"/>
              <w:ind w:left="0" w:right="0" w:hanging="0"/>
              <w:rPr/>
            </w:pPr>
            <w:r>
              <w:rPr/>
              <w:t> </w:t>
            </w:r>
          </w:p>
        </w:tc>
        <w:tc>
          <w:tcPr>
            <w:tcW w:w="981" w:type="dxa"/>
            <w:tcBorders/>
            <w:shd w:fill="CCEEFF" w:val="clear"/>
            <w:vAlign w:val="center"/>
          </w:tcPr>
          <w:p>
            <w:pPr>
              <w:pStyle w:val="TableContents"/>
              <w:spacing w:before="0" w:after="283"/>
              <w:jc w:val="right"/>
              <w:rPr/>
            </w:pPr>
            <w:r>
              <w:rPr/>
              <w:t>51,021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356" w:type="dxa"/>
            <w:tcBorders/>
            <w:shd w:fill="CCEEFF" w:val="clear"/>
            <w:vAlign w:val="center"/>
          </w:tcPr>
          <w:p>
            <w:pPr>
              <w:pStyle w:val="TableContents"/>
              <w:spacing w:before="0" w:after="0"/>
              <w:ind w:left="0" w:right="0" w:hanging="0"/>
              <w:rPr/>
            </w:pPr>
            <w:r>
              <w:rPr/>
              <w:t> </w:t>
            </w:r>
          </w:p>
        </w:tc>
        <w:tc>
          <w:tcPr>
            <w:tcW w:w="706" w:type="dxa"/>
            <w:tcBorders/>
            <w:shd w:fill="CCEEFF" w:val="clear"/>
            <w:vAlign w:val="center"/>
          </w:tcPr>
          <w:p>
            <w:pPr>
              <w:pStyle w:val="TableContents"/>
              <w:spacing w:before="0" w:after="283"/>
              <w:jc w:val="right"/>
              <w:rPr/>
            </w:pPr>
            <w:r>
              <w:rPr/>
              <w:t>-</w:t>
            </w:r>
          </w:p>
        </w:tc>
        <w:tc>
          <w:tcPr>
            <w:tcW w:w="181" w:type="dxa"/>
            <w:tcBorders/>
            <w:shd w:fill="CCEEFF" w:val="clear"/>
            <w:vAlign w:val="center"/>
          </w:tcPr>
          <w:p>
            <w:pPr>
              <w:pStyle w:val="TableContents"/>
              <w:spacing w:before="0" w:after="0"/>
              <w:ind w:left="0" w:right="0" w:hanging="0"/>
              <w:rPr/>
            </w:pPr>
            <w:r>
              <w:rPr/>
              <w:t> </w:t>
            </w:r>
          </w:p>
        </w:tc>
        <w:tc>
          <w:tcPr>
            <w:tcW w:w="130" w:type="dxa"/>
            <w:tcBorders/>
            <w:shd w:fill="CCEEFF" w:val="clear"/>
            <w:vAlign w:val="center"/>
          </w:tcPr>
          <w:p>
            <w:pPr>
              <w:pStyle w:val="TableContents"/>
              <w:spacing w:before="0" w:after="0"/>
              <w:ind w:left="0" w:right="0" w:hanging="0"/>
              <w:rPr/>
            </w:pPr>
            <w:r>
              <w:rPr/>
              <w:t> </w:t>
            </w:r>
          </w:p>
        </w:tc>
        <w:tc>
          <w:tcPr>
            <w:tcW w:w="697" w:type="dxa"/>
            <w:tcBorders/>
            <w:shd w:fill="CCEEFF" w:val="clear"/>
            <w:vAlign w:val="center"/>
          </w:tcPr>
          <w:p>
            <w:pPr>
              <w:pStyle w:val="TableContents"/>
              <w:spacing w:before="0" w:after="0"/>
              <w:ind w:left="0" w:right="0" w:hanging="0"/>
              <w:rPr/>
            </w:pPr>
            <w:r>
              <w:rPr/>
              <w:t> </w:t>
            </w:r>
          </w:p>
        </w:tc>
        <w:tc>
          <w:tcPr>
            <w:tcW w:w="378"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1,049,640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4" w:type="dxa"/>
            <w:tcBorders/>
            <w:shd w:fill="CCEEFF" w:val="clear"/>
            <w:vAlign w:val="center"/>
          </w:tcPr>
          <w:p>
            <w:pPr>
              <w:pStyle w:val="TableContents"/>
              <w:spacing w:before="0" w:after="0"/>
              <w:ind w:left="0" w:right="0" w:hanging="0"/>
              <w:rPr/>
            </w:pPr>
            <w:r>
              <w:rPr/>
              <w:t> </w:t>
            </w:r>
          </w:p>
        </w:tc>
        <w:tc>
          <w:tcPr>
            <w:tcW w:w="953" w:type="dxa"/>
            <w:tcBorders/>
            <w:shd w:fill="CCEEFF" w:val="clear"/>
            <w:vAlign w:val="center"/>
          </w:tcPr>
          <w:p>
            <w:pPr>
              <w:pStyle w:val="TableContents"/>
              <w:spacing w:before="0" w:after="283"/>
              <w:jc w:val="right"/>
              <w:rPr/>
            </w:pPr>
            <w:r>
              <w:rPr/>
              <w:t>25.4</w:t>
            </w:r>
          </w:p>
        </w:tc>
        <w:tc>
          <w:tcPr>
            <w:tcW w:w="299" w:type="dxa"/>
            <w:tcBorders/>
            <w:shd w:fill="CCEEFF" w:val="clear"/>
            <w:vAlign w:val="center"/>
          </w:tcPr>
          <w:p>
            <w:pPr>
              <w:pStyle w:val="TableContents"/>
              <w:spacing w:before="0" w:after="283"/>
              <w:rPr/>
            </w:pPr>
            <w:r>
              <w:rPr/>
              <w:t>%</w:t>
            </w:r>
          </w:p>
        </w:tc>
      </w:tr>
      <w:tr>
        <w:trPr/>
        <w:tc>
          <w:tcPr>
            <w:tcW w:w="200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2"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00" w:type="dxa"/>
            <w:tcBorders/>
            <w:shd w:fill="FFFFFF" w:val="clear"/>
            <w:vAlign w:val="center"/>
          </w:tcPr>
          <w:p>
            <w:pPr>
              <w:pStyle w:val="TableContents"/>
              <w:spacing w:before="0" w:after="0"/>
              <w:ind w:left="0" w:right="0" w:hanging="0"/>
              <w:rPr/>
            </w:pPr>
            <w:r>
              <w:rPr/>
              <w:t> </w:t>
            </w:r>
          </w:p>
        </w:tc>
        <w:tc>
          <w:tcPr>
            <w:tcW w:w="981"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356" w:type="dxa"/>
            <w:tcBorders/>
            <w:shd w:fill="FFFFFF" w:val="clear"/>
            <w:vAlign w:val="center"/>
          </w:tcPr>
          <w:p>
            <w:pPr>
              <w:pStyle w:val="TableContents"/>
              <w:spacing w:before="0" w:after="0"/>
              <w:ind w:left="0" w:right="0" w:hanging="0"/>
              <w:rPr/>
            </w:pPr>
            <w:r>
              <w:rPr/>
              <w:t> </w:t>
            </w:r>
          </w:p>
        </w:tc>
        <w:tc>
          <w:tcPr>
            <w:tcW w:w="706" w:type="dxa"/>
            <w:tcBorders/>
            <w:shd w:fill="FFFFFF" w:val="clear"/>
            <w:vAlign w:val="center"/>
          </w:tcPr>
          <w:p>
            <w:pPr>
              <w:pStyle w:val="TableContents"/>
              <w:spacing w:before="0" w:after="0"/>
              <w:ind w:left="0" w:right="0" w:hanging="0"/>
              <w:rPr/>
            </w:pPr>
            <w:r>
              <w:rPr/>
              <w:t> </w:t>
            </w:r>
          </w:p>
        </w:tc>
        <w:tc>
          <w:tcPr>
            <w:tcW w:w="181" w:type="dxa"/>
            <w:tcBorders/>
            <w:shd w:fill="FFFFFF" w:val="clear"/>
            <w:vAlign w:val="center"/>
          </w:tcPr>
          <w:p>
            <w:pPr>
              <w:pStyle w:val="TableContents"/>
              <w:spacing w:before="0" w:after="0"/>
              <w:ind w:left="0" w:right="0" w:hanging="0"/>
              <w:rPr/>
            </w:pPr>
            <w:r>
              <w:rPr/>
              <w:t> </w:t>
            </w:r>
          </w:p>
        </w:tc>
        <w:tc>
          <w:tcPr>
            <w:tcW w:w="130" w:type="dxa"/>
            <w:tcBorders/>
            <w:shd w:fill="FFFFFF" w:val="clear"/>
            <w:vAlign w:val="center"/>
          </w:tcPr>
          <w:p>
            <w:pPr>
              <w:pStyle w:val="TableContents"/>
              <w:spacing w:before="0" w:after="0"/>
              <w:ind w:left="0" w:right="0" w:hanging="0"/>
              <w:rPr/>
            </w:pPr>
            <w:r>
              <w:rPr/>
              <w:t> </w:t>
            </w:r>
          </w:p>
        </w:tc>
        <w:tc>
          <w:tcPr>
            <w:tcW w:w="697" w:type="dxa"/>
            <w:tcBorders/>
            <w:shd w:fill="FFFFFF" w:val="clear"/>
            <w:vAlign w:val="center"/>
          </w:tcPr>
          <w:p>
            <w:pPr>
              <w:pStyle w:val="TableContents"/>
              <w:spacing w:before="0" w:after="0"/>
              <w:ind w:left="0" w:right="0" w:hanging="0"/>
              <w:rPr/>
            </w:pPr>
            <w:r>
              <w:rPr/>
              <w:t> </w:t>
            </w:r>
          </w:p>
        </w:tc>
        <w:tc>
          <w:tcPr>
            <w:tcW w:w="37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4" w:type="dxa"/>
            <w:tcBorders/>
            <w:shd w:fill="FFFFFF" w:val="clear"/>
            <w:vAlign w:val="center"/>
          </w:tcPr>
          <w:p>
            <w:pPr>
              <w:pStyle w:val="TableContents"/>
              <w:spacing w:before="0" w:after="0"/>
              <w:ind w:left="0" w:right="0" w:hanging="0"/>
              <w:rPr/>
            </w:pPr>
            <w:r>
              <w:rPr/>
              <w:t> </w:t>
            </w:r>
          </w:p>
        </w:tc>
        <w:tc>
          <w:tcPr>
            <w:tcW w:w="953" w:type="dxa"/>
            <w:tcBorders/>
            <w:shd w:fill="FFFFFF" w:val="clear"/>
            <w:vAlign w:val="center"/>
          </w:tcPr>
          <w:p>
            <w:pPr>
              <w:pStyle w:val="TableContents"/>
              <w:spacing w:before="0" w:after="0"/>
              <w:ind w:left="0" w:right="0" w:hanging="0"/>
              <w:rPr/>
            </w:pPr>
            <w:r>
              <w:rPr/>
              <w:t> </w:t>
            </w:r>
          </w:p>
        </w:tc>
        <w:tc>
          <w:tcPr>
            <w:tcW w:w="299" w:type="dxa"/>
            <w:tcBorders/>
            <w:shd w:fill="FFFFFF" w:val="clear"/>
            <w:vAlign w:val="center"/>
          </w:tcPr>
          <w:p>
            <w:pPr>
              <w:pStyle w:val="TableContents"/>
              <w:spacing w:before="0" w:after="0"/>
              <w:ind w:left="0" w:right="0" w:hanging="0"/>
              <w:rPr/>
            </w:pPr>
            <w:r>
              <w:rPr/>
              <w:t> </w:t>
            </w:r>
          </w:p>
        </w:tc>
      </w:tr>
      <w:tr>
        <w:trPr/>
        <w:tc>
          <w:tcPr>
            <w:tcW w:w="2008" w:type="dxa"/>
            <w:tcBorders/>
            <w:shd w:fill="CCEEFF" w:val="clear"/>
            <w:vAlign w:val="center"/>
          </w:tcPr>
          <w:p>
            <w:pPr>
              <w:pStyle w:val="TableContents"/>
              <w:spacing w:before="0" w:after="0"/>
              <w:ind w:left="0" w:right="0" w:hanging="0"/>
              <w:rPr/>
            </w:pPr>
            <w:r>
              <w:rPr/>
              <w:t xml:space="preserve">Corporate and other bonds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2"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0" w:type="dxa"/>
            <w:tcBorders/>
            <w:shd w:fill="CCEEFF" w:val="clear"/>
            <w:vAlign w:val="center"/>
          </w:tcPr>
          <w:p>
            <w:pPr>
              <w:pStyle w:val="TableContents"/>
              <w:spacing w:before="0" w:after="0"/>
              <w:ind w:left="0" w:right="0" w:hanging="0"/>
              <w:rPr/>
            </w:pPr>
            <w:r>
              <w:rPr/>
              <w:t> </w:t>
            </w:r>
          </w:p>
        </w:tc>
        <w:tc>
          <w:tcPr>
            <w:tcW w:w="981"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356" w:type="dxa"/>
            <w:tcBorders/>
            <w:shd w:fill="CCEEFF" w:val="clear"/>
            <w:vAlign w:val="center"/>
          </w:tcPr>
          <w:p>
            <w:pPr>
              <w:pStyle w:val="TableContents"/>
              <w:spacing w:before="0" w:after="0"/>
              <w:ind w:left="0" w:right="0" w:hanging="0"/>
              <w:rPr/>
            </w:pPr>
            <w:r>
              <w:rPr/>
              <w:t> </w:t>
            </w:r>
          </w:p>
        </w:tc>
        <w:tc>
          <w:tcPr>
            <w:tcW w:w="706" w:type="dxa"/>
            <w:tcBorders/>
            <w:shd w:fill="CCEEFF" w:val="clear"/>
            <w:vAlign w:val="center"/>
          </w:tcPr>
          <w:p>
            <w:pPr>
              <w:pStyle w:val="TableContents"/>
              <w:spacing w:before="0" w:after="0"/>
              <w:ind w:left="0" w:right="0" w:hanging="0"/>
              <w:rPr/>
            </w:pPr>
            <w:r>
              <w:rPr/>
              <w:t> </w:t>
            </w:r>
          </w:p>
        </w:tc>
        <w:tc>
          <w:tcPr>
            <w:tcW w:w="181" w:type="dxa"/>
            <w:tcBorders/>
            <w:shd w:fill="CCEEFF" w:val="clear"/>
            <w:vAlign w:val="center"/>
          </w:tcPr>
          <w:p>
            <w:pPr>
              <w:pStyle w:val="TableContents"/>
              <w:spacing w:before="0" w:after="0"/>
              <w:ind w:left="0" w:right="0" w:hanging="0"/>
              <w:rPr/>
            </w:pPr>
            <w:r>
              <w:rPr/>
              <w:t> </w:t>
            </w:r>
          </w:p>
        </w:tc>
        <w:tc>
          <w:tcPr>
            <w:tcW w:w="130" w:type="dxa"/>
            <w:tcBorders/>
            <w:shd w:fill="CCEEFF" w:val="clear"/>
            <w:vAlign w:val="center"/>
          </w:tcPr>
          <w:p>
            <w:pPr>
              <w:pStyle w:val="TableContents"/>
              <w:spacing w:before="0" w:after="0"/>
              <w:ind w:left="0" w:right="0" w:hanging="0"/>
              <w:rPr/>
            </w:pPr>
            <w:r>
              <w:rPr/>
              <w:t> </w:t>
            </w:r>
          </w:p>
        </w:tc>
        <w:tc>
          <w:tcPr>
            <w:tcW w:w="697" w:type="dxa"/>
            <w:tcBorders/>
            <w:shd w:fill="CCEEFF" w:val="clear"/>
            <w:vAlign w:val="center"/>
          </w:tcPr>
          <w:p>
            <w:pPr>
              <w:pStyle w:val="TableContents"/>
              <w:spacing w:before="0" w:after="0"/>
              <w:ind w:left="0" w:right="0" w:hanging="0"/>
              <w:rPr/>
            </w:pPr>
            <w:r>
              <w:rPr/>
              <w:t> </w:t>
            </w:r>
          </w:p>
        </w:tc>
        <w:tc>
          <w:tcPr>
            <w:tcW w:w="378"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4" w:type="dxa"/>
            <w:tcBorders/>
            <w:shd w:fill="CCEEFF" w:val="clear"/>
            <w:vAlign w:val="center"/>
          </w:tcPr>
          <w:p>
            <w:pPr>
              <w:pStyle w:val="TableContents"/>
              <w:spacing w:before="0" w:after="0"/>
              <w:ind w:left="0" w:right="0" w:hanging="0"/>
              <w:rPr/>
            </w:pPr>
            <w:r>
              <w:rPr/>
              <w:t> </w:t>
            </w:r>
          </w:p>
        </w:tc>
        <w:tc>
          <w:tcPr>
            <w:tcW w:w="953" w:type="dxa"/>
            <w:tcBorders/>
            <w:shd w:fill="CCEEFF" w:val="clear"/>
            <w:vAlign w:val="center"/>
          </w:tcPr>
          <w:p>
            <w:pPr>
              <w:pStyle w:val="TableContents"/>
              <w:spacing w:before="0" w:after="0"/>
              <w:ind w:left="0" w:right="0" w:hanging="0"/>
              <w:rPr/>
            </w:pPr>
            <w:r>
              <w:rPr/>
              <w:t> </w:t>
            </w:r>
          </w:p>
        </w:tc>
        <w:tc>
          <w:tcPr>
            <w:tcW w:w="299" w:type="dxa"/>
            <w:tcBorders/>
            <w:shd w:fill="CCEEFF" w:val="clear"/>
            <w:vAlign w:val="center"/>
          </w:tcPr>
          <w:p>
            <w:pPr>
              <w:pStyle w:val="TableContents"/>
              <w:spacing w:before="0" w:after="0"/>
              <w:ind w:left="0" w:right="0" w:hanging="0"/>
              <w:rPr/>
            </w:pPr>
            <w:r>
              <w:rPr/>
              <w:t> </w:t>
            </w:r>
          </w:p>
        </w:tc>
      </w:tr>
      <w:tr>
        <w:trPr/>
        <w:tc>
          <w:tcPr>
            <w:tcW w:w="2008" w:type="dxa"/>
            <w:tcBorders/>
            <w:shd w:fill="CCEEFF" w:val="clear"/>
            <w:vAlign w:val="center"/>
          </w:tcPr>
          <w:p>
            <w:pPr>
              <w:pStyle w:val="TableContents"/>
              <w:spacing w:before="0" w:after="0"/>
              <w:ind w:left="0" w:right="0" w:hanging="0"/>
              <w:rPr/>
            </w:pPr>
            <w:r>
              <w:rPr/>
              <w:t xml:space="preserve">Industrial and miscellaneous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2" w:type="dxa"/>
            <w:tcBorders>
              <w:bottom w:val="single" w:sz="2" w:space="0" w:color="000000"/>
            </w:tcBorders>
            <w:shd w:fill="CCEEFF" w:val="clear"/>
            <w:tcMar>
              <w:bottom w:w="28" w:type="dxa"/>
            </w:tcMar>
            <w:vAlign w:val="center"/>
          </w:tcPr>
          <w:p>
            <w:pPr>
              <w:pStyle w:val="TableContents"/>
              <w:spacing w:before="0" w:after="283"/>
              <w:jc w:val="right"/>
              <w:rPr/>
            </w:pPr>
            <w:r>
              <w:rPr/>
              <w:t>2,097,783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81" w:type="dxa"/>
            <w:tcBorders>
              <w:bottom w:val="single" w:sz="2" w:space="0" w:color="000000"/>
            </w:tcBorders>
            <w:shd w:fill="CCEEFF" w:val="clear"/>
            <w:tcMar>
              <w:bottom w:w="28" w:type="dxa"/>
            </w:tcMar>
            <w:vAlign w:val="center"/>
          </w:tcPr>
          <w:p>
            <w:pPr>
              <w:pStyle w:val="TableContents"/>
              <w:spacing w:before="0" w:after="283"/>
              <w:jc w:val="right"/>
              <w:rPr/>
            </w:pPr>
            <w:r>
              <w:rPr/>
              <w:t>97,627</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35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06" w:type="dxa"/>
            <w:tcBorders>
              <w:bottom w:val="single" w:sz="2" w:space="0" w:color="000000"/>
            </w:tcBorders>
            <w:shd w:fill="CCEEFF" w:val="clear"/>
            <w:tcMar>
              <w:bottom w:w="28" w:type="dxa"/>
            </w:tcMar>
            <w:vAlign w:val="center"/>
          </w:tcPr>
          <w:p>
            <w:pPr>
              <w:pStyle w:val="TableContents"/>
              <w:spacing w:before="0" w:after="283"/>
              <w:jc w:val="right"/>
              <w:rPr/>
            </w:pPr>
            <w:r>
              <w:rPr/>
              <w:t>(835</w:t>
            </w:r>
          </w:p>
        </w:tc>
        <w:tc>
          <w:tcPr>
            <w:tcW w:w="181" w:type="dxa"/>
            <w:tcBorders/>
            <w:shd w:fill="CCEEFF" w:val="clear"/>
            <w:vAlign w:val="center"/>
          </w:tcPr>
          <w:p>
            <w:pPr>
              <w:pStyle w:val="TableContents"/>
              <w:spacing w:before="0" w:after="283"/>
              <w:rPr/>
            </w:pPr>
            <w:r>
              <w:rPr/>
              <w:t>)</w:t>
            </w:r>
          </w:p>
        </w:tc>
        <w:tc>
          <w:tcPr>
            <w:tcW w:w="130" w:type="dxa"/>
            <w:tcBorders/>
            <w:shd w:fill="CCEEFF" w:val="clear"/>
            <w:vAlign w:val="center"/>
          </w:tcPr>
          <w:p>
            <w:pPr>
              <w:pStyle w:val="TableContents"/>
              <w:spacing w:before="0" w:after="0"/>
              <w:ind w:left="0" w:right="0" w:hanging="0"/>
              <w:rPr/>
            </w:pPr>
            <w:r>
              <w:rPr/>
              <w:t> </w:t>
            </w:r>
          </w:p>
        </w:tc>
        <w:tc>
          <w:tcPr>
            <w:tcW w:w="69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378"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2,194,575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53" w:type="dxa"/>
            <w:tcBorders>
              <w:bottom w:val="single" w:sz="2" w:space="0" w:color="000000"/>
            </w:tcBorders>
            <w:shd w:fill="CCEEFF" w:val="clear"/>
            <w:tcMar>
              <w:bottom w:w="28" w:type="dxa"/>
            </w:tcMar>
            <w:vAlign w:val="center"/>
          </w:tcPr>
          <w:p>
            <w:pPr>
              <w:pStyle w:val="TableContents"/>
              <w:spacing w:before="0" w:after="283"/>
              <w:jc w:val="right"/>
              <w:rPr/>
            </w:pPr>
            <w:r>
              <w:rPr/>
              <w:t>53.3</w:t>
            </w:r>
          </w:p>
        </w:tc>
        <w:tc>
          <w:tcPr>
            <w:tcW w:w="299" w:type="dxa"/>
            <w:tcBorders/>
            <w:shd w:fill="CCEEFF" w:val="clear"/>
            <w:vAlign w:val="center"/>
          </w:tcPr>
          <w:p>
            <w:pPr>
              <w:pStyle w:val="TableContents"/>
              <w:spacing w:before="0" w:after="283"/>
              <w:rPr/>
            </w:pPr>
            <w:r>
              <w:rPr/>
              <w:t>%</w:t>
            </w:r>
          </w:p>
        </w:tc>
      </w:tr>
      <w:tr>
        <w:trPr/>
        <w:tc>
          <w:tcPr>
            <w:tcW w:w="200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2"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00" w:type="dxa"/>
            <w:tcBorders/>
            <w:shd w:fill="FFFFFF" w:val="clear"/>
            <w:vAlign w:val="center"/>
          </w:tcPr>
          <w:p>
            <w:pPr>
              <w:pStyle w:val="TableContents"/>
              <w:spacing w:before="0" w:after="0"/>
              <w:ind w:left="0" w:right="0" w:hanging="0"/>
              <w:rPr/>
            </w:pPr>
            <w:r>
              <w:rPr/>
              <w:t> </w:t>
            </w:r>
          </w:p>
        </w:tc>
        <w:tc>
          <w:tcPr>
            <w:tcW w:w="981"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356" w:type="dxa"/>
            <w:tcBorders/>
            <w:shd w:fill="FFFFFF" w:val="clear"/>
            <w:vAlign w:val="center"/>
          </w:tcPr>
          <w:p>
            <w:pPr>
              <w:pStyle w:val="TableContents"/>
              <w:spacing w:before="0" w:after="0"/>
              <w:ind w:left="0" w:right="0" w:hanging="0"/>
              <w:rPr/>
            </w:pPr>
            <w:r>
              <w:rPr/>
              <w:t> </w:t>
            </w:r>
          </w:p>
        </w:tc>
        <w:tc>
          <w:tcPr>
            <w:tcW w:w="706" w:type="dxa"/>
            <w:tcBorders/>
            <w:shd w:fill="FFFFFF" w:val="clear"/>
            <w:vAlign w:val="center"/>
          </w:tcPr>
          <w:p>
            <w:pPr>
              <w:pStyle w:val="TableContents"/>
              <w:spacing w:before="0" w:after="0"/>
              <w:ind w:left="0" w:right="0" w:hanging="0"/>
              <w:rPr/>
            </w:pPr>
            <w:r>
              <w:rPr/>
              <w:t> </w:t>
            </w:r>
          </w:p>
        </w:tc>
        <w:tc>
          <w:tcPr>
            <w:tcW w:w="181" w:type="dxa"/>
            <w:tcBorders/>
            <w:shd w:fill="FFFFFF" w:val="clear"/>
            <w:vAlign w:val="center"/>
          </w:tcPr>
          <w:p>
            <w:pPr>
              <w:pStyle w:val="TableContents"/>
              <w:spacing w:before="0" w:after="0"/>
              <w:ind w:left="0" w:right="0" w:hanging="0"/>
              <w:rPr/>
            </w:pPr>
            <w:r>
              <w:rPr/>
              <w:t> </w:t>
            </w:r>
          </w:p>
        </w:tc>
        <w:tc>
          <w:tcPr>
            <w:tcW w:w="130" w:type="dxa"/>
            <w:tcBorders/>
            <w:shd w:fill="FFFFFF" w:val="clear"/>
            <w:vAlign w:val="center"/>
          </w:tcPr>
          <w:p>
            <w:pPr>
              <w:pStyle w:val="TableContents"/>
              <w:spacing w:before="0" w:after="0"/>
              <w:ind w:left="0" w:right="0" w:hanging="0"/>
              <w:rPr/>
            </w:pPr>
            <w:r>
              <w:rPr/>
              <w:t> </w:t>
            </w:r>
          </w:p>
        </w:tc>
        <w:tc>
          <w:tcPr>
            <w:tcW w:w="697" w:type="dxa"/>
            <w:tcBorders/>
            <w:shd w:fill="FFFFFF" w:val="clear"/>
            <w:vAlign w:val="center"/>
          </w:tcPr>
          <w:p>
            <w:pPr>
              <w:pStyle w:val="TableContents"/>
              <w:spacing w:before="0" w:after="0"/>
              <w:ind w:left="0" w:right="0" w:hanging="0"/>
              <w:rPr/>
            </w:pPr>
            <w:r>
              <w:rPr/>
              <w:t> </w:t>
            </w:r>
          </w:p>
        </w:tc>
        <w:tc>
          <w:tcPr>
            <w:tcW w:w="37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4" w:type="dxa"/>
            <w:tcBorders/>
            <w:shd w:fill="FFFFFF" w:val="clear"/>
            <w:vAlign w:val="center"/>
          </w:tcPr>
          <w:p>
            <w:pPr>
              <w:pStyle w:val="TableContents"/>
              <w:spacing w:before="0" w:after="0"/>
              <w:ind w:left="0" w:right="0" w:hanging="0"/>
              <w:rPr/>
            </w:pPr>
            <w:r>
              <w:rPr/>
              <w:t> </w:t>
            </w:r>
          </w:p>
        </w:tc>
        <w:tc>
          <w:tcPr>
            <w:tcW w:w="953" w:type="dxa"/>
            <w:tcBorders/>
            <w:shd w:fill="FFFFFF" w:val="clear"/>
            <w:vAlign w:val="center"/>
          </w:tcPr>
          <w:p>
            <w:pPr>
              <w:pStyle w:val="TableContents"/>
              <w:spacing w:before="0" w:after="0"/>
              <w:ind w:left="0" w:right="0" w:hanging="0"/>
              <w:rPr/>
            </w:pPr>
            <w:r>
              <w:rPr/>
              <w:t> </w:t>
            </w:r>
          </w:p>
        </w:tc>
        <w:tc>
          <w:tcPr>
            <w:tcW w:w="299" w:type="dxa"/>
            <w:tcBorders/>
            <w:shd w:fill="FFFFFF" w:val="clear"/>
            <w:vAlign w:val="center"/>
          </w:tcPr>
          <w:p>
            <w:pPr>
              <w:pStyle w:val="TableContents"/>
              <w:spacing w:before="0" w:after="0"/>
              <w:ind w:left="0" w:right="0" w:hanging="0"/>
              <w:rPr/>
            </w:pPr>
            <w:r>
              <w:rPr/>
              <w:t> </w:t>
            </w:r>
          </w:p>
        </w:tc>
      </w:tr>
      <w:tr>
        <w:trPr/>
        <w:tc>
          <w:tcPr>
            <w:tcW w:w="2008" w:type="dxa"/>
            <w:tcBorders/>
            <w:shd w:fill="CCEEFF" w:val="clear"/>
            <w:vAlign w:val="center"/>
          </w:tcPr>
          <w:p>
            <w:pPr>
              <w:pStyle w:val="TableContents"/>
              <w:spacing w:before="0" w:after="0"/>
              <w:ind w:left="0" w:right="0" w:hanging="0"/>
              <w:rPr/>
            </w:pPr>
            <w:r>
              <w:rPr/>
              <w:t xml:space="preserve">Total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012" w:type="dxa"/>
            <w:tcBorders>
              <w:bottom w:val="double" w:sz="6" w:space="0" w:color="000000"/>
            </w:tcBorders>
            <w:shd w:fill="CCEEFF" w:val="clear"/>
            <w:tcMar>
              <w:bottom w:w="28" w:type="dxa"/>
            </w:tcMar>
            <w:vAlign w:val="center"/>
          </w:tcPr>
          <w:p>
            <w:pPr>
              <w:pStyle w:val="TableContents"/>
              <w:spacing w:before="0" w:after="283"/>
              <w:jc w:val="right"/>
              <w:rPr/>
            </w:pPr>
            <w:r>
              <w:rPr/>
              <w:t>3,825,952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0" w:type="dxa"/>
            <w:tcBorders>
              <w:bottom w:val="double" w:sz="6" w:space="0" w:color="000000"/>
            </w:tcBorders>
            <w:shd w:fill="CCEEFF" w:val="clear"/>
            <w:tcMar>
              <w:bottom w:w="28" w:type="dxa"/>
            </w:tcMar>
            <w:vAlign w:val="center"/>
          </w:tcPr>
          <w:p>
            <w:pPr>
              <w:pStyle w:val="TableContents"/>
              <w:spacing w:before="0" w:after="283"/>
              <w:rPr/>
            </w:pPr>
            <w:r>
              <w:rPr/>
              <w:t>$</w:t>
            </w:r>
          </w:p>
        </w:tc>
        <w:tc>
          <w:tcPr>
            <w:tcW w:w="981" w:type="dxa"/>
            <w:tcBorders>
              <w:bottom w:val="double" w:sz="6" w:space="0" w:color="000000"/>
            </w:tcBorders>
            <w:shd w:fill="CCEEFF" w:val="clear"/>
            <w:tcMar>
              <w:bottom w:w="28" w:type="dxa"/>
            </w:tcMar>
            <w:vAlign w:val="center"/>
          </w:tcPr>
          <w:p>
            <w:pPr>
              <w:pStyle w:val="TableContents"/>
              <w:spacing w:before="0" w:after="283"/>
              <w:jc w:val="right"/>
              <w:rPr/>
            </w:pPr>
            <w:r>
              <w:rPr/>
              <w:t>299,650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356" w:type="dxa"/>
            <w:tcBorders>
              <w:bottom w:val="double" w:sz="6" w:space="0" w:color="000000"/>
            </w:tcBorders>
            <w:shd w:fill="CCEEFF" w:val="clear"/>
            <w:tcMar>
              <w:bottom w:w="28" w:type="dxa"/>
            </w:tcMar>
            <w:vAlign w:val="center"/>
          </w:tcPr>
          <w:p>
            <w:pPr>
              <w:pStyle w:val="TableContents"/>
              <w:spacing w:before="0" w:after="283"/>
              <w:rPr/>
            </w:pPr>
            <w:r>
              <w:rPr/>
              <w:t>$</w:t>
            </w:r>
          </w:p>
        </w:tc>
        <w:tc>
          <w:tcPr>
            <w:tcW w:w="706" w:type="dxa"/>
            <w:tcBorders>
              <w:bottom w:val="double" w:sz="6" w:space="0" w:color="000000"/>
            </w:tcBorders>
            <w:shd w:fill="CCEEFF" w:val="clear"/>
            <w:tcMar>
              <w:bottom w:w="28" w:type="dxa"/>
            </w:tcMar>
            <w:vAlign w:val="center"/>
          </w:tcPr>
          <w:p>
            <w:pPr>
              <w:pStyle w:val="TableContents"/>
              <w:spacing w:before="0" w:after="283"/>
              <w:jc w:val="right"/>
              <w:rPr/>
            </w:pPr>
            <w:r>
              <w:rPr/>
              <w:t>(835</w:t>
            </w:r>
          </w:p>
        </w:tc>
        <w:tc>
          <w:tcPr>
            <w:tcW w:w="181" w:type="dxa"/>
            <w:tcBorders/>
            <w:shd w:fill="CCEEFF" w:val="clear"/>
            <w:vAlign w:val="center"/>
          </w:tcPr>
          <w:p>
            <w:pPr>
              <w:pStyle w:val="TableContents"/>
              <w:spacing w:before="0" w:after="283"/>
              <w:rPr/>
            </w:pPr>
            <w:r>
              <w:rPr/>
              <w:t>)</w:t>
            </w:r>
          </w:p>
        </w:tc>
        <w:tc>
          <w:tcPr>
            <w:tcW w:w="130" w:type="dxa"/>
            <w:tcBorders/>
            <w:shd w:fill="CCEEFF" w:val="clear"/>
            <w:vAlign w:val="center"/>
          </w:tcPr>
          <w:p>
            <w:pPr>
              <w:pStyle w:val="TableContents"/>
              <w:spacing w:before="0" w:after="0"/>
              <w:ind w:left="0" w:right="0" w:hanging="0"/>
              <w:rPr/>
            </w:pPr>
            <w:r>
              <w:rPr/>
              <w:t> </w:t>
            </w:r>
          </w:p>
        </w:tc>
        <w:tc>
          <w:tcPr>
            <w:tcW w:w="697" w:type="dxa"/>
            <w:tcBorders>
              <w:bottom w:val="double" w:sz="6" w:space="0" w:color="000000"/>
            </w:tcBorders>
            <w:shd w:fill="CCEEFF" w:val="clear"/>
            <w:tcMar>
              <w:bottom w:w="28" w:type="dxa"/>
            </w:tcMar>
            <w:vAlign w:val="center"/>
          </w:tcPr>
          <w:p>
            <w:pPr>
              <w:pStyle w:val="TableContents"/>
              <w:spacing w:before="0" w:after="283"/>
              <w:rPr/>
            </w:pPr>
            <w:r>
              <w:rPr/>
              <w:t>$</w:t>
            </w:r>
          </w:p>
        </w:tc>
        <w:tc>
          <w:tcPr>
            <w:tcW w:w="378" w:type="dxa"/>
            <w:tcBorders>
              <w:bottom w:val="double" w:sz="6" w:space="0" w:color="000000"/>
            </w:tcBorders>
            <w:shd w:fill="CCEEFF" w:val="clear"/>
            <w:tcMar>
              <w:bottom w:w="28" w:type="dxa"/>
            </w:tcM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6" w:space="0" w:color="000000"/>
            </w:tcBorders>
            <w:shd w:fill="CCEEFF" w:val="clear"/>
            <w:tcMar>
              <w:bottom w:w="28" w:type="dxa"/>
            </w:tcMar>
            <w:vAlign w:val="center"/>
          </w:tcPr>
          <w:p>
            <w:pPr>
              <w:pStyle w:val="TableContents"/>
              <w:spacing w:before="0" w:after="283"/>
              <w:jc w:val="right"/>
              <w:rPr/>
            </w:pPr>
            <w:r>
              <w:rPr/>
              <w:t>4,124,767</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4"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953" w:type="dxa"/>
            <w:tcBorders>
              <w:bottom w:val="double" w:sz="6" w:space="0" w:color="000000"/>
            </w:tcBorders>
            <w:shd w:fill="CCEEFF" w:val="clear"/>
            <w:tcMar>
              <w:bottom w:w="28" w:type="dxa"/>
            </w:tcMar>
            <w:vAlign w:val="center"/>
          </w:tcPr>
          <w:p>
            <w:pPr>
              <w:pStyle w:val="TableContents"/>
              <w:spacing w:before="0" w:after="283"/>
              <w:jc w:val="right"/>
              <w:rPr/>
            </w:pPr>
            <w:r>
              <w:rPr/>
              <w:t>100.0</w:t>
            </w:r>
          </w:p>
        </w:tc>
        <w:tc>
          <w:tcPr>
            <w:tcW w:w="299" w:type="dxa"/>
            <w:tcBorders/>
            <w:shd w:fill="CCEEFF" w:val="clear"/>
            <w:vAlign w:val="center"/>
          </w:tcPr>
          <w:p>
            <w:pPr>
              <w:pStyle w:val="TableContents"/>
              <w:spacing w:before="0" w:after="283"/>
              <w:rPr/>
            </w:pPr>
            <w:r>
              <w:rPr/>
              <w:t>%</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Held-to-maturity U.S. Treasury securities are held in trust pursuant to various states’ minimum fund requirements.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 summary of the amortized cost and estimated fair value of our investments in held-to-maturity securities by contractual maturity as of December 31, 2020 and 2019 is shown below:</w:t>
      </w:r>
    </w:p>
    <w:p>
      <w:pPr>
        <w:pStyle w:val="TextBody"/>
        <w:spacing w:before="0" w:after="0"/>
        <w:ind w:left="0" w:right="0" w:hanging="0"/>
        <w:jc w:val="both"/>
        <w:rPr/>
      </w:pPr>
      <w:r>
        <w:rPr/>
        <w:t> </w:t>
      </w:r>
    </w:p>
    <w:tbl>
      <w:tblPr>
        <w:tblW w:w="8583" w:type="dxa"/>
        <w:jc w:val="left"/>
        <w:tblInd w:w="0" w:type="dxa"/>
        <w:tblCellMar>
          <w:top w:w="0" w:type="dxa"/>
          <w:left w:w="0" w:type="dxa"/>
          <w:bottom w:w="0" w:type="dxa"/>
          <w:right w:w="0" w:type="dxa"/>
        </w:tblCellMar>
      </w:tblPr>
      <w:tblGrid>
        <w:gridCol w:w="3050"/>
        <w:gridCol w:w="90"/>
        <w:gridCol w:w="170"/>
        <w:gridCol w:w="1010"/>
        <w:gridCol w:w="90"/>
        <w:gridCol w:w="90"/>
        <w:gridCol w:w="173"/>
        <w:gridCol w:w="1031"/>
        <w:gridCol w:w="90"/>
        <w:gridCol w:w="90"/>
        <w:gridCol w:w="170"/>
        <w:gridCol w:w="1010"/>
        <w:gridCol w:w="90"/>
        <w:gridCol w:w="90"/>
        <w:gridCol w:w="173"/>
        <w:gridCol w:w="1031"/>
        <w:gridCol w:w="135"/>
      </w:tblGrid>
      <w:tr>
        <w:trPr/>
        <w:tc>
          <w:tcPr>
            <w:tcW w:w="305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2564" w:type="dxa"/>
            <w:gridSpan w:val="6"/>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Pr>
              <w:t>December 31, 2020</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2564" w:type="dxa"/>
            <w:gridSpan w:val="6"/>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Pr>
              <w:t>December 31, 2019</w:t>
            </w:r>
          </w:p>
        </w:tc>
        <w:tc>
          <w:tcPr>
            <w:tcW w:w="135" w:type="dxa"/>
            <w:tcBorders/>
            <w:shd w:fill="auto" w:val="clear"/>
            <w:vAlign w:val="center"/>
          </w:tcPr>
          <w:p>
            <w:pPr>
              <w:pStyle w:val="TableContents"/>
              <w:spacing w:before="0" w:after="0"/>
              <w:ind w:left="0" w:right="0" w:hanging="0"/>
              <w:rPr/>
            </w:pPr>
            <w:r>
              <w:rPr>
                <w:rStyle w:val="StrongEmphasis"/>
              </w:rPr>
              <w:t> </w:t>
            </w:r>
          </w:p>
        </w:tc>
      </w:tr>
      <w:tr>
        <w:trPr/>
        <w:tc>
          <w:tcPr>
            <w:tcW w:w="305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Amortized</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204" w:type="dxa"/>
            <w:gridSpan w:val="2"/>
            <w:tcBorders/>
            <w:shd w:fill="auto" w:val="clear"/>
            <w:vAlign w:val="center"/>
          </w:tcPr>
          <w:p>
            <w:pPr>
              <w:pStyle w:val="TableContents"/>
              <w:spacing w:before="0" w:after="0"/>
              <w:ind w:left="0" w:right="0" w:hanging="0"/>
              <w:jc w:val="center"/>
              <w:rPr/>
            </w:pPr>
            <w:r>
              <w:rPr>
                <w:rStyle w:val="StrongEmphasis"/>
              </w:rPr>
              <w:t>Estimated</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Amortized</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204" w:type="dxa"/>
            <w:gridSpan w:val="2"/>
            <w:tcBorders/>
            <w:shd w:fill="auto" w:val="clear"/>
            <w:vAlign w:val="center"/>
          </w:tcPr>
          <w:p>
            <w:pPr>
              <w:pStyle w:val="TableContents"/>
              <w:spacing w:before="0" w:after="0"/>
              <w:ind w:left="0" w:right="0" w:hanging="0"/>
              <w:jc w:val="center"/>
              <w:rPr/>
            </w:pPr>
            <w:r>
              <w:rPr>
                <w:rStyle w:val="StrongEmphasis"/>
              </w:rPr>
              <w:t>Estimated</w:t>
            </w:r>
          </w:p>
        </w:tc>
        <w:tc>
          <w:tcPr>
            <w:tcW w:w="135" w:type="dxa"/>
            <w:tcBorders/>
            <w:shd w:fill="auto" w:val="clear"/>
            <w:vAlign w:val="center"/>
          </w:tcPr>
          <w:p>
            <w:pPr>
              <w:pStyle w:val="TableContents"/>
              <w:spacing w:before="0" w:after="0"/>
              <w:ind w:left="0" w:right="0" w:hanging="0"/>
              <w:rPr/>
            </w:pPr>
            <w:r>
              <w:rPr>
                <w:rStyle w:val="StrongEmphasis"/>
              </w:rPr>
              <w:t> </w:t>
            </w:r>
          </w:p>
        </w:tc>
      </w:tr>
      <w:tr>
        <w:trPr/>
        <w:tc>
          <w:tcPr>
            <w:tcW w:w="3050" w:type="dxa"/>
            <w:tcBorders>
              <w:bottom w:val="single" w:sz="8" w:space="0" w:color="000000"/>
            </w:tcBorders>
            <w:shd w:fill="auto" w:val="clear"/>
            <w:tcMar>
              <w:bottom w:w="28" w:type="dxa"/>
            </w:tcMar>
            <w:vAlign w:val="center"/>
          </w:tcPr>
          <w:p>
            <w:pPr>
              <w:pStyle w:val="TableContents"/>
              <w:spacing w:before="0" w:after="0"/>
              <w:ind w:left="0" w:right="0" w:hanging="0"/>
              <w:jc w:val="left"/>
              <w:rPr/>
            </w:pPr>
            <w:r>
              <w:rPr>
                <w:rStyle w:val="StrongEmphasis"/>
              </w:rPr>
              <w:t xml:space="preserve">Remaining Time to Maturity </w:t>
            </w:r>
          </w:p>
        </w:tc>
        <w:tc>
          <w:tcPr>
            <w:tcW w:w="90" w:type="dxa"/>
            <w:tcBorders/>
            <w:shd w:fill="auto" w:val="clear"/>
            <w:vAlign w:val="center"/>
          </w:tcPr>
          <w:p>
            <w:pPr>
              <w:pStyle w:val="TableContents"/>
              <w:spacing w:before="0" w:after="0"/>
              <w:ind w:left="0" w:right="0" w:hanging="0"/>
              <w:rPr/>
            </w:pPr>
            <w:r>
              <w:rPr>
                <w:rStyle w:val="StrongEmphasis"/>
              </w:rPr>
              <w:t> </w:t>
            </w:r>
          </w:p>
        </w:tc>
        <w:tc>
          <w:tcPr>
            <w:tcW w:w="118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Cost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204"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Fair Value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18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Cost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204"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Fair Value </w:t>
            </w:r>
          </w:p>
        </w:tc>
        <w:tc>
          <w:tcPr>
            <w:tcW w:w="135" w:type="dxa"/>
            <w:tcBorders/>
            <w:shd w:fill="auto" w:val="clear"/>
            <w:vAlign w:val="center"/>
          </w:tcPr>
          <w:p>
            <w:pPr>
              <w:pStyle w:val="TableContents"/>
              <w:spacing w:before="0" w:after="0"/>
              <w:ind w:left="0" w:right="0" w:hanging="0"/>
              <w:rPr/>
            </w:pPr>
            <w:r>
              <w:rPr/>
              <w:t> </w:t>
            </w:r>
          </w:p>
        </w:tc>
      </w:tr>
      <w:tr>
        <w:trPr/>
        <w:tc>
          <w:tcPr>
            <w:tcW w:w="3050" w:type="dxa"/>
            <w:tcBorders/>
            <w:shd w:fill="CCEEFF" w:val="clear"/>
            <w:vAlign w:val="center"/>
          </w:tcPr>
          <w:p>
            <w:pPr>
              <w:pStyle w:val="TableContents"/>
              <w:spacing w:before="0" w:after="0"/>
              <w:ind w:left="0" w:right="0" w:hanging="0"/>
              <w:jc w:val="left"/>
              <w:rPr/>
            </w:pPr>
            <w:r>
              <w:rPr/>
              <w:t xml:space="preserve">Less than one year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3" w:type="dxa"/>
            <w:tcBorders/>
            <w:shd w:fill="CCEEFF" w:val="clear"/>
            <w:vAlign w:val="center"/>
          </w:tcPr>
          <w:p>
            <w:pPr>
              <w:pStyle w:val="TableContents"/>
              <w:spacing w:before="0" w:after="283"/>
              <w:rPr/>
            </w:pPr>
            <w:r>
              <w:rPr/>
              <w:t>$</w:t>
            </w:r>
          </w:p>
        </w:tc>
        <w:tc>
          <w:tcPr>
            <w:tcW w:w="1031"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500,000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3" w:type="dxa"/>
            <w:tcBorders/>
            <w:shd w:fill="CCEEFF" w:val="clear"/>
            <w:vAlign w:val="center"/>
          </w:tcPr>
          <w:p>
            <w:pPr>
              <w:pStyle w:val="TableContents"/>
              <w:spacing w:before="0" w:after="283"/>
              <w:rPr/>
            </w:pPr>
            <w:r>
              <w:rPr/>
              <w:t>$</w:t>
            </w:r>
          </w:p>
        </w:tc>
        <w:tc>
          <w:tcPr>
            <w:tcW w:w="1031" w:type="dxa"/>
            <w:tcBorders/>
            <w:shd w:fill="CCEEFF" w:val="clear"/>
            <w:vAlign w:val="center"/>
          </w:tcPr>
          <w:p>
            <w:pPr>
              <w:pStyle w:val="TableContents"/>
              <w:spacing w:before="0" w:after="283"/>
              <w:jc w:val="right"/>
              <w:rPr/>
            </w:pPr>
            <w:r>
              <w:rPr/>
              <w:t>499,165</w:t>
            </w:r>
          </w:p>
        </w:tc>
        <w:tc>
          <w:tcPr>
            <w:tcW w:w="135" w:type="dxa"/>
            <w:tcBorders/>
            <w:shd w:fill="CCEEFF" w:val="clear"/>
            <w:vAlign w:val="center"/>
          </w:tcPr>
          <w:p>
            <w:pPr>
              <w:pStyle w:val="TableContents"/>
              <w:spacing w:before="0" w:after="0"/>
              <w:ind w:left="0" w:right="0" w:hanging="0"/>
              <w:rPr/>
            </w:pPr>
            <w:r>
              <w:rPr/>
              <w:t> </w:t>
            </w:r>
          </w:p>
        </w:tc>
      </w:tr>
      <w:tr>
        <w:trPr/>
        <w:tc>
          <w:tcPr>
            <w:tcW w:w="3050" w:type="dxa"/>
            <w:tcBorders/>
            <w:shd w:fill="FFFFFF" w:val="clear"/>
            <w:vAlign w:val="center"/>
          </w:tcPr>
          <w:p>
            <w:pPr>
              <w:pStyle w:val="TableContents"/>
              <w:spacing w:before="0" w:after="0"/>
              <w:ind w:left="0" w:right="0" w:hanging="0"/>
              <w:jc w:val="left"/>
              <w:rPr/>
            </w:pPr>
            <w:r>
              <w:rPr/>
              <w:t xml:space="preserve">One to five years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2,598,193</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3" w:type="dxa"/>
            <w:tcBorders/>
            <w:shd w:fill="FFFFFF" w:val="clear"/>
            <w:vAlign w:val="center"/>
          </w:tcPr>
          <w:p>
            <w:pPr>
              <w:pStyle w:val="TableContents"/>
              <w:spacing w:before="0" w:after="0"/>
              <w:ind w:left="0" w:right="0" w:hanging="0"/>
              <w:rPr/>
            </w:pPr>
            <w:r>
              <w:rPr/>
              <w:t> </w:t>
            </w:r>
          </w:p>
        </w:tc>
        <w:tc>
          <w:tcPr>
            <w:tcW w:w="1031" w:type="dxa"/>
            <w:tcBorders/>
            <w:shd w:fill="FFFFFF" w:val="clear"/>
            <w:vAlign w:val="center"/>
          </w:tcPr>
          <w:p>
            <w:pPr>
              <w:pStyle w:val="TableContents"/>
              <w:spacing w:before="0" w:after="283"/>
              <w:jc w:val="right"/>
              <w:rPr/>
            </w:pPr>
            <w:r>
              <w:rPr/>
              <w:t>2,777,936</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2,099,268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3" w:type="dxa"/>
            <w:tcBorders/>
            <w:shd w:fill="FFFFFF" w:val="clear"/>
            <w:vAlign w:val="center"/>
          </w:tcPr>
          <w:p>
            <w:pPr>
              <w:pStyle w:val="TableContents"/>
              <w:spacing w:before="0" w:after="0"/>
              <w:ind w:left="0" w:right="0" w:hanging="0"/>
              <w:rPr/>
            </w:pPr>
            <w:r>
              <w:rPr/>
              <w:t> </w:t>
            </w:r>
          </w:p>
        </w:tc>
        <w:tc>
          <w:tcPr>
            <w:tcW w:w="1031" w:type="dxa"/>
            <w:tcBorders/>
            <w:shd w:fill="FFFFFF" w:val="clear"/>
            <w:vAlign w:val="center"/>
          </w:tcPr>
          <w:p>
            <w:pPr>
              <w:pStyle w:val="TableContents"/>
              <w:spacing w:before="0" w:after="283"/>
              <w:jc w:val="right"/>
              <w:rPr/>
            </w:pPr>
            <w:r>
              <w:rPr/>
              <w:t>2,215,640</w:t>
            </w:r>
          </w:p>
        </w:tc>
        <w:tc>
          <w:tcPr>
            <w:tcW w:w="135" w:type="dxa"/>
            <w:tcBorders/>
            <w:shd w:fill="FFFFFF" w:val="clear"/>
            <w:vAlign w:val="center"/>
          </w:tcPr>
          <w:p>
            <w:pPr>
              <w:pStyle w:val="TableContents"/>
              <w:spacing w:before="0" w:after="0"/>
              <w:ind w:left="0" w:right="0" w:hanging="0"/>
              <w:rPr/>
            </w:pPr>
            <w:r>
              <w:rPr/>
              <w:t> </w:t>
            </w:r>
          </w:p>
        </w:tc>
      </w:tr>
      <w:tr>
        <w:trPr/>
        <w:tc>
          <w:tcPr>
            <w:tcW w:w="3050" w:type="dxa"/>
            <w:tcBorders/>
            <w:shd w:fill="CCEEFF" w:val="clear"/>
            <w:vAlign w:val="center"/>
          </w:tcPr>
          <w:p>
            <w:pPr>
              <w:pStyle w:val="TableContents"/>
              <w:spacing w:before="0" w:after="0"/>
              <w:ind w:left="0" w:right="0" w:hanging="0"/>
              <w:jc w:val="left"/>
              <w:rPr/>
            </w:pPr>
            <w:r>
              <w:rPr/>
              <w:t xml:space="preserve">Five to ten years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1,502,603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3" w:type="dxa"/>
            <w:tcBorders/>
            <w:shd w:fill="CCEEFF" w:val="clear"/>
            <w:vAlign w:val="center"/>
          </w:tcPr>
          <w:p>
            <w:pPr>
              <w:pStyle w:val="TableContents"/>
              <w:spacing w:before="0" w:after="0"/>
              <w:ind w:left="0" w:right="0" w:hanging="0"/>
              <w:rPr/>
            </w:pPr>
            <w:r>
              <w:rPr/>
              <w:t> </w:t>
            </w:r>
          </w:p>
        </w:tc>
        <w:tc>
          <w:tcPr>
            <w:tcW w:w="1031" w:type="dxa"/>
            <w:tcBorders/>
            <w:shd w:fill="CCEEFF" w:val="clear"/>
            <w:vAlign w:val="center"/>
          </w:tcPr>
          <w:p>
            <w:pPr>
              <w:pStyle w:val="TableContents"/>
              <w:spacing w:before="0" w:after="283"/>
              <w:jc w:val="right"/>
              <w:rPr/>
            </w:pPr>
            <w:r>
              <w:rPr/>
              <w:t>1,727,316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620,134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3" w:type="dxa"/>
            <w:tcBorders/>
            <w:shd w:fill="CCEEFF" w:val="clear"/>
            <w:vAlign w:val="center"/>
          </w:tcPr>
          <w:p>
            <w:pPr>
              <w:pStyle w:val="TableContents"/>
              <w:spacing w:before="0" w:after="0"/>
              <w:ind w:left="0" w:right="0" w:hanging="0"/>
              <w:rPr/>
            </w:pPr>
            <w:r>
              <w:rPr/>
              <w:t> </w:t>
            </w:r>
          </w:p>
        </w:tc>
        <w:tc>
          <w:tcPr>
            <w:tcW w:w="1031" w:type="dxa"/>
            <w:tcBorders/>
            <w:shd w:fill="CCEEFF" w:val="clear"/>
            <w:vAlign w:val="center"/>
          </w:tcPr>
          <w:p>
            <w:pPr>
              <w:pStyle w:val="TableContents"/>
              <w:spacing w:before="0" w:after="283"/>
              <w:jc w:val="right"/>
              <w:rPr/>
            </w:pPr>
            <w:r>
              <w:rPr/>
              <w:t>655,923</w:t>
            </w:r>
          </w:p>
        </w:tc>
        <w:tc>
          <w:tcPr>
            <w:tcW w:w="135" w:type="dxa"/>
            <w:tcBorders/>
            <w:shd w:fill="CCEEFF" w:val="clear"/>
            <w:vAlign w:val="center"/>
          </w:tcPr>
          <w:p>
            <w:pPr>
              <w:pStyle w:val="TableContents"/>
              <w:spacing w:before="0" w:after="0"/>
              <w:ind w:left="0" w:right="0" w:hanging="0"/>
              <w:rPr/>
            </w:pPr>
            <w:r>
              <w:rPr/>
              <w:t> </w:t>
            </w:r>
          </w:p>
        </w:tc>
      </w:tr>
      <w:tr>
        <w:trPr/>
        <w:tc>
          <w:tcPr>
            <w:tcW w:w="3050" w:type="dxa"/>
            <w:tcBorders/>
            <w:shd w:fill="FFFFFF" w:val="clear"/>
            <w:vAlign w:val="center"/>
          </w:tcPr>
          <w:p>
            <w:pPr>
              <w:pStyle w:val="TableContents"/>
              <w:spacing w:before="0" w:after="0"/>
              <w:ind w:left="0" w:right="0" w:hanging="0"/>
              <w:jc w:val="left"/>
              <w:rPr/>
            </w:pPr>
            <w:r>
              <w:rPr/>
              <w:t xml:space="preserve">More than 10 years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283"/>
              <w:jc w:val="right"/>
              <w:rPr/>
            </w:pPr>
            <w:r>
              <w:rPr/>
              <w:t>3,268,019</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3"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31" w:type="dxa"/>
            <w:tcBorders>
              <w:bottom w:val="single" w:sz="2" w:space="0" w:color="000000"/>
            </w:tcBorders>
            <w:shd w:fill="FFFFFF" w:val="clear"/>
            <w:tcMar>
              <w:bottom w:w="28" w:type="dxa"/>
            </w:tcMar>
            <w:vAlign w:val="center"/>
          </w:tcPr>
          <w:p>
            <w:pPr>
              <w:pStyle w:val="TableContents"/>
              <w:spacing w:before="0" w:after="283"/>
              <w:jc w:val="right"/>
              <w:rPr/>
            </w:pPr>
            <w:r>
              <w:rPr/>
              <w:t>3,689,572</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283"/>
              <w:jc w:val="right"/>
              <w:rPr/>
            </w:pPr>
            <w:r>
              <w:rPr/>
              <w:t>606,550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3"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31" w:type="dxa"/>
            <w:tcBorders>
              <w:bottom w:val="single" w:sz="2" w:space="0" w:color="000000"/>
            </w:tcBorders>
            <w:shd w:fill="FFFFFF" w:val="clear"/>
            <w:tcMar>
              <w:bottom w:w="28" w:type="dxa"/>
            </w:tcMar>
            <w:vAlign w:val="center"/>
          </w:tcPr>
          <w:p>
            <w:pPr>
              <w:pStyle w:val="TableContents"/>
              <w:spacing w:before="0" w:after="283"/>
              <w:jc w:val="right"/>
              <w:rPr/>
            </w:pPr>
            <w:r>
              <w:rPr/>
              <w:t>754,039</w:t>
            </w:r>
          </w:p>
        </w:tc>
        <w:tc>
          <w:tcPr>
            <w:tcW w:w="135" w:type="dxa"/>
            <w:tcBorders/>
            <w:shd w:fill="FFFFFF" w:val="clear"/>
            <w:vAlign w:val="center"/>
          </w:tcPr>
          <w:p>
            <w:pPr>
              <w:pStyle w:val="TableContents"/>
              <w:spacing w:before="0" w:after="0"/>
              <w:ind w:left="0" w:right="0" w:hanging="0"/>
              <w:rPr/>
            </w:pPr>
            <w:r>
              <w:rPr/>
              <w:t> </w:t>
            </w:r>
          </w:p>
        </w:tc>
      </w:tr>
      <w:tr>
        <w:trPr/>
        <w:tc>
          <w:tcPr>
            <w:tcW w:w="3050" w:type="dxa"/>
            <w:tcBorders/>
            <w:shd w:fill="CCEEFF" w:val="clear"/>
            <w:vAlign w:val="center"/>
          </w:tcPr>
          <w:p>
            <w:pPr>
              <w:pStyle w:val="TableContents"/>
              <w:spacing w:before="0" w:after="0"/>
              <w:ind w:left="0" w:right="0" w:hanging="0"/>
              <w:jc w:val="left"/>
              <w:rPr/>
            </w:pPr>
            <w:r>
              <w:rPr/>
              <w:t xml:space="preserve">Total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6" w:space="0" w:color="000000"/>
            </w:tcBorders>
            <w:shd w:fill="CCEEFF" w:val="clear"/>
            <w:tcMar>
              <w:bottom w:w="28" w:type="dxa"/>
            </w:tcMar>
            <w:vAlign w:val="center"/>
          </w:tcPr>
          <w:p>
            <w:pPr>
              <w:pStyle w:val="TableContents"/>
              <w:spacing w:before="0" w:after="283"/>
              <w:jc w:val="right"/>
              <w:rPr/>
            </w:pPr>
            <w:r>
              <w:rPr/>
              <w:t>7,368,815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3" w:type="dxa"/>
            <w:tcBorders>
              <w:bottom w:val="double" w:sz="6" w:space="0" w:color="000000"/>
            </w:tcBorders>
            <w:shd w:fill="CCEEFF" w:val="clear"/>
            <w:tcMar>
              <w:bottom w:w="28" w:type="dxa"/>
            </w:tcMar>
            <w:vAlign w:val="center"/>
          </w:tcPr>
          <w:p>
            <w:pPr>
              <w:pStyle w:val="TableContents"/>
              <w:spacing w:before="0" w:after="283"/>
              <w:rPr/>
            </w:pPr>
            <w:r>
              <w:rPr/>
              <w:t>$</w:t>
            </w:r>
          </w:p>
        </w:tc>
        <w:tc>
          <w:tcPr>
            <w:tcW w:w="1031" w:type="dxa"/>
            <w:tcBorders>
              <w:bottom w:val="double" w:sz="6" w:space="0" w:color="000000"/>
            </w:tcBorders>
            <w:shd w:fill="CCEEFF" w:val="clear"/>
            <w:tcMar>
              <w:bottom w:w="28" w:type="dxa"/>
            </w:tcMar>
            <w:vAlign w:val="center"/>
          </w:tcPr>
          <w:p>
            <w:pPr>
              <w:pStyle w:val="TableContents"/>
              <w:spacing w:before="0" w:after="283"/>
              <w:jc w:val="right"/>
              <w:rPr/>
            </w:pPr>
            <w:r>
              <w:rPr/>
              <w:t>8,194,824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6" w:space="0" w:color="000000"/>
            </w:tcBorders>
            <w:shd w:fill="CCEEFF" w:val="clear"/>
            <w:tcMar>
              <w:bottom w:w="28" w:type="dxa"/>
            </w:tcMar>
            <w:vAlign w:val="center"/>
          </w:tcPr>
          <w:p>
            <w:pPr>
              <w:pStyle w:val="TableContents"/>
              <w:spacing w:before="0" w:after="283"/>
              <w:jc w:val="right"/>
              <w:rPr/>
            </w:pPr>
            <w:r>
              <w:rPr/>
              <w:t>3,825,952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3" w:type="dxa"/>
            <w:tcBorders>
              <w:bottom w:val="double" w:sz="6" w:space="0" w:color="000000"/>
            </w:tcBorders>
            <w:shd w:fill="CCEEFF" w:val="clear"/>
            <w:tcMar>
              <w:bottom w:w="28" w:type="dxa"/>
            </w:tcMar>
            <w:vAlign w:val="center"/>
          </w:tcPr>
          <w:p>
            <w:pPr>
              <w:pStyle w:val="TableContents"/>
              <w:spacing w:before="0" w:after="283"/>
              <w:rPr/>
            </w:pPr>
            <w:r>
              <w:rPr/>
              <w:t>$</w:t>
            </w:r>
          </w:p>
        </w:tc>
        <w:tc>
          <w:tcPr>
            <w:tcW w:w="1031" w:type="dxa"/>
            <w:tcBorders>
              <w:bottom w:val="double" w:sz="6" w:space="0" w:color="000000"/>
            </w:tcBorders>
            <w:shd w:fill="CCEEFF" w:val="clear"/>
            <w:tcMar>
              <w:bottom w:w="28" w:type="dxa"/>
            </w:tcMar>
            <w:vAlign w:val="center"/>
          </w:tcPr>
          <w:p>
            <w:pPr>
              <w:pStyle w:val="TableContents"/>
              <w:spacing w:before="0" w:after="283"/>
              <w:jc w:val="right"/>
              <w:rPr/>
            </w:pPr>
            <w:r>
              <w:rPr/>
              <w:t>4,124,767</w:t>
            </w:r>
          </w:p>
        </w:tc>
        <w:tc>
          <w:tcPr>
            <w:tcW w:w="135"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xml:space="preserve">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50</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Credit Rating of Fixed-Maturity Securities</w:t>
      </w:r>
      <w:r>
        <w:rPr>
          <w:rStyle w:val="Emphasis"/>
          <w:rFonts w:ascii="times new roman" w:hAnsi="times new roman"/>
          <w:sz w:val="20"/>
        </w:rPr>
        <w:t xml:space="preserve">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table below summarizes the credit quality of our available-for-sale fixed-maturity securities as of December 31, 2020 and 2019 as rated by Standard and Poor’s (or, if unavailable from Standard and Poor’s, then Moody’s or Fitch):</w:t>
      </w:r>
    </w:p>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3413"/>
        <w:gridCol w:w="90"/>
        <w:gridCol w:w="170"/>
        <w:gridCol w:w="1255"/>
        <w:gridCol w:w="90"/>
        <w:gridCol w:w="90"/>
        <w:gridCol w:w="188"/>
        <w:gridCol w:w="1243"/>
        <w:gridCol w:w="245"/>
        <w:gridCol w:w="90"/>
        <w:gridCol w:w="170"/>
        <w:gridCol w:w="1255"/>
        <w:gridCol w:w="90"/>
        <w:gridCol w:w="90"/>
        <w:gridCol w:w="188"/>
        <w:gridCol w:w="1243"/>
        <w:gridCol w:w="295"/>
      </w:tblGrid>
      <w:tr>
        <w:trPr/>
        <w:tc>
          <w:tcPr>
            <w:tcW w:w="3413"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3036"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December 31, 2020</w:t>
            </w:r>
          </w:p>
        </w:tc>
        <w:tc>
          <w:tcPr>
            <w:tcW w:w="245"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3036"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December 31, 2019</w:t>
            </w:r>
          </w:p>
        </w:tc>
        <w:tc>
          <w:tcPr>
            <w:tcW w:w="295" w:type="dxa"/>
            <w:tcBorders/>
            <w:shd w:fill="auto" w:val="clear"/>
            <w:vAlign w:val="center"/>
          </w:tcPr>
          <w:p>
            <w:pPr>
              <w:pStyle w:val="TableContents"/>
              <w:spacing w:before="0" w:after="0"/>
              <w:ind w:left="0" w:right="0" w:hanging="0"/>
              <w:jc w:val="center"/>
              <w:rPr/>
            </w:pPr>
            <w:r>
              <w:rPr/>
              <w:t> </w:t>
            </w:r>
          </w:p>
        </w:tc>
      </w:tr>
      <w:tr>
        <w:trPr/>
        <w:tc>
          <w:tcPr>
            <w:tcW w:w="3413"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425"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Pr>
              <w:t xml:space="preserve">Estimated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431"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Pr>
              <w:t xml:space="preserve">Percentage of </w:t>
            </w:r>
          </w:p>
        </w:tc>
        <w:tc>
          <w:tcPr>
            <w:tcW w:w="245"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425"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Pr>
              <w:t xml:space="preserve">Estimated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431"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Pr>
              <w:t xml:space="preserve">Percentage of </w:t>
            </w:r>
          </w:p>
        </w:tc>
        <w:tc>
          <w:tcPr>
            <w:tcW w:w="295" w:type="dxa"/>
            <w:tcBorders/>
            <w:shd w:fill="auto" w:val="clear"/>
            <w:vAlign w:val="center"/>
          </w:tcPr>
          <w:p>
            <w:pPr>
              <w:pStyle w:val="TableContents"/>
              <w:spacing w:before="0" w:after="0"/>
              <w:ind w:left="0" w:right="0" w:hanging="0"/>
              <w:jc w:val="center"/>
              <w:rPr/>
            </w:pPr>
            <w:r>
              <w:rPr/>
              <w:t> </w:t>
            </w:r>
          </w:p>
        </w:tc>
      </w:tr>
      <w:tr>
        <w:trPr/>
        <w:tc>
          <w:tcPr>
            <w:tcW w:w="3413"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425"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Pr>
              <w:t xml:space="preserve">Fair Market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431"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Pr>
              <w:t xml:space="preserve">Fair Market </w:t>
            </w:r>
          </w:p>
        </w:tc>
        <w:tc>
          <w:tcPr>
            <w:tcW w:w="245"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425"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Pr>
              <w:t xml:space="preserve">Fair Market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431"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Pr>
              <w:t xml:space="preserve">Fair Market </w:t>
            </w:r>
          </w:p>
        </w:tc>
        <w:tc>
          <w:tcPr>
            <w:tcW w:w="295" w:type="dxa"/>
            <w:tcBorders/>
            <w:shd w:fill="auto" w:val="clear"/>
            <w:vAlign w:val="center"/>
          </w:tcPr>
          <w:p>
            <w:pPr>
              <w:pStyle w:val="TableContents"/>
              <w:spacing w:before="0" w:after="0"/>
              <w:ind w:left="0" w:right="0" w:hanging="0"/>
              <w:jc w:val="center"/>
              <w:rPr/>
            </w:pPr>
            <w:r>
              <w:rPr/>
              <w:t> </w:t>
            </w:r>
          </w:p>
        </w:tc>
      </w:tr>
      <w:tr>
        <w:trPr/>
        <w:tc>
          <w:tcPr>
            <w:tcW w:w="3413"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42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Pr>
              <w:t xml:space="preserve">Value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43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Pr>
              <w:t xml:space="preserve">Value </w:t>
            </w:r>
          </w:p>
        </w:tc>
        <w:tc>
          <w:tcPr>
            <w:tcW w:w="245"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42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Pr>
              <w:t xml:space="preserve">Value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43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Pr>
              <w:t xml:space="preserve">Value </w:t>
            </w:r>
          </w:p>
        </w:tc>
        <w:tc>
          <w:tcPr>
            <w:tcW w:w="295" w:type="dxa"/>
            <w:tcBorders/>
            <w:shd w:fill="auto" w:val="clear"/>
            <w:vAlign w:val="center"/>
          </w:tcPr>
          <w:p>
            <w:pPr>
              <w:pStyle w:val="TableContents"/>
              <w:spacing w:before="0" w:after="0"/>
              <w:ind w:left="0" w:right="0" w:hanging="0"/>
              <w:rPr/>
            </w:pPr>
            <w:r>
              <w:rPr/>
              <w:t> </w:t>
            </w:r>
          </w:p>
        </w:tc>
      </w:tr>
      <w:tr>
        <w:trPr/>
        <w:tc>
          <w:tcPr>
            <w:tcW w:w="3413"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5"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31"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3331" w:type="dxa"/>
            <w:gridSpan w:val="7"/>
            <w:tcBorders/>
            <w:shd w:fill="auto" w:val="clear"/>
            <w:vAlign w:val="center"/>
          </w:tcPr>
          <w:p>
            <w:pPr>
              <w:pStyle w:val="TableContents"/>
              <w:spacing w:before="0" w:after="0"/>
              <w:ind w:left="0" w:right="0" w:hanging="0"/>
              <w:rPr/>
            </w:pPr>
            <w:r>
              <w:rPr/>
              <w:t> </w:t>
            </w:r>
          </w:p>
        </w:tc>
      </w:tr>
      <w:tr>
        <w:trPr/>
        <w:tc>
          <w:tcPr>
            <w:tcW w:w="3413" w:type="dxa"/>
            <w:tcBorders/>
            <w:shd w:fill="auto" w:val="clear"/>
            <w:vAlign w:val="center"/>
          </w:tcPr>
          <w:p>
            <w:pPr>
              <w:pStyle w:val="TableContents"/>
              <w:spacing w:before="0" w:after="0"/>
              <w:ind w:left="0" w:right="0" w:hanging="0"/>
              <w:rPr/>
            </w:pPr>
            <w:r>
              <w:rPr>
                <w:rStyle w:val="StrongEmphasis"/>
              </w:rPr>
              <w:t xml:space="preserve">Rating </w:t>
            </w:r>
          </w:p>
        </w:tc>
        <w:tc>
          <w:tcPr>
            <w:tcW w:w="90" w:type="dxa"/>
            <w:tcBorders/>
            <w:shd w:fill="auto" w:val="clear"/>
            <w:vAlign w:val="center"/>
          </w:tcPr>
          <w:p>
            <w:pPr>
              <w:pStyle w:val="TableContents"/>
              <w:spacing w:before="0" w:after="0"/>
              <w:ind w:left="0" w:right="0" w:hanging="0"/>
              <w:rPr/>
            </w:pPr>
            <w:r>
              <w:rPr/>
              <w:t> </w:t>
            </w:r>
          </w:p>
        </w:tc>
        <w:tc>
          <w:tcPr>
            <w:tcW w:w="1425"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31"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5"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31" w:type="dxa"/>
            <w:gridSpan w:val="2"/>
            <w:tcBorders/>
            <w:shd w:fill="auto" w:val="clear"/>
            <w:vAlign w:val="center"/>
          </w:tcPr>
          <w:p>
            <w:pPr>
              <w:pStyle w:val="TableContents"/>
              <w:spacing w:before="0" w:after="0"/>
              <w:ind w:left="0" w:right="0" w:hanging="0"/>
              <w:rPr/>
            </w:pPr>
            <w:r>
              <w:rPr/>
              <w:t> </w:t>
            </w:r>
          </w:p>
        </w:tc>
        <w:tc>
          <w:tcPr>
            <w:tcW w:w="295" w:type="dxa"/>
            <w:tcBorders/>
            <w:shd w:fill="auto" w:val="clear"/>
            <w:vAlign w:val="center"/>
          </w:tcPr>
          <w:p>
            <w:pPr>
              <w:pStyle w:val="TableContents"/>
              <w:spacing w:before="0" w:after="0"/>
              <w:ind w:left="0" w:right="0" w:hanging="0"/>
              <w:rPr/>
            </w:pPr>
            <w:r>
              <w:rPr/>
              <w:t> </w:t>
            </w:r>
          </w:p>
        </w:tc>
      </w:tr>
      <w:tr>
        <w:trPr/>
        <w:tc>
          <w:tcPr>
            <w:tcW w:w="3413" w:type="dxa"/>
            <w:tcBorders/>
            <w:shd w:fill="CCEEFF" w:val="clear"/>
            <w:vAlign w:val="center"/>
          </w:tcPr>
          <w:p>
            <w:pPr>
              <w:pStyle w:val="TableContents"/>
              <w:spacing w:before="0" w:after="0"/>
              <w:ind w:left="0" w:right="0" w:hanging="0"/>
              <w:rPr/>
            </w:pPr>
            <w:r>
              <w:rPr/>
              <w:t xml:space="preserve">U.S. Treasury securities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283"/>
              <w:rPr/>
            </w:pPr>
            <w:r>
              <w:rPr/>
              <w:t>$</w:t>
            </w:r>
          </w:p>
        </w:tc>
        <w:tc>
          <w:tcPr>
            <w:tcW w:w="1255" w:type="dxa"/>
            <w:tcBorders>
              <w:bottom w:val="single" w:sz="2" w:space="0" w:color="000000"/>
            </w:tcBorders>
            <w:shd w:fill="CCEEFF" w:val="clear"/>
            <w:tcMar>
              <w:bottom w:w="28" w:type="dxa"/>
            </w:tcMar>
            <w:vAlign w:val="center"/>
          </w:tcPr>
          <w:p>
            <w:pPr>
              <w:pStyle w:val="TableContents"/>
              <w:spacing w:before="0" w:after="283"/>
              <w:jc w:val="right"/>
              <w:rPr/>
            </w:pPr>
            <w:r>
              <w:rPr/>
              <w:t>3,049,900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43" w:type="dxa"/>
            <w:tcBorders>
              <w:bottom w:val="single" w:sz="2" w:space="0" w:color="000000"/>
            </w:tcBorders>
            <w:shd w:fill="CCEEFF" w:val="clear"/>
            <w:tcMar>
              <w:bottom w:w="28" w:type="dxa"/>
            </w:tcMar>
            <w:vAlign w:val="center"/>
          </w:tcPr>
          <w:p>
            <w:pPr>
              <w:pStyle w:val="TableContents"/>
              <w:spacing w:before="0" w:after="283"/>
              <w:jc w:val="right"/>
              <w:rPr/>
            </w:pPr>
            <w:r>
              <w:rPr/>
              <w:t>1.9</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283"/>
              <w:rPr/>
            </w:pPr>
            <w:r>
              <w:rPr/>
              <w:t>$</w:t>
            </w:r>
          </w:p>
        </w:tc>
        <w:tc>
          <w:tcPr>
            <w:tcW w:w="1255" w:type="dxa"/>
            <w:tcBorders>
              <w:bottom w:val="single" w:sz="2" w:space="0" w:color="000000"/>
            </w:tcBorders>
            <w:shd w:fill="CCEEFF" w:val="clear"/>
            <w:tcMar>
              <w:bottom w:w="28" w:type="dxa"/>
            </w:tcMar>
            <w:vAlign w:val="center"/>
          </w:tcPr>
          <w:p>
            <w:pPr>
              <w:pStyle w:val="TableContents"/>
              <w:spacing w:before="0" w:after="283"/>
              <w:jc w:val="right"/>
              <w:rPr/>
            </w:pPr>
            <w:r>
              <w:rPr/>
              <w:t>7,061,100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43" w:type="dxa"/>
            <w:tcBorders>
              <w:bottom w:val="single" w:sz="2" w:space="0" w:color="000000"/>
            </w:tcBorders>
            <w:shd w:fill="CCEEFF" w:val="clear"/>
            <w:tcMar>
              <w:bottom w:w="28" w:type="dxa"/>
            </w:tcMar>
            <w:vAlign w:val="center"/>
          </w:tcPr>
          <w:p>
            <w:pPr>
              <w:pStyle w:val="TableContents"/>
              <w:spacing w:before="0" w:after="283"/>
              <w:jc w:val="right"/>
              <w:rPr/>
            </w:pPr>
            <w:r>
              <w:rPr/>
              <w:t>4.2</w:t>
            </w:r>
          </w:p>
        </w:tc>
        <w:tc>
          <w:tcPr>
            <w:tcW w:w="295" w:type="dxa"/>
            <w:tcBorders/>
            <w:shd w:fill="CCEEFF" w:val="clear"/>
            <w:vAlign w:val="center"/>
          </w:tcPr>
          <w:p>
            <w:pPr>
              <w:pStyle w:val="TableContents"/>
              <w:spacing w:before="0" w:after="283"/>
              <w:rPr/>
            </w:pPr>
            <w:r>
              <w:rPr/>
              <w:t>%</w:t>
            </w:r>
          </w:p>
        </w:tc>
      </w:tr>
      <w:tr>
        <w:trPr/>
        <w:tc>
          <w:tcPr>
            <w:tcW w:w="3413"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8" w:type="dxa"/>
            <w:tcBorders/>
            <w:shd w:fill="FFFFFF" w:val="clear"/>
            <w:vAlign w:val="center"/>
          </w:tcPr>
          <w:p>
            <w:pPr>
              <w:pStyle w:val="TableContents"/>
              <w:spacing w:before="0" w:after="0"/>
              <w:ind w:left="0" w:right="0" w:hanging="0"/>
              <w:rPr/>
            </w:pPr>
            <w:r>
              <w:rPr/>
              <w:t> </w:t>
            </w:r>
          </w:p>
        </w:tc>
        <w:tc>
          <w:tcPr>
            <w:tcW w:w="1243"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8" w:type="dxa"/>
            <w:tcBorders/>
            <w:shd w:fill="FFFFFF" w:val="clear"/>
            <w:vAlign w:val="center"/>
          </w:tcPr>
          <w:p>
            <w:pPr>
              <w:pStyle w:val="TableContents"/>
              <w:spacing w:before="0" w:after="0"/>
              <w:ind w:left="0" w:right="0" w:hanging="0"/>
              <w:rPr/>
            </w:pPr>
            <w:r>
              <w:rPr/>
              <w:t> </w:t>
            </w:r>
          </w:p>
        </w:tc>
        <w:tc>
          <w:tcPr>
            <w:tcW w:w="1243" w:type="dxa"/>
            <w:tcBorders/>
            <w:shd w:fill="FFFFFF" w:val="clear"/>
            <w:vAlign w:val="center"/>
          </w:tcPr>
          <w:p>
            <w:pPr>
              <w:pStyle w:val="TableContents"/>
              <w:spacing w:before="0" w:after="0"/>
              <w:ind w:left="0" w:right="0" w:hanging="0"/>
              <w:rPr/>
            </w:pPr>
            <w:r>
              <w:rPr/>
              <w:t> </w:t>
            </w:r>
          </w:p>
        </w:tc>
        <w:tc>
          <w:tcPr>
            <w:tcW w:w="295" w:type="dxa"/>
            <w:tcBorders/>
            <w:shd w:fill="FFFFFF" w:val="clear"/>
            <w:vAlign w:val="center"/>
          </w:tcPr>
          <w:p>
            <w:pPr>
              <w:pStyle w:val="TableContents"/>
              <w:spacing w:before="0" w:after="0"/>
              <w:ind w:left="0" w:right="0" w:hanging="0"/>
              <w:rPr/>
            </w:pPr>
            <w:r>
              <w:rPr/>
              <w:t> </w:t>
            </w:r>
          </w:p>
        </w:tc>
      </w:tr>
      <w:tr>
        <w:trPr/>
        <w:tc>
          <w:tcPr>
            <w:tcW w:w="3413" w:type="dxa"/>
            <w:tcBorders/>
            <w:shd w:fill="CCEEFF" w:val="clear"/>
            <w:vAlign w:val="center"/>
          </w:tcPr>
          <w:p>
            <w:pPr>
              <w:pStyle w:val="TableContents"/>
              <w:spacing w:before="0" w:after="0"/>
              <w:ind w:left="0" w:right="0" w:hanging="0"/>
              <w:rPr/>
            </w:pPr>
            <w:r>
              <w:rPr/>
              <w:t xml:space="preserve">Corporate and municipal bonds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8" w:type="dxa"/>
            <w:tcBorders/>
            <w:shd w:fill="CCEEFF" w:val="clear"/>
            <w:vAlign w:val="center"/>
          </w:tcPr>
          <w:p>
            <w:pPr>
              <w:pStyle w:val="TableContents"/>
              <w:spacing w:before="0" w:after="0"/>
              <w:ind w:left="0" w:right="0" w:hanging="0"/>
              <w:rPr/>
            </w:pPr>
            <w:r>
              <w:rPr/>
              <w:t> </w:t>
            </w:r>
          </w:p>
        </w:tc>
        <w:tc>
          <w:tcPr>
            <w:tcW w:w="1243"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8" w:type="dxa"/>
            <w:tcBorders/>
            <w:shd w:fill="CCEEFF" w:val="clear"/>
            <w:vAlign w:val="center"/>
          </w:tcPr>
          <w:p>
            <w:pPr>
              <w:pStyle w:val="TableContents"/>
              <w:spacing w:before="0" w:after="0"/>
              <w:ind w:left="0" w:right="0" w:hanging="0"/>
              <w:rPr/>
            </w:pPr>
            <w:r>
              <w:rPr/>
              <w:t> </w:t>
            </w:r>
          </w:p>
        </w:tc>
        <w:tc>
          <w:tcPr>
            <w:tcW w:w="1243" w:type="dxa"/>
            <w:tcBorders/>
            <w:shd w:fill="CCEEFF" w:val="clear"/>
            <w:vAlign w:val="center"/>
          </w:tcPr>
          <w:p>
            <w:pPr>
              <w:pStyle w:val="TableContents"/>
              <w:spacing w:before="0" w:after="0"/>
              <w:ind w:left="0" w:right="0" w:hanging="0"/>
              <w:rPr/>
            </w:pPr>
            <w:r>
              <w:rPr/>
              <w:t> </w:t>
            </w:r>
          </w:p>
        </w:tc>
        <w:tc>
          <w:tcPr>
            <w:tcW w:w="295" w:type="dxa"/>
            <w:tcBorders/>
            <w:shd w:fill="CCEEFF" w:val="clear"/>
            <w:vAlign w:val="center"/>
          </w:tcPr>
          <w:p>
            <w:pPr>
              <w:pStyle w:val="TableContents"/>
              <w:spacing w:before="0" w:after="0"/>
              <w:ind w:left="0" w:right="0" w:hanging="0"/>
              <w:rPr/>
            </w:pPr>
            <w:r>
              <w:rPr/>
              <w:t> </w:t>
            </w:r>
          </w:p>
        </w:tc>
      </w:tr>
      <w:tr>
        <w:trPr/>
        <w:tc>
          <w:tcPr>
            <w:tcW w:w="3413" w:type="dxa"/>
            <w:tcBorders/>
            <w:shd w:fill="FFFFFF" w:val="clear"/>
            <w:vAlign w:val="center"/>
          </w:tcPr>
          <w:p>
            <w:pPr>
              <w:pStyle w:val="TableContents"/>
              <w:spacing w:before="0" w:after="0"/>
              <w:ind w:left="0" w:right="0" w:firstLine="180"/>
              <w:rPr/>
            </w:pPr>
            <w:r>
              <w:rPr/>
              <w:t xml:space="preserve">AAA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5" w:type="dxa"/>
            <w:tcBorders/>
            <w:shd w:fill="FFFFFF" w:val="clear"/>
            <w:vAlign w:val="center"/>
          </w:tcPr>
          <w:p>
            <w:pPr>
              <w:pStyle w:val="TableContents"/>
              <w:spacing w:before="0" w:after="283"/>
              <w:jc w:val="right"/>
              <w:rPr/>
            </w:pPr>
            <w:r>
              <w:rPr/>
              <w:t>1,453,924</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8" w:type="dxa"/>
            <w:tcBorders/>
            <w:shd w:fill="FFFFFF" w:val="clear"/>
            <w:vAlign w:val="center"/>
          </w:tcPr>
          <w:p>
            <w:pPr>
              <w:pStyle w:val="TableContents"/>
              <w:spacing w:before="0" w:after="0"/>
              <w:ind w:left="0" w:right="0" w:hanging="0"/>
              <w:rPr/>
            </w:pPr>
            <w:r>
              <w:rPr/>
              <w:t> </w:t>
            </w:r>
          </w:p>
        </w:tc>
        <w:tc>
          <w:tcPr>
            <w:tcW w:w="1243" w:type="dxa"/>
            <w:tcBorders/>
            <w:shd w:fill="FFFFFF" w:val="clear"/>
            <w:vAlign w:val="center"/>
          </w:tcPr>
          <w:p>
            <w:pPr>
              <w:pStyle w:val="TableContents"/>
              <w:spacing w:before="0" w:after="283"/>
              <w:jc w:val="right"/>
              <w:rPr/>
            </w:pPr>
            <w:r>
              <w:rPr/>
              <w:t>0.9</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5" w:type="dxa"/>
            <w:tcBorders/>
            <w:shd w:fill="FFFFFF" w:val="clear"/>
            <w:vAlign w:val="center"/>
          </w:tcPr>
          <w:p>
            <w:pPr>
              <w:pStyle w:val="TableContents"/>
              <w:spacing w:before="0" w:after="283"/>
              <w:jc w:val="right"/>
              <w:rPr/>
            </w:pPr>
            <w:r>
              <w:rPr/>
              <w:t>1,996,676</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8" w:type="dxa"/>
            <w:tcBorders/>
            <w:shd w:fill="FFFFFF" w:val="clear"/>
            <w:vAlign w:val="center"/>
          </w:tcPr>
          <w:p>
            <w:pPr>
              <w:pStyle w:val="TableContents"/>
              <w:spacing w:before="0" w:after="0"/>
              <w:ind w:left="0" w:right="0" w:hanging="0"/>
              <w:rPr/>
            </w:pPr>
            <w:r>
              <w:rPr/>
              <w:t> </w:t>
            </w:r>
          </w:p>
        </w:tc>
        <w:tc>
          <w:tcPr>
            <w:tcW w:w="1243" w:type="dxa"/>
            <w:tcBorders/>
            <w:shd w:fill="FFFFFF" w:val="clear"/>
            <w:vAlign w:val="center"/>
          </w:tcPr>
          <w:p>
            <w:pPr>
              <w:pStyle w:val="TableContents"/>
              <w:spacing w:before="0" w:after="283"/>
              <w:jc w:val="right"/>
              <w:rPr/>
            </w:pPr>
            <w:r>
              <w:rPr/>
              <w:t>1.2</w:t>
            </w:r>
          </w:p>
        </w:tc>
        <w:tc>
          <w:tcPr>
            <w:tcW w:w="295" w:type="dxa"/>
            <w:tcBorders/>
            <w:shd w:fill="FFFFFF" w:val="clear"/>
            <w:vAlign w:val="center"/>
          </w:tcPr>
          <w:p>
            <w:pPr>
              <w:pStyle w:val="TableContents"/>
              <w:spacing w:before="0" w:after="283"/>
              <w:rPr/>
            </w:pPr>
            <w:r>
              <w:rPr/>
              <w:t>%</w:t>
            </w:r>
          </w:p>
        </w:tc>
      </w:tr>
      <w:tr>
        <w:trPr/>
        <w:tc>
          <w:tcPr>
            <w:tcW w:w="3413" w:type="dxa"/>
            <w:tcBorders/>
            <w:shd w:fill="CCEEFF" w:val="clear"/>
            <w:vAlign w:val="center"/>
          </w:tcPr>
          <w:p>
            <w:pPr>
              <w:pStyle w:val="TableContents"/>
              <w:spacing w:before="0" w:after="0"/>
              <w:ind w:left="0" w:right="0" w:firstLine="180"/>
              <w:rPr/>
            </w:pPr>
            <w:r>
              <w:rPr/>
              <w:t xml:space="preserve">AA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5" w:type="dxa"/>
            <w:tcBorders/>
            <w:shd w:fill="CCEEFF" w:val="clear"/>
            <w:vAlign w:val="center"/>
          </w:tcPr>
          <w:p>
            <w:pPr>
              <w:pStyle w:val="TableContents"/>
              <w:spacing w:before="0" w:after="283"/>
              <w:jc w:val="right"/>
              <w:rPr/>
            </w:pPr>
            <w:r>
              <w:rPr/>
              <w:t>3,572,164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8" w:type="dxa"/>
            <w:tcBorders/>
            <w:shd w:fill="CCEEFF" w:val="clear"/>
            <w:vAlign w:val="center"/>
          </w:tcPr>
          <w:p>
            <w:pPr>
              <w:pStyle w:val="TableContents"/>
              <w:spacing w:before="0" w:after="0"/>
              <w:ind w:left="0" w:right="0" w:hanging="0"/>
              <w:rPr/>
            </w:pPr>
            <w:r>
              <w:rPr/>
              <w:t> </w:t>
            </w:r>
          </w:p>
        </w:tc>
        <w:tc>
          <w:tcPr>
            <w:tcW w:w="1243" w:type="dxa"/>
            <w:tcBorders/>
            <w:shd w:fill="CCEEFF" w:val="clear"/>
            <w:vAlign w:val="center"/>
          </w:tcPr>
          <w:p>
            <w:pPr>
              <w:pStyle w:val="TableContents"/>
              <w:spacing w:before="0" w:after="283"/>
              <w:jc w:val="right"/>
              <w:rPr/>
            </w:pPr>
            <w:r>
              <w:rPr/>
              <w:t>2.3</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5" w:type="dxa"/>
            <w:tcBorders/>
            <w:shd w:fill="CCEEFF" w:val="clear"/>
            <w:vAlign w:val="center"/>
          </w:tcPr>
          <w:p>
            <w:pPr>
              <w:pStyle w:val="TableContents"/>
              <w:spacing w:before="0" w:after="283"/>
              <w:jc w:val="right"/>
              <w:rPr/>
            </w:pPr>
            <w:r>
              <w:rPr/>
              <w:t>8,809,480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8" w:type="dxa"/>
            <w:tcBorders/>
            <w:shd w:fill="CCEEFF" w:val="clear"/>
            <w:vAlign w:val="center"/>
          </w:tcPr>
          <w:p>
            <w:pPr>
              <w:pStyle w:val="TableContents"/>
              <w:spacing w:before="0" w:after="0"/>
              <w:ind w:left="0" w:right="0" w:hanging="0"/>
              <w:rPr/>
            </w:pPr>
            <w:r>
              <w:rPr/>
              <w:t> </w:t>
            </w:r>
          </w:p>
        </w:tc>
        <w:tc>
          <w:tcPr>
            <w:tcW w:w="1243" w:type="dxa"/>
            <w:tcBorders/>
            <w:shd w:fill="CCEEFF" w:val="clear"/>
            <w:vAlign w:val="center"/>
          </w:tcPr>
          <w:p>
            <w:pPr>
              <w:pStyle w:val="TableContents"/>
              <w:spacing w:before="0" w:after="283"/>
              <w:jc w:val="right"/>
              <w:rPr/>
            </w:pPr>
            <w:r>
              <w:rPr/>
              <w:t>5.2</w:t>
            </w:r>
          </w:p>
        </w:tc>
        <w:tc>
          <w:tcPr>
            <w:tcW w:w="295" w:type="dxa"/>
            <w:tcBorders/>
            <w:shd w:fill="CCEEFF" w:val="clear"/>
            <w:vAlign w:val="center"/>
          </w:tcPr>
          <w:p>
            <w:pPr>
              <w:pStyle w:val="TableContents"/>
              <w:spacing w:before="0" w:after="283"/>
              <w:rPr/>
            </w:pPr>
            <w:r>
              <w:rPr/>
              <w:t>%</w:t>
            </w:r>
          </w:p>
        </w:tc>
      </w:tr>
      <w:tr>
        <w:trPr/>
        <w:tc>
          <w:tcPr>
            <w:tcW w:w="3413" w:type="dxa"/>
            <w:tcBorders/>
            <w:shd w:fill="FFFFFF" w:val="clear"/>
            <w:vAlign w:val="center"/>
          </w:tcPr>
          <w:p>
            <w:pPr>
              <w:pStyle w:val="TableContents"/>
              <w:spacing w:before="0" w:after="0"/>
              <w:ind w:left="0" w:right="0" w:firstLine="180"/>
              <w:rPr/>
            </w:pPr>
            <w:r>
              <w:rPr/>
              <w:t xml:space="preserve">A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5" w:type="dxa"/>
            <w:tcBorders/>
            <w:shd w:fill="FFFFFF" w:val="clear"/>
            <w:vAlign w:val="center"/>
          </w:tcPr>
          <w:p>
            <w:pPr>
              <w:pStyle w:val="TableContents"/>
              <w:spacing w:before="0" w:after="283"/>
              <w:jc w:val="right"/>
              <w:rPr/>
            </w:pPr>
            <w:r>
              <w:rPr/>
              <w:t>23,989,619</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8" w:type="dxa"/>
            <w:tcBorders/>
            <w:shd w:fill="FFFFFF" w:val="clear"/>
            <w:vAlign w:val="center"/>
          </w:tcPr>
          <w:p>
            <w:pPr>
              <w:pStyle w:val="TableContents"/>
              <w:spacing w:before="0" w:after="0"/>
              <w:ind w:left="0" w:right="0" w:hanging="0"/>
              <w:rPr/>
            </w:pPr>
            <w:r>
              <w:rPr/>
              <w:t> </w:t>
            </w:r>
          </w:p>
        </w:tc>
        <w:tc>
          <w:tcPr>
            <w:tcW w:w="1243" w:type="dxa"/>
            <w:tcBorders/>
            <w:shd w:fill="FFFFFF" w:val="clear"/>
            <w:vAlign w:val="center"/>
          </w:tcPr>
          <w:p>
            <w:pPr>
              <w:pStyle w:val="TableContents"/>
              <w:spacing w:before="0" w:after="283"/>
              <w:jc w:val="right"/>
              <w:rPr/>
            </w:pPr>
            <w:r>
              <w:rPr/>
              <w:t>15.2</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5" w:type="dxa"/>
            <w:tcBorders/>
            <w:shd w:fill="FFFFFF" w:val="clear"/>
            <w:vAlign w:val="center"/>
          </w:tcPr>
          <w:p>
            <w:pPr>
              <w:pStyle w:val="TableContents"/>
              <w:spacing w:before="0" w:after="283"/>
              <w:jc w:val="right"/>
              <w:rPr/>
            </w:pPr>
            <w:r>
              <w:rPr/>
              <w:t>34,636,236</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8" w:type="dxa"/>
            <w:tcBorders/>
            <w:shd w:fill="FFFFFF" w:val="clear"/>
            <w:vAlign w:val="center"/>
          </w:tcPr>
          <w:p>
            <w:pPr>
              <w:pStyle w:val="TableContents"/>
              <w:spacing w:before="0" w:after="0"/>
              <w:ind w:left="0" w:right="0" w:hanging="0"/>
              <w:rPr/>
            </w:pPr>
            <w:r>
              <w:rPr/>
              <w:t> </w:t>
            </w:r>
          </w:p>
        </w:tc>
        <w:tc>
          <w:tcPr>
            <w:tcW w:w="1243" w:type="dxa"/>
            <w:tcBorders/>
            <w:shd w:fill="FFFFFF" w:val="clear"/>
            <w:vAlign w:val="center"/>
          </w:tcPr>
          <w:p>
            <w:pPr>
              <w:pStyle w:val="TableContents"/>
              <w:spacing w:before="0" w:after="283"/>
              <w:jc w:val="right"/>
              <w:rPr/>
            </w:pPr>
            <w:r>
              <w:rPr/>
              <w:t>20.6</w:t>
            </w:r>
          </w:p>
        </w:tc>
        <w:tc>
          <w:tcPr>
            <w:tcW w:w="295" w:type="dxa"/>
            <w:tcBorders/>
            <w:shd w:fill="FFFFFF" w:val="clear"/>
            <w:vAlign w:val="center"/>
          </w:tcPr>
          <w:p>
            <w:pPr>
              <w:pStyle w:val="TableContents"/>
              <w:spacing w:before="0" w:after="283"/>
              <w:rPr/>
            </w:pPr>
            <w:r>
              <w:rPr/>
              <w:t>%</w:t>
            </w:r>
          </w:p>
        </w:tc>
      </w:tr>
      <w:tr>
        <w:trPr/>
        <w:tc>
          <w:tcPr>
            <w:tcW w:w="3413" w:type="dxa"/>
            <w:tcBorders/>
            <w:shd w:fill="CCEEFF" w:val="clear"/>
            <w:vAlign w:val="center"/>
          </w:tcPr>
          <w:p>
            <w:pPr>
              <w:pStyle w:val="TableContents"/>
              <w:spacing w:before="0" w:after="0"/>
              <w:ind w:left="0" w:right="0" w:firstLine="180"/>
              <w:rPr/>
            </w:pPr>
            <w:r>
              <w:rPr/>
              <w:t xml:space="preserve">BBB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5" w:type="dxa"/>
            <w:tcBorders/>
            <w:shd w:fill="CCEEFF" w:val="clear"/>
            <w:vAlign w:val="center"/>
          </w:tcPr>
          <w:p>
            <w:pPr>
              <w:pStyle w:val="TableContents"/>
              <w:spacing w:before="0" w:after="283"/>
              <w:jc w:val="right"/>
              <w:rPr/>
            </w:pPr>
            <w:r>
              <w:rPr/>
              <w:t>95,814,824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8" w:type="dxa"/>
            <w:tcBorders/>
            <w:shd w:fill="CCEEFF" w:val="clear"/>
            <w:vAlign w:val="center"/>
          </w:tcPr>
          <w:p>
            <w:pPr>
              <w:pStyle w:val="TableContents"/>
              <w:spacing w:before="0" w:after="0"/>
              <w:ind w:left="0" w:right="0" w:hanging="0"/>
              <w:rPr/>
            </w:pPr>
            <w:r>
              <w:rPr/>
              <w:t> </w:t>
            </w:r>
          </w:p>
        </w:tc>
        <w:tc>
          <w:tcPr>
            <w:tcW w:w="1243" w:type="dxa"/>
            <w:tcBorders/>
            <w:shd w:fill="CCEEFF" w:val="clear"/>
            <w:vAlign w:val="center"/>
          </w:tcPr>
          <w:p>
            <w:pPr>
              <w:pStyle w:val="TableContents"/>
              <w:spacing w:before="0" w:after="283"/>
              <w:jc w:val="right"/>
              <w:rPr/>
            </w:pPr>
            <w:r>
              <w:rPr/>
              <w:t>60.9</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5" w:type="dxa"/>
            <w:tcBorders/>
            <w:shd w:fill="CCEEFF" w:val="clear"/>
            <w:vAlign w:val="center"/>
          </w:tcPr>
          <w:p>
            <w:pPr>
              <w:pStyle w:val="TableContents"/>
              <w:spacing w:before="0" w:after="283"/>
              <w:jc w:val="right"/>
              <w:rPr/>
            </w:pPr>
            <w:r>
              <w:rPr/>
              <w:t>89,501,460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8" w:type="dxa"/>
            <w:tcBorders/>
            <w:shd w:fill="CCEEFF" w:val="clear"/>
            <w:vAlign w:val="center"/>
          </w:tcPr>
          <w:p>
            <w:pPr>
              <w:pStyle w:val="TableContents"/>
              <w:spacing w:before="0" w:after="0"/>
              <w:ind w:left="0" w:right="0" w:hanging="0"/>
              <w:rPr/>
            </w:pPr>
            <w:r>
              <w:rPr/>
              <w:t> </w:t>
            </w:r>
          </w:p>
        </w:tc>
        <w:tc>
          <w:tcPr>
            <w:tcW w:w="1243" w:type="dxa"/>
            <w:tcBorders/>
            <w:shd w:fill="CCEEFF" w:val="clear"/>
            <w:vAlign w:val="center"/>
          </w:tcPr>
          <w:p>
            <w:pPr>
              <w:pStyle w:val="TableContents"/>
              <w:spacing w:before="0" w:after="283"/>
              <w:jc w:val="right"/>
              <w:rPr/>
            </w:pPr>
            <w:r>
              <w:rPr/>
              <w:t>53.1</w:t>
            </w:r>
          </w:p>
        </w:tc>
        <w:tc>
          <w:tcPr>
            <w:tcW w:w="295" w:type="dxa"/>
            <w:tcBorders/>
            <w:shd w:fill="CCEEFF" w:val="clear"/>
            <w:vAlign w:val="center"/>
          </w:tcPr>
          <w:p>
            <w:pPr>
              <w:pStyle w:val="TableContents"/>
              <w:spacing w:before="0" w:after="283"/>
              <w:rPr/>
            </w:pPr>
            <w:r>
              <w:rPr/>
              <w:t>%</w:t>
            </w:r>
          </w:p>
        </w:tc>
      </w:tr>
      <w:tr>
        <w:trPr/>
        <w:tc>
          <w:tcPr>
            <w:tcW w:w="3413" w:type="dxa"/>
            <w:tcBorders/>
            <w:shd w:fill="FFFFFF" w:val="clear"/>
            <w:vAlign w:val="center"/>
          </w:tcPr>
          <w:p>
            <w:pPr>
              <w:pStyle w:val="TableContents"/>
              <w:spacing w:before="0" w:after="0"/>
              <w:ind w:left="0" w:right="0" w:firstLine="180"/>
              <w:rPr/>
            </w:pPr>
            <w:r>
              <w:rPr/>
              <w:t xml:space="preserve">Non rated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5" w:type="dxa"/>
            <w:tcBorders>
              <w:bottom w:val="single" w:sz="2" w:space="0" w:color="000000"/>
            </w:tcBorders>
            <w:shd w:fill="FFFFFF" w:val="clear"/>
            <w:tcMar>
              <w:bottom w:w="28" w:type="dxa"/>
            </w:tcMar>
            <w:vAlign w:val="center"/>
          </w:tcPr>
          <w:p>
            <w:pPr>
              <w:pStyle w:val="TableContents"/>
              <w:spacing w:before="0" w:after="283"/>
              <w:jc w:val="right"/>
              <w:rPr/>
            </w:pPr>
            <w:r>
              <w:rPr/>
              <w:t>1,006,901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8"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43" w:type="dxa"/>
            <w:tcBorders>
              <w:bottom w:val="single" w:sz="2" w:space="0" w:color="000000"/>
            </w:tcBorders>
            <w:shd w:fill="FFFFFF" w:val="clear"/>
            <w:tcMar>
              <w:bottom w:w="28" w:type="dxa"/>
            </w:tcMar>
            <w:vAlign w:val="center"/>
          </w:tcPr>
          <w:p>
            <w:pPr>
              <w:pStyle w:val="TableContents"/>
              <w:spacing w:before="0" w:after="283"/>
              <w:jc w:val="right"/>
              <w:rPr/>
            </w:pPr>
            <w:r>
              <w:rPr/>
              <w:t>0.6</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5"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8"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43" w:type="dxa"/>
            <w:tcBorders>
              <w:bottom w:val="single" w:sz="2" w:space="0" w:color="000000"/>
            </w:tcBorders>
            <w:shd w:fill="FFFFFF" w:val="clear"/>
            <w:tcMar>
              <w:bottom w:w="28" w:type="dxa"/>
            </w:tcMar>
            <w:vAlign w:val="center"/>
          </w:tcPr>
          <w:p>
            <w:pPr>
              <w:pStyle w:val="TableContents"/>
              <w:spacing w:before="0" w:after="283"/>
              <w:jc w:val="right"/>
              <w:rPr/>
            </w:pPr>
            <w:r>
              <w:rPr/>
              <w:t>0.0</w:t>
            </w:r>
          </w:p>
        </w:tc>
        <w:tc>
          <w:tcPr>
            <w:tcW w:w="295" w:type="dxa"/>
            <w:tcBorders/>
            <w:shd w:fill="FFFFFF" w:val="clear"/>
            <w:vAlign w:val="center"/>
          </w:tcPr>
          <w:p>
            <w:pPr>
              <w:pStyle w:val="TableContents"/>
              <w:spacing w:before="0" w:after="283"/>
              <w:rPr/>
            </w:pPr>
            <w:r>
              <w:rPr/>
              <w:t>%</w:t>
            </w:r>
          </w:p>
        </w:tc>
      </w:tr>
      <w:tr>
        <w:trPr/>
        <w:tc>
          <w:tcPr>
            <w:tcW w:w="3413" w:type="dxa"/>
            <w:tcBorders/>
            <w:shd w:fill="CCEEFF" w:val="clear"/>
            <w:vAlign w:val="center"/>
          </w:tcPr>
          <w:p>
            <w:pPr>
              <w:pStyle w:val="TableContents"/>
              <w:spacing w:before="0" w:after="0"/>
              <w:ind w:left="0" w:right="0" w:firstLine="360"/>
              <w:rPr/>
            </w:pPr>
            <w:r>
              <w:rPr/>
              <w:t xml:space="preserve">Total corporate and municipal bonds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5" w:type="dxa"/>
            <w:tcBorders>
              <w:bottom w:val="single" w:sz="2" w:space="0" w:color="000000"/>
            </w:tcBorders>
            <w:shd w:fill="CCEEFF" w:val="clear"/>
            <w:tcMar>
              <w:bottom w:w="28" w:type="dxa"/>
            </w:tcMar>
            <w:vAlign w:val="center"/>
          </w:tcPr>
          <w:p>
            <w:pPr>
              <w:pStyle w:val="TableContents"/>
              <w:spacing w:before="0" w:after="283"/>
              <w:jc w:val="right"/>
              <w:rPr/>
            </w:pPr>
            <w:r>
              <w:rPr/>
              <w:t>125,837,432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43" w:type="dxa"/>
            <w:tcBorders>
              <w:bottom w:val="single" w:sz="2" w:space="0" w:color="000000"/>
            </w:tcBorders>
            <w:shd w:fill="CCEEFF" w:val="clear"/>
            <w:tcMar>
              <w:bottom w:w="28" w:type="dxa"/>
            </w:tcMar>
            <w:vAlign w:val="center"/>
          </w:tcPr>
          <w:p>
            <w:pPr>
              <w:pStyle w:val="TableContents"/>
              <w:spacing w:before="0" w:after="283"/>
              <w:jc w:val="right"/>
              <w:rPr/>
            </w:pPr>
            <w:r>
              <w:rPr/>
              <w:t>79.9</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5" w:type="dxa"/>
            <w:tcBorders>
              <w:bottom w:val="single" w:sz="2" w:space="0" w:color="000000"/>
            </w:tcBorders>
            <w:shd w:fill="CCEEFF" w:val="clear"/>
            <w:tcMar>
              <w:bottom w:w="28" w:type="dxa"/>
            </w:tcMar>
            <w:vAlign w:val="center"/>
          </w:tcPr>
          <w:p>
            <w:pPr>
              <w:pStyle w:val="TableContents"/>
              <w:spacing w:before="0" w:after="283"/>
              <w:jc w:val="right"/>
              <w:rPr/>
            </w:pPr>
            <w:r>
              <w:rPr/>
              <w:t>134,943,852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43" w:type="dxa"/>
            <w:tcBorders>
              <w:bottom w:val="single" w:sz="2" w:space="0" w:color="000000"/>
            </w:tcBorders>
            <w:shd w:fill="CCEEFF" w:val="clear"/>
            <w:tcMar>
              <w:bottom w:w="28" w:type="dxa"/>
            </w:tcMar>
            <w:vAlign w:val="center"/>
          </w:tcPr>
          <w:p>
            <w:pPr>
              <w:pStyle w:val="TableContents"/>
              <w:spacing w:before="0" w:after="283"/>
              <w:jc w:val="right"/>
              <w:rPr/>
            </w:pPr>
            <w:r>
              <w:rPr/>
              <w:t>80.1</w:t>
            </w:r>
          </w:p>
        </w:tc>
        <w:tc>
          <w:tcPr>
            <w:tcW w:w="295" w:type="dxa"/>
            <w:tcBorders/>
            <w:shd w:fill="CCEEFF" w:val="clear"/>
            <w:vAlign w:val="center"/>
          </w:tcPr>
          <w:p>
            <w:pPr>
              <w:pStyle w:val="TableContents"/>
              <w:spacing w:before="0" w:after="283"/>
              <w:rPr/>
            </w:pPr>
            <w:r>
              <w:rPr/>
              <w:t>%</w:t>
            </w:r>
          </w:p>
        </w:tc>
      </w:tr>
      <w:tr>
        <w:trPr/>
        <w:tc>
          <w:tcPr>
            <w:tcW w:w="3413"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8" w:type="dxa"/>
            <w:tcBorders/>
            <w:shd w:fill="FFFFFF" w:val="clear"/>
            <w:vAlign w:val="center"/>
          </w:tcPr>
          <w:p>
            <w:pPr>
              <w:pStyle w:val="TableContents"/>
              <w:spacing w:before="0" w:after="0"/>
              <w:ind w:left="0" w:right="0" w:hanging="0"/>
              <w:rPr/>
            </w:pPr>
            <w:r>
              <w:rPr/>
              <w:t> </w:t>
            </w:r>
          </w:p>
        </w:tc>
        <w:tc>
          <w:tcPr>
            <w:tcW w:w="1243"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8" w:type="dxa"/>
            <w:tcBorders/>
            <w:shd w:fill="FFFFFF" w:val="clear"/>
            <w:vAlign w:val="center"/>
          </w:tcPr>
          <w:p>
            <w:pPr>
              <w:pStyle w:val="TableContents"/>
              <w:spacing w:before="0" w:after="0"/>
              <w:ind w:left="0" w:right="0" w:hanging="0"/>
              <w:rPr/>
            </w:pPr>
            <w:r>
              <w:rPr/>
              <w:t> </w:t>
            </w:r>
          </w:p>
        </w:tc>
        <w:tc>
          <w:tcPr>
            <w:tcW w:w="1243" w:type="dxa"/>
            <w:tcBorders/>
            <w:shd w:fill="FFFFFF" w:val="clear"/>
            <w:vAlign w:val="center"/>
          </w:tcPr>
          <w:p>
            <w:pPr>
              <w:pStyle w:val="TableContents"/>
              <w:spacing w:before="0" w:after="0"/>
              <w:ind w:left="0" w:right="0" w:hanging="0"/>
              <w:rPr/>
            </w:pPr>
            <w:r>
              <w:rPr/>
              <w:t> </w:t>
            </w:r>
          </w:p>
        </w:tc>
        <w:tc>
          <w:tcPr>
            <w:tcW w:w="295" w:type="dxa"/>
            <w:tcBorders/>
            <w:shd w:fill="FFFFFF" w:val="clear"/>
            <w:vAlign w:val="center"/>
          </w:tcPr>
          <w:p>
            <w:pPr>
              <w:pStyle w:val="TableContents"/>
              <w:spacing w:before="0" w:after="0"/>
              <w:ind w:left="0" w:right="0" w:hanging="0"/>
              <w:rPr/>
            </w:pPr>
            <w:r>
              <w:rPr/>
              <w:t> </w:t>
            </w:r>
          </w:p>
        </w:tc>
      </w:tr>
      <w:tr>
        <w:trPr/>
        <w:tc>
          <w:tcPr>
            <w:tcW w:w="3413" w:type="dxa"/>
            <w:tcBorders/>
            <w:shd w:fill="CCEEFF" w:val="clear"/>
            <w:vAlign w:val="center"/>
          </w:tcPr>
          <w:p>
            <w:pPr>
              <w:pStyle w:val="TableContents"/>
              <w:spacing w:before="0" w:after="0"/>
              <w:ind w:left="0" w:right="0" w:hanging="0"/>
              <w:rPr/>
            </w:pPr>
            <w:r>
              <w:rPr/>
              <w:t xml:space="preserve">Residential mortgage backed securities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8" w:type="dxa"/>
            <w:tcBorders/>
            <w:shd w:fill="CCEEFF" w:val="clear"/>
            <w:vAlign w:val="center"/>
          </w:tcPr>
          <w:p>
            <w:pPr>
              <w:pStyle w:val="TableContents"/>
              <w:spacing w:before="0" w:after="0"/>
              <w:ind w:left="0" w:right="0" w:hanging="0"/>
              <w:rPr/>
            </w:pPr>
            <w:r>
              <w:rPr/>
              <w:t> </w:t>
            </w:r>
          </w:p>
        </w:tc>
        <w:tc>
          <w:tcPr>
            <w:tcW w:w="1243"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8" w:type="dxa"/>
            <w:tcBorders/>
            <w:shd w:fill="CCEEFF" w:val="clear"/>
            <w:vAlign w:val="center"/>
          </w:tcPr>
          <w:p>
            <w:pPr>
              <w:pStyle w:val="TableContents"/>
              <w:spacing w:before="0" w:after="0"/>
              <w:ind w:left="0" w:right="0" w:hanging="0"/>
              <w:rPr/>
            </w:pPr>
            <w:r>
              <w:rPr/>
              <w:t> </w:t>
            </w:r>
          </w:p>
        </w:tc>
        <w:tc>
          <w:tcPr>
            <w:tcW w:w="1243" w:type="dxa"/>
            <w:tcBorders/>
            <w:shd w:fill="CCEEFF" w:val="clear"/>
            <w:vAlign w:val="center"/>
          </w:tcPr>
          <w:p>
            <w:pPr>
              <w:pStyle w:val="TableContents"/>
              <w:spacing w:before="0" w:after="0"/>
              <w:ind w:left="0" w:right="0" w:hanging="0"/>
              <w:rPr/>
            </w:pPr>
            <w:r>
              <w:rPr/>
              <w:t> </w:t>
            </w:r>
          </w:p>
        </w:tc>
        <w:tc>
          <w:tcPr>
            <w:tcW w:w="295" w:type="dxa"/>
            <w:tcBorders/>
            <w:shd w:fill="CCEEFF" w:val="clear"/>
            <w:vAlign w:val="center"/>
          </w:tcPr>
          <w:p>
            <w:pPr>
              <w:pStyle w:val="TableContents"/>
              <w:spacing w:before="0" w:after="0"/>
              <w:ind w:left="0" w:right="0" w:hanging="0"/>
              <w:rPr/>
            </w:pPr>
            <w:r>
              <w:rPr/>
              <w:t> </w:t>
            </w:r>
          </w:p>
        </w:tc>
      </w:tr>
      <w:tr>
        <w:trPr/>
        <w:tc>
          <w:tcPr>
            <w:tcW w:w="3413" w:type="dxa"/>
            <w:tcBorders/>
            <w:shd w:fill="FFFFFF" w:val="clear"/>
            <w:vAlign w:val="center"/>
          </w:tcPr>
          <w:p>
            <w:pPr>
              <w:pStyle w:val="TableContents"/>
              <w:spacing w:before="0" w:after="0"/>
              <w:ind w:left="0" w:right="0" w:firstLine="180"/>
              <w:rPr/>
            </w:pPr>
            <w:r>
              <w:rPr/>
              <w:t xml:space="preserve">AAA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5" w:type="dxa"/>
            <w:tcBorders/>
            <w:shd w:fill="FFFFFF" w:val="clear"/>
            <w:vAlign w:val="center"/>
          </w:tcPr>
          <w:p>
            <w:pPr>
              <w:pStyle w:val="TableContents"/>
              <w:spacing w:before="0" w:after="283"/>
              <w:jc w:val="right"/>
              <w:rPr/>
            </w:pPr>
            <w:r>
              <w:rPr/>
              <w:t>5,467,075</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8" w:type="dxa"/>
            <w:tcBorders/>
            <w:shd w:fill="FFFFFF" w:val="clear"/>
            <w:vAlign w:val="center"/>
          </w:tcPr>
          <w:p>
            <w:pPr>
              <w:pStyle w:val="TableContents"/>
              <w:spacing w:before="0" w:after="0"/>
              <w:ind w:left="0" w:right="0" w:hanging="0"/>
              <w:rPr/>
            </w:pPr>
            <w:r>
              <w:rPr/>
              <w:t> </w:t>
            </w:r>
          </w:p>
        </w:tc>
        <w:tc>
          <w:tcPr>
            <w:tcW w:w="1243" w:type="dxa"/>
            <w:tcBorders/>
            <w:shd w:fill="FFFFFF" w:val="clear"/>
            <w:vAlign w:val="center"/>
          </w:tcPr>
          <w:p>
            <w:pPr>
              <w:pStyle w:val="TableContents"/>
              <w:spacing w:before="0" w:after="283"/>
              <w:jc w:val="right"/>
              <w:rPr/>
            </w:pPr>
            <w:r>
              <w:rPr/>
              <w:t>3.5</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5" w:type="dxa"/>
            <w:tcBorders/>
            <w:shd w:fill="FFFFFF" w:val="clear"/>
            <w:vAlign w:val="center"/>
          </w:tcPr>
          <w:p>
            <w:pPr>
              <w:pStyle w:val="TableContents"/>
              <w:spacing w:before="0" w:after="283"/>
              <w:jc w:val="right"/>
              <w:rPr/>
            </w:pPr>
            <w:r>
              <w:rPr/>
              <w:t>2,976,306</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8" w:type="dxa"/>
            <w:tcBorders/>
            <w:shd w:fill="FFFFFF" w:val="clear"/>
            <w:vAlign w:val="center"/>
          </w:tcPr>
          <w:p>
            <w:pPr>
              <w:pStyle w:val="TableContents"/>
              <w:spacing w:before="0" w:after="0"/>
              <w:ind w:left="0" w:right="0" w:hanging="0"/>
              <w:rPr/>
            </w:pPr>
            <w:r>
              <w:rPr/>
              <w:t> </w:t>
            </w:r>
          </w:p>
        </w:tc>
        <w:tc>
          <w:tcPr>
            <w:tcW w:w="1243" w:type="dxa"/>
            <w:tcBorders/>
            <w:shd w:fill="FFFFFF" w:val="clear"/>
            <w:vAlign w:val="center"/>
          </w:tcPr>
          <w:p>
            <w:pPr>
              <w:pStyle w:val="TableContents"/>
              <w:spacing w:before="0" w:after="283"/>
              <w:jc w:val="right"/>
              <w:rPr/>
            </w:pPr>
            <w:r>
              <w:rPr/>
              <w:t>1.8</w:t>
            </w:r>
          </w:p>
        </w:tc>
        <w:tc>
          <w:tcPr>
            <w:tcW w:w="295" w:type="dxa"/>
            <w:tcBorders/>
            <w:shd w:fill="FFFFFF" w:val="clear"/>
            <w:vAlign w:val="center"/>
          </w:tcPr>
          <w:p>
            <w:pPr>
              <w:pStyle w:val="TableContents"/>
              <w:spacing w:before="0" w:after="283"/>
              <w:rPr/>
            </w:pPr>
            <w:r>
              <w:rPr/>
              <w:t>%</w:t>
            </w:r>
          </w:p>
        </w:tc>
      </w:tr>
      <w:tr>
        <w:trPr/>
        <w:tc>
          <w:tcPr>
            <w:tcW w:w="3413" w:type="dxa"/>
            <w:tcBorders/>
            <w:shd w:fill="CCEEFF" w:val="clear"/>
            <w:vAlign w:val="center"/>
          </w:tcPr>
          <w:p>
            <w:pPr>
              <w:pStyle w:val="TableContents"/>
              <w:spacing w:before="0" w:after="0"/>
              <w:ind w:left="0" w:right="0" w:firstLine="180"/>
              <w:rPr/>
            </w:pPr>
            <w:r>
              <w:rPr/>
              <w:t xml:space="preserve">AA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5" w:type="dxa"/>
            <w:tcBorders/>
            <w:shd w:fill="CCEEFF" w:val="clear"/>
            <w:vAlign w:val="center"/>
          </w:tcPr>
          <w:p>
            <w:pPr>
              <w:pStyle w:val="TableContents"/>
              <w:spacing w:before="0" w:after="283"/>
              <w:jc w:val="right"/>
              <w:rPr/>
            </w:pPr>
            <w:r>
              <w:rPr/>
              <w:t>18,865,749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8" w:type="dxa"/>
            <w:tcBorders/>
            <w:shd w:fill="CCEEFF" w:val="clear"/>
            <w:vAlign w:val="center"/>
          </w:tcPr>
          <w:p>
            <w:pPr>
              <w:pStyle w:val="TableContents"/>
              <w:spacing w:before="0" w:after="0"/>
              <w:ind w:left="0" w:right="0" w:hanging="0"/>
              <w:rPr/>
            </w:pPr>
            <w:r>
              <w:rPr/>
              <w:t> </w:t>
            </w:r>
          </w:p>
        </w:tc>
        <w:tc>
          <w:tcPr>
            <w:tcW w:w="1243" w:type="dxa"/>
            <w:tcBorders/>
            <w:shd w:fill="CCEEFF" w:val="clear"/>
            <w:vAlign w:val="center"/>
          </w:tcPr>
          <w:p>
            <w:pPr>
              <w:pStyle w:val="TableContents"/>
              <w:spacing w:before="0" w:after="283"/>
              <w:jc w:val="right"/>
              <w:rPr/>
            </w:pPr>
            <w:r>
              <w:rPr/>
              <w:t>12.0</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5" w:type="dxa"/>
            <w:tcBorders/>
            <w:shd w:fill="CCEEFF" w:val="clear"/>
            <w:vAlign w:val="center"/>
          </w:tcPr>
          <w:p>
            <w:pPr>
              <w:pStyle w:val="TableContents"/>
              <w:spacing w:before="0" w:after="283"/>
              <w:jc w:val="right"/>
              <w:rPr/>
            </w:pPr>
            <w:r>
              <w:rPr/>
              <w:t>18,440,382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8" w:type="dxa"/>
            <w:tcBorders/>
            <w:shd w:fill="CCEEFF" w:val="clear"/>
            <w:vAlign w:val="center"/>
          </w:tcPr>
          <w:p>
            <w:pPr>
              <w:pStyle w:val="TableContents"/>
              <w:spacing w:before="0" w:after="0"/>
              <w:ind w:left="0" w:right="0" w:hanging="0"/>
              <w:rPr/>
            </w:pPr>
            <w:r>
              <w:rPr/>
              <w:t> </w:t>
            </w:r>
          </w:p>
        </w:tc>
        <w:tc>
          <w:tcPr>
            <w:tcW w:w="1243" w:type="dxa"/>
            <w:tcBorders/>
            <w:shd w:fill="CCEEFF" w:val="clear"/>
            <w:vAlign w:val="center"/>
          </w:tcPr>
          <w:p>
            <w:pPr>
              <w:pStyle w:val="TableContents"/>
              <w:spacing w:before="0" w:after="283"/>
              <w:jc w:val="right"/>
              <w:rPr/>
            </w:pPr>
            <w:r>
              <w:rPr/>
              <w:t>11.0</w:t>
            </w:r>
          </w:p>
        </w:tc>
        <w:tc>
          <w:tcPr>
            <w:tcW w:w="295" w:type="dxa"/>
            <w:tcBorders/>
            <w:shd w:fill="CCEEFF" w:val="clear"/>
            <w:vAlign w:val="center"/>
          </w:tcPr>
          <w:p>
            <w:pPr>
              <w:pStyle w:val="TableContents"/>
              <w:spacing w:before="0" w:after="283"/>
              <w:rPr/>
            </w:pPr>
            <w:r>
              <w:rPr/>
              <w:t>%</w:t>
            </w:r>
          </w:p>
        </w:tc>
      </w:tr>
      <w:tr>
        <w:trPr/>
        <w:tc>
          <w:tcPr>
            <w:tcW w:w="3413" w:type="dxa"/>
            <w:tcBorders/>
            <w:shd w:fill="FFFFFF" w:val="clear"/>
            <w:vAlign w:val="center"/>
          </w:tcPr>
          <w:p>
            <w:pPr>
              <w:pStyle w:val="TableContents"/>
              <w:spacing w:before="0" w:after="0"/>
              <w:ind w:left="0" w:right="0" w:firstLine="180"/>
              <w:rPr/>
            </w:pPr>
            <w:r>
              <w:rPr/>
              <w:t xml:space="preserve">A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5" w:type="dxa"/>
            <w:tcBorders/>
            <w:shd w:fill="FFFFFF" w:val="clear"/>
            <w:vAlign w:val="center"/>
          </w:tcPr>
          <w:p>
            <w:pPr>
              <w:pStyle w:val="TableContents"/>
              <w:spacing w:before="0" w:after="283"/>
              <w:jc w:val="right"/>
              <w:rPr/>
            </w:pPr>
            <w:r>
              <w:rPr/>
              <w:t>2,451,635</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8" w:type="dxa"/>
            <w:tcBorders/>
            <w:shd w:fill="FFFFFF" w:val="clear"/>
            <w:vAlign w:val="center"/>
          </w:tcPr>
          <w:p>
            <w:pPr>
              <w:pStyle w:val="TableContents"/>
              <w:spacing w:before="0" w:after="0"/>
              <w:ind w:left="0" w:right="0" w:hanging="0"/>
              <w:rPr/>
            </w:pPr>
            <w:r>
              <w:rPr/>
              <w:t> </w:t>
            </w:r>
          </w:p>
        </w:tc>
        <w:tc>
          <w:tcPr>
            <w:tcW w:w="1243" w:type="dxa"/>
            <w:tcBorders/>
            <w:shd w:fill="FFFFFF" w:val="clear"/>
            <w:vAlign w:val="center"/>
          </w:tcPr>
          <w:p>
            <w:pPr>
              <w:pStyle w:val="TableContents"/>
              <w:spacing w:before="0" w:after="283"/>
              <w:jc w:val="right"/>
              <w:rPr/>
            </w:pPr>
            <w:r>
              <w:rPr/>
              <w:t>1.6</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5" w:type="dxa"/>
            <w:tcBorders/>
            <w:shd w:fill="FFFFFF" w:val="clear"/>
            <w:vAlign w:val="center"/>
          </w:tcPr>
          <w:p>
            <w:pPr>
              <w:pStyle w:val="TableContents"/>
              <w:spacing w:before="0" w:after="283"/>
              <w:jc w:val="right"/>
              <w:rPr/>
            </w:pPr>
            <w:r>
              <w:rPr/>
              <w:t>2,471,761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8" w:type="dxa"/>
            <w:tcBorders/>
            <w:shd w:fill="FFFFFF" w:val="clear"/>
            <w:vAlign w:val="center"/>
          </w:tcPr>
          <w:p>
            <w:pPr>
              <w:pStyle w:val="TableContents"/>
              <w:spacing w:before="0" w:after="0"/>
              <w:ind w:left="0" w:right="0" w:hanging="0"/>
              <w:rPr/>
            </w:pPr>
            <w:r>
              <w:rPr/>
              <w:t> </w:t>
            </w:r>
          </w:p>
        </w:tc>
        <w:tc>
          <w:tcPr>
            <w:tcW w:w="1243" w:type="dxa"/>
            <w:tcBorders/>
            <w:shd w:fill="FFFFFF" w:val="clear"/>
            <w:vAlign w:val="center"/>
          </w:tcPr>
          <w:p>
            <w:pPr>
              <w:pStyle w:val="TableContents"/>
              <w:spacing w:before="0" w:after="283"/>
              <w:jc w:val="right"/>
              <w:rPr/>
            </w:pPr>
            <w:r>
              <w:rPr/>
              <w:t>1.5</w:t>
            </w:r>
          </w:p>
        </w:tc>
        <w:tc>
          <w:tcPr>
            <w:tcW w:w="295" w:type="dxa"/>
            <w:tcBorders/>
            <w:shd w:fill="FFFFFF" w:val="clear"/>
            <w:vAlign w:val="center"/>
          </w:tcPr>
          <w:p>
            <w:pPr>
              <w:pStyle w:val="TableContents"/>
              <w:spacing w:before="0" w:after="283"/>
              <w:rPr/>
            </w:pPr>
            <w:r>
              <w:rPr/>
              <w:t>%</w:t>
            </w:r>
          </w:p>
        </w:tc>
      </w:tr>
      <w:tr>
        <w:trPr/>
        <w:tc>
          <w:tcPr>
            <w:tcW w:w="3413" w:type="dxa"/>
            <w:tcBorders/>
            <w:shd w:fill="CCEEFF" w:val="clear"/>
            <w:vAlign w:val="center"/>
          </w:tcPr>
          <w:p>
            <w:pPr>
              <w:pStyle w:val="TableContents"/>
              <w:spacing w:before="0" w:after="0"/>
              <w:ind w:left="0" w:right="0" w:firstLine="180"/>
              <w:rPr/>
            </w:pPr>
            <w:r>
              <w:rPr/>
              <w:t xml:space="preserve">BBB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5" w:type="dxa"/>
            <w:tcBorders/>
            <w:shd w:fill="CCEEFF" w:val="clear"/>
            <w:vAlign w:val="center"/>
          </w:tcPr>
          <w:p>
            <w:pPr>
              <w:pStyle w:val="TableContents"/>
              <w:spacing w:before="0" w:after="283"/>
              <w:jc w:val="right"/>
              <w:rPr/>
            </w:pPr>
            <w:r>
              <w:rPr/>
              <w:t>50,276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8" w:type="dxa"/>
            <w:tcBorders/>
            <w:shd w:fill="CCEEFF" w:val="clear"/>
            <w:vAlign w:val="center"/>
          </w:tcPr>
          <w:p>
            <w:pPr>
              <w:pStyle w:val="TableContents"/>
              <w:spacing w:before="0" w:after="0"/>
              <w:ind w:left="0" w:right="0" w:hanging="0"/>
              <w:rPr/>
            </w:pPr>
            <w:r>
              <w:rPr/>
              <w:t> </w:t>
            </w:r>
          </w:p>
        </w:tc>
        <w:tc>
          <w:tcPr>
            <w:tcW w:w="1243" w:type="dxa"/>
            <w:tcBorders/>
            <w:shd w:fill="CCEEFF" w:val="clear"/>
            <w:vAlign w:val="center"/>
          </w:tcPr>
          <w:p>
            <w:pPr>
              <w:pStyle w:val="TableContents"/>
              <w:spacing w:before="0" w:after="283"/>
              <w:jc w:val="right"/>
              <w:rPr/>
            </w:pPr>
            <w:r>
              <w:rPr/>
              <w:t>0.0</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5"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8" w:type="dxa"/>
            <w:tcBorders/>
            <w:shd w:fill="CCEEFF" w:val="clear"/>
            <w:vAlign w:val="center"/>
          </w:tcPr>
          <w:p>
            <w:pPr>
              <w:pStyle w:val="TableContents"/>
              <w:spacing w:before="0" w:after="0"/>
              <w:ind w:left="0" w:right="0" w:hanging="0"/>
              <w:rPr/>
            </w:pPr>
            <w:r>
              <w:rPr/>
              <w:t> </w:t>
            </w:r>
          </w:p>
        </w:tc>
        <w:tc>
          <w:tcPr>
            <w:tcW w:w="1243" w:type="dxa"/>
            <w:tcBorders/>
            <w:shd w:fill="CCEEFF" w:val="clear"/>
            <w:vAlign w:val="center"/>
          </w:tcPr>
          <w:p>
            <w:pPr>
              <w:pStyle w:val="TableContents"/>
              <w:spacing w:before="0" w:after="283"/>
              <w:jc w:val="right"/>
              <w:rPr/>
            </w:pPr>
            <w:r>
              <w:rPr/>
              <w:t>0.0</w:t>
            </w:r>
          </w:p>
        </w:tc>
        <w:tc>
          <w:tcPr>
            <w:tcW w:w="295" w:type="dxa"/>
            <w:tcBorders/>
            <w:shd w:fill="CCEEFF" w:val="clear"/>
            <w:vAlign w:val="center"/>
          </w:tcPr>
          <w:p>
            <w:pPr>
              <w:pStyle w:val="TableContents"/>
              <w:spacing w:before="0" w:after="283"/>
              <w:rPr/>
            </w:pPr>
            <w:r>
              <w:rPr/>
              <w:t>%</w:t>
            </w:r>
          </w:p>
        </w:tc>
      </w:tr>
      <w:tr>
        <w:trPr/>
        <w:tc>
          <w:tcPr>
            <w:tcW w:w="3413" w:type="dxa"/>
            <w:tcBorders/>
            <w:shd w:fill="FFFFFF" w:val="clear"/>
            <w:vAlign w:val="center"/>
          </w:tcPr>
          <w:p>
            <w:pPr>
              <w:pStyle w:val="TableContents"/>
              <w:spacing w:before="0" w:after="0"/>
              <w:ind w:left="0" w:right="0" w:firstLine="180"/>
              <w:rPr/>
            </w:pPr>
            <w:r>
              <w:rPr/>
              <w:t xml:space="preserve">CCC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5" w:type="dxa"/>
            <w:tcBorders/>
            <w:shd w:fill="FFFFFF" w:val="clear"/>
            <w:vAlign w:val="center"/>
          </w:tcPr>
          <w:p>
            <w:pPr>
              <w:pStyle w:val="TableContents"/>
              <w:spacing w:before="0" w:after="283"/>
              <w:jc w:val="right"/>
              <w:rPr/>
            </w:pPr>
            <w:r>
              <w:rPr/>
              <w:t>960,042</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8" w:type="dxa"/>
            <w:tcBorders/>
            <w:shd w:fill="FFFFFF" w:val="clear"/>
            <w:vAlign w:val="center"/>
          </w:tcPr>
          <w:p>
            <w:pPr>
              <w:pStyle w:val="TableContents"/>
              <w:spacing w:before="0" w:after="0"/>
              <w:ind w:left="0" w:right="0" w:hanging="0"/>
              <w:rPr/>
            </w:pPr>
            <w:r>
              <w:rPr/>
              <w:t> </w:t>
            </w:r>
          </w:p>
        </w:tc>
        <w:tc>
          <w:tcPr>
            <w:tcW w:w="1243" w:type="dxa"/>
            <w:tcBorders/>
            <w:shd w:fill="FFFFFF" w:val="clear"/>
            <w:vAlign w:val="center"/>
          </w:tcPr>
          <w:p>
            <w:pPr>
              <w:pStyle w:val="TableContents"/>
              <w:spacing w:before="0" w:after="283"/>
              <w:jc w:val="right"/>
              <w:rPr/>
            </w:pPr>
            <w:r>
              <w:rPr/>
              <w:t>0.6</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5" w:type="dxa"/>
            <w:tcBorders/>
            <w:shd w:fill="FFFFFF" w:val="clear"/>
            <w:vAlign w:val="center"/>
          </w:tcPr>
          <w:p>
            <w:pPr>
              <w:pStyle w:val="TableContents"/>
              <w:spacing w:before="0" w:after="283"/>
              <w:jc w:val="right"/>
              <w:rPr/>
            </w:pPr>
            <w:r>
              <w:rPr/>
              <w:t>1,174,273</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8" w:type="dxa"/>
            <w:tcBorders/>
            <w:shd w:fill="FFFFFF" w:val="clear"/>
            <w:vAlign w:val="center"/>
          </w:tcPr>
          <w:p>
            <w:pPr>
              <w:pStyle w:val="TableContents"/>
              <w:spacing w:before="0" w:after="0"/>
              <w:ind w:left="0" w:right="0" w:hanging="0"/>
              <w:rPr/>
            </w:pPr>
            <w:r>
              <w:rPr/>
              <w:t> </w:t>
            </w:r>
          </w:p>
        </w:tc>
        <w:tc>
          <w:tcPr>
            <w:tcW w:w="1243" w:type="dxa"/>
            <w:tcBorders/>
            <w:shd w:fill="FFFFFF" w:val="clear"/>
            <w:vAlign w:val="center"/>
          </w:tcPr>
          <w:p>
            <w:pPr>
              <w:pStyle w:val="TableContents"/>
              <w:spacing w:before="0" w:after="283"/>
              <w:jc w:val="right"/>
              <w:rPr/>
            </w:pPr>
            <w:r>
              <w:rPr/>
              <w:t>0.7</w:t>
            </w:r>
          </w:p>
        </w:tc>
        <w:tc>
          <w:tcPr>
            <w:tcW w:w="295" w:type="dxa"/>
            <w:tcBorders/>
            <w:shd w:fill="FFFFFF" w:val="clear"/>
            <w:vAlign w:val="center"/>
          </w:tcPr>
          <w:p>
            <w:pPr>
              <w:pStyle w:val="TableContents"/>
              <w:spacing w:before="0" w:after="283"/>
              <w:rPr/>
            </w:pPr>
            <w:r>
              <w:rPr/>
              <w:t>%</w:t>
            </w:r>
          </w:p>
        </w:tc>
      </w:tr>
      <w:tr>
        <w:trPr/>
        <w:tc>
          <w:tcPr>
            <w:tcW w:w="3413" w:type="dxa"/>
            <w:tcBorders/>
            <w:shd w:fill="CCEEFF" w:val="clear"/>
            <w:vAlign w:val="center"/>
          </w:tcPr>
          <w:p>
            <w:pPr>
              <w:pStyle w:val="TableContents"/>
              <w:spacing w:before="0" w:after="0"/>
              <w:ind w:left="0" w:right="0" w:firstLine="180"/>
              <w:rPr/>
            </w:pPr>
            <w:r>
              <w:rPr/>
              <w:t xml:space="preserve">CC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5" w:type="dxa"/>
            <w:tcBorders/>
            <w:shd w:fill="CCEEFF" w:val="clear"/>
            <w:vAlign w:val="center"/>
          </w:tcPr>
          <w:p>
            <w:pPr>
              <w:pStyle w:val="TableContents"/>
              <w:spacing w:before="0" w:after="283"/>
              <w:jc w:val="right"/>
              <w:rPr/>
            </w:pPr>
            <w:r>
              <w:rPr/>
              <w:t>62,029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8" w:type="dxa"/>
            <w:tcBorders/>
            <w:shd w:fill="CCEEFF" w:val="clear"/>
            <w:vAlign w:val="center"/>
          </w:tcPr>
          <w:p>
            <w:pPr>
              <w:pStyle w:val="TableContents"/>
              <w:spacing w:before="0" w:after="0"/>
              <w:ind w:left="0" w:right="0" w:hanging="0"/>
              <w:rPr/>
            </w:pPr>
            <w:r>
              <w:rPr/>
              <w:t> </w:t>
            </w:r>
          </w:p>
        </w:tc>
        <w:tc>
          <w:tcPr>
            <w:tcW w:w="1243" w:type="dxa"/>
            <w:tcBorders/>
            <w:shd w:fill="CCEEFF" w:val="clear"/>
            <w:vAlign w:val="center"/>
          </w:tcPr>
          <w:p>
            <w:pPr>
              <w:pStyle w:val="TableContents"/>
              <w:spacing w:before="0" w:after="283"/>
              <w:jc w:val="right"/>
              <w:rPr/>
            </w:pPr>
            <w:r>
              <w:rPr/>
              <w:t>0.0</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5" w:type="dxa"/>
            <w:tcBorders/>
            <w:shd w:fill="CCEEFF" w:val="clear"/>
            <w:vAlign w:val="center"/>
          </w:tcPr>
          <w:p>
            <w:pPr>
              <w:pStyle w:val="TableContents"/>
              <w:spacing w:before="0" w:after="283"/>
              <w:jc w:val="right"/>
              <w:rPr/>
            </w:pPr>
            <w:r>
              <w:rPr/>
              <w:t>86,461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8" w:type="dxa"/>
            <w:tcBorders/>
            <w:shd w:fill="CCEEFF" w:val="clear"/>
            <w:vAlign w:val="center"/>
          </w:tcPr>
          <w:p>
            <w:pPr>
              <w:pStyle w:val="TableContents"/>
              <w:spacing w:before="0" w:after="0"/>
              <w:ind w:left="0" w:right="0" w:hanging="0"/>
              <w:rPr/>
            </w:pPr>
            <w:r>
              <w:rPr/>
              <w:t> </w:t>
            </w:r>
          </w:p>
        </w:tc>
        <w:tc>
          <w:tcPr>
            <w:tcW w:w="1243" w:type="dxa"/>
            <w:tcBorders/>
            <w:shd w:fill="CCEEFF" w:val="clear"/>
            <w:vAlign w:val="center"/>
          </w:tcPr>
          <w:p>
            <w:pPr>
              <w:pStyle w:val="TableContents"/>
              <w:spacing w:before="0" w:after="283"/>
              <w:jc w:val="right"/>
              <w:rPr/>
            </w:pPr>
            <w:r>
              <w:rPr/>
              <w:t>0.1</w:t>
            </w:r>
          </w:p>
        </w:tc>
        <w:tc>
          <w:tcPr>
            <w:tcW w:w="295" w:type="dxa"/>
            <w:tcBorders/>
            <w:shd w:fill="CCEEFF" w:val="clear"/>
            <w:vAlign w:val="center"/>
          </w:tcPr>
          <w:p>
            <w:pPr>
              <w:pStyle w:val="TableContents"/>
              <w:spacing w:before="0" w:after="283"/>
              <w:rPr/>
            </w:pPr>
            <w:r>
              <w:rPr/>
              <w:t>%</w:t>
            </w:r>
          </w:p>
        </w:tc>
      </w:tr>
      <w:tr>
        <w:trPr/>
        <w:tc>
          <w:tcPr>
            <w:tcW w:w="3413" w:type="dxa"/>
            <w:tcBorders/>
            <w:shd w:fill="FFFFFF" w:val="clear"/>
            <w:vAlign w:val="center"/>
          </w:tcPr>
          <w:p>
            <w:pPr>
              <w:pStyle w:val="TableContents"/>
              <w:spacing w:before="0" w:after="0"/>
              <w:ind w:left="0" w:right="0" w:firstLine="180"/>
              <w:rPr/>
            </w:pPr>
            <w:r>
              <w:rPr/>
              <w:t xml:space="preserve">C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5" w:type="dxa"/>
            <w:tcBorders/>
            <w:shd w:fill="FFFFFF" w:val="clear"/>
            <w:vAlign w:val="center"/>
          </w:tcPr>
          <w:p>
            <w:pPr>
              <w:pStyle w:val="TableContents"/>
              <w:spacing w:before="0" w:after="283"/>
              <w:jc w:val="right"/>
              <w:rPr/>
            </w:pPr>
            <w:r>
              <w:rPr/>
              <w:t>15,161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8" w:type="dxa"/>
            <w:tcBorders/>
            <w:shd w:fill="FFFFFF" w:val="clear"/>
            <w:vAlign w:val="center"/>
          </w:tcPr>
          <w:p>
            <w:pPr>
              <w:pStyle w:val="TableContents"/>
              <w:spacing w:before="0" w:after="0"/>
              <w:ind w:left="0" w:right="0" w:hanging="0"/>
              <w:rPr/>
            </w:pPr>
            <w:r>
              <w:rPr/>
              <w:t> </w:t>
            </w:r>
          </w:p>
        </w:tc>
        <w:tc>
          <w:tcPr>
            <w:tcW w:w="1243" w:type="dxa"/>
            <w:tcBorders/>
            <w:shd w:fill="FFFFFF" w:val="clear"/>
            <w:vAlign w:val="center"/>
          </w:tcPr>
          <w:p>
            <w:pPr>
              <w:pStyle w:val="TableContents"/>
              <w:spacing w:before="0" w:after="283"/>
              <w:jc w:val="right"/>
              <w:rPr/>
            </w:pPr>
            <w:r>
              <w:rPr/>
              <w:t>0.0</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5" w:type="dxa"/>
            <w:tcBorders/>
            <w:shd w:fill="FFFFFF" w:val="clear"/>
            <w:vAlign w:val="center"/>
          </w:tcPr>
          <w:p>
            <w:pPr>
              <w:pStyle w:val="TableContents"/>
              <w:spacing w:before="0" w:after="283"/>
              <w:jc w:val="right"/>
              <w:rPr/>
            </w:pPr>
            <w:r>
              <w:rPr/>
              <w:t>17,813</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8" w:type="dxa"/>
            <w:tcBorders/>
            <w:shd w:fill="FFFFFF" w:val="clear"/>
            <w:vAlign w:val="center"/>
          </w:tcPr>
          <w:p>
            <w:pPr>
              <w:pStyle w:val="TableContents"/>
              <w:spacing w:before="0" w:after="0"/>
              <w:ind w:left="0" w:right="0" w:hanging="0"/>
              <w:rPr/>
            </w:pPr>
            <w:r>
              <w:rPr/>
              <w:t> </w:t>
            </w:r>
          </w:p>
        </w:tc>
        <w:tc>
          <w:tcPr>
            <w:tcW w:w="1243" w:type="dxa"/>
            <w:tcBorders/>
            <w:shd w:fill="FFFFFF" w:val="clear"/>
            <w:vAlign w:val="center"/>
          </w:tcPr>
          <w:p>
            <w:pPr>
              <w:pStyle w:val="TableContents"/>
              <w:spacing w:before="0" w:after="283"/>
              <w:jc w:val="right"/>
              <w:rPr/>
            </w:pPr>
            <w:r>
              <w:rPr/>
              <w:t>0.0</w:t>
            </w:r>
          </w:p>
        </w:tc>
        <w:tc>
          <w:tcPr>
            <w:tcW w:w="295" w:type="dxa"/>
            <w:tcBorders/>
            <w:shd w:fill="FFFFFF" w:val="clear"/>
            <w:vAlign w:val="center"/>
          </w:tcPr>
          <w:p>
            <w:pPr>
              <w:pStyle w:val="TableContents"/>
              <w:spacing w:before="0" w:after="283"/>
              <w:rPr/>
            </w:pPr>
            <w:r>
              <w:rPr/>
              <w:t>%</w:t>
            </w:r>
          </w:p>
        </w:tc>
      </w:tr>
      <w:tr>
        <w:trPr/>
        <w:tc>
          <w:tcPr>
            <w:tcW w:w="3413" w:type="dxa"/>
            <w:tcBorders/>
            <w:shd w:fill="CCEEFF" w:val="clear"/>
            <w:vAlign w:val="center"/>
          </w:tcPr>
          <w:p>
            <w:pPr>
              <w:pStyle w:val="TableContents"/>
              <w:spacing w:before="0" w:after="0"/>
              <w:ind w:left="0" w:right="0" w:firstLine="180"/>
              <w:rPr/>
            </w:pPr>
            <w:r>
              <w:rPr/>
              <w:t xml:space="preserve">D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5" w:type="dxa"/>
            <w:tcBorders/>
            <w:shd w:fill="CCEEFF" w:val="clear"/>
            <w:vAlign w:val="center"/>
          </w:tcPr>
          <w:p>
            <w:pPr>
              <w:pStyle w:val="TableContents"/>
              <w:spacing w:before="0" w:after="283"/>
              <w:jc w:val="right"/>
              <w:rPr/>
            </w:pPr>
            <w:r>
              <w:rPr/>
              <w:t>119,144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8" w:type="dxa"/>
            <w:tcBorders/>
            <w:shd w:fill="CCEEFF" w:val="clear"/>
            <w:vAlign w:val="center"/>
          </w:tcPr>
          <w:p>
            <w:pPr>
              <w:pStyle w:val="TableContents"/>
              <w:spacing w:before="0" w:after="0"/>
              <w:ind w:left="0" w:right="0" w:hanging="0"/>
              <w:rPr/>
            </w:pPr>
            <w:r>
              <w:rPr/>
              <w:t> </w:t>
            </w:r>
          </w:p>
        </w:tc>
        <w:tc>
          <w:tcPr>
            <w:tcW w:w="1243" w:type="dxa"/>
            <w:tcBorders/>
            <w:shd w:fill="CCEEFF" w:val="clear"/>
            <w:vAlign w:val="center"/>
          </w:tcPr>
          <w:p>
            <w:pPr>
              <w:pStyle w:val="TableContents"/>
              <w:spacing w:before="0" w:after="283"/>
              <w:jc w:val="right"/>
              <w:rPr/>
            </w:pPr>
            <w:r>
              <w:rPr/>
              <w:t>0.1</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5" w:type="dxa"/>
            <w:tcBorders/>
            <w:shd w:fill="CCEEFF" w:val="clear"/>
            <w:vAlign w:val="center"/>
          </w:tcPr>
          <w:p>
            <w:pPr>
              <w:pStyle w:val="TableContents"/>
              <w:spacing w:before="0" w:after="283"/>
              <w:jc w:val="right"/>
              <w:rPr/>
            </w:pPr>
            <w:r>
              <w:rPr/>
              <w:t>215,015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8" w:type="dxa"/>
            <w:tcBorders/>
            <w:shd w:fill="CCEEFF" w:val="clear"/>
            <w:vAlign w:val="center"/>
          </w:tcPr>
          <w:p>
            <w:pPr>
              <w:pStyle w:val="TableContents"/>
              <w:spacing w:before="0" w:after="0"/>
              <w:ind w:left="0" w:right="0" w:hanging="0"/>
              <w:rPr/>
            </w:pPr>
            <w:r>
              <w:rPr/>
              <w:t> </w:t>
            </w:r>
          </w:p>
        </w:tc>
        <w:tc>
          <w:tcPr>
            <w:tcW w:w="1243" w:type="dxa"/>
            <w:tcBorders/>
            <w:shd w:fill="CCEEFF" w:val="clear"/>
            <w:vAlign w:val="center"/>
          </w:tcPr>
          <w:p>
            <w:pPr>
              <w:pStyle w:val="TableContents"/>
              <w:spacing w:before="0" w:after="283"/>
              <w:jc w:val="right"/>
              <w:rPr/>
            </w:pPr>
            <w:r>
              <w:rPr/>
              <w:t>0.1</w:t>
            </w:r>
          </w:p>
        </w:tc>
        <w:tc>
          <w:tcPr>
            <w:tcW w:w="295" w:type="dxa"/>
            <w:tcBorders/>
            <w:shd w:fill="CCEEFF" w:val="clear"/>
            <w:vAlign w:val="center"/>
          </w:tcPr>
          <w:p>
            <w:pPr>
              <w:pStyle w:val="TableContents"/>
              <w:spacing w:before="0" w:after="283"/>
              <w:rPr/>
            </w:pPr>
            <w:r>
              <w:rPr/>
              <w:t>%</w:t>
            </w:r>
          </w:p>
        </w:tc>
      </w:tr>
      <w:tr>
        <w:trPr/>
        <w:tc>
          <w:tcPr>
            <w:tcW w:w="3413" w:type="dxa"/>
            <w:tcBorders/>
            <w:shd w:fill="FFFFFF" w:val="clear"/>
            <w:vAlign w:val="center"/>
          </w:tcPr>
          <w:p>
            <w:pPr>
              <w:pStyle w:val="TableContents"/>
              <w:spacing w:before="0" w:after="0"/>
              <w:ind w:left="0" w:right="0" w:firstLine="180"/>
              <w:rPr/>
            </w:pPr>
            <w:r>
              <w:rPr/>
              <w:t xml:space="preserve">Non rated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5" w:type="dxa"/>
            <w:tcBorders>
              <w:bottom w:val="single" w:sz="2" w:space="0" w:color="000000"/>
            </w:tcBorders>
            <w:shd w:fill="FFFFFF" w:val="clear"/>
            <w:tcMar>
              <w:bottom w:w="28" w:type="dxa"/>
            </w:tcMar>
            <w:vAlign w:val="center"/>
          </w:tcPr>
          <w:p>
            <w:pPr>
              <w:pStyle w:val="TableContents"/>
              <w:spacing w:before="0" w:after="283"/>
              <w:jc w:val="right"/>
              <w:rPr/>
            </w:pPr>
            <w:r>
              <w:rPr/>
              <w:t>670,829</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8"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43" w:type="dxa"/>
            <w:tcBorders>
              <w:bottom w:val="single" w:sz="2" w:space="0" w:color="000000"/>
            </w:tcBorders>
            <w:shd w:fill="FFFFFF" w:val="clear"/>
            <w:tcMar>
              <w:bottom w:w="28" w:type="dxa"/>
            </w:tcMar>
            <w:vAlign w:val="center"/>
          </w:tcPr>
          <w:p>
            <w:pPr>
              <w:pStyle w:val="TableContents"/>
              <w:spacing w:before="0" w:after="283"/>
              <w:jc w:val="right"/>
              <w:rPr/>
            </w:pPr>
            <w:r>
              <w:rPr/>
              <w:t>0.4</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5" w:type="dxa"/>
            <w:tcBorders>
              <w:bottom w:val="single" w:sz="2" w:space="0" w:color="000000"/>
            </w:tcBorders>
            <w:shd w:fill="FFFFFF" w:val="clear"/>
            <w:tcMar>
              <w:bottom w:w="28" w:type="dxa"/>
            </w:tcMar>
            <w:vAlign w:val="center"/>
          </w:tcPr>
          <w:p>
            <w:pPr>
              <w:pStyle w:val="TableContents"/>
              <w:spacing w:before="0" w:after="283"/>
              <w:jc w:val="right"/>
              <w:rPr/>
            </w:pPr>
            <w:r>
              <w:rPr/>
              <w:t>849,218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8"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43" w:type="dxa"/>
            <w:tcBorders>
              <w:bottom w:val="single" w:sz="2" w:space="0" w:color="000000"/>
            </w:tcBorders>
            <w:shd w:fill="FFFFFF" w:val="clear"/>
            <w:tcMar>
              <w:bottom w:w="28" w:type="dxa"/>
            </w:tcMar>
            <w:vAlign w:val="center"/>
          </w:tcPr>
          <w:p>
            <w:pPr>
              <w:pStyle w:val="TableContents"/>
              <w:spacing w:before="0" w:after="283"/>
              <w:jc w:val="right"/>
              <w:rPr/>
            </w:pPr>
            <w:r>
              <w:rPr/>
              <w:t>0.5</w:t>
            </w:r>
          </w:p>
        </w:tc>
        <w:tc>
          <w:tcPr>
            <w:tcW w:w="295" w:type="dxa"/>
            <w:tcBorders/>
            <w:shd w:fill="FFFFFF" w:val="clear"/>
            <w:vAlign w:val="center"/>
          </w:tcPr>
          <w:p>
            <w:pPr>
              <w:pStyle w:val="TableContents"/>
              <w:spacing w:before="0" w:after="283"/>
              <w:rPr/>
            </w:pPr>
            <w:r>
              <w:rPr/>
              <w:t>%</w:t>
            </w:r>
          </w:p>
        </w:tc>
      </w:tr>
      <w:tr>
        <w:trPr/>
        <w:tc>
          <w:tcPr>
            <w:tcW w:w="3413" w:type="dxa"/>
            <w:tcBorders/>
            <w:shd w:fill="CCEEFF" w:val="clear"/>
            <w:vAlign w:val="center"/>
          </w:tcPr>
          <w:p>
            <w:pPr>
              <w:pStyle w:val="TableContents"/>
              <w:spacing w:before="0" w:after="0"/>
              <w:ind w:left="0" w:right="0" w:firstLine="360"/>
              <w:rPr/>
            </w:pPr>
            <w:r>
              <w:rPr/>
              <w:t xml:space="preserve">Total residential mortgage backed securities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5" w:type="dxa"/>
            <w:tcBorders>
              <w:bottom w:val="single" w:sz="2" w:space="0" w:color="000000"/>
            </w:tcBorders>
            <w:shd w:fill="CCEEFF" w:val="clear"/>
            <w:tcMar>
              <w:bottom w:w="28" w:type="dxa"/>
            </w:tcMar>
            <w:vAlign w:val="center"/>
          </w:tcPr>
          <w:p>
            <w:pPr>
              <w:pStyle w:val="TableContents"/>
              <w:spacing w:before="0" w:after="283"/>
              <w:jc w:val="right"/>
              <w:rPr/>
            </w:pPr>
            <w:r>
              <w:rPr/>
              <w:t>28,661,940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43" w:type="dxa"/>
            <w:tcBorders>
              <w:bottom w:val="single" w:sz="2" w:space="0" w:color="000000"/>
            </w:tcBorders>
            <w:shd w:fill="CCEEFF" w:val="clear"/>
            <w:tcMar>
              <w:bottom w:w="28" w:type="dxa"/>
            </w:tcMar>
            <w:vAlign w:val="center"/>
          </w:tcPr>
          <w:p>
            <w:pPr>
              <w:pStyle w:val="TableContents"/>
              <w:spacing w:before="0" w:after="283"/>
              <w:jc w:val="right"/>
              <w:rPr/>
            </w:pPr>
            <w:r>
              <w:rPr/>
              <w:t>18.2</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5" w:type="dxa"/>
            <w:tcBorders>
              <w:bottom w:val="single" w:sz="2" w:space="0" w:color="000000"/>
            </w:tcBorders>
            <w:shd w:fill="CCEEFF" w:val="clear"/>
            <w:tcMar>
              <w:bottom w:w="28" w:type="dxa"/>
            </w:tcMar>
            <w:vAlign w:val="center"/>
          </w:tcPr>
          <w:p>
            <w:pPr>
              <w:pStyle w:val="TableContents"/>
              <w:spacing w:before="0" w:after="283"/>
              <w:jc w:val="right"/>
              <w:rPr/>
            </w:pPr>
            <w:r>
              <w:rPr/>
              <w:t>26,231,229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43" w:type="dxa"/>
            <w:tcBorders>
              <w:bottom w:val="single" w:sz="2" w:space="0" w:color="000000"/>
            </w:tcBorders>
            <w:shd w:fill="CCEEFF" w:val="clear"/>
            <w:tcMar>
              <w:bottom w:w="28" w:type="dxa"/>
            </w:tcMar>
            <w:vAlign w:val="center"/>
          </w:tcPr>
          <w:p>
            <w:pPr>
              <w:pStyle w:val="TableContents"/>
              <w:spacing w:before="0" w:after="283"/>
              <w:jc w:val="right"/>
              <w:rPr/>
            </w:pPr>
            <w:r>
              <w:rPr/>
              <w:t>15.7</w:t>
            </w:r>
          </w:p>
        </w:tc>
        <w:tc>
          <w:tcPr>
            <w:tcW w:w="295" w:type="dxa"/>
            <w:tcBorders/>
            <w:shd w:fill="CCEEFF" w:val="clear"/>
            <w:vAlign w:val="center"/>
          </w:tcPr>
          <w:p>
            <w:pPr>
              <w:pStyle w:val="TableContents"/>
              <w:spacing w:before="0" w:after="283"/>
              <w:rPr/>
            </w:pPr>
            <w:r>
              <w:rPr/>
              <w:t>%</w:t>
            </w:r>
          </w:p>
        </w:tc>
      </w:tr>
      <w:tr>
        <w:trPr/>
        <w:tc>
          <w:tcPr>
            <w:tcW w:w="3413"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8" w:type="dxa"/>
            <w:tcBorders/>
            <w:shd w:fill="FFFFFF" w:val="clear"/>
            <w:vAlign w:val="center"/>
          </w:tcPr>
          <w:p>
            <w:pPr>
              <w:pStyle w:val="TableContents"/>
              <w:spacing w:before="0" w:after="0"/>
              <w:ind w:left="0" w:right="0" w:hanging="0"/>
              <w:rPr/>
            </w:pPr>
            <w:r>
              <w:rPr/>
              <w:t> </w:t>
            </w:r>
          </w:p>
        </w:tc>
        <w:tc>
          <w:tcPr>
            <w:tcW w:w="1243"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8" w:type="dxa"/>
            <w:tcBorders/>
            <w:shd w:fill="FFFFFF" w:val="clear"/>
            <w:vAlign w:val="center"/>
          </w:tcPr>
          <w:p>
            <w:pPr>
              <w:pStyle w:val="TableContents"/>
              <w:spacing w:before="0" w:after="0"/>
              <w:ind w:left="0" w:right="0" w:hanging="0"/>
              <w:rPr/>
            </w:pPr>
            <w:r>
              <w:rPr/>
              <w:t> </w:t>
            </w:r>
          </w:p>
        </w:tc>
        <w:tc>
          <w:tcPr>
            <w:tcW w:w="1243" w:type="dxa"/>
            <w:tcBorders/>
            <w:shd w:fill="FFFFFF" w:val="clear"/>
            <w:vAlign w:val="center"/>
          </w:tcPr>
          <w:p>
            <w:pPr>
              <w:pStyle w:val="TableContents"/>
              <w:spacing w:before="0" w:after="0"/>
              <w:ind w:left="0" w:right="0" w:hanging="0"/>
              <w:rPr/>
            </w:pPr>
            <w:r>
              <w:rPr/>
              <w:t> </w:t>
            </w:r>
          </w:p>
        </w:tc>
        <w:tc>
          <w:tcPr>
            <w:tcW w:w="295" w:type="dxa"/>
            <w:tcBorders/>
            <w:shd w:fill="FFFFFF" w:val="clear"/>
            <w:vAlign w:val="center"/>
          </w:tcPr>
          <w:p>
            <w:pPr>
              <w:pStyle w:val="TableContents"/>
              <w:spacing w:before="0" w:after="0"/>
              <w:ind w:left="0" w:right="0" w:hanging="0"/>
              <w:rPr/>
            </w:pPr>
            <w:r>
              <w:rPr/>
              <w:t> </w:t>
            </w:r>
          </w:p>
        </w:tc>
      </w:tr>
      <w:tr>
        <w:trPr/>
        <w:tc>
          <w:tcPr>
            <w:tcW w:w="3413" w:type="dxa"/>
            <w:tcBorders/>
            <w:shd w:fill="CCEEFF" w:val="clear"/>
            <w:vAlign w:val="center"/>
          </w:tcPr>
          <w:p>
            <w:pPr>
              <w:pStyle w:val="TableContents"/>
              <w:spacing w:before="0" w:after="0"/>
              <w:ind w:left="0" w:right="0" w:firstLine="181"/>
              <w:rPr/>
            </w:pPr>
            <w:r>
              <w:rPr>
                <w:rStyle w:val="StrongEmphasis"/>
              </w:rPr>
              <w:t xml:space="preserve">Total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55" w:type="dxa"/>
            <w:tcBorders>
              <w:bottom w:val="double" w:sz="6" w:space="0" w:color="000000"/>
            </w:tcBorders>
            <w:shd w:fill="CCEEFF" w:val="clear"/>
            <w:tcMar>
              <w:bottom w:w="28" w:type="dxa"/>
            </w:tcMar>
            <w:vAlign w:val="center"/>
          </w:tcPr>
          <w:p>
            <w:pPr>
              <w:pStyle w:val="TableContents"/>
              <w:spacing w:before="0" w:after="283"/>
              <w:jc w:val="right"/>
              <w:rPr/>
            </w:pPr>
            <w:r>
              <w:rPr/>
              <w:t>157,549,272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8"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1243" w:type="dxa"/>
            <w:tcBorders>
              <w:bottom w:val="double" w:sz="6" w:space="0" w:color="000000"/>
            </w:tcBorders>
            <w:shd w:fill="CCEEFF" w:val="clear"/>
            <w:tcMar>
              <w:bottom w:w="28" w:type="dxa"/>
            </w:tcMar>
            <w:vAlign w:val="center"/>
          </w:tcPr>
          <w:p>
            <w:pPr>
              <w:pStyle w:val="TableContents"/>
              <w:spacing w:before="0" w:after="283"/>
              <w:jc w:val="right"/>
              <w:rPr/>
            </w:pPr>
            <w:r>
              <w:rPr/>
              <w:t>100.0</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55" w:type="dxa"/>
            <w:tcBorders>
              <w:bottom w:val="double" w:sz="6" w:space="0" w:color="000000"/>
            </w:tcBorders>
            <w:shd w:fill="CCEEFF" w:val="clear"/>
            <w:tcMar>
              <w:bottom w:w="28" w:type="dxa"/>
            </w:tcMar>
            <w:vAlign w:val="center"/>
          </w:tcPr>
          <w:p>
            <w:pPr>
              <w:pStyle w:val="TableContents"/>
              <w:spacing w:before="0" w:after="283"/>
              <w:jc w:val="right"/>
              <w:rPr/>
            </w:pPr>
            <w:r>
              <w:rPr/>
              <w:t>168,236,181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8"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1243" w:type="dxa"/>
            <w:tcBorders>
              <w:bottom w:val="double" w:sz="6" w:space="0" w:color="000000"/>
            </w:tcBorders>
            <w:shd w:fill="CCEEFF" w:val="clear"/>
            <w:tcMar>
              <w:bottom w:w="28" w:type="dxa"/>
            </w:tcMar>
            <w:vAlign w:val="center"/>
          </w:tcPr>
          <w:p>
            <w:pPr>
              <w:pStyle w:val="TableContents"/>
              <w:spacing w:before="0" w:after="283"/>
              <w:jc w:val="right"/>
              <w:rPr/>
            </w:pPr>
            <w:r>
              <w:rPr/>
              <w:t>100.0</w:t>
            </w:r>
          </w:p>
        </w:tc>
        <w:tc>
          <w:tcPr>
            <w:tcW w:w="295" w:type="dxa"/>
            <w:tcBorders/>
            <w:shd w:fill="CCEEFF" w:val="clear"/>
            <w:vAlign w:val="center"/>
          </w:tcPr>
          <w:p>
            <w:pPr>
              <w:pStyle w:val="TableContents"/>
              <w:spacing w:before="0" w:after="283"/>
              <w:rPr/>
            </w:pPr>
            <w:r>
              <w:rPr/>
              <w:t>%</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The table below details the average yield by type of fixed-maturity security as of December 31, 2020 and 2019: </w:t>
      </w:r>
    </w:p>
    <w:p>
      <w:pPr>
        <w:pStyle w:val="TextBody"/>
        <w:spacing w:before="0" w:after="0"/>
        <w:ind w:left="0" w:right="0" w:hanging="0"/>
        <w:jc w:val="both"/>
        <w:rPr/>
      </w:pPr>
      <w:r>
        <w:rPr/>
        <w:t> </w:t>
      </w:r>
    </w:p>
    <w:tbl>
      <w:tblPr>
        <w:tblW w:w="8468" w:type="dxa"/>
        <w:jc w:val="left"/>
        <w:tblInd w:w="0" w:type="dxa"/>
        <w:tblCellMar>
          <w:top w:w="0" w:type="dxa"/>
          <w:left w:w="0" w:type="dxa"/>
          <w:bottom w:w="28" w:type="dxa"/>
          <w:right w:w="0" w:type="dxa"/>
        </w:tblCellMar>
      </w:tblPr>
      <w:tblGrid>
        <w:gridCol w:w="3785"/>
        <w:gridCol w:w="90"/>
        <w:gridCol w:w="318"/>
        <w:gridCol w:w="1666"/>
        <w:gridCol w:w="245"/>
        <w:gridCol w:w="90"/>
        <w:gridCol w:w="318"/>
        <w:gridCol w:w="1666"/>
        <w:gridCol w:w="290"/>
      </w:tblGrid>
      <w:tr>
        <w:trPr/>
        <w:tc>
          <w:tcPr>
            <w:tcW w:w="3785" w:type="dxa"/>
            <w:tcBorders>
              <w:bottom w:val="single" w:sz="2" w:space="0" w:color="000000"/>
            </w:tcBorders>
            <w:shd w:fill="auto" w:val="clear"/>
            <w:vAlign w:val="center"/>
          </w:tcPr>
          <w:p>
            <w:pPr>
              <w:pStyle w:val="TableContents"/>
              <w:spacing w:before="0" w:after="0"/>
              <w:ind w:left="0" w:right="0" w:hanging="0"/>
              <w:rPr/>
            </w:pPr>
            <w:r>
              <w:rPr>
                <w:rStyle w:val="StrongEmphasis"/>
              </w:rPr>
              <w:t xml:space="preserve">Category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984"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Pr>
              <w:t>December 31, 2020</w:t>
            </w:r>
          </w:p>
        </w:tc>
        <w:tc>
          <w:tcPr>
            <w:tcW w:w="24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984"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Pr>
              <w:t>December 31, 2019</w:t>
            </w:r>
          </w:p>
        </w:tc>
        <w:tc>
          <w:tcPr>
            <w:tcW w:w="290" w:type="dxa"/>
            <w:tcBorders/>
            <w:shd w:fill="auto" w:val="clear"/>
            <w:tcMar>
              <w:bottom w:w="0" w:type="dxa"/>
            </w:tcMar>
            <w:vAlign w:val="center"/>
          </w:tcPr>
          <w:p>
            <w:pPr>
              <w:pStyle w:val="TableContents"/>
              <w:spacing w:before="0" w:after="0"/>
              <w:ind w:left="0" w:right="0" w:hanging="0"/>
              <w:rPr/>
            </w:pPr>
            <w:r>
              <w:rPr/>
              <w:t> </w:t>
            </w:r>
          </w:p>
        </w:tc>
      </w:tr>
      <w:tr>
        <w:trPr/>
        <w:tc>
          <w:tcPr>
            <w:tcW w:w="3785" w:type="dxa"/>
            <w:tcBorders/>
            <w:shd w:fill="CCEEFF" w:val="clear"/>
            <w:tcMar>
              <w:bottom w:w="0" w:type="dxa"/>
            </w:tcMar>
            <w:vAlign w:val="center"/>
          </w:tcPr>
          <w:p>
            <w:pPr>
              <w:pStyle w:val="TableContents"/>
              <w:spacing w:before="0" w:after="0"/>
              <w:ind w:left="0" w:right="0" w:hanging="0"/>
              <w:rPr/>
            </w:pPr>
            <w:r>
              <w:rPr/>
              <w:t xml:space="preserve">U.S. Treasury securities and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984" w:type="dxa"/>
            <w:gridSpan w:val="2"/>
            <w:tcBorders/>
            <w:shd w:fill="CCEEFF" w:val="clear"/>
            <w:tcMar>
              <w:bottom w:w="0" w:type="dxa"/>
            </w:tcMar>
            <w:vAlign w:val="center"/>
          </w:tcPr>
          <w:p>
            <w:pPr>
              <w:pStyle w:val="TableContents"/>
              <w:spacing w:before="0" w:after="0"/>
              <w:ind w:left="0" w:right="0" w:hanging="0"/>
              <w:rPr/>
            </w:pPr>
            <w:r>
              <w:rPr/>
              <w:t> </w:t>
            </w:r>
          </w:p>
        </w:tc>
        <w:tc>
          <w:tcPr>
            <w:tcW w:w="24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984" w:type="dxa"/>
            <w:gridSpan w:val="2"/>
            <w:tcBorders/>
            <w:shd w:fill="CCEEFF" w:val="clear"/>
            <w:tcMar>
              <w:bottom w:w="0" w:type="dxa"/>
            </w:tcMar>
            <w:vAlign w:val="center"/>
          </w:tcPr>
          <w:p>
            <w:pPr>
              <w:pStyle w:val="TableContents"/>
              <w:spacing w:before="0" w:after="0"/>
              <w:ind w:left="0" w:right="0" w:hanging="0"/>
              <w:rPr/>
            </w:pPr>
            <w:r>
              <w:rPr/>
              <w:t> </w:t>
            </w:r>
          </w:p>
        </w:tc>
        <w:tc>
          <w:tcPr>
            <w:tcW w:w="290" w:type="dxa"/>
            <w:tcBorders/>
            <w:shd w:fill="CCEEFF" w:val="clear"/>
            <w:tcMar>
              <w:bottom w:w="0" w:type="dxa"/>
            </w:tcMar>
            <w:vAlign w:val="center"/>
          </w:tcPr>
          <w:p>
            <w:pPr>
              <w:pStyle w:val="TableContents"/>
              <w:spacing w:before="0" w:after="0"/>
              <w:ind w:left="0" w:right="0" w:hanging="0"/>
              <w:rPr/>
            </w:pPr>
            <w:r>
              <w:rPr/>
              <w:t> </w:t>
            </w:r>
          </w:p>
        </w:tc>
      </w:tr>
      <w:tr>
        <w:trPr/>
        <w:tc>
          <w:tcPr>
            <w:tcW w:w="3785" w:type="dxa"/>
            <w:tcBorders/>
            <w:shd w:fill="CCEEFF" w:val="clear"/>
            <w:tcMar>
              <w:bottom w:w="0" w:type="dxa"/>
            </w:tcMar>
            <w:vAlign w:val="center"/>
          </w:tcPr>
          <w:p>
            <w:pPr>
              <w:pStyle w:val="TableContents"/>
              <w:spacing w:before="0" w:after="0"/>
              <w:ind w:left="0" w:right="0" w:hanging="0"/>
              <w:rPr/>
            </w:pPr>
            <w:r>
              <w:rPr/>
              <w:t xml:space="preserve">obligations of U.S. government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984" w:type="dxa"/>
            <w:gridSpan w:val="2"/>
            <w:tcBorders/>
            <w:shd w:fill="CCEEFF" w:val="clear"/>
            <w:tcMar>
              <w:bottom w:w="0" w:type="dxa"/>
            </w:tcMar>
            <w:vAlign w:val="center"/>
          </w:tcPr>
          <w:p>
            <w:pPr>
              <w:pStyle w:val="TableContents"/>
              <w:spacing w:before="0" w:after="0"/>
              <w:ind w:left="0" w:right="0" w:hanging="0"/>
              <w:rPr/>
            </w:pPr>
            <w:r>
              <w:rPr/>
              <w:t> </w:t>
            </w:r>
          </w:p>
        </w:tc>
        <w:tc>
          <w:tcPr>
            <w:tcW w:w="24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984" w:type="dxa"/>
            <w:gridSpan w:val="2"/>
            <w:tcBorders/>
            <w:shd w:fill="CCEEFF" w:val="clear"/>
            <w:tcMar>
              <w:bottom w:w="0" w:type="dxa"/>
            </w:tcMar>
            <w:vAlign w:val="center"/>
          </w:tcPr>
          <w:p>
            <w:pPr>
              <w:pStyle w:val="TableContents"/>
              <w:spacing w:before="0" w:after="0"/>
              <w:ind w:left="0" w:right="0" w:hanging="0"/>
              <w:rPr/>
            </w:pPr>
            <w:r>
              <w:rPr/>
              <w:t> </w:t>
            </w:r>
          </w:p>
        </w:tc>
        <w:tc>
          <w:tcPr>
            <w:tcW w:w="290" w:type="dxa"/>
            <w:tcBorders/>
            <w:shd w:fill="CCEEFF" w:val="clear"/>
            <w:tcMar>
              <w:bottom w:w="0" w:type="dxa"/>
            </w:tcMar>
            <w:vAlign w:val="center"/>
          </w:tcPr>
          <w:p>
            <w:pPr>
              <w:pStyle w:val="TableContents"/>
              <w:spacing w:before="0" w:after="0"/>
              <w:ind w:left="0" w:right="0" w:hanging="0"/>
              <w:rPr/>
            </w:pPr>
            <w:r>
              <w:rPr/>
              <w:t> </w:t>
            </w:r>
          </w:p>
        </w:tc>
      </w:tr>
      <w:tr>
        <w:trPr/>
        <w:tc>
          <w:tcPr>
            <w:tcW w:w="3785" w:type="dxa"/>
            <w:tcBorders/>
            <w:shd w:fill="CCEEFF" w:val="clear"/>
            <w:tcMar>
              <w:bottom w:w="0" w:type="dxa"/>
            </w:tcMar>
            <w:vAlign w:val="center"/>
          </w:tcPr>
          <w:p>
            <w:pPr>
              <w:pStyle w:val="TableContents"/>
              <w:spacing w:before="0" w:after="0"/>
              <w:ind w:left="0" w:right="0" w:hanging="0"/>
              <w:rPr/>
            </w:pPr>
            <w:r>
              <w:rPr/>
              <w:t xml:space="preserve">corporations and agencies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318" w:type="dxa"/>
            <w:tcBorders/>
            <w:shd w:fill="CCEEFF" w:val="clear"/>
            <w:tcMar>
              <w:bottom w:w="0" w:type="dxa"/>
            </w:tcMar>
            <w:vAlign w:val="center"/>
          </w:tcPr>
          <w:p>
            <w:pPr>
              <w:pStyle w:val="TableContents"/>
              <w:spacing w:before="0" w:after="0"/>
              <w:ind w:left="0" w:right="0" w:hanging="0"/>
              <w:rPr/>
            </w:pPr>
            <w:r>
              <w:rPr/>
              <w:t> </w:t>
            </w:r>
          </w:p>
        </w:tc>
        <w:tc>
          <w:tcPr>
            <w:tcW w:w="1666" w:type="dxa"/>
            <w:tcBorders/>
            <w:shd w:fill="CCEEFF" w:val="clear"/>
            <w:tcMar>
              <w:bottom w:w="0" w:type="dxa"/>
            </w:tcMar>
            <w:vAlign w:val="center"/>
          </w:tcPr>
          <w:p>
            <w:pPr>
              <w:pStyle w:val="TableContents"/>
              <w:spacing w:before="0" w:after="283"/>
              <w:jc w:val="right"/>
              <w:rPr/>
            </w:pPr>
            <w:r>
              <w:rPr/>
              <w:t>2.59</w:t>
            </w:r>
          </w:p>
        </w:tc>
        <w:tc>
          <w:tcPr>
            <w:tcW w:w="245" w:type="dxa"/>
            <w:tcBorders/>
            <w:shd w:fill="CCEEFF" w:val="clear"/>
            <w:tcMar>
              <w:bottom w:w="0" w:type="dxa"/>
            </w:tcMar>
            <w:vAlign w:val="center"/>
          </w:tcPr>
          <w:p>
            <w:pPr>
              <w:pStyle w:val="TableContents"/>
              <w:spacing w:before="0" w:after="283"/>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318" w:type="dxa"/>
            <w:tcBorders/>
            <w:shd w:fill="CCEEFF" w:val="clear"/>
            <w:tcMar>
              <w:bottom w:w="0" w:type="dxa"/>
            </w:tcMar>
            <w:vAlign w:val="center"/>
          </w:tcPr>
          <w:p>
            <w:pPr>
              <w:pStyle w:val="TableContents"/>
              <w:spacing w:before="0" w:after="0"/>
              <w:ind w:left="0" w:right="0" w:hanging="0"/>
              <w:rPr/>
            </w:pPr>
            <w:r>
              <w:rPr/>
              <w:t> </w:t>
            </w:r>
          </w:p>
        </w:tc>
        <w:tc>
          <w:tcPr>
            <w:tcW w:w="1666" w:type="dxa"/>
            <w:tcBorders/>
            <w:shd w:fill="CCEEFF" w:val="clear"/>
            <w:tcMar>
              <w:bottom w:w="0" w:type="dxa"/>
            </w:tcMar>
            <w:vAlign w:val="center"/>
          </w:tcPr>
          <w:p>
            <w:pPr>
              <w:pStyle w:val="TableContents"/>
              <w:spacing w:before="0" w:after="283"/>
              <w:jc w:val="right"/>
              <w:rPr/>
            </w:pPr>
            <w:r>
              <w:rPr/>
              <w:t>2.18</w:t>
            </w:r>
          </w:p>
        </w:tc>
        <w:tc>
          <w:tcPr>
            <w:tcW w:w="290" w:type="dxa"/>
            <w:tcBorders/>
            <w:shd w:fill="CCEEFF" w:val="clear"/>
            <w:tcMar>
              <w:bottom w:w="0" w:type="dxa"/>
            </w:tcMar>
            <w:vAlign w:val="center"/>
          </w:tcPr>
          <w:p>
            <w:pPr>
              <w:pStyle w:val="TableContents"/>
              <w:spacing w:before="0" w:after="283"/>
              <w:rPr/>
            </w:pPr>
            <w:r>
              <w:rPr/>
              <w:t>%</w:t>
            </w:r>
          </w:p>
        </w:tc>
      </w:tr>
      <w:tr>
        <w:trPr/>
        <w:tc>
          <w:tcPr>
            <w:tcW w:w="378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318" w:type="dxa"/>
            <w:tcBorders/>
            <w:shd w:fill="FFFFFF" w:val="clear"/>
            <w:tcMar>
              <w:bottom w:w="0" w:type="dxa"/>
            </w:tcMar>
            <w:vAlign w:val="center"/>
          </w:tcPr>
          <w:p>
            <w:pPr>
              <w:pStyle w:val="TableContents"/>
              <w:spacing w:before="0" w:after="0"/>
              <w:ind w:left="0" w:right="0" w:hanging="0"/>
              <w:rPr/>
            </w:pPr>
            <w:r>
              <w:rPr/>
              <w:t> </w:t>
            </w:r>
          </w:p>
        </w:tc>
        <w:tc>
          <w:tcPr>
            <w:tcW w:w="1666" w:type="dxa"/>
            <w:tcBorders/>
            <w:shd w:fill="FFFFFF" w:val="clear"/>
            <w:tcMar>
              <w:bottom w:w="0" w:type="dxa"/>
            </w:tcMar>
            <w:vAlign w:val="center"/>
          </w:tcPr>
          <w:p>
            <w:pPr>
              <w:pStyle w:val="TableContents"/>
              <w:spacing w:before="0" w:after="0"/>
              <w:ind w:left="0" w:right="0" w:hanging="0"/>
              <w:rPr/>
            </w:pPr>
            <w:r>
              <w:rPr/>
              <w:t> </w:t>
            </w:r>
          </w:p>
        </w:tc>
        <w:tc>
          <w:tcPr>
            <w:tcW w:w="24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318" w:type="dxa"/>
            <w:tcBorders/>
            <w:shd w:fill="FFFFFF" w:val="clear"/>
            <w:tcMar>
              <w:bottom w:w="0" w:type="dxa"/>
            </w:tcMar>
            <w:vAlign w:val="center"/>
          </w:tcPr>
          <w:p>
            <w:pPr>
              <w:pStyle w:val="TableContents"/>
              <w:spacing w:before="0" w:after="0"/>
              <w:ind w:left="0" w:right="0" w:hanging="0"/>
              <w:rPr/>
            </w:pPr>
            <w:r>
              <w:rPr/>
              <w:t> </w:t>
            </w:r>
          </w:p>
        </w:tc>
        <w:tc>
          <w:tcPr>
            <w:tcW w:w="1666" w:type="dxa"/>
            <w:tcBorders/>
            <w:shd w:fill="FFFFFF" w:val="clear"/>
            <w:tcMar>
              <w:bottom w:w="0" w:type="dxa"/>
            </w:tcMar>
            <w:vAlign w:val="center"/>
          </w:tcPr>
          <w:p>
            <w:pPr>
              <w:pStyle w:val="TableContents"/>
              <w:spacing w:before="0" w:after="0"/>
              <w:ind w:left="0" w:right="0" w:hanging="0"/>
              <w:rPr/>
            </w:pPr>
            <w:r>
              <w:rPr/>
              <w:t> </w:t>
            </w:r>
          </w:p>
        </w:tc>
        <w:tc>
          <w:tcPr>
            <w:tcW w:w="290" w:type="dxa"/>
            <w:tcBorders/>
            <w:shd w:fill="FFFFFF" w:val="clear"/>
            <w:tcMar>
              <w:bottom w:w="0" w:type="dxa"/>
            </w:tcMar>
            <w:vAlign w:val="center"/>
          </w:tcPr>
          <w:p>
            <w:pPr>
              <w:pStyle w:val="TableContents"/>
              <w:spacing w:before="0" w:after="0"/>
              <w:ind w:left="0" w:right="0" w:hanging="0"/>
              <w:rPr/>
            </w:pPr>
            <w:r>
              <w:rPr/>
              <w:t> </w:t>
            </w:r>
          </w:p>
        </w:tc>
      </w:tr>
      <w:tr>
        <w:trPr/>
        <w:tc>
          <w:tcPr>
            <w:tcW w:w="3785" w:type="dxa"/>
            <w:tcBorders/>
            <w:shd w:fill="CCEEFF" w:val="clear"/>
            <w:tcMar>
              <w:bottom w:w="0" w:type="dxa"/>
            </w:tcMar>
            <w:vAlign w:val="center"/>
          </w:tcPr>
          <w:p>
            <w:pPr>
              <w:pStyle w:val="TableContents"/>
              <w:spacing w:before="0" w:after="0"/>
              <w:ind w:left="0" w:right="0" w:hanging="0"/>
              <w:rPr/>
            </w:pPr>
            <w:r>
              <w:rPr/>
              <w:t xml:space="preserve">Political subdivisions of States,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318" w:type="dxa"/>
            <w:tcBorders/>
            <w:shd w:fill="CCEEFF" w:val="clear"/>
            <w:tcMar>
              <w:bottom w:w="0" w:type="dxa"/>
            </w:tcMar>
            <w:vAlign w:val="center"/>
          </w:tcPr>
          <w:p>
            <w:pPr>
              <w:pStyle w:val="TableContents"/>
              <w:spacing w:before="0" w:after="0"/>
              <w:ind w:left="0" w:right="0" w:hanging="0"/>
              <w:rPr/>
            </w:pPr>
            <w:r>
              <w:rPr/>
              <w:t> </w:t>
            </w:r>
          </w:p>
        </w:tc>
        <w:tc>
          <w:tcPr>
            <w:tcW w:w="1666" w:type="dxa"/>
            <w:tcBorders/>
            <w:shd w:fill="CCEEFF" w:val="clear"/>
            <w:tcMar>
              <w:bottom w:w="0" w:type="dxa"/>
            </w:tcMar>
            <w:vAlign w:val="center"/>
          </w:tcPr>
          <w:p>
            <w:pPr>
              <w:pStyle w:val="TableContents"/>
              <w:spacing w:before="0" w:after="0"/>
              <w:ind w:left="0" w:right="0" w:hanging="0"/>
              <w:rPr/>
            </w:pPr>
            <w:r>
              <w:rPr/>
              <w:t> </w:t>
            </w:r>
          </w:p>
        </w:tc>
        <w:tc>
          <w:tcPr>
            <w:tcW w:w="24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318" w:type="dxa"/>
            <w:tcBorders/>
            <w:shd w:fill="CCEEFF" w:val="clear"/>
            <w:tcMar>
              <w:bottom w:w="0" w:type="dxa"/>
            </w:tcMar>
            <w:vAlign w:val="center"/>
          </w:tcPr>
          <w:p>
            <w:pPr>
              <w:pStyle w:val="TableContents"/>
              <w:spacing w:before="0" w:after="0"/>
              <w:ind w:left="0" w:right="0" w:hanging="0"/>
              <w:rPr/>
            </w:pPr>
            <w:r>
              <w:rPr/>
              <w:t> </w:t>
            </w:r>
          </w:p>
        </w:tc>
        <w:tc>
          <w:tcPr>
            <w:tcW w:w="1666" w:type="dxa"/>
            <w:tcBorders/>
            <w:shd w:fill="CCEEFF" w:val="clear"/>
            <w:tcMar>
              <w:bottom w:w="0" w:type="dxa"/>
            </w:tcMar>
            <w:vAlign w:val="center"/>
          </w:tcPr>
          <w:p>
            <w:pPr>
              <w:pStyle w:val="TableContents"/>
              <w:spacing w:before="0" w:after="0"/>
              <w:ind w:left="0" w:right="0" w:hanging="0"/>
              <w:rPr/>
            </w:pPr>
            <w:r>
              <w:rPr/>
              <w:t> </w:t>
            </w:r>
          </w:p>
        </w:tc>
        <w:tc>
          <w:tcPr>
            <w:tcW w:w="290" w:type="dxa"/>
            <w:tcBorders/>
            <w:shd w:fill="CCEEFF" w:val="clear"/>
            <w:tcMar>
              <w:bottom w:w="0" w:type="dxa"/>
            </w:tcMar>
            <w:vAlign w:val="center"/>
          </w:tcPr>
          <w:p>
            <w:pPr>
              <w:pStyle w:val="TableContents"/>
              <w:spacing w:before="0" w:after="0"/>
              <w:ind w:left="0" w:right="0" w:hanging="0"/>
              <w:rPr/>
            </w:pPr>
            <w:r>
              <w:rPr/>
              <w:t> </w:t>
            </w:r>
          </w:p>
        </w:tc>
      </w:tr>
      <w:tr>
        <w:trPr/>
        <w:tc>
          <w:tcPr>
            <w:tcW w:w="3785" w:type="dxa"/>
            <w:tcBorders/>
            <w:shd w:fill="CCEEFF" w:val="clear"/>
            <w:tcMar>
              <w:bottom w:w="0" w:type="dxa"/>
            </w:tcMar>
            <w:vAlign w:val="center"/>
          </w:tcPr>
          <w:p>
            <w:pPr>
              <w:pStyle w:val="TableContents"/>
              <w:spacing w:before="0" w:after="0"/>
              <w:ind w:left="0" w:right="0" w:hanging="0"/>
              <w:rPr/>
            </w:pPr>
            <w:r>
              <w:rPr/>
              <w:t xml:space="preserve">Territories and Possessions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318" w:type="dxa"/>
            <w:tcBorders/>
            <w:shd w:fill="CCEEFF" w:val="clear"/>
            <w:tcMar>
              <w:bottom w:w="0" w:type="dxa"/>
            </w:tcMar>
            <w:vAlign w:val="center"/>
          </w:tcPr>
          <w:p>
            <w:pPr>
              <w:pStyle w:val="TableContents"/>
              <w:spacing w:before="0" w:after="0"/>
              <w:ind w:left="0" w:right="0" w:hanging="0"/>
              <w:rPr/>
            </w:pPr>
            <w:r>
              <w:rPr/>
              <w:t> </w:t>
            </w:r>
          </w:p>
        </w:tc>
        <w:tc>
          <w:tcPr>
            <w:tcW w:w="1666" w:type="dxa"/>
            <w:tcBorders/>
            <w:shd w:fill="CCEEFF" w:val="clear"/>
            <w:tcMar>
              <w:bottom w:w="0" w:type="dxa"/>
            </w:tcMar>
            <w:vAlign w:val="center"/>
          </w:tcPr>
          <w:p>
            <w:pPr>
              <w:pStyle w:val="TableContents"/>
              <w:spacing w:before="0" w:after="283"/>
              <w:jc w:val="right"/>
              <w:rPr/>
            </w:pPr>
            <w:r>
              <w:rPr/>
              <w:t>3.05</w:t>
            </w:r>
          </w:p>
        </w:tc>
        <w:tc>
          <w:tcPr>
            <w:tcW w:w="245" w:type="dxa"/>
            <w:tcBorders/>
            <w:shd w:fill="CCEEFF" w:val="clear"/>
            <w:tcMar>
              <w:bottom w:w="0" w:type="dxa"/>
            </w:tcMar>
            <w:vAlign w:val="center"/>
          </w:tcPr>
          <w:p>
            <w:pPr>
              <w:pStyle w:val="TableContents"/>
              <w:spacing w:before="0" w:after="283"/>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318" w:type="dxa"/>
            <w:tcBorders/>
            <w:shd w:fill="CCEEFF" w:val="clear"/>
            <w:tcMar>
              <w:bottom w:w="0" w:type="dxa"/>
            </w:tcMar>
            <w:vAlign w:val="center"/>
          </w:tcPr>
          <w:p>
            <w:pPr>
              <w:pStyle w:val="TableContents"/>
              <w:spacing w:before="0" w:after="0"/>
              <w:ind w:left="0" w:right="0" w:hanging="0"/>
              <w:rPr/>
            </w:pPr>
            <w:r>
              <w:rPr/>
              <w:t> </w:t>
            </w:r>
          </w:p>
        </w:tc>
        <w:tc>
          <w:tcPr>
            <w:tcW w:w="1666" w:type="dxa"/>
            <w:tcBorders/>
            <w:shd w:fill="CCEEFF" w:val="clear"/>
            <w:tcMar>
              <w:bottom w:w="0" w:type="dxa"/>
            </w:tcMar>
            <w:vAlign w:val="center"/>
          </w:tcPr>
          <w:p>
            <w:pPr>
              <w:pStyle w:val="TableContents"/>
              <w:spacing w:before="0" w:after="283"/>
              <w:jc w:val="right"/>
              <w:rPr/>
            </w:pPr>
            <w:r>
              <w:rPr/>
              <w:t>3.26</w:t>
            </w:r>
          </w:p>
        </w:tc>
        <w:tc>
          <w:tcPr>
            <w:tcW w:w="290" w:type="dxa"/>
            <w:tcBorders/>
            <w:shd w:fill="CCEEFF" w:val="clear"/>
            <w:tcMar>
              <w:bottom w:w="0" w:type="dxa"/>
            </w:tcMar>
            <w:vAlign w:val="center"/>
          </w:tcPr>
          <w:p>
            <w:pPr>
              <w:pStyle w:val="TableContents"/>
              <w:spacing w:before="0" w:after="283"/>
              <w:rPr/>
            </w:pPr>
            <w:r>
              <w:rPr/>
              <w:t>%</w:t>
            </w:r>
          </w:p>
        </w:tc>
      </w:tr>
      <w:tr>
        <w:trPr/>
        <w:tc>
          <w:tcPr>
            <w:tcW w:w="378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318" w:type="dxa"/>
            <w:tcBorders/>
            <w:shd w:fill="FFFFFF" w:val="clear"/>
            <w:tcMar>
              <w:bottom w:w="0" w:type="dxa"/>
            </w:tcMar>
            <w:vAlign w:val="center"/>
          </w:tcPr>
          <w:p>
            <w:pPr>
              <w:pStyle w:val="TableContents"/>
              <w:spacing w:before="0" w:after="0"/>
              <w:ind w:left="0" w:right="0" w:hanging="0"/>
              <w:rPr/>
            </w:pPr>
            <w:r>
              <w:rPr/>
              <w:t> </w:t>
            </w:r>
          </w:p>
        </w:tc>
        <w:tc>
          <w:tcPr>
            <w:tcW w:w="1666" w:type="dxa"/>
            <w:tcBorders/>
            <w:shd w:fill="FFFFFF" w:val="clear"/>
            <w:tcMar>
              <w:bottom w:w="0" w:type="dxa"/>
            </w:tcMar>
            <w:vAlign w:val="center"/>
          </w:tcPr>
          <w:p>
            <w:pPr>
              <w:pStyle w:val="TableContents"/>
              <w:spacing w:before="0" w:after="0"/>
              <w:ind w:left="0" w:right="0" w:hanging="0"/>
              <w:rPr/>
            </w:pPr>
            <w:r>
              <w:rPr/>
              <w:t> </w:t>
            </w:r>
          </w:p>
        </w:tc>
        <w:tc>
          <w:tcPr>
            <w:tcW w:w="24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318" w:type="dxa"/>
            <w:tcBorders/>
            <w:shd w:fill="FFFFFF" w:val="clear"/>
            <w:tcMar>
              <w:bottom w:w="0" w:type="dxa"/>
            </w:tcMar>
            <w:vAlign w:val="center"/>
          </w:tcPr>
          <w:p>
            <w:pPr>
              <w:pStyle w:val="TableContents"/>
              <w:spacing w:before="0" w:after="0"/>
              <w:ind w:left="0" w:right="0" w:hanging="0"/>
              <w:rPr/>
            </w:pPr>
            <w:r>
              <w:rPr/>
              <w:t> </w:t>
            </w:r>
          </w:p>
        </w:tc>
        <w:tc>
          <w:tcPr>
            <w:tcW w:w="1666" w:type="dxa"/>
            <w:tcBorders/>
            <w:shd w:fill="FFFFFF" w:val="clear"/>
            <w:tcMar>
              <w:bottom w:w="0" w:type="dxa"/>
            </w:tcMar>
            <w:vAlign w:val="center"/>
          </w:tcPr>
          <w:p>
            <w:pPr>
              <w:pStyle w:val="TableContents"/>
              <w:spacing w:before="0" w:after="0"/>
              <w:ind w:left="0" w:right="0" w:hanging="0"/>
              <w:rPr/>
            </w:pPr>
            <w:r>
              <w:rPr/>
              <w:t> </w:t>
            </w:r>
          </w:p>
        </w:tc>
        <w:tc>
          <w:tcPr>
            <w:tcW w:w="290" w:type="dxa"/>
            <w:tcBorders/>
            <w:shd w:fill="FFFFFF" w:val="clear"/>
            <w:tcMar>
              <w:bottom w:w="0" w:type="dxa"/>
            </w:tcMar>
            <w:vAlign w:val="center"/>
          </w:tcPr>
          <w:p>
            <w:pPr>
              <w:pStyle w:val="TableContents"/>
              <w:spacing w:before="0" w:after="0"/>
              <w:ind w:left="0" w:right="0" w:hanging="0"/>
              <w:rPr/>
            </w:pPr>
            <w:r>
              <w:rPr/>
              <w:t> </w:t>
            </w:r>
          </w:p>
        </w:tc>
      </w:tr>
      <w:tr>
        <w:trPr/>
        <w:tc>
          <w:tcPr>
            <w:tcW w:w="3785" w:type="dxa"/>
            <w:tcBorders/>
            <w:shd w:fill="CCEEFF" w:val="clear"/>
            <w:tcMar>
              <w:bottom w:w="0" w:type="dxa"/>
            </w:tcMar>
            <w:vAlign w:val="center"/>
          </w:tcPr>
          <w:p>
            <w:pPr>
              <w:pStyle w:val="TableContents"/>
              <w:spacing w:before="0" w:after="0"/>
              <w:ind w:left="0" w:right="0" w:hanging="0"/>
              <w:rPr/>
            </w:pPr>
            <w:r>
              <w:rPr/>
              <w:t xml:space="preserve">Corporate and other bonds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318" w:type="dxa"/>
            <w:tcBorders/>
            <w:shd w:fill="CCEEFF" w:val="clear"/>
            <w:tcMar>
              <w:bottom w:w="0" w:type="dxa"/>
            </w:tcMar>
            <w:vAlign w:val="center"/>
          </w:tcPr>
          <w:p>
            <w:pPr>
              <w:pStyle w:val="TableContents"/>
              <w:spacing w:before="0" w:after="0"/>
              <w:ind w:left="0" w:right="0" w:hanging="0"/>
              <w:rPr/>
            </w:pPr>
            <w:r>
              <w:rPr/>
              <w:t> </w:t>
            </w:r>
          </w:p>
        </w:tc>
        <w:tc>
          <w:tcPr>
            <w:tcW w:w="1666" w:type="dxa"/>
            <w:tcBorders/>
            <w:shd w:fill="CCEEFF" w:val="clear"/>
            <w:tcMar>
              <w:bottom w:w="0" w:type="dxa"/>
            </w:tcMar>
            <w:vAlign w:val="center"/>
          </w:tcPr>
          <w:p>
            <w:pPr>
              <w:pStyle w:val="TableContents"/>
              <w:spacing w:before="0" w:after="0"/>
              <w:ind w:left="0" w:right="0" w:hanging="0"/>
              <w:rPr/>
            </w:pPr>
            <w:r>
              <w:rPr/>
              <w:t> </w:t>
            </w:r>
          </w:p>
        </w:tc>
        <w:tc>
          <w:tcPr>
            <w:tcW w:w="24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318" w:type="dxa"/>
            <w:tcBorders/>
            <w:shd w:fill="CCEEFF" w:val="clear"/>
            <w:tcMar>
              <w:bottom w:w="0" w:type="dxa"/>
            </w:tcMar>
            <w:vAlign w:val="center"/>
          </w:tcPr>
          <w:p>
            <w:pPr>
              <w:pStyle w:val="TableContents"/>
              <w:spacing w:before="0" w:after="0"/>
              <w:ind w:left="0" w:right="0" w:hanging="0"/>
              <w:rPr/>
            </w:pPr>
            <w:r>
              <w:rPr/>
              <w:t> </w:t>
            </w:r>
          </w:p>
        </w:tc>
        <w:tc>
          <w:tcPr>
            <w:tcW w:w="1666" w:type="dxa"/>
            <w:tcBorders/>
            <w:shd w:fill="CCEEFF" w:val="clear"/>
            <w:tcMar>
              <w:bottom w:w="0" w:type="dxa"/>
            </w:tcMar>
            <w:vAlign w:val="center"/>
          </w:tcPr>
          <w:p>
            <w:pPr>
              <w:pStyle w:val="TableContents"/>
              <w:spacing w:before="0" w:after="0"/>
              <w:ind w:left="0" w:right="0" w:hanging="0"/>
              <w:rPr/>
            </w:pPr>
            <w:r>
              <w:rPr/>
              <w:t> </w:t>
            </w:r>
          </w:p>
        </w:tc>
        <w:tc>
          <w:tcPr>
            <w:tcW w:w="290" w:type="dxa"/>
            <w:tcBorders/>
            <w:shd w:fill="CCEEFF" w:val="clear"/>
            <w:tcMar>
              <w:bottom w:w="0" w:type="dxa"/>
            </w:tcMar>
            <w:vAlign w:val="center"/>
          </w:tcPr>
          <w:p>
            <w:pPr>
              <w:pStyle w:val="TableContents"/>
              <w:spacing w:before="0" w:after="0"/>
              <w:ind w:left="0" w:right="0" w:hanging="0"/>
              <w:rPr/>
            </w:pPr>
            <w:r>
              <w:rPr/>
              <w:t> </w:t>
            </w:r>
          </w:p>
        </w:tc>
      </w:tr>
      <w:tr>
        <w:trPr/>
        <w:tc>
          <w:tcPr>
            <w:tcW w:w="3785" w:type="dxa"/>
            <w:tcBorders/>
            <w:shd w:fill="CCEEFF" w:val="clear"/>
            <w:tcMar>
              <w:bottom w:w="0" w:type="dxa"/>
            </w:tcMar>
            <w:vAlign w:val="center"/>
          </w:tcPr>
          <w:p>
            <w:pPr>
              <w:pStyle w:val="TableContents"/>
              <w:spacing w:before="0" w:after="0"/>
              <w:ind w:left="0" w:right="0" w:hanging="0"/>
              <w:rPr/>
            </w:pPr>
            <w:r>
              <w:rPr/>
              <w:t xml:space="preserve">Industrial and miscellaneous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318" w:type="dxa"/>
            <w:tcBorders/>
            <w:shd w:fill="CCEEFF" w:val="clear"/>
            <w:tcMar>
              <w:bottom w:w="0" w:type="dxa"/>
            </w:tcMar>
            <w:vAlign w:val="center"/>
          </w:tcPr>
          <w:p>
            <w:pPr>
              <w:pStyle w:val="TableContents"/>
              <w:spacing w:before="0" w:after="0"/>
              <w:ind w:left="0" w:right="0" w:hanging="0"/>
              <w:rPr/>
            </w:pPr>
            <w:r>
              <w:rPr/>
              <w:t> </w:t>
            </w:r>
          </w:p>
        </w:tc>
        <w:tc>
          <w:tcPr>
            <w:tcW w:w="1666" w:type="dxa"/>
            <w:tcBorders/>
            <w:shd w:fill="CCEEFF" w:val="clear"/>
            <w:tcMar>
              <w:bottom w:w="0" w:type="dxa"/>
            </w:tcMar>
            <w:vAlign w:val="center"/>
          </w:tcPr>
          <w:p>
            <w:pPr>
              <w:pStyle w:val="TableContents"/>
              <w:spacing w:before="0" w:after="283"/>
              <w:jc w:val="right"/>
              <w:rPr/>
            </w:pPr>
            <w:r>
              <w:rPr/>
              <w:t>3.52</w:t>
            </w:r>
          </w:p>
        </w:tc>
        <w:tc>
          <w:tcPr>
            <w:tcW w:w="245" w:type="dxa"/>
            <w:tcBorders/>
            <w:shd w:fill="CCEEFF" w:val="clear"/>
            <w:tcMar>
              <w:bottom w:w="0" w:type="dxa"/>
            </w:tcMar>
            <w:vAlign w:val="center"/>
          </w:tcPr>
          <w:p>
            <w:pPr>
              <w:pStyle w:val="TableContents"/>
              <w:spacing w:before="0" w:after="283"/>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318" w:type="dxa"/>
            <w:tcBorders/>
            <w:shd w:fill="CCEEFF" w:val="clear"/>
            <w:tcMar>
              <w:bottom w:w="0" w:type="dxa"/>
            </w:tcMar>
            <w:vAlign w:val="center"/>
          </w:tcPr>
          <w:p>
            <w:pPr>
              <w:pStyle w:val="TableContents"/>
              <w:spacing w:before="0" w:after="0"/>
              <w:ind w:left="0" w:right="0" w:hanging="0"/>
              <w:rPr/>
            </w:pPr>
            <w:r>
              <w:rPr/>
              <w:t> </w:t>
            </w:r>
          </w:p>
        </w:tc>
        <w:tc>
          <w:tcPr>
            <w:tcW w:w="1666" w:type="dxa"/>
            <w:tcBorders/>
            <w:shd w:fill="CCEEFF" w:val="clear"/>
            <w:tcMar>
              <w:bottom w:w="0" w:type="dxa"/>
            </w:tcMar>
            <w:vAlign w:val="center"/>
          </w:tcPr>
          <w:p>
            <w:pPr>
              <w:pStyle w:val="TableContents"/>
              <w:spacing w:before="0" w:after="283"/>
              <w:jc w:val="right"/>
              <w:rPr/>
            </w:pPr>
            <w:r>
              <w:rPr/>
              <w:t>3.73</w:t>
            </w:r>
          </w:p>
        </w:tc>
        <w:tc>
          <w:tcPr>
            <w:tcW w:w="290" w:type="dxa"/>
            <w:tcBorders/>
            <w:shd w:fill="CCEEFF" w:val="clear"/>
            <w:tcMar>
              <w:bottom w:w="0" w:type="dxa"/>
            </w:tcMar>
            <w:vAlign w:val="center"/>
          </w:tcPr>
          <w:p>
            <w:pPr>
              <w:pStyle w:val="TableContents"/>
              <w:spacing w:before="0" w:after="283"/>
              <w:rPr/>
            </w:pPr>
            <w:r>
              <w:rPr/>
              <w:t>%</w:t>
            </w:r>
          </w:p>
        </w:tc>
      </w:tr>
      <w:tr>
        <w:trPr/>
        <w:tc>
          <w:tcPr>
            <w:tcW w:w="378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318" w:type="dxa"/>
            <w:tcBorders/>
            <w:shd w:fill="FFFFFF" w:val="clear"/>
            <w:tcMar>
              <w:bottom w:w="0" w:type="dxa"/>
            </w:tcMar>
            <w:vAlign w:val="center"/>
          </w:tcPr>
          <w:p>
            <w:pPr>
              <w:pStyle w:val="TableContents"/>
              <w:spacing w:before="0" w:after="0"/>
              <w:ind w:left="0" w:right="0" w:hanging="0"/>
              <w:rPr/>
            </w:pPr>
            <w:r>
              <w:rPr/>
              <w:t> </w:t>
            </w:r>
          </w:p>
        </w:tc>
        <w:tc>
          <w:tcPr>
            <w:tcW w:w="1666" w:type="dxa"/>
            <w:tcBorders/>
            <w:shd w:fill="FFFFFF" w:val="clear"/>
            <w:tcMar>
              <w:bottom w:w="0" w:type="dxa"/>
            </w:tcMar>
            <w:vAlign w:val="center"/>
          </w:tcPr>
          <w:p>
            <w:pPr>
              <w:pStyle w:val="TableContents"/>
              <w:spacing w:before="0" w:after="0"/>
              <w:ind w:left="0" w:right="0" w:hanging="0"/>
              <w:rPr/>
            </w:pPr>
            <w:r>
              <w:rPr/>
              <w:t> </w:t>
            </w:r>
          </w:p>
        </w:tc>
        <w:tc>
          <w:tcPr>
            <w:tcW w:w="24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318" w:type="dxa"/>
            <w:tcBorders/>
            <w:shd w:fill="FFFFFF" w:val="clear"/>
            <w:tcMar>
              <w:bottom w:w="0" w:type="dxa"/>
            </w:tcMar>
            <w:vAlign w:val="center"/>
          </w:tcPr>
          <w:p>
            <w:pPr>
              <w:pStyle w:val="TableContents"/>
              <w:spacing w:before="0" w:after="0"/>
              <w:ind w:left="0" w:right="0" w:hanging="0"/>
              <w:rPr/>
            </w:pPr>
            <w:r>
              <w:rPr/>
              <w:t> </w:t>
            </w:r>
          </w:p>
        </w:tc>
        <w:tc>
          <w:tcPr>
            <w:tcW w:w="1666" w:type="dxa"/>
            <w:tcBorders/>
            <w:shd w:fill="FFFFFF" w:val="clear"/>
            <w:tcMar>
              <w:bottom w:w="0" w:type="dxa"/>
            </w:tcMar>
            <w:vAlign w:val="center"/>
          </w:tcPr>
          <w:p>
            <w:pPr>
              <w:pStyle w:val="TableContents"/>
              <w:spacing w:before="0" w:after="0"/>
              <w:ind w:left="0" w:right="0" w:hanging="0"/>
              <w:rPr/>
            </w:pPr>
            <w:r>
              <w:rPr/>
              <w:t> </w:t>
            </w:r>
          </w:p>
        </w:tc>
        <w:tc>
          <w:tcPr>
            <w:tcW w:w="290" w:type="dxa"/>
            <w:tcBorders/>
            <w:shd w:fill="FFFFFF" w:val="clear"/>
            <w:tcMar>
              <w:bottom w:w="0" w:type="dxa"/>
            </w:tcMar>
            <w:vAlign w:val="center"/>
          </w:tcPr>
          <w:p>
            <w:pPr>
              <w:pStyle w:val="TableContents"/>
              <w:spacing w:before="0" w:after="0"/>
              <w:ind w:left="0" w:right="0" w:hanging="0"/>
              <w:rPr/>
            </w:pPr>
            <w:r>
              <w:rPr/>
              <w:t> </w:t>
            </w:r>
          </w:p>
        </w:tc>
      </w:tr>
      <w:tr>
        <w:trPr/>
        <w:tc>
          <w:tcPr>
            <w:tcW w:w="3785" w:type="dxa"/>
            <w:tcBorders/>
            <w:shd w:fill="CCEEFF" w:val="clear"/>
            <w:tcMar>
              <w:bottom w:w="0" w:type="dxa"/>
            </w:tcMar>
            <w:vAlign w:val="center"/>
          </w:tcPr>
          <w:p>
            <w:pPr>
              <w:pStyle w:val="TableContents"/>
              <w:spacing w:before="0" w:after="0"/>
              <w:ind w:left="0" w:right="0" w:hanging="0"/>
              <w:rPr/>
            </w:pPr>
            <w:r>
              <w:rPr/>
              <w:t xml:space="preserve">Residential mortgage backed securities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318" w:type="dxa"/>
            <w:tcBorders/>
            <w:shd w:fill="CCEEFF" w:val="clear"/>
            <w:tcMar>
              <w:bottom w:w="0" w:type="dxa"/>
            </w:tcMar>
            <w:vAlign w:val="center"/>
          </w:tcPr>
          <w:p>
            <w:pPr>
              <w:pStyle w:val="TableContents"/>
              <w:spacing w:before="0" w:after="0"/>
              <w:ind w:left="0" w:right="0" w:hanging="0"/>
              <w:rPr/>
            </w:pPr>
            <w:r>
              <w:rPr/>
              <w:t> </w:t>
            </w:r>
          </w:p>
        </w:tc>
        <w:tc>
          <w:tcPr>
            <w:tcW w:w="1666" w:type="dxa"/>
            <w:tcBorders/>
            <w:shd w:fill="CCEEFF" w:val="clear"/>
            <w:tcMar>
              <w:bottom w:w="0" w:type="dxa"/>
            </w:tcMar>
            <w:vAlign w:val="center"/>
          </w:tcPr>
          <w:p>
            <w:pPr>
              <w:pStyle w:val="TableContents"/>
              <w:spacing w:before="0" w:after="283"/>
              <w:jc w:val="right"/>
              <w:rPr/>
            </w:pPr>
            <w:r>
              <w:rPr/>
              <w:t>1.18</w:t>
            </w:r>
          </w:p>
        </w:tc>
        <w:tc>
          <w:tcPr>
            <w:tcW w:w="245" w:type="dxa"/>
            <w:tcBorders/>
            <w:shd w:fill="CCEEFF" w:val="clear"/>
            <w:tcMar>
              <w:bottom w:w="0" w:type="dxa"/>
            </w:tcMar>
            <w:vAlign w:val="center"/>
          </w:tcPr>
          <w:p>
            <w:pPr>
              <w:pStyle w:val="TableContents"/>
              <w:spacing w:before="0" w:after="283"/>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318" w:type="dxa"/>
            <w:tcBorders/>
            <w:shd w:fill="CCEEFF" w:val="clear"/>
            <w:tcMar>
              <w:bottom w:w="0" w:type="dxa"/>
            </w:tcMar>
            <w:vAlign w:val="center"/>
          </w:tcPr>
          <w:p>
            <w:pPr>
              <w:pStyle w:val="TableContents"/>
              <w:spacing w:before="0" w:after="0"/>
              <w:ind w:left="0" w:right="0" w:hanging="0"/>
              <w:rPr/>
            </w:pPr>
            <w:r>
              <w:rPr/>
              <w:t> </w:t>
            </w:r>
          </w:p>
        </w:tc>
        <w:tc>
          <w:tcPr>
            <w:tcW w:w="1666" w:type="dxa"/>
            <w:tcBorders/>
            <w:shd w:fill="CCEEFF" w:val="clear"/>
            <w:tcMar>
              <w:bottom w:w="0" w:type="dxa"/>
            </w:tcMar>
            <w:vAlign w:val="center"/>
          </w:tcPr>
          <w:p>
            <w:pPr>
              <w:pStyle w:val="TableContents"/>
              <w:spacing w:before="0" w:after="283"/>
              <w:jc w:val="right"/>
              <w:rPr/>
            </w:pPr>
            <w:r>
              <w:rPr/>
              <w:t>2.01</w:t>
            </w:r>
          </w:p>
        </w:tc>
        <w:tc>
          <w:tcPr>
            <w:tcW w:w="290" w:type="dxa"/>
            <w:tcBorders/>
            <w:shd w:fill="CCEEFF" w:val="clear"/>
            <w:tcMar>
              <w:bottom w:w="0" w:type="dxa"/>
            </w:tcMar>
            <w:vAlign w:val="center"/>
          </w:tcPr>
          <w:p>
            <w:pPr>
              <w:pStyle w:val="TableContents"/>
              <w:spacing w:before="0" w:after="283"/>
              <w:rPr/>
            </w:pPr>
            <w:r>
              <w:rPr/>
              <w:t>%</w:t>
            </w:r>
          </w:p>
        </w:tc>
      </w:tr>
      <w:tr>
        <w:trPr/>
        <w:tc>
          <w:tcPr>
            <w:tcW w:w="378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318" w:type="dxa"/>
            <w:tcBorders/>
            <w:shd w:fill="FFFFFF" w:val="clear"/>
            <w:tcMar>
              <w:bottom w:w="0" w:type="dxa"/>
            </w:tcMar>
            <w:vAlign w:val="center"/>
          </w:tcPr>
          <w:p>
            <w:pPr>
              <w:pStyle w:val="TableContents"/>
              <w:spacing w:before="0" w:after="0"/>
              <w:ind w:left="0" w:right="0" w:hanging="0"/>
              <w:rPr/>
            </w:pPr>
            <w:r>
              <w:rPr/>
              <w:t> </w:t>
            </w:r>
          </w:p>
        </w:tc>
        <w:tc>
          <w:tcPr>
            <w:tcW w:w="1666" w:type="dxa"/>
            <w:tcBorders/>
            <w:shd w:fill="FFFFFF" w:val="clear"/>
            <w:tcMar>
              <w:bottom w:w="0" w:type="dxa"/>
            </w:tcMar>
            <w:vAlign w:val="center"/>
          </w:tcPr>
          <w:p>
            <w:pPr>
              <w:pStyle w:val="TableContents"/>
              <w:spacing w:before="0" w:after="0"/>
              <w:ind w:left="0" w:right="0" w:hanging="0"/>
              <w:rPr/>
            </w:pPr>
            <w:r>
              <w:rPr/>
              <w:t> </w:t>
            </w:r>
          </w:p>
        </w:tc>
        <w:tc>
          <w:tcPr>
            <w:tcW w:w="24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318" w:type="dxa"/>
            <w:tcBorders/>
            <w:shd w:fill="FFFFFF" w:val="clear"/>
            <w:tcMar>
              <w:bottom w:w="0" w:type="dxa"/>
            </w:tcMar>
            <w:vAlign w:val="center"/>
          </w:tcPr>
          <w:p>
            <w:pPr>
              <w:pStyle w:val="TableContents"/>
              <w:spacing w:before="0" w:after="0"/>
              <w:ind w:left="0" w:right="0" w:hanging="0"/>
              <w:rPr/>
            </w:pPr>
            <w:r>
              <w:rPr/>
              <w:t> </w:t>
            </w:r>
          </w:p>
        </w:tc>
        <w:tc>
          <w:tcPr>
            <w:tcW w:w="1666" w:type="dxa"/>
            <w:tcBorders/>
            <w:shd w:fill="FFFFFF" w:val="clear"/>
            <w:tcMar>
              <w:bottom w:w="0" w:type="dxa"/>
            </w:tcMar>
            <w:vAlign w:val="center"/>
          </w:tcPr>
          <w:p>
            <w:pPr>
              <w:pStyle w:val="TableContents"/>
              <w:spacing w:before="0" w:after="0"/>
              <w:ind w:left="0" w:right="0" w:hanging="0"/>
              <w:rPr/>
            </w:pPr>
            <w:r>
              <w:rPr/>
              <w:t> </w:t>
            </w:r>
          </w:p>
        </w:tc>
        <w:tc>
          <w:tcPr>
            <w:tcW w:w="290" w:type="dxa"/>
            <w:tcBorders/>
            <w:shd w:fill="FFFFFF" w:val="clear"/>
            <w:tcMar>
              <w:bottom w:w="0" w:type="dxa"/>
            </w:tcMar>
            <w:vAlign w:val="center"/>
          </w:tcPr>
          <w:p>
            <w:pPr>
              <w:pStyle w:val="TableContents"/>
              <w:spacing w:before="0" w:after="0"/>
              <w:ind w:left="0" w:right="0" w:hanging="0"/>
              <w:rPr/>
            </w:pPr>
            <w:r>
              <w:rPr/>
              <w:t> </w:t>
            </w:r>
          </w:p>
        </w:tc>
      </w:tr>
      <w:tr>
        <w:trPr/>
        <w:tc>
          <w:tcPr>
            <w:tcW w:w="3785" w:type="dxa"/>
            <w:tcBorders/>
            <w:shd w:fill="CCEEFF" w:val="clear"/>
            <w:tcMar>
              <w:bottom w:w="0" w:type="dxa"/>
            </w:tcMar>
            <w:vAlign w:val="center"/>
          </w:tcPr>
          <w:p>
            <w:pPr>
              <w:pStyle w:val="TableContents"/>
              <w:spacing w:before="0" w:after="0"/>
              <w:ind w:left="0" w:right="0" w:hanging="0"/>
              <w:rPr/>
            </w:pPr>
            <w:r>
              <w:rPr/>
              <w:t xml:space="preserve">Total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318" w:type="dxa"/>
            <w:tcBorders/>
            <w:shd w:fill="CCEEFF" w:val="clear"/>
            <w:tcMar>
              <w:bottom w:w="0" w:type="dxa"/>
            </w:tcMar>
            <w:vAlign w:val="center"/>
          </w:tcPr>
          <w:p>
            <w:pPr>
              <w:pStyle w:val="TableContents"/>
              <w:spacing w:before="0" w:after="0"/>
              <w:ind w:left="0" w:right="0" w:hanging="0"/>
              <w:rPr/>
            </w:pPr>
            <w:r>
              <w:rPr/>
              <w:t> </w:t>
            </w:r>
          </w:p>
        </w:tc>
        <w:tc>
          <w:tcPr>
            <w:tcW w:w="1666" w:type="dxa"/>
            <w:tcBorders/>
            <w:shd w:fill="CCEEFF" w:val="clear"/>
            <w:tcMar>
              <w:bottom w:w="0" w:type="dxa"/>
            </w:tcMar>
            <w:vAlign w:val="center"/>
          </w:tcPr>
          <w:p>
            <w:pPr>
              <w:pStyle w:val="TableContents"/>
              <w:spacing w:before="0" w:after="283"/>
              <w:jc w:val="right"/>
              <w:rPr/>
            </w:pPr>
            <w:r>
              <w:rPr/>
              <w:t>3.07</w:t>
            </w:r>
          </w:p>
        </w:tc>
        <w:tc>
          <w:tcPr>
            <w:tcW w:w="245" w:type="dxa"/>
            <w:tcBorders/>
            <w:shd w:fill="CCEEFF" w:val="clear"/>
            <w:tcMar>
              <w:bottom w:w="0" w:type="dxa"/>
            </w:tcMar>
            <w:vAlign w:val="center"/>
          </w:tcPr>
          <w:p>
            <w:pPr>
              <w:pStyle w:val="TableContents"/>
              <w:spacing w:before="0" w:after="283"/>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318" w:type="dxa"/>
            <w:tcBorders/>
            <w:shd w:fill="CCEEFF" w:val="clear"/>
            <w:tcMar>
              <w:bottom w:w="0" w:type="dxa"/>
            </w:tcMar>
            <w:vAlign w:val="center"/>
          </w:tcPr>
          <w:p>
            <w:pPr>
              <w:pStyle w:val="TableContents"/>
              <w:spacing w:before="0" w:after="0"/>
              <w:ind w:left="0" w:right="0" w:hanging="0"/>
              <w:rPr/>
            </w:pPr>
            <w:r>
              <w:rPr/>
              <w:t> </w:t>
            </w:r>
          </w:p>
        </w:tc>
        <w:tc>
          <w:tcPr>
            <w:tcW w:w="1666" w:type="dxa"/>
            <w:tcBorders/>
            <w:shd w:fill="CCEEFF" w:val="clear"/>
            <w:tcMar>
              <w:bottom w:w="0" w:type="dxa"/>
            </w:tcMar>
            <w:vAlign w:val="center"/>
          </w:tcPr>
          <w:p>
            <w:pPr>
              <w:pStyle w:val="TableContents"/>
              <w:spacing w:before="0" w:after="283"/>
              <w:jc w:val="right"/>
              <w:rPr/>
            </w:pPr>
            <w:r>
              <w:rPr/>
              <w:t>3.37</w:t>
            </w:r>
          </w:p>
        </w:tc>
        <w:tc>
          <w:tcPr>
            <w:tcW w:w="290" w:type="dxa"/>
            <w:tcBorders/>
            <w:shd w:fill="CCEEFF" w:val="clear"/>
            <w:tcMar>
              <w:bottom w:w="0" w:type="dxa"/>
            </w:tcMar>
            <w:vAlign w:val="center"/>
          </w:tcPr>
          <w:p>
            <w:pPr>
              <w:pStyle w:val="TableContents"/>
              <w:spacing w:before="0" w:after="283"/>
              <w:rPr/>
            </w:pPr>
            <w:r>
              <w:rPr/>
              <w:t>%</w:t>
            </w:r>
          </w:p>
        </w:tc>
      </w:tr>
    </w:tbl>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51</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table below lists the weighted average maturity and effective duration in years on our fixed-maturity securities as of December 31, 2020 and 2019:</w:t>
      </w:r>
    </w:p>
    <w:p>
      <w:pPr>
        <w:pStyle w:val="TextBody"/>
        <w:spacing w:before="0" w:after="0"/>
        <w:ind w:left="0" w:right="0" w:hanging="0"/>
        <w:jc w:val="both"/>
        <w:rPr/>
      </w:pPr>
      <w:r>
        <w:rPr/>
        <w:t> </w:t>
      </w:r>
    </w:p>
    <w:tbl>
      <w:tblPr>
        <w:tblW w:w="7918" w:type="dxa"/>
        <w:jc w:val="left"/>
        <w:tblInd w:w="0" w:type="dxa"/>
        <w:tblCellMar>
          <w:top w:w="0" w:type="dxa"/>
          <w:left w:w="0" w:type="dxa"/>
          <w:bottom w:w="0" w:type="dxa"/>
          <w:right w:w="0" w:type="dxa"/>
        </w:tblCellMar>
      </w:tblPr>
      <w:tblGrid>
        <w:gridCol w:w="3545"/>
        <w:gridCol w:w="90"/>
        <w:gridCol w:w="404"/>
        <w:gridCol w:w="1580"/>
        <w:gridCol w:w="90"/>
        <w:gridCol w:w="90"/>
        <w:gridCol w:w="404"/>
        <w:gridCol w:w="1580"/>
        <w:gridCol w:w="135"/>
      </w:tblGrid>
      <w:tr>
        <w:trPr/>
        <w:tc>
          <w:tcPr>
            <w:tcW w:w="35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98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December 31, 2020</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98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December 31, 2019</w:t>
            </w:r>
          </w:p>
        </w:tc>
        <w:tc>
          <w:tcPr>
            <w:tcW w:w="135" w:type="dxa"/>
            <w:tcBorders/>
            <w:shd w:fill="auto" w:val="clear"/>
            <w:vAlign w:val="center"/>
          </w:tcPr>
          <w:p>
            <w:pPr>
              <w:pStyle w:val="TableContents"/>
              <w:spacing w:before="0" w:after="0"/>
              <w:ind w:left="0" w:right="0" w:hanging="0"/>
              <w:rPr/>
            </w:pPr>
            <w:r>
              <w:rPr/>
              <w:t> </w:t>
            </w:r>
          </w:p>
        </w:tc>
      </w:tr>
      <w:tr>
        <w:trPr/>
        <w:tc>
          <w:tcPr>
            <w:tcW w:w="3545" w:type="dxa"/>
            <w:tcBorders/>
            <w:shd w:fill="CCEEFF" w:val="clear"/>
            <w:vAlign w:val="center"/>
          </w:tcPr>
          <w:p>
            <w:pPr>
              <w:pStyle w:val="TableContents"/>
              <w:spacing w:before="0" w:after="0"/>
              <w:ind w:left="0" w:right="0" w:hanging="0"/>
              <w:rPr/>
            </w:pPr>
            <w:r>
              <w:rPr/>
              <w:t xml:space="preserve">Weighted average effective maturity </w:t>
            </w:r>
          </w:p>
        </w:tc>
        <w:tc>
          <w:tcPr>
            <w:tcW w:w="90" w:type="dxa"/>
            <w:tcBorders/>
            <w:shd w:fill="CCEEFF" w:val="clear"/>
            <w:vAlign w:val="center"/>
          </w:tcPr>
          <w:p>
            <w:pPr>
              <w:pStyle w:val="TableContents"/>
              <w:spacing w:before="0" w:after="0"/>
              <w:ind w:left="0" w:right="0" w:hanging="0"/>
              <w:rPr/>
            </w:pPr>
            <w:r>
              <w:rPr/>
              <w:t> </w:t>
            </w:r>
          </w:p>
        </w:tc>
        <w:tc>
          <w:tcPr>
            <w:tcW w:w="404" w:type="dxa"/>
            <w:tcBorders/>
            <w:shd w:fill="CCEEFF" w:val="clear"/>
            <w:vAlign w:val="center"/>
          </w:tcPr>
          <w:p>
            <w:pPr>
              <w:pStyle w:val="TableContents"/>
              <w:spacing w:before="0" w:after="0"/>
              <w:ind w:left="0" w:right="0" w:hanging="0"/>
              <w:rPr/>
            </w:pPr>
            <w:r>
              <w:rPr/>
              <w:t> </w:t>
            </w:r>
          </w:p>
        </w:tc>
        <w:tc>
          <w:tcPr>
            <w:tcW w:w="1580" w:type="dxa"/>
            <w:tcBorders/>
            <w:shd w:fill="CCEEFF" w:val="clear"/>
            <w:vAlign w:val="center"/>
          </w:tcPr>
          <w:p>
            <w:pPr>
              <w:pStyle w:val="TableContents"/>
              <w:spacing w:before="0" w:after="283"/>
              <w:jc w:val="right"/>
              <w:rPr/>
            </w:pPr>
            <w:r>
              <w:rPr/>
              <w:t>5.2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404" w:type="dxa"/>
            <w:tcBorders/>
            <w:shd w:fill="CCEEFF" w:val="clear"/>
            <w:vAlign w:val="center"/>
          </w:tcPr>
          <w:p>
            <w:pPr>
              <w:pStyle w:val="TableContents"/>
              <w:spacing w:before="0" w:after="0"/>
              <w:ind w:left="0" w:right="0" w:hanging="0"/>
              <w:rPr/>
            </w:pPr>
            <w:r>
              <w:rPr/>
              <w:t> </w:t>
            </w:r>
          </w:p>
        </w:tc>
        <w:tc>
          <w:tcPr>
            <w:tcW w:w="1580" w:type="dxa"/>
            <w:tcBorders/>
            <w:shd w:fill="CCEEFF" w:val="clear"/>
            <w:vAlign w:val="center"/>
          </w:tcPr>
          <w:p>
            <w:pPr>
              <w:pStyle w:val="TableContents"/>
              <w:spacing w:before="0" w:after="283"/>
              <w:jc w:val="right"/>
              <w:rPr/>
            </w:pPr>
            <w:r>
              <w:rPr/>
              <w:t>4.8</w:t>
            </w:r>
          </w:p>
        </w:tc>
        <w:tc>
          <w:tcPr>
            <w:tcW w:w="135" w:type="dxa"/>
            <w:tcBorders/>
            <w:shd w:fill="CCEEFF" w:val="clear"/>
            <w:vAlign w:val="center"/>
          </w:tcPr>
          <w:p>
            <w:pPr>
              <w:pStyle w:val="TableContents"/>
              <w:spacing w:before="0" w:after="0"/>
              <w:ind w:left="0" w:right="0" w:hanging="0"/>
              <w:rPr/>
            </w:pPr>
            <w:r>
              <w:rPr/>
              <w:t> </w:t>
            </w:r>
          </w:p>
        </w:tc>
      </w:tr>
      <w:tr>
        <w:trPr/>
        <w:tc>
          <w:tcPr>
            <w:tcW w:w="35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404" w:type="dxa"/>
            <w:tcBorders/>
            <w:shd w:fill="FFFFFF" w:val="clear"/>
            <w:vAlign w:val="center"/>
          </w:tcPr>
          <w:p>
            <w:pPr>
              <w:pStyle w:val="TableContents"/>
              <w:spacing w:before="0" w:after="0"/>
              <w:ind w:left="0" w:right="0" w:hanging="0"/>
              <w:rPr/>
            </w:pPr>
            <w:r>
              <w:rPr/>
              <w:t> </w:t>
            </w:r>
          </w:p>
        </w:tc>
        <w:tc>
          <w:tcPr>
            <w:tcW w:w="158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404" w:type="dxa"/>
            <w:tcBorders/>
            <w:shd w:fill="FFFFFF" w:val="clear"/>
            <w:vAlign w:val="center"/>
          </w:tcPr>
          <w:p>
            <w:pPr>
              <w:pStyle w:val="TableContents"/>
              <w:spacing w:before="0" w:after="0"/>
              <w:ind w:left="0" w:right="0" w:hanging="0"/>
              <w:rPr/>
            </w:pPr>
            <w:r>
              <w:rPr/>
              <w:t> </w:t>
            </w:r>
          </w:p>
        </w:tc>
        <w:tc>
          <w:tcPr>
            <w:tcW w:w="1580" w:type="dxa"/>
            <w:tcBorders/>
            <w:shd w:fill="FFFFFF" w:val="clear"/>
            <w:vAlign w:val="center"/>
          </w:tcPr>
          <w:p>
            <w:pPr>
              <w:pStyle w:val="TableContents"/>
              <w:spacing w:before="0" w:after="0"/>
              <w:ind w:left="0" w:right="0" w:hanging="0"/>
              <w:rPr/>
            </w:pPr>
            <w:r>
              <w:rPr/>
              <w:t> </w:t>
            </w:r>
          </w:p>
        </w:tc>
        <w:tc>
          <w:tcPr>
            <w:tcW w:w="135" w:type="dxa"/>
            <w:tcBorders/>
            <w:shd w:fill="FFFFFF" w:val="clear"/>
            <w:vAlign w:val="center"/>
          </w:tcPr>
          <w:p>
            <w:pPr>
              <w:pStyle w:val="TableContents"/>
              <w:spacing w:before="0" w:after="0"/>
              <w:ind w:left="0" w:right="0" w:hanging="0"/>
              <w:rPr/>
            </w:pPr>
            <w:r>
              <w:rPr/>
              <w:t> </w:t>
            </w:r>
          </w:p>
        </w:tc>
      </w:tr>
      <w:tr>
        <w:trPr/>
        <w:tc>
          <w:tcPr>
            <w:tcW w:w="3545" w:type="dxa"/>
            <w:tcBorders/>
            <w:shd w:fill="CCEEFF" w:val="clear"/>
            <w:vAlign w:val="center"/>
          </w:tcPr>
          <w:p>
            <w:pPr>
              <w:pStyle w:val="TableContents"/>
              <w:spacing w:before="0" w:after="0"/>
              <w:ind w:left="0" w:right="0" w:hanging="0"/>
              <w:rPr/>
            </w:pPr>
            <w:r>
              <w:rPr/>
              <w:t xml:space="preserve">Weighted average final maturity </w:t>
            </w:r>
          </w:p>
        </w:tc>
        <w:tc>
          <w:tcPr>
            <w:tcW w:w="90" w:type="dxa"/>
            <w:tcBorders/>
            <w:shd w:fill="CCEEFF" w:val="clear"/>
            <w:vAlign w:val="center"/>
          </w:tcPr>
          <w:p>
            <w:pPr>
              <w:pStyle w:val="TableContents"/>
              <w:spacing w:before="0" w:after="0"/>
              <w:ind w:left="0" w:right="0" w:hanging="0"/>
              <w:rPr/>
            </w:pPr>
            <w:r>
              <w:rPr/>
              <w:t> </w:t>
            </w:r>
          </w:p>
        </w:tc>
        <w:tc>
          <w:tcPr>
            <w:tcW w:w="404" w:type="dxa"/>
            <w:tcBorders/>
            <w:shd w:fill="CCEEFF" w:val="clear"/>
            <w:vAlign w:val="center"/>
          </w:tcPr>
          <w:p>
            <w:pPr>
              <w:pStyle w:val="TableContents"/>
              <w:spacing w:before="0" w:after="0"/>
              <w:ind w:left="0" w:right="0" w:hanging="0"/>
              <w:rPr/>
            </w:pPr>
            <w:r>
              <w:rPr/>
              <w:t> </w:t>
            </w:r>
          </w:p>
        </w:tc>
        <w:tc>
          <w:tcPr>
            <w:tcW w:w="1580" w:type="dxa"/>
            <w:tcBorders/>
            <w:shd w:fill="CCEEFF" w:val="clear"/>
            <w:vAlign w:val="center"/>
          </w:tcPr>
          <w:p>
            <w:pPr>
              <w:pStyle w:val="TableContents"/>
              <w:spacing w:before="0" w:after="283"/>
              <w:jc w:val="right"/>
              <w:rPr/>
            </w:pPr>
            <w:r>
              <w:rPr/>
              <w:t>6.6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404" w:type="dxa"/>
            <w:tcBorders/>
            <w:shd w:fill="CCEEFF" w:val="clear"/>
            <w:vAlign w:val="center"/>
          </w:tcPr>
          <w:p>
            <w:pPr>
              <w:pStyle w:val="TableContents"/>
              <w:spacing w:before="0" w:after="0"/>
              <w:ind w:left="0" w:right="0" w:hanging="0"/>
              <w:rPr/>
            </w:pPr>
            <w:r>
              <w:rPr/>
              <w:t> </w:t>
            </w:r>
          </w:p>
        </w:tc>
        <w:tc>
          <w:tcPr>
            <w:tcW w:w="1580" w:type="dxa"/>
            <w:tcBorders/>
            <w:shd w:fill="CCEEFF" w:val="clear"/>
            <w:vAlign w:val="center"/>
          </w:tcPr>
          <w:p>
            <w:pPr>
              <w:pStyle w:val="TableContents"/>
              <w:spacing w:before="0" w:after="283"/>
              <w:jc w:val="right"/>
              <w:rPr/>
            </w:pPr>
            <w:r>
              <w:rPr/>
              <w:t>6.3</w:t>
            </w:r>
          </w:p>
        </w:tc>
        <w:tc>
          <w:tcPr>
            <w:tcW w:w="135" w:type="dxa"/>
            <w:tcBorders/>
            <w:shd w:fill="CCEEFF" w:val="clear"/>
            <w:vAlign w:val="center"/>
          </w:tcPr>
          <w:p>
            <w:pPr>
              <w:pStyle w:val="TableContents"/>
              <w:spacing w:before="0" w:after="0"/>
              <w:ind w:left="0" w:right="0" w:hanging="0"/>
              <w:rPr/>
            </w:pPr>
            <w:r>
              <w:rPr/>
              <w:t> </w:t>
            </w:r>
          </w:p>
        </w:tc>
      </w:tr>
      <w:tr>
        <w:trPr/>
        <w:tc>
          <w:tcPr>
            <w:tcW w:w="35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404" w:type="dxa"/>
            <w:tcBorders/>
            <w:shd w:fill="FFFFFF" w:val="clear"/>
            <w:vAlign w:val="center"/>
          </w:tcPr>
          <w:p>
            <w:pPr>
              <w:pStyle w:val="TableContents"/>
              <w:spacing w:before="0" w:after="0"/>
              <w:ind w:left="0" w:right="0" w:hanging="0"/>
              <w:rPr/>
            </w:pPr>
            <w:r>
              <w:rPr/>
              <w:t> </w:t>
            </w:r>
          </w:p>
        </w:tc>
        <w:tc>
          <w:tcPr>
            <w:tcW w:w="158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404" w:type="dxa"/>
            <w:tcBorders/>
            <w:shd w:fill="FFFFFF" w:val="clear"/>
            <w:vAlign w:val="center"/>
          </w:tcPr>
          <w:p>
            <w:pPr>
              <w:pStyle w:val="TableContents"/>
              <w:spacing w:before="0" w:after="0"/>
              <w:ind w:left="0" w:right="0" w:hanging="0"/>
              <w:rPr/>
            </w:pPr>
            <w:r>
              <w:rPr/>
              <w:t> </w:t>
            </w:r>
          </w:p>
        </w:tc>
        <w:tc>
          <w:tcPr>
            <w:tcW w:w="1580" w:type="dxa"/>
            <w:tcBorders/>
            <w:shd w:fill="FFFFFF" w:val="clear"/>
            <w:vAlign w:val="center"/>
          </w:tcPr>
          <w:p>
            <w:pPr>
              <w:pStyle w:val="TableContents"/>
              <w:spacing w:before="0" w:after="0"/>
              <w:ind w:left="0" w:right="0" w:hanging="0"/>
              <w:rPr/>
            </w:pPr>
            <w:r>
              <w:rPr/>
              <w:t> </w:t>
            </w:r>
          </w:p>
        </w:tc>
        <w:tc>
          <w:tcPr>
            <w:tcW w:w="135" w:type="dxa"/>
            <w:tcBorders/>
            <w:shd w:fill="FFFFFF" w:val="clear"/>
            <w:vAlign w:val="center"/>
          </w:tcPr>
          <w:p>
            <w:pPr>
              <w:pStyle w:val="TableContents"/>
              <w:spacing w:before="0" w:after="0"/>
              <w:ind w:left="0" w:right="0" w:hanging="0"/>
              <w:rPr/>
            </w:pPr>
            <w:r>
              <w:rPr/>
              <w:t> </w:t>
            </w:r>
          </w:p>
        </w:tc>
      </w:tr>
      <w:tr>
        <w:trPr/>
        <w:tc>
          <w:tcPr>
            <w:tcW w:w="3545" w:type="dxa"/>
            <w:tcBorders/>
            <w:shd w:fill="CCEEFF" w:val="clear"/>
            <w:vAlign w:val="center"/>
          </w:tcPr>
          <w:p>
            <w:pPr>
              <w:pStyle w:val="TableContents"/>
              <w:spacing w:before="0" w:after="0"/>
              <w:ind w:left="0" w:right="0" w:hanging="0"/>
              <w:rPr/>
            </w:pPr>
            <w:r>
              <w:rPr/>
              <w:t xml:space="preserve">Effective duration </w:t>
            </w:r>
          </w:p>
        </w:tc>
        <w:tc>
          <w:tcPr>
            <w:tcW w:w="90" w:type="dxa"/>
            <w:tcBorders/>
            <w:shd w:fill="CCEEFF" w:val="clear"/>
            <w:vAlign w:val="center"/>
          </w:tcPr>
          <w:p>
            <w:pPr>
              <w:pStyle w:val="TableContents"/>
              <w:spacing w:before="0" w:after="0"/>
              <w:ind w:left="0" w:right="0" w:hanging="0"/>
              <w:rPr/>
            </w:pPr>
            <w:r>
              <w:rPr/>
              <w:t> </w:t>
            </w:r>
          </w:p>
        </w:tc>
        <w:tc>
          <w:tcPr>
            <w:tcW w:w="404" w:type="dxa"/>
            <w:tcBorders/>
            <w:shd w:fill="CCEEFF" w:val="clear"/>
            <w:vAlign w:val="center"/>
          </w:tcPr>
          <w:p>
            <w:pPr>
              <w:pStyle w:val="TableContents"/>
              <w:spacing w:before="0" w:after="0"/>
              <w:ind w:left="0" w:right="0" w:hanging="0"/>
              <w:rPr/>
            </w:pPr>
            <w:r>
              <w:rPr/>
              <w:t> </w:t>
            </w:r>
          </w:p>
        </w:tc>
        <w:tc>
          <w:tcPr>
            <w:tcW w:w="1580" w:type="dxa"/>
            <w:tcBorders/>
            <w:shd w:fill="CCEEFF" w:val="clear"/>
            <w:vAlign w:val="center"/>
          </w:tcPr>
          <w:p>
            <w:pPr>
              <w:pStyle w:val="TableContents"/>
              <w:spacing w:before="0" w:after="283"/>
              <w:jc w:val="right"/>
              <w:rPr/>
            </w:pPr>
            <w:r>
              <w:rPr/>
              <w:t>4.7</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404" w:type="dxa"/>
            <w:tcBorders/>
            <w:shd w:fill="CCEEFF" w:val="clear"/>
            <w:vAlign w:val="center"/>
          </w:tcPr>
          <w:p>
            <w:pPr>
              <w:pStyle w:val="TableContents"/>
              <w:spacing w:before="0" w:after="0"/>
              <w:ind w:left="0" w:right="0" w:hanging="0"/>
              <w:rPr/>
            </w:pPr>
            <w:r>
              <w:rPr/>
              <w:t> </w:t>
            </w:r>
          </w:p>
        </w:tc>
        <w:tc>
          <w:tcPr>
            <w:tcW w:w="1580" w:type="dxa"/>
            <w:tcBorders/>
            <w:shd w:fill="CCEEFF" w:val="clear"/>
            <w:vAlign w:val="center"/>
          </w:tcPr>
          <w:p>
            <w:pPr>
              <w:pStyle w:val="TableContents"/>
              <w:spacing w:before="0" w:after="283"/>
              <w:jc w:val="right"/>
              <w:rPr/>
            </w:pPr>
            <w:r>
              <w:rPr/>
              <w:t>4.3</w:t>
            </w:r>
          </w:p>
        </w:tc>
        <w:tc>
          <w:tcPr>
            <w:tcW w:w="135"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Fair Value Consideration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As disclosed in Note 4 to the condensed consolidated financial statements, with respect to “Fair Value Measurements,” we define fair value as the price that would be received to sell an asset or paid to transfer a liability in a transaction involving identical or comparable assets or liabilities between market participants (an “exit price”). The fair value hierarchy distinguishes between inputs based on market data from independent sources (“observable inputs”) and a reporting entity’s internal assumptions based upon the best information available when external market data is limited or unavailable (“unobservable inputs”). The fair value hierarchy prioritizes fair value measurements into three levels based on the nature of the inputs. Quoted prices in active markets for identical assets have the highest priority (“Level 1”), followed by observable inputs other than quoted prices including prices for similar but not identical assets or liabilities (“Level 2”), and unobservable inputs, including the reporting entity’s estimates of the assumption that market participants would use, having the lowest priority (“Level 3”). As of December 31, 2020 and December 31, 2019, 81% and 80%, respectively, of the investment portfolio recorded at fair value was priced based upon quoted market prices.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52</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The table below summarizes the gross unrealized losses of our fixed-maturity securities available-for-sale and equity securities by length of time the security has continuously been in an unrealized loss position as of December 31, 2020 and 2019:       </w:t>
      </w:r>
    </w:p>
    <w:p>
      <w:pPr>
        <w:pStyle w:val="TextBody"/>
        <w:spacing w:before="0" w:after="0"/>
        <w:ind w:left="0" w:right="0" w:hanging="0"/>
        <w:jc w:val="both"/>
        <w:rPr/>
      </w:pPr>
      <w:r>
        <w:rPr/>
        <w:t> </w:t>
      </w:r>
    </w:p>
    <w:tbl>
      <w:tblPr>
        <w:tblW w:w="12255" w:type="dxa"/>
        <w:jc w:val="left"/>
        <w:tblInd w:w="0" w:type="dxa"/>
        <w:tblCellMar>
          <w:top w:w="0" w:type="dxa"/>
          <w:left w:w="0" w:type="dxa"/>
          <w:bottom w:w="0" w:type="dxa"/>
          <w:right w:w="0" w:type="dxa"/>
        </w:tblCellMar>
      </w:tblPr>
      <w:tblGrid>
        <w:gridCol w:w="1625"/>
        <w:gridCol w:w="90"/>
        <w:gridCol w:w="170"/>
        <w:gridCol w:w="1010"/>
        <w:gridCol w:w="90"/>
        <w:gridCol w:w="90"/>
        <w:gridCol w:w="206"/>
        <w:gridCol w:w="954"/>
        <w:gridCol w:w="125"/>
        <w:gridCol w:w="90"/>
        <w:gridCol w:w="327"/>
        <w:gridCol w:w="623"/>
        <w:gridCol w:w="90"/>
        <w:gridCol w:w="90"/>
        <w:gridCol w:w="170"/>
        <w:gridCol w:w="1010"/>
        <w:gridCol w:w="90"/>
        <w:gridCol w:w="90"/>
        <w:gridCol w:w="183"/>
        <w:gridCol w:w="977"/>
        <w:gridCol w:w="125"/>
        <w:gridCol w:w="90"/>
        <w:gridCol w:w="224"/>
        <w:gridCol w:w="726"/>
        <w:gridCol w:w="90"/>
        <w:gridCol w:w="90"/>
        <w:gridCol w:w="170"/>
        <w:gridCol w:w="1130"/>
        <w:gridCol w:w="90"/>
        <w:gridCol w:w="90"/>
        <w:gridCol w:w="183"/>
        <w:gridCol w:w="977"/>
        <w:gridCol w:w="170"/>
      </w:tblGrid>
      <w:tr>
        <w:trPr/>
        <w:tc>
          <w:tcPr>
            <w:tcW w:w="16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370" w:type="dxa"/>
            <w:gridSpan w:val="30"/>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December 31, 2020</w:t>
            </w:r>
          </w:p>
        </w:tc>
        <w:tc>
          <w:tcPr>
            <w:tcW w:w="170" w:type="dxa"/>
            <w:tcBorders/>
            <w:shd w:fill="auto" w:val="clear"/>
            <w:vAlign w:val="center"/>
          </w:tcPr>
          <w:p>
            <w:pPr>
              <w:pStyle w:val="TableContents"/>
              <w:spacing w:before="0" w:after="0"/>
              <w:ind w:left="0" w:right="0" w:hanging="0"/>
              <w:jc w:val="center"/>
              <w:rPr/>
            </w:pPr>
            <w:r>
              <w:rPr/>
              <w:t> </w:t>
            </w:r>
          </w:p>
        </w:tc>
      </w:tr>
      <w:tr>
        <w:trPr/>
        <w:tc>
          <w:tcPr>
            <w:tcW w:w="1625"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3685" w:type="dxa"/>
            <w:gridSpan w:val="10"/>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Less than 12 months</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3685" w:type="dxa"/>
            <w:gridSpan w:val="10"/>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12 months or more</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2640"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Total</w:t>
            </w:r>
          </w:p>
        </w:tc>
        <w:tc>
          <w:tcPr>
            <w:tcW w:w="170" w:type="dxa"/>
            <w:tcBorders/>
            <w:shd w:fill="auto" w:val="clear"/>
            <w:vAlign w:val="center"/>
          </w:tcPr>
          <w:p>
            <w:pPr>
              <w:pStyle w:val="TableContents"/>
              <w:spacing w:before="0" w:after="0"/>
              <w:ind w:left="0" w:right="0" w:hanging="0"/>
              <w:jc w:val="center"/>
              <w:rPr/>
            </w:pPr>
            <w:r>
              <w:rPr/>
              <w:t> </w:t>
            </w:r>
          </w:p>
        </w:tc>
      </w:tr>
      <w:tr>
        <w:trPr/>
        <w:tc>
          <w:tcPr>
            <w:tcW w:w="1625"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Pr>
              <w:t xml:space="preserve">Estimated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160" w:type="dxa"/>
            <w:gridSpan w:val="2"/>
            <w:tcBorders/>
            <w:shd w:fill="auto" w:val="clear"/>
            <w:vAlign w:val="center"/>
          </w:tcPr>
          <w:p>
            <w:pPr>
              <w:pStyle w:val="TableContents"/>
              <w:spacing w:before="0" w:after="0"/>
              <w:ind w:left="0" w:right="0" w:hanging="0"/>
              <w:jc w:val="center"/>
              <w:rPr/>
            </w:pPr>
            <w:r>
              <w:rPr/>
              <w:t> </w:t>
            </w:r>
          </w:p>
        </w:tc>
        <w:tc>
          <w:tcPr>
            <w:tcW w:w="125"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95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Pr>
              <w:t xml:space="preserve">No. of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Pr>
              <w:t xml:space="preserve">Estimated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160" w:type="dxa"/>
            <w:gridSpan w:val="2"/>
            <w:tcBorders/>
            <w:shd w:fill="auto" w:val="clear"/>
            <w:vAlign w:val="center"/>
          </w:tcPr>
          <w:p>
            <w:pPr>
              <w:pStyle w:val="TableContents"/>
              <w:spacing w:before="0" w:after="0"/>
              <w:ind w:left="0" w:right="0" w:hanging="0"/>
              <w:jc w:val="center"/>
              <w:rPr/>
            </w:pPr>
            <w:r>
              <w:rPr/>
              <w:t> </w:t>
            </w:r>
          </w:p>
        </w:tc>
        <w:tc>
          <w:tcPr>
            <w:tcW w:w="125"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95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Pr>
              <w:t xml:space="preserve">No. of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Pr>
              <w:t xml:space="preserve">Estimated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160" w:type="dxa"/>
            <w:gridSpan w:val="2"/>
            <w:tcBorders/>
            <w:shd w:fill="auto" w:val="clear"/>
            <w:vAlign w:val="center"/>
          </w:tcPr>
          <w:p>
            <w:pPr>
              <w:pStyle w:val="TableContents"/>
              <w:spacing w:before="0" w:after="0"/>
              <w:ind w:left="0" w:right="0" w:hanging="0"/>
              <w:jc w:val="center"/>
              <w:rPr/>
            </w:pPr>
            <w:r>
              <w:rPr/>
              <w:t> </w:t>
            </w:r>
          </w:p>
        </w:tc>
        <w:tc>
          <w:tcPr>
            <w:tcW w:w="170" w:type="dxa"/>
            <w:tcBorders/>
            <w:shd w:fill="auto" w:val="clear"/>
            <w:vAlign w:val="center"/>
          </w:tcPr>
          <w:p>
            <w:pPr>
              <w:pStyle w:val="TableContents"/>
              <w:spacing w:before="0" w:after="0"/>
              <w:ind w:left="0" w:right="0" w:hanging="0"/>
              <w:jc w:val="center"/>
              <w:rPr/>
            </w:pPr>
            <w:r>
              <w:rPr/>
              <w:t> </w:t>
            </w:r>
          </w:p>
        </w:tc>
      </w:tr>
      <w:tr>
        <w:trPr/>
        <w:tc>
          <w:tcPr>
            <w:tcW w:w="1625"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 xml:space="preserve">Fair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160" w:type="dxa"/>
            <w:gridSpan w:val="2"/>
            <w:tcBorders/>
            <w:shd w:fill="auto" w:val="clear"/>
            <w:vAlign w:val="center"/>
          </w:tcPr>
          <w:p>
            <w:pPr>
              <w:pStyle w:val="TableContents"/>
              <w:spacing w:before="0" w:after="0"/>
              <w:ind w:left="0" w:right="0" w:hanging="0"/>
              <w:jc w:val="center"/>
              <w:rPr/>
            </w:pPr>
            <w:r>
              <w:rPr>
                <w:rStyle w:val="StrongEmphasis"/>
              </w:rPr>
              <w:t xml:space="preserve">Unrealized </w:t>
            </w:r>
          </w:p>
        </w:tc>
        <w:tc>
          <w:tcPr>
            <w:tcW w:w="125"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950" w:type="dxa"/>
            <w:gridSpan w:val="2"/>
            <w:tcBorders/>
            <w:shd w:fill="auto" w:val="clear"/>
            <w:vAlign w:val="center"/>
          </w:tcPr>
          <w:p>
            <w:pPr>
              <w:pStyle w:val="TableContents"/>
              <w:spacing w:before="0" w:after="0"/>
              <w:ind w:left="0" w:right="0" w:hanging="0"/>
              <w:jc w:val="center"/>
              <w:rPr/>
            </w:pPr>
            <w:r>
              <w:rPr>
                <w:rStyle w:val="StrongEmphasis"/>
              </w:rPr>
              <w:t xml:space="preserve">Positions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 xml:space="preserve">Fair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160" w:type="dxa"/>
            <w:gridSpan w:val="2"/>
            <w:tcBorders/>
            <w:shd w:fill="auto" w:val="clear"/>
            <w:vAlign w:val="center"/>
          </w:tcPr>
          <w:p>
            <w:pPr>
              <w:pStyle w:val="TableContents"/>
              <w:spacing w:before="0" w:after="0"/>
              <w:ind w:left="0" w:right="0" w:hanging="0"/>
              <w:jc w:val="center"/>
              <w:rPr/>
            </w:pPr>
            <w:r>
              <w:rPr>
                <w:rStyle w:val="StrongEmphasis"/>
              </w:rPr>
              <w:t xml:space="preserve">Unrealized </w:t>
            </w:r>
          </w:p>
        </w:tc>
        <w:tc>
          <w:tcPr>
            <w:tcW w:w="125"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950" w:type="dxa"/>
            <w:gridSpan w:val="2"/>
            <w:tcBorders/>
            <w:shd w:fill="auto" w:val="clear"/>
            <w:vAlign w:val="center"/>
          </w:tcPr>
          <w:p>
            <w:pPr>
              <w:pStyle w:val="TableContents"/>
              <w:spacing w:before="0" w:after="0"/>
              <w:ind w:left="0" w:right="0" w:hanging="0"/>
              <w:jc w:val="center"/>
              <w:rPr/>
            </w:pPr>
            <w:r>
              <w:rPr>
                <w:rStyle w:val="StrongEmphasis"/>
              </w:rPr>
              <w:t xml:space="preserve">Positions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Pr>
              <w:t xml:space="preserve">Fair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160" w:type="dxa"/>
            <w:gridSpan w:val="2"/>
            <w:tcBorders/>
            <w:shd w:fill="auto" w:val="clear"/>
            <w:vAlign w:val="center"/>
          </w:tcPr>
          <w:p>
            <w:pPr>
              <w:pStyle w:val="TableContents"/>
              <w:spacing w:before="0" w:after="0"/>
              <w:ind w:left="0" w:right="0" w:hanging="0"/>
              <w:jc w:val="center"/>
              <w:rPr/>
            </w:pPr>
            <w:r>
              <w:rPr>
                <w:rStyle w:val="StrongEmphasis"/>
              </w:rPr>
              <w:t xml:space="preserve">Unrealized </w:t>
            </w:r>
          </w:p>
        </w:tc>
        <w:tc>
          <w:tcPr>
            <w:tcW w:w="170" w:type="dxa"/>
            <w:tcBorders/>
            <w:shd w:fill="auto" w:val="clear"/>
            <w:vAlign w:val="center"/>
          </w:tcPr>
          <w:p>
            <w:pPr>
              <w:pStyle w:val="TableContents"/>
              <w:spacing w:before="0" w:after="0"/>
              <w:ind w:left="0" w:right="0" w:hanging="0"/>
              <w:rPr/>
            </w:pPr>
            <w:r>
              <w:rPr/>
              <w:t> </w:t>
            </w:r>
          </w:p>
        </w:tc>
      </w:tr>
      <w:tr>
        <w:trPr/>
        <w:tc>
          <w:tcPr>
            <w:tcW w:w="1625"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Pr>
              <w:t xml:space="preserve">Category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Value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1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Losses </w:t>
            </w:r>
          </w:p>
        </w:tc>
        <w:tc>
          <w:tcPr>
            <w:tcW w:w="125"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95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Held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Value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1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Losses </w:t>
            </w:r>
          </w:p>
        </w:tc>
        <w:tc>
          <w:tcPr>
            <w:tcW w:w="125"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95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Held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Value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1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Losses </w:t>
            </w:r>
          </w:p>
        </w:tc>
        <w:tc>
          <w:tcPr>
            <w:tcW w:w="170" w:type="dxa"/>
            <w:tcBorders/>
            <w:shd w:fill="auto" w:val="clear"/>
            <w:vAlign w:val="center"/>
          </w:tcPr>
          <w:p>
            <w:pPr>
              <w:pStyle w:val="TableContents"/>
              <w:spacing w:before="0" w:after="0"/>
              <w:ind w:left="0" w:right="0" w:hanging="0"/>
              <w:rPr/>
            </w:pPr>
            <w:r>
              <w:rPr/>
              <w:t> </w:t>
            </w:r>
          </w:p>
        </w:tc>
      </w:tr>
      <w:tr>
        <w:trPr/>
        <w:tc>
          <w:tcPr>
            <w:tcW w:w="16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06" w:type="dxa"/>
            <w:tcBorders/>
            <w:shd w:fill="auto" w:val="clear"/>
            <w:vAlign w:val="center"/>
          </w:tcPr>
          <w:p>
            <w:pPr>
              <w:pStyle w:val="TableContents"/>
              <w:spacing w:before="0" w:after="0"/>
              <w:ind w:left="0" w:right="0" w:hanging="0"/>
              <w:rPr/>
            </w:pPr>
            <w:r>
              <w:rPr/>
              <w:t> </w:t>
            </w:r>
          </w:p>
        </w:tc>
        <w:tc>
          <w:tcPr>
            <w:tcW w:w="954" w:type="dxa"/>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327" w:type="dxa"/>
            <w:tcBorders/>
            <w:shd w:fill="auto" w:val="clear"/>
            <w:vAlign w:val="center"/>
          </w:tcPr>
          <w:p>
            <w:pPr>
              <w:pStyle w:val="TableContents"/>
              <w:spacing w:before="0" w:after="0"/>
              <w:ind w:left="0" w:right="0" w:hanging="0"/>
              <w:rPr/>
            </w:pPr>
            <w:r>
              <w:rPr/>
              <w:t> </w:t>
            </w:r>
          </w:p>
        </w:tc>
        <w:tc>
          <w:tcPr>
            <w:tcW w:w="7478" w:type="dxa"/>
            <w:gridSpan w:val="22"/>
            <w:tcBorders/>
            <w:shd w:fill="auto" w:val="clear"/>
            <w:vAlign w:val="center"/>
          </w:tcPr>
          <w:p>
            <w:pPr>
              <w:pStyle w:val="TableContents"/>
              <w:spacing w:before="0" w:after="0"/>
              <w:ind w:left="0" w:right="0" w:hanging="0"/>
              <w:rPr/>
            </w:pPr>
            <w:r>
              <w:rPr/>
              <w:t> </w:t>
            </w:r>
          </w:p>
        </w:tc>
      </w:tr>
      <w:tr>
        <w:trPr/>
        <w:tc>
          <w:tcPr>
            <w:tcW w:w="1625" w:type="dxa"/>
            <w:tcBorders/>
            <w:shd w:fill="auto" w:val="clear"/>
            <w:vAlign w:val="center"/>
          </w:tcPr>
          <w:p>
            <w:pPr>
              <w:pStyle w:val="TableContents"/>
              <w:spacing w:before="0" w:after="0"/>
              <w:ind w:left="0" w:right="0" w:hanging="0"/>
              <w:rPr/>
            </w:pPr>
            <w:r>
              <w:rPr>
                <w:rStyle w:val="StrongEmphasis"/>
              </w:rPr>
              <w:t xml:space="preserve">Fixed-Maturity Securities: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60"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5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60"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5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60" w:type="dxa"/>
            <w:gridSpan w:val="2"/>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r>
      <w:tr>
        <w:trPr/>
        <w:tc>
          <w:tcPr>
            <w:tcW w:w="1625" w:type="dxa"/>
            <w:tcBorders/>
            <w:shd w:fill="CCEEFF" w:val="clear"/>
            <w:vAlign w:val="center"/>
          </w:tcPr>
          <w:p>
            <w:pPr>
              <w:pStyle w:val="TableContents"/>
              <w:spacing w:before="0" w:after="0"/>
              <w:ind w:left="0" w:right="0" w:hanging="0"/>
              <w:rPr/>
            </w:pPr>
            <w:r>
              <w:rPr/>
              <w:t xml:space="preserve">U.S. Treasury securities </w:t>
            </w:r>
          </w:p>
        </w:tc>
        <w:tc>
          <w:tcPr>
            <w:tcW w:w="90" w:type="dxa"/>
            <w:tcBorders/>
            <w:shd w:fill="CCEEFF" w:val="clear"/>
            <w:vAlign w:val="center"/>
          </w:tcPr>
          <w:p>
            <w:pPr>
              <w:pStyle w:val="TableContents"/>
              <w:spacing w:before="0" w:after="0"/>
              <w:ind w:left="0" w:right="0" w:hanging="0"/>
              <w:rPr/>
            </w:pPr>
            <w:r>
              <w:rPr/>
              <w:t> </w:t>
            </w:r>
          </w:p>
        </w:tc>
        <w:tc>
          <w:tcPr>
            <w:tcW w:w="1180" w:type="dxa"/>
            <w:gridSpan w:val="2"/>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60" w:type="dxa"/>
            <w:gridSpan w:val="2"/>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50" w:type="dxa"/>
            <w:gridSpan w:val="2"/>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80" w:type="dxa"/>
            <w:gridSpan w:val="2"/>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60" w:type="dxa"/>
            <w:gridSpan w:val="2"/>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50" w:type="dxa"/>
            <w:gridSpan w:val="2"/>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300" w:type="dxa"/>
            <w:gridSpan w:val="2"/>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60" w:type="dxa"/>
            <w:gridSpan w:val="2"/>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1625" w:type="dxa"/>
            <w:tcBorders/>
            <w:shd w:fill="CCEEFF" w:val="clear"/>
            <w:vAlign w:val="center"/>
          </w:tcPr>
          <w:p>
            <w:pPr>
              <w:pStyle w:val="TableContents"/>
              <w:spacing w:before="0" w:after="0"/>
              <w:ind w:left="0" w:right="0" w:hanging="0"/>
              <w:rPr/>
            </w:pPr>
            <w:r>
              <w:rPr/>
              <w:t xml:space="preserve">and obligations of U.S. </w:t>
            </w:r>
          </w:p>
        </w:tc>
        <w:tc>
          <w:tcPr>
            <w:tcW w:w="90" w:type="dxa"/>
            <w:tcBorders/>
            <w:shd w:fill="CCEEFF" w:val="clear"/>
            <w:vAlign w:val="center"/>
          </w:tcPr>
          <w:p>
            <w:pPr>
              <w:pStyle w:val="TableContents"/>
              <w:spacing w:before="0" w:after="0"/>
              <w:ind w:left="0" w:right="0" w:hanging="0"/>
              <w:rPr/>
            </w:pPr>
            <w:r>
              <w:rPr/>
              <w:t> </w:t>
            </w:r>
          </w:p>
        </w:tc>
        <w:tc>
          <w:tcPr>
            <w:tcW w:w="1180" w:type="dxa"/>
            <w:gridSpan w:val="2"/>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60" w:type="dxa"/>
            <w:gridSpan w:val="2"/>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50" w:type="dxa"/>
            <w:gridSpan w:val="2"/>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80" w:type="dxa"/>
            <w:gridSpan w:val="2"/>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60" w:type="dxa"/>
            <w:gridSpan w:val="2"/>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50" w:type="dxa"/>
            <w:gridSpan w:val="2"/>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300" w:type="dxa"/>
            <w:gridSpan w:val="2"/>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60" w:type="dxa"/>
            <w:gridSpan w:val="2"/>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1625" w:type="dxa"/>
            <w:tcBorders/>
            <w:shd w:fill="CCEEFF" w:val="clear"/>
            <w:vAlign w:val="center"/>
          </w:tcPr>
          <w:p>
            <w:pPr>
              <w:pStyle w:val="TableContents"/>
              <w:spacing w:before="0" w:after="0"/>
              <w:ind w:left="0" w:right="0" w:hanging="0"/>
              <w:rPr/>
            </w:pPr>
            <w:r>
              <w:rPr/>
              <w:t xml:space="preserve">government corporations </w:t>
            </w:r>
          </w:p>
        </w:tc>
        <w:tc>
          <w:tcPr>
            <w:tcW w:w="90" w:type="dxa"/>
            <w:tcBorders/>
            <w:shd w:fill="CCEEFF" w:val="clear"/>
            <w:vAlign w:val="center"/>
          </w:tcPr>
          <w:p>
            <w:pPr>
              <w:pStyle w:val="TableContents"/>
              <w:spacing w:before="0" w:after="0"/>
              <w:ind w:left="0" w:right="0" w:hanging="0"/>
              <w:rPr/>
            </w:pPr>
            <w:r>
              <w:rPr/>
              <w:t> </w:t>
            </w:r>
          </w:p>
        </w:tc>
        <w:tc>
          <w:tcPr>
            <w:tcW w:w="1180" w:type="dxa"/>
            <w:gridSpan w:val="2"/>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60" w:type="dxa"/>
            <w:gridSpan w:val="2"/>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50" w:type="dxa"/>
            <w:gridSpan w:val="2"/>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80" w:type="dxa"/>
            <w:gridSpan w:val="2"/>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60" w:type="dxa"/>
            <w:gridSpan w:val="2"/>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50" w:type="dxa"/>
            <w:gridSpan w:val="2"/>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300" w:type="dxa"/>
            <w:gridSpan w:val="2"/>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60" w:type="dxa"/>
            <w:gridSpan w:val="2"/>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1625" w:type="dxa"/>
            <w:tcBorders/>
            <w:shd w:fill="CCEEFF" w:val="clear"/>
            <w:vAlign w:val="center"/>
          </w:tcPr>
          <w:p>
            <w:pPr>
              <w:pStyle w:val="TableContents"/>
              <w:spacing w:before="0" w:after="0"/>
              <w:ind w:left="0" w:right="0" w:hanging="0"/>
              <w:rPr/>
            </w:pPr>
            <w:r>
              <w:rPr/>
              <w:t xml:space="preserve">and agencies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6" w:type="dxa"/>
            <w:tcBorders/>
            <w:shd w:fill="CCEEFF" w:val="clear"/>
            <w:vAlign w:val="center"/>
          </w:tcPr>
          <w:p>
            <w:pPr>
              <w:pStyle w:val="TableContents"/>
              <w:spacing w:before="0" w:after="283"/>
              <w:rPr/>
            </w:pPr>
            <w:r>
              <w:rPr/>
              <w:t>$</w:t>
            </w:r>
          </w:p>
        </w:tc>
        <w:tc>
          <w:tcPr>
            <w:tcW w:w="954"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327" w:type="dxa"/>
            <w:tcBorders/>
            <w:shd w:fill="CCEEFF" w:val="clear"/>
            <w:vAlign w:val="center"/>
          </w:tcPr>
          <w:p>
            <w:pPr>
              <w:pStyle w:val="TableContents"/>
              <w:spacing w:before="0" w:after="0"/>
              <w:ind w:left="0" w:right="0" w:hanging="0"/>
              <w:rPr/>
            </w:pPr>
            <w:r>
              <w:rPr/>
              <w:t> </w:t>
            </w:r>
          </w:p>
        </w:tc>
        <w:tc>
          <w:tcPr>
            <w:tcW w:w="623"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3" w:type="dxa"/>
            <w:tcBorders/>
            <w:shd w:fill="CCEEFF" w:val="clear"/>
            <w:vAlign w:val="center"/>
          </w:tcPr>
          <w:p>
            <w:pPr>
              <w:pStyle w:val="TableContents"/>
              <w:spacing w:before="0" w:after="283"/>
              <w:rPr/>
            </w:pPr>
            <w:r>
              <w:rPr/>
              <w:t>$</w:t>
            </w:r>
          </w:p>
        </w:tc>
        <w:tc>
          <w:tcPr>
            <w:tcW w:w="977"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24" w:type="dxa"/>
            <w:tcBorders/>
            <w:shd w:fill="CCEEFF" w:val="clear"/>
            <w:vAlign w:val="center"/>
          </w:tcPr>
          <w:p>
            <w:pPr>
              <w:pStyle w:val="TableContents"/>
              <w:spacing w:before="0" w:after="0"/>
              <w:ind w:left="0" w:right="0" w:hanging="0"/>
              <w:rPr/>
            </w:pPr>
            <w:r>
              <w:rPr/>
              <w:t> </w:t>
            </w:r>
          </w:p>
        </w:tc>
        <w:tc>
          <w:tcPr>
            <w:tcW w:w="726"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3" w:type="dxa"/>
            <w:tcBorders/>
            <w:shd w:fill="CCEEFF" w:val="clear"/>
            <w:vAlign w:val="center"/>
          </w:tcPr>
          <w:p>
            <w:pPr>
              <w:pStyle w:val="TableContents"/>
              <w:spacing w:before="0" w:after="283"/>
              <w:rPr/>
            </w:pPr>
            <w:r>
              <w:rPr/>
              <w:t>$</w:t>
            </w:r>
          </w:p>
        </w:tc>
        <w:tc>
          <w:tcPr>
            <w:tcW w:w="977" w:type="dxa"/>
            <w:tcBorders/>
            <w:shd w:fill="CCEEFF" w:val="clear"/>
            <w:vAlign w:val="center"/>
          </w:tcPr>
          <w:p>
            <w:pPr>
              <w:pStyle w:val="TableContents"/>
              <w:spacing w:before="0" w:after="283"/>
              <w:jc w:val="right"/>
              <w:rPr/>
            </w:pPr>
            <w:r>
              <w:rPr/>
              <w:t>-</w:t>
            </w:r>
          </w:p>
        </w:tc>
        <w:tc>
          <w:tcPr>
            <w:tcW w:w="170" w:type="dxa"/>
            <w:tcBorders/>
            <w:shd w:fill="CCEEFF" w:val="clear"/>
            <w:vAlign w:val="center"/>
          </w:tcPr>
          <w:p>
            <w:pPr>
              <w:pStyle w:val="TableContents"/>
              <w:spacing w:before="0" w:after="0"/>
              <w:ind w:left="0" w:right="0" w:hanging="0"/>
              <w:rPr/>
            </w:pPr>
            <w:r>
              <w:rPr/>
              <w:t> </w:t>
            </w:r>
          </w:p>
        </w:tc>
      </w:tr>
      <w:tr>
        <w:trPr/>
        <w:tc>
          <w:tcPr>
            <w:tcW w:w="16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06" w:type="dxa"/>
            <w:tcBorders/>
            <w:shd w:fill="FFFFFF" w:val="clear"/>
            <w:vAlign w:val="center"/>
          </w:tcPr>
          <w:p>
            <w:pPr>
              <w:pStyle w:val="TableContents"/>
              <w:spacing w:before="0" w:after="0"/>
              <w:ind w:left="0" w:right="0" w:hanging="0"/>
              <w:rPr/>
            </w:pPr>
            <w:r>
              <w:rPr/>
              <w:t> </w:t>
            </w:r>
          </w:p>
        </w:tc>
        <w:tc>
          <w:tcPr>
            <w:tcW w:w="954"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327" w:type="dxa"/>
            <w:tcBorders/>
            <w:shd w:fill="FFFFFF" w:val="clear"/>
            <w:vAlign w:val="center"/>
          </w:tcPr>
          <w:p>
            <w:pPr>
              <w:pStyle w:val="TableContents"/>
              <w:spacing w:before="0" w:after="0"/>
              <w:ind w:left="0" w:right="0" w:hanging="0"/>
              <w:rPr/>
            </w:pPr>
            <w:r>
              <w:rPr/>
              <w:t> </w:t>
            </w:r>
          </w:p>
        </w:tc>
        <w:tc>
          <w:tcPr>
            <w:tcW w:w="623"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3" w:type="dxa"/>
            <w:tcBorders/>
            <w:shd w:fill="FFFFFF" w:val="clear"/>
            <w:vAlign w:val="center"/>
          </w:tcPr>
          <w:p>
            <w:pPr>
              <w:pStyle w:val="TableContents"/>
              <w:spacing w:before="0" w:after="0"/>
              <w:ind w:left="0" w:right="0" w:hanging="0"/>
              <w:rPr/>
            </w:pPr>
            <w:r>
              <w:rPr/>
              <w:t> </w:t>
            </w:r>
          </w:p>
        </w:tc>
        <w:tc>
          <w:tcPr>
            <w:tcW w:w="977"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24" w:type="dxa"/>
            <w:tcBorders/>
            <w:shd w:fill="FFFFFF" w:val="clear"/>
            <w:vAlign w:val="center"/>
          </w:tcPr>
          <w:p>
            <w:pPr>
              <w:pStyle w:val="TableContents"/>
              <w:spacing w:before="0" w:after="0"/>
              <w:ind w:left="0" w:right="0" w:hanging="0"/>
              <w:rPr/>
            </w:pPr>
            <w:r>
              <w:rPr/>
              <w:t> </w:t>
            </w:r>
          </w:p>
        </w:tc>
        <w:tc>
          <w:tcPr>
            <w:tcW w:w="726"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3" w:type="dxa"/>
            <w:tcBorders/>
            <w:shd w:fill="FFFFFF" w:val="clear"/>
            <w:vAlign w:val="center"/>
          </w:tcPr>
          <w:p>
            <w:pPr>
              <w:pStyle w:val="TableContents"/>
              <w:spacing w:before="0" w:after="0"/>
              <w:ind w:left="0" w:right="0" w:hanging="0"/>
              <w:rPr/>
            </w:pPr>
            <w:r>
              <w:rPr/>
              <w:t> </w:t>
            </w:r>
          </w:p>
        </w:tc>
        <w:tc>
          <w:tcPr>
            <w:tcW w:w="977"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1625" w:type="dxa"/>
            <w:tcBorders/>
            <w:shd w:fill="CCEEFF" w:val="clear"/>
            <w:vAlign w:val="center"/>
          </w:tcPr>
          <w:p>
            <w:pPr>
              <w:pStyle w:val="TableContents"/>
              <w:spacing w:before="0" w:after="0"/>
              <w:ind w:left="0" w:right="0" w:hanging="0"/>
              <w:rPr/>
            </w:pPr>
            <w:r>
              <w:rPr/>
              <w:t xml:space="preserve">Political subdivisions of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6" w:type="dxa"/>
            <w:tcBorders/>
            <w:shd w:fill="CCEEFF" w:val="clear"/>
            <w:vAlign w:val="center"/>
          </w:tcPr>
          <w:p>
            <w:pPr>
              <w:pStyle w:val="TableContents"/>
              <w:spacing w:before="0" w:after="0"/>
              <w:ind w:left="0" w:right="0" w:hanging="0"/>
              <w:rPr/>
            </w:pPr>
            <w:r>
              <w:rPr/>
              <w:t> </w:t>
            </w:r>
          </w:p>
        </w:tc>
        <w:tc>
          <w:tcPr>
            <w:tcW w:w="954"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327" w:type="dxa"/>
            <w:tcBorders/>
            <w:shd w:fill="CCEEFF" w:val="clear"/>
            <w:vAlign w:val="center"/>
          </w:tcPr>
          <w:p>
            <w:pPr>
              <w:pStyle w:val="TableContents"/>
              <w:spacing w:before="0" w:after="0"/>
              <w:ind w:left="0" w:right="0" w:hanging="0"/>
              <w:rPr/>
            </w:pPr>
            <w:r>
              <w:rPr/>
              <w:t> </w:t>
            </w:r>
          </w:p>
        </w:tc>
        <w:tc>
          <w:tcPr>
            <w:tcW w:w="623"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3" w:type="dxa"/>
            <w:tcBorders/>
            <w:shd w:fill="CCEEFF" w:val="clear"/>
            <w:vAlign w:val="center"/>
          </w:tcPr>
          <w:p>
            <w:pPr>
              <w:pStyle w:val="TableContents"/>
              <w:spacing w:before="0" w:after="0"/>
              <w:ind w:left="0" w:right="0" w:hanging="0"/>
              <w:rPr/>
            </w:pPr>
            <w:r>
              <w:rPr/>
              <w:t> </w:t>
            </w:r>
          </w:p>
        </w:tc>
        <w:tc>
          <w:tcPr>
            <w:tcW w:w="977"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24" w:type="dxa"/>
            <w:tcBorders/>
            <w:shd w:fill="CCEEFF" w:val="clear"/>
            <w:vAlign w:val="center"/>
          </w:tcPr>
          <w:p>
            <w:pPr>
              <w:pStyle w:val="TableContents"/>
              <w:spacing w:before="0" w:after="0"/>
              <w:ind w:left="0" w:right="0" w:hanging="0"/>
              <w:rPr/>
            </w:pPr>
            <w:r>
              <w:rPr/>
              <w:t> </w:t>
            </w:r>
          </w:p>
        </w:tc>
        <w:tc>
          <w:tcPr>
            <w:tcW w:w="726"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3" w:type="dxa"/>
            <w:tcBorders/>
            <w:shd w:fill="CCEEFF" w:val="clear"/>
            <w:vAlign w:val="center"/>
          </w:tcPr>
          <w:p>
            <w:pPr>
              <w:pStyle w:val="TableContents"/>
              <w:spacing w:before="0" w:after="0"/>
              <w:ind w:left="0" w:right="0" w:hanging="0"/>
              <w:rPr/>
            </w:pPr>
            <w:r>
              <w:rPr/>
              <w:t> </w:t>
            </w:r>
          </w:p>
        </w:tc>
        <w:tc>
          <w:tcPr>
            <w:tcW w:w="977"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1625" w:type="dxa"/>
            <w:tcBorders/>
            <w:shd w:fill="CCEEFF" w:val="clear"/>
            <w:vAlign w:val="center"/>
          </w:tcPr>
          <w:p>
            <w:pPr>
              <w:pStyle w:val="TableContents"/>
              <w:spacing w:before="0" w:after="0"/>
              <w:ind w:left="0" w:right="0" w:hanging="0"/>
              <w:rPr/>
            </w:pPr>
            <w:r>
              <w:rPr/>
              <w:t xml:space="preserve">States, Territories and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6" w:type="dxa"/>
            <w:tcBorders/>
            <w:shd w:fill="CCEEFF" w:val="clear"/>
            <w:vAlign w:val="center"/>
          </w:tcPr>
          <w:p>
            <w:pPr>
              <w:pStyle w:val="TableContents"/>
              <w:spacing w:before="0" w:after="0"/>
              <w:ind w:left="0" w:right="0" w:hanging="0"/>
              <w:rPr/>
            </w:pPr>
            <w:r>
              <w:rPr/>
              <w:t> </w:t>
            </w:r>
          </w:p>
        </w:tc>
        <w:tc>
          <w:tcPr>
            <w:tcW w:w="954"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327" w:type="dxa"/>
            <w:tcBorders/>
            <w:shd w:fill="CCEEFF" w:val="clear"/>
            <w:vAlign w:val="center"/>
          </w:tcPr>
          <w:p>
            <w:pPr>
              <w:pStyle w:val="TableContents"/>
              <w:spacing w:before="0" w:after="0"/>
              <w:ind w:left="0" w:right="0" w:hanging="0"/>
              <w:rPr/>
            </w:pPr>
            <w:r>
              <w:rPr/>
              <w:t> </w:t>
            </w:r>
          </w:p>
        </w:tc>
        <w:tc>
          <w:tcPr>
            <w:tcW w:w="623"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3" w:type="dxa"/>
            <w:tcBorders/>
            <w:shd w:fill="CCEEFF" w:val="clear"/>
            <w:vAlign w:val="center"/>
          </w:tcPr>
          <w:p>
            <w:pPr>
              <w:pStyle w:val="TableContents"/>
              <w:spacing w:before="0" w:after="0"/>
              <w:ind w:left="0" w:right="0" w:hanging="0"/>
              <w:rPr/>
            </w:pPr>
            <w:r>
              <w:rPr/>
              <w:t> </w:t>
            </w:r>
          </w:p>
        </w:tc>
        <w:tc>
          <w:tcPr>
            <w:tcW w:w="977"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24" w:type="dxa"/>
            <w:tcBorders/>
            <w:shd w:fill="CCEEFF" w:val="clear"/>
            <w:vAlign w:val="center"/>
          </w:tcPr>
          <w:p>
            <w:pPr>
              <w:pStyle w:val="TableContents"/>
              <w:spacing w:before="0" w:after="0"/>
              <w:ind w:left="0" w:right="0" w:hanging="0"/>
              <w:rPr/>
            </w:pPr>
            <w:r>
              <w:rPr/>
              <w:t> </w:t>
            </w:r>
          </w:p>
        </w:tc>
        <w:tc>
          <w:tcPr>
            <w:tcW w:w="726"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3" w:type="dxa"/>
            <w:tcBorders/>
            <w:shd w:fill="CCEEFF" w:val="clear"/>
            <w:vAlign w:val="center"/>
          </w:tcPr>
          <w:p>
            <w:pPr>
              <w:pStyle w:val="TableContents"/>
              <w:spacing w:before="0" w:after="0"/>
              <w:ind w:left="0" w:right="0" w:hanging="0"/>
              <w:rPr/>
            </w:pPr>
            <w:r>
              <w:rPr/>
              <w:t> </w:t>
            </w:r>
          </w:p>
        </w:tc>
        <w:tc>
          <w:tcPr>
            <w:tcW w:w="977"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1625" w:type="dxa"/>
            <w:tcBorders/>
            <w:shd w:fill="CCEEFF" w:val="clear"/>
            <w:vAlign w:val="center"/>
          </w:tcPr>
          <w:p>
            <w:pPr>
              <w:pStyle w:val="TableContents"/>
              <w:spacing w:before="0" w:after="0"/>
              <w:ind w:left="0" w:right="0" w:hanging="0"/>
              <w:rPr/>
            </w:pPr>
            <w:r>
              <w:rPr/>
              <w:t xml:space="preserve">Possessions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6" w:type="dxa"/>
            <w:tcBorders/>
            <w:shd w:fill="CCEEFF" w:val="clear"/>
            <w:vAlign w:val="center"/>
          </w:tcPr>
          <w:p>
            <w:pPr>
              <w:pStyle w:val="TableContents"/>
              <w:spacing w:before="0" w:after="0"/>
              <w:ind w:left="0" w:right="0" w:hanging="0"/>
              <w:rPr/>
            </w:pPr>
            <w:r>
              <w:rPr/>
              <w:t> </w:t>
            </w:r>
          </w:p>
        </w:tc>
        <w:tc>
          <w:tcPr>
            <w:tcW w:w="954"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327" w:type="dxa"/>
            <w:tcBorders/>
            <w:shd w:fill="CCEEFF" w:val="clear"/>
            <w:vAlign w:val="center"/>
          </w:tcPr>
          <w:p>
            <w:pPr>
              <w:pStyle w:val="TableContents"/>
              <w:spacing w:before="0" w:after="0"/>
              <w:ind w:left="0" w:right="0" w:hanging="0"/>
              <w:rPr/>
            </w:pPr>
            <w:r>
              <w:rPr/>
              <w:t> </w:t>
            </w:r>
          </w:p>
        </w:tc>
        <w:tc>
          <w:tcPr>
            <w:tcW w:w="623"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3" w:type="dxa"/>
            <w:tcBorders/>
            <w:shd w:fill="CCEEFF" w:val="clear"/>
            <w:vAlign w:val="center"/>
          </w:tcPr>
          <w:p>
            <w:pPr>
              <w:pStyle w:val="TableContents"/>
              <w:spacing w:before="0" w:after="0"/>
              <w:ind w:left="0" w:right="0" w:hanging="0"/>
              <w:rPr/>
            </w:pPr>
            <w:r>
              <w:rPr/>
              <w:t> </w:t>
            </w:r>
          </w:p>
        </w:tc>
        <w:tc>
          <w:tcPr>
            <w:tcW w:w="977"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24" w:type="dxa"/>
            <w:tcBorders/>
            <w:shd w:fill="CCEEFF" w:val="clear"/>
            <w:vAlign w:val="center"/>
          </w:tcPr>
          <w:p>
            <w:pPr>
              <w:pStyle w:val="TableContents"/>
              <w:spacing w:before="0" w:after="0"/>
              <w:ind w:left="0" w:right="0" w:hanging="0"/>
              <w:rPr/>
            </w:pPr>
            <w:r>
              <w:rPr/>
              <w:t> </w:t>
            </w:r>
          </w:p>
        </w:tc>
        <w:tc>
          <w:tcPr>
            <w:tcW w:w="726"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3" w:type="dxa"/>
            <w:tcBorders/>
            <w:shd w:fill="CCEEFF" w:val="clear"/>
            <w:vAlign w:val="center"/>
          </w:tcPr>
          <w:p>
            <w:pPr>
              <w:pStyle w:val="TableContents"/>
              <w:spacing w:before="0" w:after="0"/>
              <w:ind w:left="0" w:right="0" w:hanging="0"/>
              <w:rPr/>
            </w:pPr>
            <w:r>
              <w:rPr/>
              <w:t> </w:t>
            </w:r>
          </w:p>
        </w:tc>
        <w:tc>
          <w:tcPr>
            <w:tcW w:w="977" w:type="dxa"/>
            <w:tcBorders/>
            <w:shd w:fill="CCEEFF" w:val="clear"/>
            <w:vAlign w:val="center"/>
          </w:tcPr>
          <w:p>
            <w:pPr>
              <w:pStyle w:val="TableContents"/>
              <w:spacing w:before="0" w:after="283"/>
              <w:jc w:val="right"/>
              <w:rPr/>
            </w:pPr>
            <w:r>
              <w:rPr/>
              <w:t>-</w:t>
            </w:r>
          </w:p>
        </w:tc>
        <w:tc>
          <w:tcPr>
            <w:tcW w:w="170" w:type="dxa"/>
            <w:tcBorders/>
            <w:shd w:fill="CCEEFF" w:val="clear"/>
            <w:vAlign w:val="center"/>
          </w:tcPr>
          <w:p>
            <w:pPr>
              <w:pStyle w:val="TableContents"/>
              <w:spacing w:before="0" w:after="0"/>
              <w:ind w:left="0" w:right="0" w:hanging="0"/>
              <w:rPr/>
            </w:pPr>
            <w:r>
              <w:rPr/>
              <w:t> </w:t>
            </w:r>
          </w:p>
        </w:tc>
      </w:tr>
      <w:tr>
        <w:trPr/>
        <w:tc>
          <w:tcPr>
            <w:tcW w:w="16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06" w:type="dxa"/>
            <w:tcBorders/>
            <w:shd w:fill="FFFFFF" w:val="clear"/>
            <w:vAlign w:val="center"/>
          </w:tcPr>
          <w:p>
            <w:pPr>
              <w:pStyle w:val="TableContents"/>
              <w:spacing w:before="0" w:after="0"/>
              <w:ind w:left="0" w:right="0" w:hanging="0"/>
              <w:rPr/>
            </w:pPr>
            <w:r>
              <w:rPr/>
              <w:t> </w:t>
            </w:r>
          </w:p>
        </w:tc>
        <w:tc>
          <w:tcPr>
            <w:tcW w:w="954"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327" w:type="dxa"/>
            <w:tcBorders/>
            <w:shd w:fill="FFFFFF" w:val="clear"/>
            <w:vAlign w:val="center"/>
          </w:tcPr>
          <w:p>
            <w:pPr>
              <w:pStyle w:val="TableContents"/>
              <w:spacing w:before="0" w:after="0"/>
              <w:ind w:left="0" w:right="0" w:hanging="0"/>
              <w:rPr/>
            </w:pPr>
            <w:r>
              <w:rPr/>
              <w:t> </w:t>
            </w:r>
          </w:p>
        </w:tc>
        <w:tc>
          <w:tcPr>
            <w:tcW w:w="623"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3" w:type="dxa"/>
            <w:tcBorders/>
            <w:shd w:fill="FFFFFF" w:val="clear"/>
            <w:vAlign w:val="center"/>
          </w:tcPr>
          <w:p>
            <w:pPr>
              <w:pStyle w:val="TableContents"/>
              <w:spacing w:before="0" w:after="0"/>
              <w:ind w:left="0" w:right="0" w:hanging="0"/>
              <w:rPr/>
            </w:pPr>
            <w:r>
              <w:rPr/>
              <w:t> </w:t>
            </w:r>
          </w:p>
        </w:tc>
        <w:tc>
          <w:tcPr>
            <w:tcW w:w="977"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24" w:type="dxa"/>
            <w:tcBorders/>
            <w:shd w:fill="FFFFFF" w:val="clear"/>
            <w:vAlign w:val="center"/>
          </w:tcPr>
          <w:p>
            <w:pPr>
              <w:pStyle w:val="TableContents"/>
              <w:spacing w:before="0" w:after="0"/>
              <w:ind w:left="0" w:right="0" w:hanging="0"/>
              <w:rPr/>
            </w:pPr>
            <w:r>
              <w:rPr/>
              <w:t> </w:t>
            </w:r>
          </w:p>
        </w:tc>
        <w:tc>
          <w:tcPr>
            <w:tcW w:w="726"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3" w:type="dxa"/>
            <w:tcBorders/>
            <w:shd w:fill="FFFFFF" w:val="clear"/>
            <w:vAlign w:val="center"/>
          </w:tcPr>
          <w:p>
            <w:pPr>
              <w:pStyle w:val="TableContents"/>
              <w:spacing w:before="0" w:after="0"/>
              <w:ind w:left="0" w:right="0" w:hanging="0"/>
              <w:rPr/>
            </w:pPr>
            <w:r>
              <w:rPr/>
              <w:t> </w:t>
            </w:r>
          </w:p>
        </w:tc>
        <w:tc>
          <w:tcPr>
            <w:tcW w:w="977"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1625" w:type="dxa"/>
            <w:tcBorders/>
            <w:shd w:fill="CCEEFF" w:val="clear"/>
            <w:vAlign w:val="center"/>
          </w:tcPr>
          <w:p>
            <w:pPr>
              <w:pStyle w:val="TableContents"/>
              <w:spacing w:before="0" w:after="0"/>
              <w:ind w:left="0" w:right="0" w:hanging="0"/>
              <w:rPr/>
            </w:pPr>
            <w:r>
              <w:rPr/>
              <w:t xml:space="preserve">Corporate and other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6" w:type="dxa"/>
            <w:tcBorders/>
            <w:shd w:fill="CCEEFF" w:val="clear"/>
            <w:vAlign w:val="center"/>
          </w:tcPr>
          <w:p>
            <w:pPr>
              <w:pStyle w:val="TableContents"/>
              <w:spacing w:before="0" w:after="0"/>
              <w:ind w:left="0" w:right="0" w:hanging="0"/>
              <w:rPr/>
            </w:pPr>
            <w:r>
              <w:rPr/>
              <w:t> </w:t>
            </w:r>
          </w:p>
        </w:tc>
        <w:tc>
          <w:tcPr>
            <w:tcW w:w="954"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327" w:type="dxa"/>
            <w:tcBorders/>
            <w:shd w:fill="CCEEFF" w:val="clear"/>
            <w:vAlign w:val="center"/>
          </w:tcPr>
          <w:p>
            <w:pPr>
              <w:pStyle w:val="TableContents"/>
              <w:spacing w:before="0" w:after="0"/>
              <w:ind w:left="0" w:right="0" w:hanging="0"/>
              <w:rPr/>
            </w:pPr>
            <w:r>
              <w:rPr/>
              <w:t> </w:t>
            </w:r>
          </w:p>
        </w:tc>
        <w:tc>
          <w:tcPr>
            <w:tcW w:w="623"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3" w:type="dxa"/>
            <w:tcBorders/>
            <w:shd w:fill="CCEEFF" w:val="clear"/>
            <w:vAlign w:val="center"/>
          </w:tcPr>
          <w:p>
            <w:pPr>
              <w:pStyle w:val="TableContents"/>
              <w:spacing w:before="0" w:after="0"/>
              <w:ind w:left="0" w:right="0" w:hanging="0"/>
              <w:rPr/>
            </w:pPr>
            <w:r>
              <w:rPr/>
              <w:t> </w:t>
            </w:r>
          </w:p>
        </w:tc>
        <w:tc>
          <w:tcPr>
            <w:tcW w:w="977"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24" w:type="dxa"/>
            <w:tcBorders/>
            <w:shd w:fill="CCEEFF" w:val="clear"/>
            <w:vAlign w:val="center"/>
          </w:tcPr>
          <w:p>
            <w:pPr>
              <w:pStyle w:val="TableContents"/>
              <w:spacing w:before="0" w:after="0"/>
              <w:ind w:left="0" w:right="0" w:hanging="0"/>
              <w:rPr/>
            </w:pPr>
            <w:r>
              <w:rPr/>
              <w:t> </w:t>
            </w:r>
          </w:p>
        </w:tc>
        <w:tc>
          <w:tcPr>
            <w:tcW w:w="726"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3" w:type="dxa"/>
            <w:tcBorders/>
            <w:shd w:fill="CCEEFF" w:val="clear"/>
            <w:vAlign w:val="center"/>
          </w:tcPr>
          <w:p>
            <w:pPr>
              <w:pStyle w:val="TableContents"/>
              <w:spacing w:before="0" w:after="0"/>
              <w:ind w:left="0" w:right="0" w:hanging="0"/>
              <w:rPr/>
            </w:pPr>
            <w:r>
              <w:rPr/>
              <w:t> </w:t>
            </w:r>
          </w:p>
        </w:tc>
        <w:tc>
          <w:tcPr>
            <w:tcW w:w="977"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1625" w:type="dxa"/>
            <w:tcBorders/>
            <w:shd w:fill="CCEEFF" w:val="clear"/>
            <w:vAlign w:val="center"/>
          </w:tcPr>
          <w:p>
            <w:pPr>
              <w:pStyle w:val="TableContents"/>
              <w:spacing w:before="0" w:after="0"/>
              <w:ind w:left="0" w:right="0" w:hanging="0"/>
              <w:rPr/>
            </w:pPr>
            <w:r>
              <w:rPr/>
              <w:t xml:space="preserve">bonds industrial and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6" w:type="dxa"/>
            <w:tcBorders/>
            <w:shd w:fill="CCEEFF" w:val="clear"/>
            <w:vAlign w:val="center"/>
          </w:tcPr>
          <w:p>
            <w:pPr>
              <w:pStyle w:val="TableContents"/>
              <w:spacing w:before="0" w:after="0"/>
              <w:ind w:left="0" w:right="0" w:hanging="0"/>
              <w:rPr/>
            </w:pPr>
            <w:r>
              <w:rPr/>
              <w:t> </w:t>
            </w:r>
          </w:p>
        </w:tc>
        <w:tc>
          <w:tcPr>
            <w:tcW w:w="954"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327" w:type="dxa"/>
            <w:tcBorders/>
            <w:shd w:fill="CCEEFF" w:val="clear"/>
            <w:vAlign w:val="center"/>
          </w:tcPr>
          <w:p>
            <w:pPr>
              <w:pStyle w:val="TableContents"/>
              <w:spacing w:before="0" w:after="0"/>
              <w:ind w:left="0" w:right="0" w:hanging="0"/>
              <w:rPr/>
            </w:pPr>
            <w:r>
              <w:rPr/>
              <w:t> </w:t>
            </w:r>
          </w:p>
        </w:tc>
        <w:tc>
          <w:tcPr>
            <w:tcW w:w="623"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3" w:type="dxa"/>
            <w:tcBorders/>
            <w:shd w:fill="CCEEFF" w:val="clear"/>
            <w:vAlign w:val="center"/>
          </w:tcPr>
          <w:p>
            <w:pPr>
              <w:pStyle w:val="TableContents"/>
              <w:spacing w:before="0" w:after="0"/>
              <w:ind w:left="0" w:right="0" w:hanging="0"/>
              <w:rPr/>
            </w:pPr>
            <w:r>
              <w:rPr/>
              <w:t> </w:t>
            </w:r>
          </w:p>
        </w:tc>
        <w:tc>
          <w:tcPr>
            <w:tcW w:w="977"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24" w:type="dxa"/>
            <w:tcBorders/>
            <w:shd w:fill="CCEEFF" w:val="clear"/>
            <w:vAlign w:val="center"/>
          </w:tcPr>
          <w:p>
            <w:pPr>
              <w:pStyle w:val="TableContents"/>
              <w:spacing w:before="0" w:after="0"/>
              <w:ind w:left="0" w:right="0" w:hanging="0"/>
              <w:rPr/>
            </w:pPr>
            <w:r>
              <w:rPr/>
              <w:t> </w:t>
            </w:r>
          </w:p>
        </w:tc>
        <w:tc>
          <w:tcPr>
            <w:tcW w:w="726"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3" w:type="dxa"/>
            <w:tcBorders/>
            <w:shd w:fill="CCEEFF" w:val="clear"/>
            <w:vAlign w:val="center"/>
          </w:tcPr>
          <w:p>
            <w:pPr>
              <w:pStyle w:val="TableContents"/>
              <w:spacing w:before="0" w:after="0"/>
              <w:ind w:left="0" w:right="0" w:hanging="0"/>
              <w:rPr/>
            </w:pPr>
            <w:r>
              <w:rPr/>
              <w:t> </w:t>
            </w:r>
          </w:p>
        </w:tc>
        <w:tc>
          <w:tcPr>
            <w:tcW w:w="977"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1625" w:type="dxa"/>
            <w:tcBorders/>
            <w:shd w:fill="CCEEFF" w:val="clear"/>
            <w:vAlign w:val="center"/>
          </w:tcPr>
          <w:p>
            <w:pPr>
              <w:pStyle w:val="TableContents"/>
              <w:spacing w:before="0" w:after="0"/>
              <w:ind w:left="0" w:right="0" w:hanging="0"/>
              <w:rPr/>
            </w:pPr>
            <w:r>
              <w:rPr/>
              <w:t xml:space="preserve">miscellaneous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1,006,901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6" w:type="dxa"/>
            <w:tcBorders/>
            <w:shd w:fill="CCEEFF" w:val="clear"/>
            <w:vAlign w:val="center"/>
          </w:tcPr>
          <w:p>
            <w:pPr>
              <w:pStyle w:val="TableContents"/>
              <w:spacing w:before="0" w:after="0"/>
              <w:ind w:left="0" w:right="0" w:hanging="0"/>
              <w:rPr/>
            </w:pPr>
            <w:r>
              <w:rPr/>
              <w:t> </w:t>
            </w:r>
          </w:p>
        </w:tc>
        <w:tc>
          <w:tcPr>
            <w:tcW w:w="954" w:type="dxa"/>
            <w:tcBorders/>
            <w:shd w:fill="CCEEFF" w:val="clear"/>
            <w:vAlign w:val="center"/>
          </w:tcPr>
          <w:p>
            <w:pPr>
              <w:pStyle w:val="TableContents"/>
              <w:spacing w:before="0" w:after="283"/>
              <w:jc w:val="right"/>
              <w:rPr/>
            </w:pPr>
            <w:r>
              <w:rPr/>
              <w:t>(13,216</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327" w:type="dxa"/>
            <w:tcBorders/>
            <w:shd w:fill="CCEEFF" w:val="clear"/>
            <w:vAlign w:val="center"/>
          </w:tcPr>
          <w:p>
            <w:pPr>
              <w:pStyle w:val="TableContents"/>
              <w:spacing w:before="0" w:after="0"/>
              <w:ind w:left="0" w:right="0" w:hanging="0"/>
              <w:rPr/>
            </w:pPr>
            <w:r>
              <w:rPr/>
              <w:t> </w:t>
            </w:r>
          </w:p>
        </w:tc>
        <w:tc>
          <w:tcPr>
            <w:tcW w:w="623" w:type="dxa"/>
            <w:tcBorders/>
            <w:shd w:fill="CCEEFF" w:val="clear"/>
            <w:vAlign w:val="center"/>
          </w:tcPr>
          <w:p>
            <w:pPr>
              <w:pStyle w:val="TableContents"/>
              <w:spacing w:before="0" w:after="283"/>
              <w:jc w:val="right"/>
              <w:rPr/>
            </w:pPr>
            <w:r>
              <w:rPr/>
              <w:t>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3" w:type="dxa"/>
            <w:tcBorders/>
            <w:shd w:fill="CCEEFF" w:val="clear"/>
            <w:vAlign w:val="center"/>
          </w:tcPr>
          <w:p>
            <w:pPr>
              <w:pStyle w:val="TableContents"/>
              <w:spacing w:before="0" w:after="0"/>
              <w:ind w:left="0" w:right="0" w:hanging="0"/>
              <w:rPr/>
            </w:pPr>
            <w:r>
              <w:rPr/>
              <w:t> </w:t>
            </w:r>
          </w:p>
        </w:tc>
        <w:tc>
          <w:tcPr>
            <w:tcW w:w="977"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24" w:type="dxa"/>
            <w:tcBorders/>
            <w:shd w:fill="CCEEFF" w:val="clear"/>
            <w:vAlign w:val="center"/>
          </w:tcPr>
          <w:p>
            <w:pPr>
              <w:pStyle w:val="TableContents"/>
              <w:spacing w:before="0" w:after="0"/>
              <w:ind w:left="0" w:right="0" w:hanging="0"/>
              <w:rPr/>
            </w:pPr>
            <w:r>
              <w:rPr/>
              <w:t> </w:t>
            </w:r>
          </w:p>
        </w:tc>
        <w:tc>
          <w:tcPr>
            <w:tcW w:w="726"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1,006,901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3" w:type="dxa"/>
            <w:tcBorders/>
            <w:shd w:fill="CCEEFF" w:val="clear"/>
            <w:vAlign w:val="center"/>
          </w:tcPr>
          <w:p>
            <w:pPr>
              <w:pStyle w:val="TableContents"/>
              <w:spacing w:before="0" w:after="0"/>
              <w:ind w:left="0" w:right="0" w:hanging="0"/>
              <w:rPr/>
            </w:pPr>
            <w:r>
              <w:rPr/>
              <w:t> </w:t>
            </w:r>
          </w:p>
        </w:tc>
        <w:tc>
          <w:tcPr>
            <w:tcW w:w="977" w:type="dxa"/>
            <w:tcBorders/>
            <w:shd w:fill="CCEEFF" w:val="clear"/>
            <w:vAlign w:val="center"/>
          </w:tcPr>
          <w:p>
            <w:pPr>
              <w:pStyle w:val="TableContents"/>
              <w:spacing w:before="0" w:after="283"/>
              <w:jc w:val="right"/>
              <w:rPr/>
            </w:pPr>
            <w:r>
              <w:rPr/>
              <w:t>(13,216</w:t>
            </w:r>
          </w:p>
        </w:tc>
        <w:tc>
          <w:tcPr>
            <w:tcW w:w="170" w:type="dxa"/>
            <w:tcBorders/>
            <w:shd w:fill="CCEEFF" w:val="clear"/>
            <w:vAlign w:val="center"/>
          </w:tcPr>
          <w:p>
            <w:pPr>
              <w:pStyle w:val="TableContents"/>
              <w:spacing w:before="0" w:after="283"/>
              <w:rPr/>
            </w:pPr>
            <w:r>
              <w:rPr/>
              <w:t>)</w:t>
            </w:r>
          </w:p>
        </w:tc>
      </w:tr>
      <w:tr>
        <w:trPr/>
        <w:tc>
          <w:tcPr>
            <w:tcW w:w="16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06" w:type="dxa"/>
            <w:tcBorders/>
            <w:shd w:fill="FFFFFF" w:val="clear"/>
            <w:vAlign w:val="center"/>
          </w:tcPr>
          <w:p>
            <w:pPr>
              <w:pStyle w:val="TableContents"/>
              <w:spacing w:before="0" w:after="0"/>
              <w:ind w:left="0" w:right="0" w:hanging="0"/>
              <w:rPr/>
            </w:pPr>
            <w:r>
              <w:rPr/>
              <w:t> </w:t>
            </w:r>
          </w:p>
        </w:tc>
        <w:tc>
          <w:tcPr>
            <w:tcW w:w="954"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327" w:type="dxa"/>
            <w:tcBorders/>
            <w:shd w:fill="FFFFFF" w:val="clear"/>
            <w:vAlign w:val="center"/>
          </w:tcPr>
          <w:p>
            <w:pPr>
              <w:pStyle w:val="TableContents"/>
              <w:spacing w:before="0" w:after="0"/>
              <w:ind w:left="0" w:right="0" w:hanging="0"/>
              <w:rPr/>
            </w:pPr>
            <w:r>
              <w:rPr/>
              <w:t> </w:t>
            </w:r>
          </w:p>
        </w:tc>
        <w:tc>
          <w:tcPr>
            <w:tcW w:w="623"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3" w:type="dxa"/>
            <w:tcBorders/>
            <w:shd w:fill="FFFFFF" w:val="clear"/>
            <w:vAlign w:val="center"/>
          </w:tcPr>
          <w:p>
            <w:pPr>
              <w:pStyle w:val="TableContents"/>
              <w:spacing w:before="0" w:after="0"/>
              <w:ind w:left="0" w:right="0" w:hanging="0"/>
              <w:rPr/>
            </w:pPr>
            <w:r>
              <w:rPr/>
              <w:t> </w:t>
            </w:r>
          </w:p>
        </w:tc>
        <w:tc>
          <w:tcPr>
            <w:tcW w:w="977"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24" w:type="dxa"/>
            <w:tcBorders/>
            <w:shd w:fill="FFFFFF" w:val="clear"/>
            <w:vAlign w:val="center"/>
          </w:tcPr>
          <w:p>
            <w:pPr>
              <w:pStyle w:val="TableContents"/>
              <w:spacing w:before="0" w:after="0"/>
              <w:ind w:left="0" w:right="0" w:hanging="0"/>
              <w:rPr/>
            </w:pPr>
            <w:r>
              <w:rPr/>
              <w:t> </w:t>
            </w:r>
          </w:p>
        </w:tc>
        <w:tc>
          <w:tcPr>
            <w:tcW w:w="726"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3" w:type="dxa"/>
            <w:tcBorders/>
            <w:shd w:fill="FFFFFF" w:val="clear"/>
            <w:vAlign w:val="center"/>
          </w:tcPr>
          <w:p>
            <w:pPr>
              <w:pStyle w:val="TableContents"/>
              <w:spacing w:before="0" w:after="0"/>
              <w:ind w:left="0" w:right="0" w:hanging="0"/>
              <w:rPr/>
            </w:pPr>
            <w:r>
              <w:rPr/>
              <w:t> </w:t>
            </w:r>
          </w:p>
        </w:tc>
        <w:tc>
          <w:tcPr>
            <w:tcW w:w="977"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1625" w:type="dxa"/>
            <w:tcBorders/>
            <w:shd w:fill="CCEEFF" w:val="clear"/>
            <w:vAlign w:val="center"/>
          </w:tcPr>
          <w:p>
            <w:pPr>
              <w:pStyle w:val="TableContents"/>
              <w:spacing w:before="0" w:after="0"/>
              <w:ind w:left="0" w:right="0" w:hanging="0"/>
              <w:rPr/>
            </w:pPr>
            <w:r>
              <w:rPr/>
              <w:t xml:space="preserve">Residential mortgage and other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6" w:type="dxa"/>
            <w:tcBorders/>
            <w:shd w:fill="CCEEFF" w:val="clear"/>
            <w:vAlign w:val="center"/>
          </w:tcPr>
          <w:p>
            <w:pPr>
              <w:pStyle w:val="TableContents"/>
              <w:spacing w:before="0" w:after="0"/>
              <w:ind w:left="0" w:right="0" w:hanging="0"/>
              <w:rPr/>
            </w:pPr>
            <w:r>
              <w:rPr/>
              <w:t> </w:t>
            </w:r>
          </w:p>
        </w:tc>
        <w:tc>
          <w:tcPr>
            <w:tcW w:w="954"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327" w:type="dxa"/>
            <w:tcBorders/>
            <w:shd w:fill="CCEEFF" w:val="clear"/>
            <w:vAlign w:val="center"/>
          </w:tcPr>
          <w:p>
            <w:pPr>
              <w:pStyle w:val="TableContents"/>
              <w:spacing w:before="0" w:after="0"/>
              <w:ind w:left="0" w:right="0" w:hanging="0"/>
              <w:rPr/>
            </w:pPr>
            <w:r>
              <w:rPr/>
              <w:t> </w:t>
            </w:r>
          </w:p>
        </w:tc>
        <w:tc>
          <w:tcPr>
            <w:tcW w:w="623"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3" w:type="dxa"/>
            <w:tcBorders/>
            <w:shd w:fill="CCEEFF" w:val="clear"/>
            <w:vAlign w:val="center"/>
          </w:tcPr>
          <w:p>
            <w:pPr>
              <w:pStyle w:val="TableContents"/>
              <w:spacing w:before="0" w:after="0"/>
              <w:ind w:left="0" w:right="0" w:hanging="0"/>
              <w:rPr/>
            </w:pPr>
            <w:r>
              <w:rPr/>
              <w:t> </w:t>
            </w:r>
          </w:p>
        </w:tc>
        <w:tc>
          <w:tcPr>
            <w:tcW w:w="977"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24" w:type="dxa"/>
            <w:tcBorders/>
            <w:shd w:fill="CCEEFF" w:val="clear"/>
            <w:vAlign w:val="center"/>
          </w:tcPr>
          <w:p>
            <w:pPr>
              <w:pStyle w:val="TableContents"/>
              <w:spacing w:before="0" w:after="0"/>
              <w:ind w:left="0" w:right="0" w:hanging="0"/>
              <w:rPr/>
            </w:pPr>
            <w:r>
              <w:rPr/>
              <w:t> </w:t>
            </w:r>
          </w:p>
        </w:tc>
        <w:tc>
          <w:tcPr>
            <w:tcW w:w="726"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3" w:type="dxa"/>
            <w:tcBorders/>
            <w:shd w:fill="CCEEFF" w:val="clear"/>
            <w:vAlign w:val="center"/>
          </w:tcPr>
          <w:p>
            <w:pPr>
              <w:pStyle w:val="TableContents"/>
              <w:spacing w:before="0" w:after="0"/>
              <w:ind w:left="0" w:right="0" w:hanging="0"/>
              <w:rPr/>
            </w:pPr>
            <w:r>
              <w:rPr/>
              <w:t> </w:t>
            </w:r>
          </w:p>
        </w:tc>
        <w:tc>
          <w:tcPr>
            <w:tcW w:w="977"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1625" w:type="dxa"/>
            <w:tcBorders/>
            <w:shd w:fill="CCEEFF" w:val="clear"/>
            <w:vAlign w:val="center"/>
          </w:tcPr>
          <w:p>
            <w:pPr>
              <w:pStyle w:val="TableContents"/>
              <w:spacing w:before="0" w:after="0"/>
              <w:ind w:left="0" w:right="0" w:hanging="0"/>
              <w:rPr/>
            </w:pPr>
            <w:r>
              <w:rPr/>
              <w:t xml:space="preserve">asset backed securities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6,137,522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54" w:type="dxa"/>
            <w:tcBorders>
              <w:bottom w:val="single" w:sz="2" w:space="0" w:color="000000"/>
            </w:tcBorders>
            <w:shd w:fill="CCEEFF" w:val="clear"/>
            <w:tcMar>
              <w:bottom w:w="28" w:type="dxa"/>
            </w:tcMar>
            <w:vAlign w:val="center"/>
          </w:tcPr>
          <w:p>
            <w:pPr>
              <w:pStyle w:val="TableContents"/>
              <w:spacing w:before="0" w:after="283"/>
              <w:jc w:val="right"/>
              <w:rPr/>
            </w:pPr>
            <w:r>
              <w:rPr/>
              <w:t>(7,371</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32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23" w:type="dxa"/>
            <w:tcBorders>
              <w:bottom w:val="single" w:sz="2" w:space="0" w:color="000000"/>
            </w:tcBorders>
            <w:shd w:fill="CCEEFF" w:val="clear"/>
            <w:tcMar>
              <w:bottom w:w="28" w:type="dxa"/>
            </w:tcMar>
            <w:vAlign w:val="center"/>
          </w:tcPr>
          <w:p>
            <w:pPr>
              <w:pStyle w:val="TableContents"/>
              <w:spacing w:before="0" w:after="283"/>
              <w:jc w:val="right"/>
              <w:rPr/>
            </w:pPr>
            <w:r>
              <w:rPr/>
              <w:t>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3,735,732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3"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77" w:type="dxa"/>
            <w:tcBorders>
              <w:bottom w:val="single" w:sz="2" w:space="0" w:color="000000"/>
            </w:tcBorders>
            <w:shd w:fill="CCEEFF" w:val="clear"/>
            <w:tcMar>
              <w:bottom w:w="28" w:type="dxa"/>
            </w:tcMar>
            <w:vAlign w:val="center"/>
          </w:tcPr>
          <w:p>
            <w:pPr>
              <w:pStyle w:val="TableContents"/>
              <w:spacing w:before="0" w:after="283"/>
              <w:jc w:val="right"/>
              <w:rPr/>
            </w:pPr>
            <w:r>
              <w:rPr/>
              <w:t>(111,947</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22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26" w:type="dxa"/>
            <w:tcBorders>
              <w:bottom w:val="single" w:sz="2" w:space="0" w:color="000000"/>
            </w:tcBorders>
            <w:shd w:fill="CCEEFF" w:val="clear"/>
            <w:tcMar>
              <w:bottom w:w="28" w:type="dxa"/>
            </w:tcMar>
            <w:vAlign w:val="center"/>
          </w:tcPr>
          <w:p>
            <w:pPr>
              <w:pStyle w:val="TableContents"/>
              <w:spacing w:before="0" w:after="283"/>
              <w:jc w:val="right"/>
              <w:rPr/>
            </w:pPr>
            <w:r>
              <w:rPr/>
              <w:t>10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CCEEFF" w:val="clear"/>
            <w:tcMar>
              <w:bottom w:w="28" w:type="dxa"/>
            </w:tcMar>
            <w:vAlign w:val="center"/>
          </w:tcPr>
          <w:p>
            <w:pPr>
              <w:pStyle w:val="TableContents"/>
              <w:spacing w:before="0" w:after="283"/>
              <w:jc w:val="right"/>
              <w:rPr/>
            </w:pPr>
            <w:r>
              <w:rPr/>
              <w:t>9,873,254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3"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77" w:type="dxa"/>
            <w:tcBorders>
              <w:bottom w:val="single" w:sz="2" w:space="0" w:color="000000"/>
            </w:tcBorders>
            <w:shd w:fill="CCEEFF" w:val="clear"/>
            <w:tcMar>
              <w:bottom w:w="28" w:type="dxa"/>
            </w:tcMar>
            <w:vAlign w:val="center"/>
          </w:tcPr>
          <w:p>
            <w:pPr>
              <w:pStyle w:val="TableContents"/>
              <w:spacing w:before="0" w:after="283"/>
              <w:jc w:val="right"/>
              <w:rPr/>
            </w:pPr>
            <w:r>
              <w:rPr/>
              <w:t>(119,318</w:t>
            </w:r>
          </w:p>
        </w:tc>
        <w:tc>
          <w:tcPr>
            <w:tcW w:w="170" w:type="dxa"/>
            <w:tcBorders/>
            <w:shd w:fill="CCEEFF" w:val="clear"/>
            <w:vAlign w:val="center"/>
          </w:tcPr>
          <w:p>
            <w:pPr>
              <w:pStyle w:val="TableContents"/>
              <w:spacing w:before="0" w:after="283"/>
              <w:rPr/>
            </w:pPr>
            <w:r>
              <w:rPr/>
              <w:t>)</w:t>
            </w:r>
          </w:p>
        </w:tc>
      </w:tr>
      <w:tr>
        <w:trPr/>
        <w:tc>
          <w:tcPr>
            <w:tcW w:w="16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06" w:type="dxa"/>
            <w:tcBorders/>
            <w:shd w:fill="FFFFFF" w:val="clear"/>
            <w:vAlign w:val="center"/>
          </w:tcPr>
          <w:p>
            <w:pPr>
              <w:pStyle w:val="TableContents"/>
              <w:spacing w:before="0" w:after="0"/>
              <w:ind w:left="0" w:right="0" w:hanging="0"/>
              <w:rPr/>
            </w:pPr>
            <w:r>
              <w:rPr/>
              <w:t> </w:t>
            </w:r>
          </w:p>
        </w:tc>
        <w:tc>
          <w:tcPr>
            <w:tcW w:w="954"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327" w:type="dxa"/>
            <w:tcBorders/>
            <w:shd w:fill="FFFFFF" w:val="clear"/>
            <w:vAlign w:val="center"/>
          </w:tcPr>
          <w:p>
            <w:pPr>
              <w:pStyle w:val="TableContents"/>
              <w:spacing w:before="0" w:after="0"/>
              <w:ind w:left="0" w:right="0" w:hanging="0"/>
              <w:rPr/>
            </w:pPr>
            <w:r>
              <w:rPr/>
              <w:t> </w:t>
            </w:r>
          </w:p>
        </w:tc>
        <w:tc>
          <w:tcPr>
            <w:tcW w:w="623"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3" w:type="dxa"/>
            <w:tcBorders/>
            <w:shd w:fill="FFFFFF" w:val="clear"/>
            <w:vAlign w:val="center"/>
          </w:tcPr>
          <w:p>
            <w:pPr>
              <w:pStyle w:val="TableContents"/>
              <w:spacing w:before="0" w:after="0"/>
              <w:ind w:left="0" w:right="0" w:hanging="0"/>
              <w:rPr/>
            </w:pPr>
            <w:r>
              <w:rPr/>
              <w:t> </w:t>
            </w:r>
          </w:p>
        </w:tc>
        <w:tc>
          <w:tcPr>
            <w:tcW w:w="977"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24" w:type="dxa"/>
            <w:tcBorders/>
            <w:shd w:fill="FFFFFF" w:val="clear"/>
            <w:vAlign w:val="center"/>
          </w:tcPr>
          <w:p>
            <w:pPr>
              <w:pStyle w:val="TableContents"/>
              <w:spacing w:before="0" w:after="0"/>
              <w:ind w:left="0" w:right="0" w:hanging="0"/>
              <w:rPr/>
            </w:pPr>
            <w:r>
              <w:rPr/>
              <w:t> </w:t>
            </w:r>
          </w:p>
        </w:tc>
        <w:tc>
          <w:tcPr>
            <w:tcW w:w="726"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3" w:type="dxa"/>
            <w:tcBorders/>
            <w:shd w:fill="FFFFFF" w:val="clear"/>
            <w:vAlign w:val="center"/>
          </w:tcPr>
          <w:p>
            <w:pPr>
              <w:pStyle w:val="TableContents"/>
              <w:spacing w:before="0" w:after="0"/>
              <w:ind w:left="0" w:right="0" w:hanging="0"/>
              <w:rPr/>
            </w:pPr>
            <w:r>
              <w:rPr/>
              <w:t> </w:t>
            </w:r>
          </w:p>
        </w:tc>
        <w:tc>
          <w:tcPr>
            <w:tcW w:w="977"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1625" w:type="dxa"/>
            <w:tcBorders/>
            <w:shd w:fill="CCEEFF" w:val="clear"/>
            <w:vAlign w:val="center"/>
          </w:tcPr>
          <w:p>
            <w:pPr>
              <w:pStyle w:val="TableContents"/>
              <w:spacing w:before="0" w:after="0"/>
              <w:ind w:left="0" w:right="0" w:hanging="0"/>
              <w:rPr/>
            </w:pPr>
            <w:r>
              <w:rPr/>
              <w:t xml:space="preserve">Total fixed-maturity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6" w:type="dxa"/>
            <w:tcBorders/>
            <w:shd w:fill="CCEEFF" w:val="clear"/>
            <w:vAlign w:val="center"/>
          </w:tcPr>
          <w:p>
            <w:pPr>
              <w:pStyle w:val="TableContents"/>
              <w:spacing w:before="0" w:after="0"/>
              <w:ind w:left="0" w:right="0" w:hanging="0"/>
              <w:rPr/>
            </w:pPr>
            <w:r>
              <w:rPr/>
              <w:t> </w:t>
            </w:r>
          </w:p>
        </w:tc>
        <w:tc>
          <w:tcPr>
            <w:tcW w:w="954"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327" w:type="dxa"/>
            <w:tcBorders/>
            <w:shd w:fill="CCEEFF" w:val="clear"/>
            <w:vAlign w:val="center"/>
          </w:tcPr>
          <w:p>
            <w:pPr>
              <w:pStyle w:val="TableContents"/>
              <w:spacing w:before="0" w:after="0"/>
              <w:ind w:left="0" w:right="0" w:hanging="0"/>
              <w:rPr/>
            </w:pPr>
            <w:r>
              <w:rPr/>
              <w:t> </w:t>
            </w:r>
          </w:p>
        </w:tc>
        <w:tc>
          <w:tcPr>
            <w:tcW w:w="623"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3" w:type="dxa"/>
            <w:tcBorders/>
            <w:shd w:fill="CCEEFF" w:val="clear"/>
            <w:vAlign w:val="center"/>
          </w:tcPr>
          <w:p>
            <w:pPr>
              <w:pStyle w:val="TableContents"/>
              <w:spacing w:before="0" w:after="0"/>
              <w:ind w:left="0" w:right="0" w:hanging="0"/>
              <w:rPr/>
            </w:pPr>
            <w:r>
              <w:rPr/>
              <w:t> </w:t>
            </w:r>
          </w:p>
        </w:tc>
        <w:tc>
          <w:tcPr>
            <w:tcW w:w="977"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24" w:type="dxa"/>
            <w:tcBorders/>
            <w:shd w:fill="CCEEFF" w:val="clear"/>
            <w:vAlign w:val="center"/>
          </w:tcPr>
          <w:p>
            <w:pPr>
              <w:pStyle w:val="TableContents"/>
              <w:spacing w:before="0" w:after="0"/>
              <w:ind w:left="0" w:right="0" w:hanging="0"/>
              <w:rPr/>
            </w:pPr>
            <w:r>
              <w:rPr/>
              <w:t> </w:t>
            </w:r>
          </w:p>
        </w:tc>
        <w:tc>
          <w:tcPr>
            <w:tcW w:w="726"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3" w:type="dxa"/>
            <w:tcBorders/>
            <w:shd w:fill="CCEEFF" w:val="clear"/>
            <w:vAlign w:val="center"/>
          </w:tcPr>
          <w:p>
            <w:pPr>
              <w:pStyle w:val="TableContents"/>
              <w:spacing w:before="0" w:after="0"/>
              <w:ind w:left="0" w:right="0" w:hanging="0"/>
              <w:rPr/>
            </w:pPr>
            <w:r>
              <w:rPr/>
              <w:t> </w:t>
            </w:r>
          </w:p>
        </w:tc>
        <w:tc>
          <w:tcPr>
            <w:tcW w:w="977"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1625" w:type="dxa"/>
            <w:tcBorders/>
            <w:shd w:fill="CCEEFF" w:val="clear"/>
            <w:vAlign w:val="center"/>
          </w:tcPr>
          <w:p>
            <w:pPr>
              <w:pStyle w:val="TableContents"/>
              <w:spacing w:before="0" w:after="0"/>
              <w:ind w:left="0" w:right="0" w:hanging="0"/>
              <w:rPr/>
            </w:pPr>
            <w:r>
              <w:rPr/>
              <w:t xml:space="preserve">securities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6" w:space="0" w:color="000000"/>
            </w:tcBorders>
            <w:shd w:fill="CCEEFF" w:val="clear"/>
            <w:tcMar>
              <w:bottom w:w="28" w:type="dxa"/>
            </w:tcMar>
            <w:vAlign w:val="center"/>
          </w:tcPr>
          <w:p>
            <w:pPr>
              <w:pStyle w:val="TableContents"/>
              <w:spacing w:before="0" w:after="283"/>
              <w:jc w:val="right"/>
              <w:rPr/>
            </w:pPr>
            <w:r>
              <w:rPr/>
              <w:t>7,144,423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6" w:type="dxa"/>
            <w:tcBorders>
              <w:bottom w:val="double" w:sz="6" w:space="0" w:color="000000"/>
            </w:tcBorders>
            <w:shd w:fill="CCEEFF" w:val="clear"/>
            <w:tcMar>
              <w:bottom w:w="28" w:type="dxa"/>
            </w:tcMar>
            <w:vAlign w:val="center"/>
          </w:tcPr>
          <w:p>
            <w:pPr>
              <w:pStyle w:val="TableContents"/>
              <w:spacing w:before="0" w:after="283"/>
              <w:rPr/>
            </w:pPr>
            <w:r>
              <w:rPr/>
              <w:t>$</w:t>
            </w:r>
          </w:p>
        </w:tc>
        <w:tc>
          <w:tcPr>
            <w:tcW w:w="954" w:type="dxa"/>
            <w:tcBorders>
              <w:bottom w:val="double" w:sz="6" w:space="0" w:color="000000"/>
            </w:tcBorders>
            <w:shd w:fill="CCEEFF" w:val="clear"/>
            <w:tcMar>
              <w:bottom w:w="28" w:type="dxa"/>
            </w:tcMar>
            <w:vAlign w:val="center"/>
          </w:tcPr>
          <w:p>
            <w:pPr>
              <w:pStyle w:val="TableContents"/>
              <w:spacing w:before="0" w:after="283"/>
              <w:jc w:val="right"/>
              <w:rPr/>
            </w:pPr>
            <w:r>
              <w:rPr/>
              <w:t>(20,587</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327"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623" w:type="dxa"/>
            <w:tcBorders>
              <w:bottom w:val="double" w:sz="6" w:space="0" w:color="000000"/>
            </w:tcBorders>
            <w:shd w:fill="CCEEFF" w:val="clear"/>
            <w:tcMar>
              <w:bottom w:w="28" w:type="dxa"/>
            </w:tcMar>
            <w:vAlign w:val="center"/>
          </w:tcPr>
          <w:p>
            <w:pPr>
              <w:pStyle w:val="TableContents"/>
              <w:spacing w:before="0" w:after="283"/>
              <w:jc w:val="right"/>
              <w:rPr/>
            </w:pPr>
            <w:r>
              <w:rPr/>
              <w:t>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6" w:space="0" w:color="000000"/>
            </w:tcBorders>
            <w:shd w:fill="CCEEFF" w:val="clear"/>
            <w:tcMar>
              <w:bottom w:w="28" w:type="dxa"/>
            </w:tcMar>
            <w:vAlign w:val="center"/>
          </w:tcPr>
          <w:p>
            <w:pPr>
              <w:pStyle w:val="TableContents"/>
              <w:spacing w:before="0" w:after="283"/>
              <w:jc w:val="right"/>
              <w:rPr/>
            </w:pPr>
            <w:r>
              <w:rPr/>
              <w:t>3,735,732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3" w:type="dxa"/>
            <w:tcBorders>
              <w:bottom w:val="double" w:sz="6" w:space="0" w:color="000000"/>
            </w:tcBorders>
            <w:shd w:fill="CCEEFF" w:val="clear"/>
            <w:tcMar>
              <w:bottom w:w="28" w:type="dxa"/>
            </w:tcMar>
            <w:vAlign w:val="center"/>
          </w:tcPr>
          <w:p>
            <w:pPr>
              <w:pStyle w:val="TableContents"/>
              <w:spacing w:before="0" w:after="283"/>
              <w:rPr/>
            </w:pPr>
            <w:r>
              <w:rPr/>
              <w:t>$</w:t>
            </w:r>
          </w:p>
        </w:tc>
        <w:tc>
          <w:tcPr>
            <w:tcW w:w="977" w:type="dxa"/>
            <w:tcBorders>
              <w:bottom w:val="double" w:sz="6" w:space="0" w:color="000000"/>
            </w:tcBorders>
            <w:shd w:fill="CCEEFF" w:val="clear"/>
            <w:tcMar>
              <w:bottom w:w="28" w:type="dxa"/>
            </w:tcMar>
            <w:vAlign w:val="center"/>
          </w:tcPr>
          <w:p>
            <w:pPr>
              <w:pStyle w:val="TableContents"/>
              <w:spacing w:before="0" w:after="283"/>
              <w:jc w:val="right"/>
              <w:rPr/>
            </w:pPr>
            <w:r>
              <w:rPr/>
              <w:t>(111,947</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224"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726" w:type="dxa"/>
            <w:tcBorders>
              <w:bottom w:val="double" w:sz="6" w:space="0" w:color="000000"/>
            </w:tcBorders>
            <w:shd w:fill="CCEEFF" w:val="clear"/>
            <w:tcMar>
              <w:bottom w:w="28" w:type="dxa"/>
            </w:tcMar>
            <w:vAlign w:val="center"/>
          </w:tcPr>
          <w:p>
            <w:pPr>
              <w:pStyle w:val="TableContents"/>
              <w:spacing w:before="0" w:after="283"/>
              <w:jc w:val="right"/>
              <w:rPr/>
            </w:pPr>
            <w:r>
              <w:rPr/>
              <w:t>10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130" w:type="dxa"/>
            <w:tcBorders>
              <w:bottom w:val="double" w:sz="6" w:space="0" w:color="000000"/>
            </w:tcBorders>
            <w:shd w:fill="CCEEFF" w:val="clear"/>
            <w:tcMar>
              <w:bottom w:w="28" w:type="dxa"/>
            </w:tcMar>
            <w:vAlign w:val="center"/>
          </w:tcPr>
          <w:p>
            <w:pPr>
              <w:pStyle w:val="TableContents"/>
              <w:spacing w:before="0" w:after="283"/>
              <w:jc w:val="right"/>
              <w:rPr/>
            </w:pPr>
            <w:r>
              <w:rPr/>
              <w:t>10,880,155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3" w:type="dxa"/>
            <w:tcBorders>
              <w:bottom w:val="double" w:sz="6" w:space="0" w:color="000000"/>
            </w:tcBorders>
            <w:shd w:fill="CCEEFF" w:val="clear"/>
            <w:tcMar>
              <w:bottom w:w="28" w:type="dxa"/>
            </w:tcMar>
            <w:vAlign w:val="center"/>
          </w:tcPr>
          <w:p>
            <w:pPr>
              <w:pStyle w:val="TableContents"/>
              <w:spacing w:before="0" w:after="283"/>
              <w:rPr/>
            </w:pPr>
            <w:r>
              <w:rPr/>
              <w:t>$</w:t>
            </w:r>
          </w:p>
        </w:tc>
        <w:tc>
          <w:tcPr>
            <w:tcW w:w="977" w:type="dxa"/>
            <w:tcBorders>
              <w:bottom w:val="double" w:sz="6" w:space="0" w:color="000000"/>
            </w:tcBorders>
            <w:shd w:fill="CCEEFF" w:val="clear"/>
            <w:tcMar>
              <w:bottom w:w="28" w:type="dxa"/>
            </w:tcMar>
            <w:vAlign w:val="center"/>
          </w:tcPr>
          <w:p>
            <w:pPr>
              <w:pStyle w:val="TableContents"/>
              <w:spacing w:before="0" w:after="283"/>
              <w:jc w:val="right"/>
              <w:rPr/>
            </w:pPr>
            <w:r>
              <w:rPr/>
              <w:t>(132,534</w:t>
            </w:r>
          </w:p>
        </w:tc>
        <w:tc>
          <w:tcPr>
            <w:tcW w:w="170" w:type="dxa"/>
            <w:tcBorders/>
            <w:shd w:fill="CCEEFF" w:val="clear"/>
            <w:vAlign w:val="center"/>
          </w:tcPr>
          <w:p>
            <w:pPr>
              <w:pStyle w:val="TableContents"/>
              <w:spacing w:before="0" w:after="283"/>
              <w:rPr/>
            </w:pPr>
            <w:r>
              <w:rPr/>
              <w:t>)</w:t>
            </w:r>
          </w:p>
        </w:tc>
      </w:tr>
    </w:tbl>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53</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tbl>
      <w:tblPr>
        <w:tblW w:w="12495" w:type="dxa"/>
        <w:jc w:val="left"/>
        <w:tblInd w:w="0" w:type="dxa"/>
        <w:tblCellMar>
          <w:top w:w="0" w:type="dxa"/>
          <w:left w:w="0" w:type="dxa"/>
          <w:bottom w:w="0" w:type="dxa"/>
          <w:right w:w="0" w:type="dxa"/>
        </w:tblCellMar>
      </w:tblPr>
      <w:tblGrid>
        <w:gridCol w:w="1625"/>
        <w:gridCol w:w="90"/>
        <w:gridCol w:w="170"/>
        <w:gridCol w:w="1130"/>
        <w:gridCol w:w="90"/>
        <w:gridCol w:w="90"/>
        <w:gridCol w:w="206"/>
        <w:gridCol w:w="954"/>
        <w:gridCol w:w="125"/>
        <w:gridCol w:w="90"/>
        <w:gridCol w:w="224"/>
        <w:gridCol w:w="726"/>
        <w:gridCol w:w="90"/>
        <w:gridCol w:w="90"/>
        <w:gridCol w:w="170"/>
        <w:gridCol w:w="1130"/>
        <w:gridCol w:w="90"/>
        <w:gridCol w:w="90"/>
        <w:gridCol w:w="183"/>
        <w:gridCol w:w="977"/>
        <w:gridCol w:w="125"/>
        <w:gridCol w:w="90"/>
        <w:gridCol w:w="224"/>
        <w:gridCol w:w="726"/>
        <w:gridCol w:w="90"/>
        <w:gridCol w:w="90"/>
        <w:gridCol w:w="170"/>
        <w:gridCol w:w="1130"/>
        <w:gridCol w:w="90"/>
        <w:gridCol w:w="90"/>
        <w:gridCol w:w="183"/>
        <w:gridCol w:w="977"/>
        <w:gridCol w:w="170"/>
      </w:tblGrid>
      <w:tr>
        <w:trPr/>
        <w:tc>
          <w:tcPr>
            <w:tcW w:w="16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610" w:type="dxa"/>
            <w:gridSpan w:val="30"/>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December 31, 2019</w:t>
            </w:r>
          </w:p>
        </w:tc>
        <w:tc>
          <w:tcPr>
            <w:tcW w:w="170" w:type="dxa"/>
            <w:tcBorders/>
            <w:shd w:fill="auto" w:val="clear"/>
            <w:vAlign w:val="center"/>
          </w:tcPr>
          <w:p>
            <w:pPr>
              <w:pStyle w:val="TableContents"/>
              <w:spacing w:before="0" w:after="0"/>
              <w:ind w:left="0" w:right="0" w:hanging="0"/>
              <w:jc w:val="center"/>
              <w:rPr/>
            </w:pPr>
            <w:r>
              <w:rPr/>
              <w:t> </w:t>
            </w:r>
          </w:p>
        </w:tc>
      </w:tr>
      <w:tr>
        <w:trPr/>
        <w:tc>
          <w:tcPr>
            <w:tcW w:w="1625"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3805" w:type="dxa"/>
            <w:gridSpan w:val="10"/>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Less than 12 months</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3805" w:type="dxa"/>
            <w:gridSpan w:val="10"/>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12 months or more</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2640"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Total</w:t>
            </w:r>
          </w:p>
        </w:tc>
        <w:tc>
          <w:tcPr>
            <w:tcW w:w="170" w:type="dxa"/>
            <w:tcBorders/>
            <w:shd w:fill="auto" w:val="clear"/>
            <w:vAlign w:val="center"/>
          </w:tcPr>
          <w:p>
            <w:pPr>
              <w:pStyle w:val="TableContents"/>
              <w:spacing w:before="0" w:after="0"/>
              <w:ind w:left="0" w:right="0" w:hanging="0"/>
              <w:jc w:val="center"/>
              <w:rPr/>
            </w:pPr>
            <w:r>
              <w:rPr/>
              <w:t> </w:t>
            </w:r>
          </w:p>
        </w:tc>
      </w:tr>
      <w:tr>
        <w:trPr/>
        <w:tc>
          <w:tcPr>
            <w:tcW w:w="1625"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Pr>
              <w:t xml:space="preserve">Estimated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160" w:type="dxa"/>
            <w:gridSpan w:val="2"/>
            <w:tcBorders/>
            <w:shd w:fill="auto" w:val="clear"/>
            <w:vAlign w:val="center"/>
          </w:tcPr>
          <w:p>
            <w:pPr>
              <w:pStyle w:val="TableContents"/>
              <w:spacing w:before="0" w:after="0"/>
              <w:ind w:left="0" w:right="0" w:hanging="0"/>
              <w:jc w:val="center"/>
              <w:rPr/>
            </w:pPr>
            <w:r>
              <w:rPr/>
              <w:t> </w:t>
            </w:r>
          </w:p>
        </w:tc>
        <w:tc>
          <w:tcPr>
            <w:tcW w:w="125"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950" w:type="dxa"/>
            <w:gridSpan w:val="2"/>
            <w:tcBorders/>
            <w:shd w:fill="auto" w:val="clear"/>
            <w:vAlign w:val="center"/>
          </w:tcPr>
          <w:p>
            <w:pPr>
              <w:pStyle w:val="TableContents"/>
              <w:spacing w:before="0" w:after="0"/>
              <w:ind w:left="0" w:right="0" w:hanging="0"/>
              <w:jc w:val="center"/>
              <w:rPr/>
            </w:pPr>
            <w:r>
              <w:rPr>
                <w:rStyle w:val="StrongEmphasis"/>
              </w:rPr>
              <w:t xml:space="preserve">No. of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Pr>
              <w:t xml:space="preserve">Estimated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160" w:type="dxa"/>
            <w:gridSpan w:val="2"/>
            <w:tcBorders/>
            <w:shd w:fill="auto" w:val="clear"/>
            <w:vAlign w:val="center"/>
          </w:tcPr>
          <w:p>
            <w:pPr>
              <w:pStyle w:val="TableContents"/>
              <w:spacing w:before="0" w:after="0"/>
              <w:ind w:left="0" w:right="0" w:hanging="0"/>
              <w:jc w:val="center"/>
              <w:rPr/>
            </w:pPr>
            <w:r>
              <w:rPr/>
              <w:t> </w:t>
            </w:r>
          </w:p>
        </w:tc>
        <w:tc>
          <w:tcPr>
            <w:tcW w:w="125"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950" w:type="dxa"/>
            <w:gridSpan w:val="2"/>
            <w:tcBorders/>
            <w:shd w:fill="auto" w:val="clear"/>
            <w:vAlign w:val="center"/>
          </w:tcPr>
          <w:p>
            <w:pPr>
              <w:pStyle w:val="TableContents"/>
              <w:spacing w:before="0" w:after="0"/>
              <w:ind w:left="0" w:right="0" w:hanging="0"/>
              <w:jc w:val="center"/>
              <w:rPr/>
            </w:pPr>
            <w:r>
              <w:rPr>
                <w:rStyle w:val="StrongEmphasis"/>
              </w:rPr>
              <w:t xml:space="preserve">No. of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Pr>
              <w:t xml:space="preserve">Estimated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160" w:type="dxa"/>
            <w:gridSpan w:val="2"/>
            <w:tcBorders/>
            <w:shd w:fill="auto" w:val="clear"/>
            <w:vAlign w:val="center"/>
          </w:tcPr>
          <w:p>
            <w:pPr>
              <w:pStyle w:val="TableContents"/>
              <w:spacing w:before="0" w:after="0"/>
              <w:ind w:left="0" w:right="0" w:hanging="0"/>
              <w:jc w:val="center"/>
              <w:rPr/>
            </w:pPr>
            <w:r>
              <w:rPr/>
              <w:t> </w:t>
            </w:r>
          </w:p>
        </w:tc>
        <w:tc>
          <w:tcPr>
            <w:tcW w:w="170" w:type="dxa"/>
            <w:tcBorders/>
            <w:shd w:fill="auto" w:val="clear"/>
            <w:vAlign w:val="center"/>
          </w:tcPr>
          <w:p>
            <w:pPr>
              <w:pStyle w:val="TableContents"/>
              <w:spacing w:before="0" w:after="0"/>
              <w:ind w:left="0" w:right="0" w:hanging="0"/>
              <w:jc w:val="center"/>
              <w:rPr/>
            </w:pPr>
            <w:r>
              <w:rPr/>
              <w:t> </w:t>
            </w:r>
          </w:p>
        </w:tc>
      </w:tr>
      <w:tr>
        <w:trPr/>
        <w:tc>
          <w:tcPr>
            <w:tcW w:w="1625"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Pr>
              <w:t xml:space="preserve">Fair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160" w:type="dxa"/>
            <w:gridSpan w:val="2"/>
            <w:tcBorders/>
            <w:shd w:fill="auto" w:val="clear"/>
            <w:vAlign w:val="center"/>
          </w:tcPr>
          <w:p>
            <w:pPr>
              <w:pStyle w:val="TableContents"/>
              <w:spacing w:before="0" w:after="0"/>
              <w:ind w:left="0" w:right="0" w:hanging="0"/>
              <w:jc w:val="center"/>
              <w:rPr/>
            </w:pPr>
            <w:r>
              <w:rPr>
                <w:rStyle w:val="StrongEmphasis"/>
              </w:rPr>
              <w:t xml:space="preserve">Unrealized </w:t>
            </w:r>
          </w:p>
        </w:tc>
        <w:tc>
          <w:tcPr>
            <w:tcW w:w="125"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950" w:type="dxa"/>
            <w:gridSpan w:val="2"/>
            <w:tcBorders/>
            <w:shd w:fill="auto" w:val="clear"/>
            <w:vAlign w:val="center"/>
          </w:tcPr>
          <w:p>
            <w:pPr>
              <w:pStyle w:val="TableContents"/>
              <w:spacing w:before="0" w:after="0"/>
              <w:ind w:left="0" w:right="0" w:hanging="0"/>
              <w:jc w:val="center"/>
              <w:rPr/>
            </w:pPr>
            <w:r>
              <w:rPr>
                <w:rStyle w:val="StrongEmphasis"/>
              </w:rPr>
              <w:t xml:space="preserve">Positions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Pr>
              <w:t xml:space="preserve">Fair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160" w:type="dxa"/>
            <w:gridSpan w:val="2"/>
            <w:tcBorders/>
            <w:shd w:fill="auto" w:val="clear"/>
            <w:vAlign w:val="center"/>
          </w:tcPr>
          <w:p>
            <w:pPr>
              <w:pStyle w:val="TableContents"/>
              <w:spacing w:before="0" w:after="0"/>
              <w:ind w:left="0" w:right="0" w:hanging="0"/>
              <w:jc w:val="center"/>
              <w:rPr/>
            </w:pPr>
            <w:r>
              <w:rPr>
                <w:rStyle w:val="StrongEmphasis"/>
              </w:rPr>
              <w:t xml:space="preserve">Unrealized </w:t>
            </w:r>
          </w:p>
        </w:tc>
        <w:tc>
          <w:tcPr>
            <w:tcW w:w="125"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950" w:type="dxa"/>
            <w:gridSpan w:val="2"/>
            <w:tcBorders/>
            <w:shd w:fill="auto" w:val="clear"/>
            <w:vAlign w:val="center"/>
          </w:tcPr>
          <w:p>
            <w:pPr>
              <w:pStyle w:val="TableContents"/>
              <w:spacing w:before="0" w:after="0"/>
              <w:ind w:left="0" w:right="0" w:hanging="0"/>
              <w:jc w:val="center"/>
              <w:rPr/>
            </w:pPr>
            <w:r>
              <w:rPr>
                <w:rStyle w:val="StrongEmphasis"/>
              </w:rPr>
              <w:t xml:space="preserve">Positions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Pr>
              <w:t xml:space="preserve">Fair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160" w:type="dxa"/>
            <w:gridSpan w:val="2"/>
            <w:tcBorders/>
            <w:shd w:fill="auto" w:val="clear"/>
            <w:vAlign w:val="center"/>
          </w:tcPr>
          <w:p>
            <w:pPr>
              <w:pStyle w:val="TableContents"/>
              <w:spacing w:before="0" w:after="0"/>
              <w:ind w:left="0" w:right="0" w:hanging="0"/>
              <w:jc w:val="center"/>
              <w:rPr/>
            </w:pPr>
            <w:r>
              <w:rPr>
                <w:rStyle w:val="StrongEmphasis"/>
              </w:rPr>
              <w:t xml:space="preserve">Unrealized </w:t>
            </w:r>
          </w:p>
        </w:tc>
        <w:tc>
          <w:tcPr>
            <w:tcW w:w="170" w:type="dxa"/>
            <w:tcBorders/>
            <w:shd w:fill="auto" w:val="clear"/>
            <w:vAlign w:val="center"/>
          </w:tcPr>
          <w:p>
            <w:pPr>
              <w:pStyle w:val="TableContents"/>
              <w:spacing w:before="0" w:after="0"/>
              <w:ind w:left="0" w:right="0" w:hanging="0"/>
              <w:rPr/>
            </w:pPr>
            <w:r>
              <w:rPr/>
              <w:t> </w:t>
            </w:r>
          </w:p>
        </w:tc>
      </w:tr>
      <w:tr>
        <w:trPr/>
        <w:tc>
          <w:tcPr>
            <w:tcW w:w="1625"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Pr>
              <w:t xml:space="preserve">Category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Value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1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Losses </w:t>
            </w:r>
          </w:p>
        </w:tc>
        <w:tc>
          <w:tcPr>
            <w:tcW w:w="125"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95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Held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Value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1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Losses </w:t>
            </w:r>
          </w:p>
        </w:tc>
        <w:tc>
          <w:tcPr>
            <w:tcW w:w="125"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95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Held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Value </w:t>
            </w:r>
          </w:p>
        </w:tc>
        <w:tc>
          <w:tcPr>
            <w:tcW w:w="90"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jc w:val="center"/>
              <w:rPr/>
            </w:pPr>
            <w:r>
              <w:rPr/>
              <w:t> </w:t>
            </w:r>
          </w:p>
        </w:tc>
        <w:tc>
          <w:tcPr>
            <w:tcW w:w="11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Losses </w:t>
            </w:r>
          </w:p>
        </w:tc>
        <w:tc>
          <w:tcPr>
            <w:tcW w:w="170" w:type="dxa"/>
            <w:tcBorders/>
            <w:shd w:fill="auto" w:val="clear"/>
            <w:vAlign w:val="center"/>
          </w:tcPr>
          <w:p>
            <w:pPr>
              <w:pStyle w:val="TableContents"/>
              <w:spacing w:before="0" w:after="0"/>
              <w:ind w:left="0" w:right="0" w:hanging="0"/>
              <w:rPr/>
            </w:pPr>
            <w:r>
              <w:rPr/>
              <w:t> </w:t>
            </w:r>
          </w:p>
        </w:tc>
      </w:tr>
      <w:tr>
        <w:trPr/>
        <w:tc>
          <w:tcPr>
            <w:tcW w:w="16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06" w:type="dxa"/>
            <w:tcBorders/>
            <w:shd w:fill="auto" w:val="clear"/>
            <w:vAlign w:val="center"/>
          </w:tcPr>
          <w:p>
            <w:pPr>
              <w:pStyle w:val="TableContents"/>
              <w:spacing w:before="0" w:after="0"/>
              <w:ind w:left="0" w:right="0" w:hanging="0"/>
              <w:rPr/>
            </w:pPr>
            <w:r>
              <w:rPr/>
              <w:t> </w:t>
            </w:r>
          </w:p>
        </w:tc>
        <w:tc>
          <w:tcPr>
            <w:tcW w:w="954" w:type="dxa"/>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24" w:type="dxa"/>
            <w:tcBorders/>
            <w:shd w:fill="auto" w:val="clear"/>
            <w:vAlign w:val="center"/>
          </w:tcPr>
          <w:p>
            <w:pPr>
              <w:pStyle w:val="TableContents"/>
              <w:spacing w:before="0" w:after="0"/>
              <w:ind w:left="0" w:right="0" w:hanging="0"/>
              <w:rPr/>
            </w:pPr>
            <w:r>
              <w:rPr/>
              <w:t> </w:t>
            </w:r>
          </w:p>
        </w:tc>
        <w:tc>
          <w:tcPr>
            <w:tcW w:w="7701" w:type="dxa"/>
            <w:gridSpan w:val="22"/>
            <w:tcBorders/>
            <w:shd w:fill="auto" w:val="clear"/>
            <w:vAlign w:val="center"/>
          </w:tcPr>
          <w:p>
            <w:pPr>
              <w:pStyle w:val="TableContents"/>
              <w:spacing w:before="0" w:after="0"/>
              <w:ind w:left="0" w:right="0" w:hanging="0"/>
              <w:rPr/>
            </w:pPr>
            <w:r>
              <w:rPr/>
              <w:t> </w:t>
            </w:r>
          </w:p>
        </w:tc>
      </w:tr>
      <w:tr>
        <w:trPr/>
        <w:tc>
          <w:tcPr>
            <w:tcW w:w="1625" w:type="dxa"/>
            <w:tcBorders/>
            <w:shd w:fill="auto" w:val="clear"/>
            <w:vAlign w:val="center"/>
          </w:tcPr>
          <w:p>
            <w:pPr>
              <w:pStyle w:val="TableContents"/>
              <w:spacing w:before="0" w:after="0"/>
              <w:ind w:left="0" w:right="0" w:hanging="0"/>
              <w:rPr/>
            </w:pPr>
            <w:r>
              <w:rPr>
                <w:rStyle w:val="StrongEmphasis"/>
              </w:rPr>
              <w:t xml:space="preserve">Fixed-Maturity Securities: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60"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5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60"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5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60" w:type="dxa"/>
            <w:gridSpan w:val="2"/>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r>
      <w:tr>
        <w:trPr/>
        <w:tc>
          <w:tcPr>
            <w:tcW w:w="1625" w:type="dxa"/>
            <w:tcBorders/>
            <w:shd w:fill="CCEEFF" w:val="clear"/>
            <w:vAlign w:val="center"/>
          </w:tcPr>
          <w:p>
            <w:pPr>
              <w:pStyle w:val="TableContents"/>
              <w:spacing w:before="0" w:after="0"/>
              <w:ind w:left="0" w:right="0" w:hanging="0"/>
              <w:rPr/>
            </w:pPr>
            <w:r>
              <w:rPr/>
              <w:t xml:space="preserve">U.S. Treasury securities </w:t>
            </w:r>
          </w:p>
        </w:tc>
        <w:tc>
          <w:tcPr>
            <w:tcW w:w="90" w:type="dxa"/>
            <w:tcBorders/>
            <w:shd w:fill="CCEEFF" w:val="clear"/>
            <w:vAlign w:val="center"/>
          </w:tcPr>
          <w:p>
            <w:pPr>
              <w:pStyle w:val="TableContents"/>
              <w:spacing w:before="0" w:after="0"/>
              <w:ind w:left="0" w:right="0" w:hanging="0"/>
              <w:rPr/>
            </w:pPr>
            <w:r>
              <w:rPr/>
              <w:t> </w:t>
            </w:r>
          </w:p>
        </w:tc>
        <w:tc>
          <w:tcPr>
            <w:tcW w:w="1300" w:type="dxa"/>
            <w:gridSpan w:val="2"/>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60" w:type="dxa"/>
            <w:gridSpan w:val="2"/>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50" w:type="dxa"/>
            <w:gridSpan w:val="2"/>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300" w:type="dxa"/>
            <w:gridSpan w:val="2"/>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60" w:type="dxa"/>
            <w:gridSpan w:val="2"/>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50" w:type="dxa"/>
            <w:gridSpan w:val="2"/>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300" w:type="dxa"/>
            <w:gridSpan w:val="2"/>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60" w:type="dxa"/>
            <w:gridSpan w:val="2"/>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1625" w:type="dxa"/>
            <w:tcBorders/>
            <w:shd w:fill="CCEEFF" w:val="clear"/>
            <w:vAlign w:val="center"/>
          </w:tcPr>
          <w:p>
            <w:pPr>
              <w:pStyle w:val="TableContents"/>
              <w:spacing w:before="0" w:after="0"/>
              <w:ind w:left="0" w:right="0" w:hanging="0"/>
              <w:rPr/>
            </w:pPr>
            <w:r>
              <w:rPr/>
              <w:t xml:space="preserve">and obligations of U.S. </w:t>
            </w:r>
          </w:p>
        </w:tc>
        <w:tc>
          <w:tcPr>
            <w:tcW w:w="90" w:type="dxa"/>
            <w:tcBorders/>
            <w:shd w:fill="CCEEFF" w:val="clear"/>
            <w:vAlign w:val="center"/>
          </w:tcPr>
          <w:p>
            <w:pPr>
              <w:pStyle w:val="TableContents"/>
              <w:spacing w:before="0" w:after="0"/>
              <w:ind w:left="0" w:right="0" w:hanging="0"/>
              <w:rPr/>
            </w:pPr>
            <w:r>
              <w:rPr/>
              <w:t> </w:t>
            </w:r>
          </w:p>
        </w:tc>
        <w:tc>
          <w:tcPr>
            <w:tcW w:w="1300" w:type="dxa"/>
            <w:gridSpan w:val="2"/>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60" w:type="dxa"/>
            <w:gridSpan w:val="2"/>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50" w:type="dxa"/>
            <w:gridSpan w:val="2"/>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300" w:type="dxa"/>
            <w:gridSpan w:val="2"/>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60" w:type="dxa"/>
            <w:gridSpan w:val="2"/>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50" w:type="dxa"/>
            <w:gridSpan w:val="2"/>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300" w:type="dxa"/>
            <w:gridSpan w:val="2"/>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60" w:type="dxa"/>
            <w:gridSpan w:val="2"/>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1625" w:type="dxa"/>
            <w:tcBorders/>
            <w:shd w:fill="CCEEFF" w:val="clear"/>
            <w:vAlign w:val="center"/>
          </w:tcPr>
          <w:p>
            <w:pPr>
              <w:pStyle w:val="TableContents"/>
              <w:spacing w:before="0" w:after="0"/>
              <w:ind w:left="0" w:right="0" w:hanging="0"/>
              <w:rPr/>
            </w:pPr>
            <w:r>
              <w:rPr/>
              <w:t xml:space="preserve">government corporations </w:t>
            </w:r>
          </w:p>
        </w:tc>
        <w:tc>
          <w:tcPr>
            <w:tcW w:w="90" w:type="dxa"/>
            <w:tcBorders/>
            <w:shd w:fill="CCEEFF" w:val="clear"/>
            <w:vAlign w:val="center"/>
          </w:tcPr>
          <w:p>
            <w:pPr>
              <w:pStyle w:val="TableContents"/>
              <w:spacing w:before="0" w:after="0"/>
              <w:ind w:left="0" w:right="0" w:hanging="0"/>
              <w:rPr/>
            </w:pPr>
            <w:r>
              <w:rPr/>
              <w:t> </w:t>
            </w:r>
          </w:p>
        </w:tc>
        <w:tc>
          <w:tcPr>
            <w:tcW w:w="1300" w:type="dxa"/>
            <w:gridSpan w:val="2"/>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60" w:type="dxa"/>
            <w:gridSpan w:val="2"/>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50" w:type="dxa"/>
            <w:gridSpan w:val="2"/>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300" w:type="dxa"/>
            <w:gridSpan w:val="2"/>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60" w:type="dxa"/>
            <w:gridSpan w:val="2"/>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50" w:type="dxa"/>
            <w:gridSpan w:val="2"/>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300" w:type="dxa"/>
            <w:gridSpan w:val="2"/>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60" w:type="dxa"/>
            <w:gridSpan w:val="2"/>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1625" w:type="dxa"/>
            <w:tcBorders/>
            <w:shd w:fill="CCEEFF" w:val="clear"/>
            <w:vAlign w:val="center"/>
          </w:tcPr>
          <w:p>
            <w:pPr>
              <w:pStyle w:val="TableContents"/>
              <w:spacing w:before="0" w:after="0"/>
              <w:ind w:left="0" w:right="0" w:hanging="0"/>
              <w:rPr/>
            </w:pPr>
            <w:r>
              <w:rPr/>
              <w:t xml:space="preserve">and agencies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6" w:type="dxa"/>
            <w:tcBorders/>
            <w:shd w:fill="CCEEFF" w:val="clear"/>
            <w:vAlign w:val="center"/>
          </w:tcPr>
          <w:p>
            <w:pPr>
              <w:pStyle w:val="TableContents"/>
              <w:spacing w:before="0" w:after="283"/>
              <w:rPr/>
            </w:pPr>
            <w:r>
              <w:rPr/>
              <w:t>$</w:t>
            </w:r>
          </w:p>
        </w:tc>
        <w:tc>
          <w:tcPr>
            <w:tcW w:w="954"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24" w:type="dxa"/>
            <w:tcBorders/>
            <w:shd w:fill="CCEEFF" w:val="clear"/>
            <w:vAlign w:val="center"/>
          </w:tcPr>
          <w:p>
            <w:pPr>
              <w:pStyle w:val="TableContents"/>
              <w:spacing w:before="0" w:after="0"/>
              <w:ind w:left="0" w:right="0" w:hanging="0"/>
              <w:rPr/>
            </w:pPr>
            <w:r>
              <w:rPr/>
              <w:t> </w:t>
            </w:r>
          </w:p>
        </w:tc>
        <w:tc>
          <w:tcPr>
            <w:tcW w:w="726"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3" w:type="dxa"/>
            <w:tcBorders/>
            <w:shd w:fill="CCEEFF" w:val="clear"/>
            <w:vAlign w:val="center"/>
          </w:tcPr>
          <w:p>
            <w:pPr>
              <w:pStyle w:val="TableContents"/>
              <w:spacing w:before="0" w:after="283"/>
              <w:rPr/>
            </w:pPr>
            <w:r>
              <w:rPr/>
              <w:t>$</w:t>
            </w:r>
          </w:p>
        </w:tc>
        <w:tc>
          <w:tcPr>
            <w:tcW w:w="977"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24" w:type="dxa"/>
            <w:tcBorders/>
            <w:shd w:fill="CCEEFF" w:val="clear"/>
            <w:vAlign w:val="center"/>
          </w:tcPr>
          <w:p>
            <w:pPr>
              <w:pStyle w:val="TableContents"/>
              <w:spacing w:before="0" w:after="0"/>
              <w:ind w:left="0" w:right="0" w:hanging="0"/>
              <w:rPr/>
            </w:pPr>
            <w:r>
              <w:rPr/>
              <w:t> </w:t>
            </w:r>
          </w:p>
        </w:tc>
        <w:tc>
          <w:tcPr>
            <w:tcW w:w="726"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3" w:type="dxa"/>
            <w:tcBorders/>
            <w:shd w:fill="CCEEFF" w:val="clear"/>
            <w:vAlign w:val="center"/>
          </w:tcPr>
          <w:p>
            <w:pPr>
              <w:pStyle w:val="TableContents"/>
              <w:spacing w:before="0" w:after="283"/>
              <w:rPr/>
            </w:pPr>
            <w:r>
              <w:rPr/>
              <w:t>$</w:t>
            </w:r>
          </w:p>
        </w:tc>
        <w:tc>
          <w:tcPr>
            <w:tcW w:w="977" w:type="dxa"/>
            <w:tcBorders/>
            <w:shd w:fill="CCEEFF" w:val="clear"/>
            <w:vAlign w:val="center"/>
          </w:tcPr>
          <w:p>
            <w:pPr>
              <w:pStyle w:val="TableContents"/>
              <w:spacing w:before="0" w:after="283"/>
              <w:jc w:val="right"/>
              <w:rPr/>
            </w:pPr>
            <w:r>
              <w:rPr/>
              <w:t>-</w:t>
            </w:r>
          </w:p>
        </w:tc>
        <w:tc>
          <w:tcPr>
            <w:tcW w:w="170" w:type="dxa"/>
            <w:tcBorders/>
            <w:shd w:fill="CCEEFF" w:val="clear"/>
            <w:vAlign w:val="center"/>
          </w:tcPr>
          <w:p>
            <w:pPr>
              <w:pStyle w:val="TableContents"/>
              <w:spacing w:before="0" w:after="0"/>
              <w:ind w:left="0" w:right="0" w:hanging="0"/>
              <w:rPr/>
            </w:pPr>
            <w:r>
              <w:rPr/>
              <w:t> </w:t>
            </w:r>
          </w:p>
        </w:tc>
      </w:tr>
      <w:tr>
        <w:trPr/>
        <w:tc>
          <w:tcPr>
            <w:tcW w:w="16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06" w:type="dxa"/>
            <w:tcBorders/>
            <w:shd w:fill="FFFFFF" w:val="clear"/>
            <w:vAlign w:val="center"/>
          </w:tcPr>
          <w:p>
            <w:pPr>
              <w:pStyle w:val="TableContents"/>
              <w:spacing w:before="0" w:after="0"/>
              <w:ind w:left="0" w:right="0" w:hanging="0"/>
              <w:rPr/>
            </w:pPr>
            <w:r>
              <w:rPr/>
              <w:t> </w:t>
            </w:r>
          </w:p>
        </w:tc>
        <w:tc>
          <w:tcPr>
            <w:tcW w:w="954"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24" w:type="dxa"/>
            <w:tcBorders/>
            <w:shd w:fill="FFFFFF" w:val="clear"/>
            <w:vAlign w:val="center"/>
          </w:tcPr>
          <w:p>
            <w:pPr>
              <w:pStyle w:val="TableContents"/>
              <w:spacing w:before="0" w:after="0"/>
              <w:ind w:left="0" w:right="0" w:hanging="0"/>
              <w:rPr/>
            </w:pPr>
            <w:r>
              <w:rPr/>
              <w:t> </w:t>
            </w:r>
          </w:p>
        </w:tc>
        <w:tc>
          <w:tcPr>
            <w:tcW w:w="726"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3" w:type="dxa"/>
            <w:tcBorders/>
            <w:shd w:fill="FFFFFF" w:val="clear"/>
            <w:vAlign w:val="center"/>
          </w:tcPr>
          <w:p>
            <w:pPr>
              <w:pStyle w:val="TableContents"/>
              <w:spacing w:before="0" w:after="0"/>
              <w:ind w:left="0" w:right="0" w:hanging="0"/>
              <w:rPr/>
            </w:pPr>
            <w:r>
              <w:rPr/>
              <w:t> </w:t>
            </w:r>
          </w:p>
        </w:tc>
        <w:tc>
          <w:tcPr>
            <w:tcW w:w="977"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24" w:type="dxa"/>
            <w:tcBorders/>
            <w:shd w:fill="FFFFFF" w:val="clear"/>
            <w:vAlign w:val="center"/>
          </w:tcPr>
          <w:p>
            <w:pPr>
              <w:pStyle w:val="TableContents"/>
              <w:spacing w:before="0" w:after="0"/>
              <w:ind w:left="0" w:right="0" w:hanging="0"/>
              <w:rPr/>
            </w:pPr>
            <w:r>
              <w:rPr/>
              <w:t> </w:t>
            </w:r>
          </w:p>
        </w:tc>
        <w:tc>
          <w:tcPr>
            <w:tcW w:w="726"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3" w:type="dxa"/>
            <w:tcBorders/>
            <w:shd w:fill="FFFFFF" w:val="clear"/>
            <w:vAlign w:val="center"/>
          </w:tcPr>
          <w:p>
            <w:pPr>
              <w:pStyle w:val="TableContents"/>
              <w:spacing w:before="0" w:after="0"/>
              <w:ind w:left="0" w:right="0" w:hanging="0"/>
              <w:rPr/>
            </w:pPr>
            <w:r>
              <w:rPr/>
              <w:t> </w:t>
            </w:r>
          </w:p>
        </w:tc>
        <w:tc>
          <w:tcPr>
            <w:tcW w:w="977"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1625" w:type="dxa"/>
            <w:tcBorders/>
            <w:shd w:fill="CCEEFF" w:val="clear"/>
            <w:vAlign w:val="center"/>
          </w:tcPr>
          <w:p>
            <w:pPr>
              <w:pStyle w:val="TableContents"/>
              <w:spacing w:before="0" w:after="0"/>
              <w:ind w:left="0" w:right="0" w:hanging="0"/>
              <w:rPr/>
            </w:pPr>
            <w:r>
              <w:rPr/>
              <w:t xml:space="preserve">Political subdivisions of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6" w:type="dxa"/>
            <w:tcBorders/>
            <w:shd w:fill="CCEEFF" w:val="clear"/>
            <w:vAlign w:val="center"/>
          </w:tcPr>
          <w:p>
            <w:pPr>
              <w:pStyle w:val="TableContents"/>
              <w:spacing w:before="0" w:after="0"/>
              <w:ind w:left="0" w:right="0" w:hanging="0"/>
              <w:rPr/>
            </w:pPr>
            <w:r>
              <w:rPr/>
              <w:t> </w:t>
            </w:r>
          </w:p>
        </w:tc>
        <w:tc>
          <w:tcPr>
            <w:tcW w:w="954"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24" w:type="dxa"/>
            <w:tcBorders/>
            <w:shd w:fill="CCEEFF" w:val="clear"/>
            <w:vAlign w:val="center"/>
          </w:tcPr>
          <w:p>
            <w:pPr>
              <w:pStyle w:val="TableContents"/>
              <w:spacing w:before="0" w:after="0"/>
              <w:ind w:left="0" w:right="0" w:hanging="0"/>
              <w:rPr/>
            </w:pPr>
            <w:r>
              <w:rPr/>
              <w:t> </w:t>
            </w:r>
          </w:p>
        </w:tc>
        <w:tc>
          <w:tcPr>
            <w:tcW w:w="726"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3" w:type="dxa"/>
            <w:tcBorders/>
            <w:shd w:fill="CCEEFF" w:val="clear"/>
            <w:vAlign w:val="center"/>
          </w:tcPr>
          <w:p>
            <w:pPr>
              <w:pStyle w:val="TableContents"/>
              <w:spacing w:before="0" w:after="0"/>
              <w:ind w:left="0" w:right="0" w:hanging="0"/>
              <w:rPr/>
            </w:pPr>
            <w:r>
              <w:rPr/>
              <w:t> </w:t>
            </w:r>
          </w:p>
        </w:tc>
        <w:tc>
          <w:tcPr>
            <w:tcW w:w="977"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24" w:type="dxa"/>
            <w:tcBorders/>
            <w:shd w:fill="CCEEFF" w:val="clear"/>
            <w:vAlign w:val="center"/>
          </w:tcPr>
          <w:p>
            <w:pPr>
              <w:pStyle w:val="TableContents"/>
              <w:spacing w:before="0" w:after="0"/>
              <w:ind w:left="0" w:right="0" w:hanging="0"/>
              <w:rPr/>
            </w:pPr>
            <w:r>
              <w:rPr/>
              <w:t> </w:t>
            </w:r>
          </w:p>
        </w:tc>
        <w:tc>
          <w:tcPr>
            <w:tcW w:w="726"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3" w:type="dxa"/>
            <w:tcBorders/>
            <w:shd w:fill="CCEEFF" w:val="clear"/>
            <w:vAlign w:val="center"/>
          </w:tcPr>
          <w:p>
            <w:pPr>
              <w:pStyle w:val="TableContents"/>
              <w:spacing w:before="0" w:after="0"/>
              <w:ind w:left="0" w:right="0" w:hanging="0"/>
              <w:rPr/>
            </w:pPr>
            <w:r>
              <w:rPr/>
              <w:t> </w:t>
            </w:r>
          </w:p>
        </w:tc>
        <w:tc>
          <w:tcPr>
            <w:tcW w:w="977"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1625" w:type="dxa"/>
            <w:tcBorders/>
            <w:shd w:fill="CCEEFF" w:val="clear"/>
            <w:vAlign w:val="center"/>
          </w:tcPr>
          <w:p>
            <w:pPr>
              <w:pStyle w:val="TableContents"/>
              <w:spacing w:before="0" w:after="0"/>
              <w:ind w:left="0" w:right="0" w:hanging="0"/>
              <w:rPr/>
            </w:pPr>
            <w:r>
              <w:rPr/>
              <w:t xml:space="preserve">States, Territories and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6" w:type="dxa"/>
            <w:tcBorders/>
            <w:shd w:fill="CCEEFF" w:val="clear"/>
            <w:vAlign w:val="center"/>
          </w:tcPr>
          <w:p>
            <w:pPr>
              <w:pStyle w:val="TableContents"/>
              <w:spacing w:before="0" w:after="0"/>
              <w:ind w:left="0" w:right="0" w:hanging="0"/>
              <w:rPr/>
            </w:pPr>
            <w:r>
              <w:rPr/>
              <w:t> </w:t>
            </w:r>
          </w:p>
        </w:tc>
        <w:tc>
          <w:tcPr>
            <w:tcW w:w="954"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24" w:type="dxa"/>
            <w:tcBorders/>
            <w:shd w:fill="CCEEFF" w:val="clear"/>
            <w:vAlign w:val="center"/>
          </w:tcPr>
          <w:p>
            <w:pPr>
              <w:pStyle w:val="TableContents"/>
              <w:spacing w:before="0" w:after="0"/>
              <w:ind w:left="0" w:right="0" w:hanging="0"/>
              <w:rPr/>
            </w:pPr>
            <w:r>
              <w:rPr/>
              <w:t> </w:t>
            </w:r>
          </w:p>
        </w:tc>
        <w:tc>
          <w:tcPr>
            <w:tcW w:w="726"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3" w:type="dxa"/>
            <w:tcBorders/>
            <w:shd w:fill="CCEEFF" w:val="clear"/>
            <w:vAlign w:val="center"/>
          </w:tcPr>
          <w:p>
            <w:pPr>
              <w:pStyle w:val="TableContents"/>
              <w:spacing w:before="0" w:after="0"/>
              <w:ind w:left="0" w:right="0" w:hanging="0"/>
              <w:rPr/>
            </w:pPr>
            <w:r>
              <w:rPr/>
              <w:t> </w:t>
            </w:r>
          </w:p>
        </w:tc>
        <w:tc>
          <w:tcPr>
            <w:tcW w:w="977"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24" w:type="dxa"/>
            <w:tcBorders/>
            <w:shd w:fill="CCEEFF" w:val="clear"/>
            <w:vAlign w:val="center"/>
          </w:tcPr>
          <w:p>
            <w:pPr>
              <w:pStyle w:val="TableContents"/>
              <w:spacing w:before="0" w:after="0"/>
              <w:ind w:left="0" w:right="0" w:hanging="0"/>
              <w:rPr/>
            </w:pPr>
            <w:r>
              <w:rPr/>
              <w:t> </w:t>
            </w:r>
          </w:p>
        </w:tc>
        <w:tc>
          <w:tcPr>
            <w:tcW w:w="726"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3" w:type="dxa"/>
            <w:tcBorders/>
            <w:shd w:fill="CCEEFF" w:val="clear"/>
            <w:vAlign w:val="center"/>
          </w:tcPr>
          <w:p>
            <w:pPr>
              <w:pStyle w:val="TableContents"/>
              <w:spacing w:before="0" w:after="0"/>
              <w:ind w:left="0" w:right="0" w:hanging="0"/>
              <w:rPr/>
            </w:pPr>
            <w:r>
              <w:rPr/>
              <w:t> </w:t>
            </w:r>
          </w:p>
        </w:tc>
        <w:tc>
          <w:tcPr>
            <w:tcW w:w="977"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1625" w:type="dxa"/>
            <w:tcBorders/>
            <w:shd w:fill="CCEEFF" w:val="clear"/>
            <w:vAlign w:val="center"/>
          </w:tcPr>
          <w:p>
            <w:pPr>
              <w:pStyle w:val="TableContents"/>
              <w:spacing w:before="0" w:after="0"/>
              <w:ind w:left="0" w:right="0" w:hanging="0"/>
              <w:rPr/>
            </w:pPr>
            <w:r>
              <w:rPr/>
              <w:t xml:space="preserve">Possessions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3,067,428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6" w:type="dxa"/>
            <w:tcBorders/>
            <w:shd w:fill="CCEEFF" w:val="clear"/>
            <w:vAlign w:val="center"/>
          </w:tcPr>
          <w:p>
            <w:pPr>
              <w:pStyle w:val="TableContents"/>
              <w:spacing w:before="0" w:after="0"/>
              <w:ind w:left="0" w:right="0" w:hanging="0"/>
              <w:rPr/>
            </w:pPr>
            <w:r>
              <w:rPr/>
              <w:t> </w:t>
            </w:r>
          </w:p>
        </w:tc>
        <w:tc>
          <w:tcPr>
            <w:tcW w:w="954" w:type="dxa"/>
            <w:tcBorders/>
            <w:shd w:fill="CCEEFF" w:val="clear"/>
            <w:vAlign w:val="center"/>
          </w:tcPr>
          <w:p>
            <w:pPr>
              <w:pStyle w:val="TableContents"/>
              <w:spacing w:before="0" w:after="283"/>
              <w:jc w:val="right"/>
              <w:rPr/>
            </w:pPr>
            <w:r>
              <w:rPr/>
              <w:t>(11,316</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224" w:type="dxa"/>
            <w:tcBorders/>
            <w:shd w:fill="CCEEFF" w:val="clear"/>
            <w:vAlign w:val="center"/>
          </w:tcPr>
          <w:p>
            <w:pPr>
              <w:pStyle w:val="TableContents"/>
              <w:spacing w:before="0" w:after="0"/>
              <w:ind w:left="0" w:right="0" w:hanging="0"/>
              <w:rPr/>
            </w:pPr>
            <w:r>
              <w:rPr/>
              <w:t> </w:t>
            </w:r>
          </w:p>
        </w:tc>
        <w:tc>
          <w:tcPr>
            <w:tcW w:w="726" w:type="dxa"/>
            <w:tcBorders/>
            <w:shd w:fill="CCEEFF" w:val="clear"/>
            <w:vAlign w:val="center"/>
          </w:tcPr>
          <w:p>
            <w:pPr>
              <w:pStyle w:val="TableContents"/>
              <w:spacing w:before="0" w:after="283"/>
              <w:jc w:val="right"/>
              <w:rPr/>
            </w:pPr>
            <w:r>
              <w:rPr/>
              <w:t>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3" w:type="dxa"/>
            <w:tcBorders/>
            <w:shd w:fill="CCEEFF" w:val="clear"/>
            <w:vAlign w:val="center"/>
          </w:tcPr>
          <w:p>
            <w:pPr>
              <w:pStyle w:val="TableContents"/>
              <w:spacing w:before="0" w:after="0"/>
              <w:ind w:left="0" w:right="0" w:hanging="0"/>
              <w:rPr/>
            </w:pPr>
            <w:r>
              <w:rPr/>
              <w:t> </w:t>
            </w:r>
          </w:p>
        </w:tc>
        <w:tc>
          <w:tcPr>
            <w:tcW w:w="977"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24" w:type="dxa"/>
            <w:tcBorders/>
            <w:shd w:fill="CCEEFF" w:val="clear"/>
            <w:vAlign w:val="center"/>
          </w:tcPr>
          <w:p>
            <w:pPr>
              <w:pStyle w:val="TableContents"/>
              <w:spacing w:before="0" w:after="0"/>
              <w:ind w:left="0" w:right="0" w:hanging="0"/>
              <w:rPr/>
            </w:pPr>
            <w:r>
              <w:rPr/>
              <w:t> </w:t>
            </w:r>
          </w:p>
        </w:tc>
        <w:tc>
          <w:tcPr>
            <w:tcW w:w="726"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3,067,428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3" w:type="dxa"/>
            <w:tcBorders/>
            <w:shd w:fill="CCEEFF" w:val="clear"/>
            <w:vAlign w:val="center"/>
          </w:tcPr>
          <w:p>
            <w:pPr>
              <w:pStyle w:val="TableContents"/>
              <w:spacing w:before="0" w:after="0"/>
              <w:ind w:left="0" w:right="0" w:hanging="0"/>
              <w:rPr/>
            </w:pPr>
            <w:r>
              <w:rPr/>
              <w:t> </w:t>
            </w:r>
          </w:p>
        </w:tc>
        <w:tc>
          <w:tcPr>
            <w:tcW w:w="977" w:type="dxa"/>
            <w:tcBorders/>
            <w:shd w:fill="CCEEFF" w:val="clear"/>
            <w:vAlign w:val="center"/>
          </w:tcPr>
          <w:p>
            <w:pPr>
              <w:pStyle w:val="TableContents"/>
              <w:spacing w:before="0" w:after="283"/>
              <w:jc w:val="right"/>
              <w:rPr/>
            </w:pPr>
            <w:r>
              <w:rPr/>
              <w:t>(11,316</w:t>
            </w:r>
          </w:p>
        </w:tc>
        <w:tc>
          <w:tcPr>
            <w:tcW w:w="170" w:type="dxa"/>
            <w:tcBorders/>
            <w:shd w:fill="CCEEFF" w:val="clear"/>
            <w:vAlign w:val="center"/>
          </w:tcPr>
          <w:p>
            <w:pPr>
              <w:pStyle w:val="TableContents"/>
              <w:spacing w:before="0" w:after="283"/>
              <w:rPr/>
            </w:pPr>
            <w:r>
              <w:rPr/>
              <w:t>)</w:t>
            </w:r>
          </w:p>
        </w:tc>
      </w:tr>
      <w:tr>
        <w:trPr/>
        <w:tc>
          <w:tcPr>
            <w:tcW w:w="16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06" w:type="dxa"/>
            <w:tcBorders/>
            <w:shd w:fill="FFFFFF" w:val="clear"/>
            <w:vAlign w:val="center"/>
          </w:tcPr>
          <w:p>
            <w:pPr>
              <w:pStyle w:val="TableContents"/>
              <w:spacing w:before="0" w:after="0"/>
              <w:ind w:left="0" w:right="0" w:hanging="0"/>
              <w:rPr/>
            </w:pPr>
            <w:r>
              <w:rPr/>
              <w:t> </w:t>
            </w:r>
          </w:p>
        </w:tc>
        <w:tc>
          <w:tcPr>
            <w:tcW w:w="954"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24" w:type="dxa"/>
            <w:tcBorders/>
            <w:shd w:fill="FFFFFF" w:val="clear"/>
            <w:vAlign w:val="center"/>
          </w:tcPr>
          <w:p>
            <w:pPr>
              <w:pStyle w:val="TableContents"/>
              <w:spacing w:before="0" w:after="0"/>
              <w:ind w:left="0" w:right="0" w:hanging="0"/>
              <w:rPr/>
            </w:pPr>
            <w:r>
              <w:rPr/>
              <w:t> </w:t>
            </w:r>
          </w:p>
        </w:tc>
        <w:tc>
          <w:tcPr>
            <w:tcW w:w="726"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3" w:type="dxa"/>
            <w:tcBorders/>
            <w:shd w:fill="FFFFFF" w:val="clear"/>
            <w:vAlign w:val="center"/>
          </w:tcPr>
          <w:p>
            <w:pPr>
              <w:pStyle w:val="TableContents"/>
              <w:spacing w:before="0" w:after="0"/>
              <w:ind w:left="0" w:right="0" w:hanging="0"/>
              <w:rPr/>
            </w:pPr>
            <w:r>
              <w:rPr/>
              <w:t> </w:t>
            </w:r>
          </w:p>
        </w:tc>
        <w:tc>
          <w:tcPr>
            <w:tcW w:w="977"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24" w:type="dxa"/>
            <w:tcBorders/>
            <w:shd w:fill="FFFFFF" w:val="clear"/>
            <w:vAlign w:val="center"/>
          </w:tcPr>
          <w:p>
            <w:pPr>
              <w:pStyle w:val="TableContents"/>
              <w:spacing w:before="0" w:after="0"/>
              <w:ind w:left="0" w:right="0" w:hanging="0"/>
              <w:rPr/>
            </w:pPr>
            <w:r>
              <w:rPr/>
              <w:t> </w:t>
            </w:r>
          </w:p>
        </w:tc>
        <w:tc>
          <w:tcPr>
            <w:tcW w:w="726"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3" w:type="dxa"/>
            <w:tcBorders/>
            <w:shd w:fill="FFFFFF" w:val="clear"/>
            <w:vAlign w:val="center"/>
          </w:tcPr>
          <w:p>
            <w:pPr>
              <w:pStyle w:val="TableContents"/>
              <w:spacing w:before="0" w:after="0"/>
              <w:ind w:left="0" w:right="0" w:hanging="0"/>
              <w:rPr/>
            </w:pPr>
            <w:r>
              <w:rPr/>
              <w:t> </w:t>
            </w:r>
          </w:p>
        </w:tc>
        <w:tc>
          <w:tcPr>
            <w:tcW w:w="977"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1625" w:type="dxa"/>
            <w:tcBorders/>
            <w:shd w:fill="CCEEFF" w:val="clear"/>
            <w:vAlign w:val="center"/>
          </w:tcPr>
          <w:p>
            <w:pPr>
              <w:pStyle w:val="TableContents"/>
              <w:spacing w:before="0" w:after="0"/>
              <w:ind w:left="0" w:right="0" w:hanging="0"/>
              <w:rPr/>
            </w:pPr>
            <w:r>
              <w:rPr/>
              <w:t xml:space="preserve">Corporate and other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6" w:type="dxa"/>
            <w:tcBorders/>
            <w:shd w:fill="CCEEFF" w:val="clear"/>
            <w:vAlign w:val="center"/>
          </w:tcPr>
          <w:p>
            <w:pPr>
              <w:pStyle w:val="TableContents"/>
              <w:spacing w:before="0" w:after="0"/>
              <w:ind w:left="0" w:right="0" w:hanging="0"/>
              <w:rPr/>
            </w:pPr>
            <w:r>
              <w:rPr/>
              <w:t> </w:t>
            </w:r>
          </w:p>
        </w:tc>
        <w:tc>
          <w:tcPr>
            <w:tcW w:w="954"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24" w:type="dxa"/>
            <w:tcBorders/>
            <w:shd w:fill="CCEEFF" w:val="clear"/>
            <w:vAlign w:val="center"/>
          </w:tcPr>
          <w:p>
            <w:pPr>
              <w:pStyle w:val="TableContents"/>
              <w:spacing w:before="0" w:after="0"/>
              <w:ind w:left="0" w:right="0" w:hanging="0"/>
              <w:rPr/>
            </w:pPr>
            <w:r>
              <w:rPr/>
              <w:t> </w:t>
            </w:r>
          </w:p>
        </w:tc>
        <w:tc>
          <w:tcPr>
            <w:tcW w:w="726"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3" w:type="dxa"/>
            <w:tcBorders/>
            <w:shd w:fill="CCEEFF" w:val="clear"/>
            <w:vAlign w:val="center"/>
          </w:tcPr>
          <w:p>
            <w:pPr>
              <w:pStyle w:val="TableContents"/>
              <w:spacing w:before="0" w:after="0"/>
              <w:ind w:left="0" w:right="0" w:hanging="0"/>
              <w:rPr/>
            </w:pPr>
            <w:r>
              <w:rPr/>
              <w:t> </w:t>
            </w:r>
          </w:p>
        </w:tc>
        <w:tc>
          <w:tcPr>
            <w:tcW w:w="977"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24" w:type="dxa"/>
            <w:tcBorders/>
            <w:shd w:fill="CCEEFF" w:val="clear"/>
            <w:vAlign w:val="center"/>
          </w:tcPr>
          <w:p>
            <w:pPr>
              <w:pStyle w:val="TableContents"/>
              <w:spacing w:before="0" w:after="0"/>
              <w:ind w:left="0" w:right="0" w:hanging="0"/>
              <w:rPr/>
            </w:pPr>
            <w:r>
              <w:rPr/>
              <w:t> </w:t>
            </w:r>
          </w:p>
        </w:tc>
        <w:tc>
          <w:tcPr>
            <w:tcW w:w="726"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3" w:type="dxa"/>
            <w:tcBorders/>
            <w:shd w:fill="CCEEFF" w:val="clear"/>
            <w:vAlign w:val="center"/>
          </w:tcPr>
          <w:p>
            <w:pPr>
              <w:pStyle w:val="TableContents"/>
              <w:spacing w:before="0" w:after="0"/>
              <w:ind w:left="0" w:right="0" w:hanging="0"/>
              <w:rPr/>
            </w:pPr>
            <w:r>
              <w:rPr/>
              <w:t> </w:t>
            </w:r>
          </w:p>
        </w:tc>
        <w:tc>
          <w:tcPr>
            <w:tcW w:w="977"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1625" w:type="dxa"/>
            <w:tcBorders/>
            <w:shd w:fill="CCEEFF" w:val="clear"/>
            <w:vAlign w:val="center"/>
          </w:tcPr>
          <w:p>
            <w:pPr>
              <w:pStyle w:val="TableContents"/>
              <w:spacing w:before="0" w:after="0"/>
              <w:ind w:left="0" w:right="0" w:hanging="0"/>
              <w:rPr/>
            </w:pPr>
            <w:r>
              <w:rPr/>
              <w:t xml:space="preserve">bonds industrial and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6" w:type="dxa"/>
            <w:tcBorders/>
            <w:shd w:fill="CCEEFF" w:val="clear"/>
            <w:vAlign w:val="center"/>
          </w:tcPr>
          <w:p>
            <w:pPr>
              <w:pStyle w:val="TableContents"/>
              <w:spacing w:before="0" w:after="0"/>
              <w:ind w:left="0" w:right="0" w:hanging="0"/>
              <w:rPr/>
            </w:pPr>
            <w:r>
              <w:rPr/>
              <w:t> </w:t>
            </w:r>
          </w:p>
        </w:tc>
        <w:tc>
          <w:tcPr>
            <w:tcW w:w="954"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24" w:type="dxa"/>
            <w:tcBorders/>
            <w:shd w:fill="CCEEFF" w:val="clear"/>
            <w:vAlign w:val="center"/>
          </w:tcPr>
          <w:p>
            <w:pPr>
              <w:pStyle w:val="TableContents"/>
              <w:spacing w:before="0" w:after="0"/>
              <w:ind w:left="0" w:right="0" w:hanging="0"/>
              <w:rPr/>
            </w:pPr>
            <w:r>
              <w:rPr/>
              <w:t> </w:t>
            </w:r>
          </w:p>
        </w:tc>
        <w:tc>
          <w:tcPr>
            <w:tcW w:w="726"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3" w:type="dxa"/>
            <w:tcBorders/>
            <w:shd w:fill="CCEEFF" w:val="clear"/>
            <w:vAlign w:val="center"/>
          </w:tcPr>
          <w:p>
            <w:pPr>
              <w:pStyle w:val="TableContents"/>
              <w:spacing w:before="0" w:after="0"/>
              <w:ind w:left="0" w:right="0" w:hanging="0"/>
              <w:rPr/>
            </w:pPr>
            <w:r>
              <w:rPr/>
              <w:t> </w:t>
            </w:r>
          </w:p>
        </w:tc>
        <w:tc>
          <w:tcPr>
            <w:tcW w:w="977"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24" w:type="dxa"/>
            <w:tcBorders/>
            <w:shd w:fill="CCEEFF" w:val="clear"/>
            <w:vAlign w:val="center"/>
          </w:tcPr>
          <w:p>
            <w:pPr>
              <w:pStyle w:val="TableContents"/>
              <w:spacing w:before="0" w:after="0"/>
              <w:ind w:left="0" w:right="0" w:hanging="0"/>
              <w:rPr/>
            </w:pPr>
            <w:r>
              <w:rPr/>
              <w:t> </w:t>
            </w:r>
          </w:p>
        </w:tc>
        <w:tc>
          <w:tcPr>
            <w:tcW w:w="726"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3" w:type="dxa"/>
            <w:tcBorders/>
            <w:shd w:fill="CCEEFF" w:val="clear"/>
            <w:vAlign w:val="center"/>
          </w:tcPr>
          <w:p>
            <w:pPr>
              <w:pStyle w:val="TableContents"/>
              <w:spacing w:before="0" w:after="0"/>
              <w:ind w:left="0" w:right="0" w:hanging="0"/>
              <w:rPr/>
            </w:pPr>
            <w:r>
              <w:rPr/>
              <w:t> </w:t>
            </w:r>
          </w:p>
        </w:tc>
        <w:tc>
          <w:tcPr>
            <w:tcW w:w="977"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1625" w:type="dxa"/>
            <w:tcBorders/>
            <w:shd w:fill="CCEEFF" w:val="clear"/>
            <w:vAlign w:val="center"/>
          </w:tcPr>
          <w:p>
            <w:pPr>
              <w:pStyle w:val="TableContents"/>
              <w:spacing w:before="0" w:after="0"/>
              <w:ind w:left="0" w:right="0" w:hanging="0"/>
              <w:rPr/>
            </w:pPr>
            <w:r>
              <w:rPr/>
              <w:t xml:space="preserve">miscellaneous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3,730,478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6" w:type="dxa"/>
            <w:tcBorders/>
            <w:shd w:fill="CCEEFF" w:val="clear"/>
            <w:vAlign w:val="center"/>
          </w:tcPr>
          <w:p>
            <w:pPr>
              <w:pStyle w:val="TableContents"/>
              <w:spacing w:before="0" w:after="0"/>
              <w:ind w:left="0" w:right="0" w:hanging="0"/>
              <w:rPr/>
            </w:pPr>
            <w:r>
              <w:rPr/>
              <w:t> </w:t>
            </w:r>
          </w:p>
        </w:tc>
        <w:tc>
          <w:tcPr>
            <w:tcW w:w="954" w:type="dxa"/>
            <w:tcBorders/>
            <w:shd w:fill="CCEEFF" w:val="clear"/>
            <w:vAlign w:val="center"/>
          </w:tcPr>
          <w:p>
            <w:pPr>
              <w:pStyle w:val="TableContents"/>
              <w:spacing w:before="0" w:after="283"/>
              <w:jc w:val="right"/>
              <w:rPr/>
            </w:pPr>
            <w:r>
              <w:rPr/>
              <w:t>(16,685</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224" w:type="dxa"/>
            <w:tcBorders/>
            <w:shd w:fill="CCEEFF" w:val="clear"/>
            <w:vAlign w:val="center"/>
          </w:tcPr>
          <w:p>
            <w:pPr>
              <w:pStyle w:val="TableContents"/>
              <w:spacing w:before="0" w:after="0"/>
              <w:ind w:left="0" w:right="0" w:hanging="0"/>
              <w:rPr/>
            </w:pPr>
            <w:r>
              <w:rPr/>
              <w:t> </w:t>
            </w:r>
          </w:p>
        </w:tc>
        <w:tc>
          <w:tcPr>
            <w:tcW w:w="726" w:type="dxa"/>
            <w:tcBorders/>
            <w:shd w:fill="CCEEFF" w:val="clear"/>
            <w:vAlign w:val="center"/>
          </w:tcPr>
          <w:p>
            <w:pPr>
              <w:pStyle w:val="TableContents"/>
              <w:spacing w:before="0" w:after="283"/>
              <w:jc w:val="right"/>
              <w:rPr/>
            </w:pPr>
            <w:r>
              <w:rPr/>
              <w:t>7</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1,300,915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3" w:type="dxa"/>
            <w:tcBorders/>
            <w:shd w:fill="CCEEFF" w:val="clear"/>
            <w:vAlign w:val="center"/>
          </w:tcPr>
          <w:p>
            <w:pPr>
              <w:pStyle w:val="TableContents"/>
              <w:spacing w:before="0" w:after="0"/>
              <w:ind w:left="0" w:right="0" w:hanging="0"/>
              <w:rPr/>
            </w:pPr>
            <w:r>
              <w:rPr/>
              <w:t> </w:t>
            </w:r>
          </w:p>
        </w:tc>
        <w:tc>
          <w:tcPr>
            <w:tcW w:w="977" w:type="dxa"/>
            <w:tcBorders/>
            <w:shd w:fill="CCEEFF" w:val="clear"/>
            <w:vAlign w:val="center"/>
          </w:tcPr>
          <w:p>
            <w:pPr>
              <w:pStyle w:val="TableContents"/>
              <w:spacing w:before="0" w:after="283"/>
              <w:jc w:val="right"/>
              <w:rPr/>
            </w:pPr>
            <w:r>
              <w:rPr/>
              <w:t>(13,473</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224" w:type="dxa"/>
            <w:tcBorders/>
            <w:shd w:fill="CCEEFF" w:val="clear"/>
            <w:vAlign w:val="center"/>
          </w:tcPr>
          <w:p>
            <w:pPr>
              <w:pStyle w:val="TableContents"/>
              <w:spacing w:before="0" w:after="0"/>
              <w:ind w:left="0" w:right="0" w:hanging="0"/>
              <w:rPr/>
            </w:pPr>
            <w:r>
              <w:rPr/>
              <w:t> </w:t>
            </w:r>
          </w:p>
        </w:tc>
        <w:tc>
          <w:tcPr>
            <w:tcW w:w="726" w:type="dxa"/>
            <w:tcBorders/>
            <w:shd w:fill="CCEEFF" w:val="clear"/>
            <w:vAlign w:val="center"/>
          </w:tcPr>
          <w:p>
            <w:pPr>
              <w:pStyle w:val="TableContents"/>
              <w:spacing w:before="0" w:after="283"/>
              <w:jc w:val="right"/>
              <w:rPr/>
            </w:pPr>
            <w:r>
              <w:rPr/>
              <w:t>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5,031,393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3" w:type="dxa"/>
            <w:tcBorders/>
            <w:shd w:fill="CCEEFF" w:val="clear"/>
            <w:vAlign w:val="center"/>
          </w:tcPr>
          <w:p>
            <w:pPr>
              <w:pStyle w:val="TableContents"/>
              <w:spacing w:before="0" w:after="0"/>
              <w:ind w:left="0" w:right="0" w:hanging="0"/>
              <w:rPr/>
            </w:pPr>
            <w:r>
              <w:rPr/>
              <w:t> </w:t>
            </w:r>
          </w:p>
        </w:tc>
        <w:tc>
          <w:tcPr>
            <w:tcW w:w="977" w:type="dxa"/>
            <w:tcBorders/>
            <w:shd w:fill="CCEEFF" w:val="clear"/>
            <w:vAlign w:val="center"/>
          </w:tcPr>
          <w:p>
            <w:pPr>
              <w:pStyle w:val="TableContents"/>
              <w:spacing w:before="0" w:after="283"/>
              <w:jc w:val="right"/>
              <w:rPr/>
            </w:pPr>
            <w:r>
              <w:rPr/>
              <w:t>(30,158</w:t>
            </w:r>
          </w:p>
        </w:tc>
        <w:tc>
          <w:tcPr>
            <w:tcW w:w="170" w:type="dxa"/>
            <w:tcBorders/>
            <w:shd w:fill="CCEEFF" w:val="clear"/>
            <w:vAlign w:val="center"/>
          </w:tcPr>
          <w:p>
            <w:pPr>
              <w:pStyle w:val="TableContents"/>
              <w:spacing w:before="0" w:after="283"/>
              <w:rPr/>
            </w:pPr>
            <w:r>
              <w:rPr/>
              <w:t>)</w:t>
            </w:r>
          </w:p>
        </w:tc>
      </w:tr>
      <w:tr>
        <w:trPr/>
        <w:tc>
          <w:tcPr>
            <w:tcW w:w="16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06" w:type="dxa"/>
            <w:tcBorders/>
            <w:shd w:fill="FFFFFF" w:val="clear"/>
            <w:vAlign w:val="center"/>
          </w:tcPr>
          <w:p>
            <w:pPr>
              <w:pStyle w:val="TableContents"/>
              <w:spacing w:before="0" w:after="0"/>
              <w:ind w:left="0" w:right="0" w:hanging="0"/>
              <w:rPr/>
            </w:pPr>
            <w:r>
              <w:rPr/>
              <w:t> </w:t>
            </w:r>
          </w:p>
        </w:tc>
        <w:tc>
          <w:tcPr>
            <w:tcW w:w="954"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24" w:type="dxa"/>
            <w:tcBorders/>
            <w:shd w:fill="FFFFFF" w:val="clear"/>
            <w:vAlign w:val="center"/>
          </w:tcPr>
          <w:p>
            <w:pPr>
              <w:pStyle w:val="TableContents"/>
              <w:spacing w:before="0" w:after="0"/>
              <w:ind w:left="0" w:right="0" w:hanging="0"/>
              <w:rPr/>
            </w:pPr>
            <w:r>
              <w:rPr/>
              <w:t> </w:t>
            </w:r>
          </w:p>
        </w:tc>
        <w:tc>
          <w:tcPr>
            <w:tcW w:w="726"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3" w:type="dxa"/>
            <w:tcBorders/>
            <w:shd w:fill="FFFFFF" w:val="clear"/>
            <w:vAlign w:val="center"/>
          </w:tcPr>
          <w:p>
            <w:pPr>
              <w:pStyle w:val="TableContents"/>
              <w:spacing w:before="0" w:after="0"/>
              <w:ind w:left="0" w:right="0" w:hanging="0"/>
              <w:rPr/>
            </w:pPr>
            <w:r>
              <w:rPr/>
              <w:t> </w:t>
            </w:r>
          </w:p>
        </w:tc>
        <w:tc>
          <w:tcPr>
            <w:tcW w:w="977"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24" w:type="dxa"/>
            <w:tcBorders/>
            <w:shd w:fill="FFFFFF" w:val="clear"/>
            <w:vAlign w:val="center"/>
          </w:tcPr>
          <w:p>
            <w:pPr>
              <w:pStyle w:val="TableContents"/>
              <w:spacing w:before="0" w:after="0"/>
              <w:ind w:left="0" w:right="0" w:hanging="0"/>
              <w:rPr/>
            </w:pPr>
            <w:r>
              <w:rPr/>
              <w:t> </w:t>
            </w:r>
          </w:p>
        </w:tc>
        <w:tc>
          <w:tcPr>
            <w:tcW w:w="726"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3" w:type="dxa"/>
            <w:tcBorders/>
            <w:shd w:fill="FFFFFF" w:val="clear"/>
            <w:vAlign w:val="center"/>
          </w:tcPr>
          <w:p>
            <w:pPr>
              <w:pStyle w:val="TableContents"/>
              <w:spacing w:before="0" w:after="0"/>
              <w:ind w:left="0" w:right="0" w:hanging="0"/>
              <w:rPr/>
            </w:pPr>
            <w:r>
              <w:rPr/>
              <w:t> </w:t>
            </w:r>
          </w:p>
        </w:tc>
        <w:tc>
          <w:tcPr>
            <w:tcW w:w="977"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1625" w:type="dxa"/>
            <w:tcBorders/>
            <w:shd w:fill="CCEEFF" w:val="clear"/>
            <w:vAlign w:val="center"/>
          </w:tcPr>
          <w:p>
            <w:pPr>
              <w:pStyle w:val="TableContents"/>
              <w:spacing w:before="0" w:after="0"/>
              <w:ind w:left="0" w:right="0" w:hanging="0"/>
              <w:rPr/>
            </w:pPr>
            <w:r>
              <w:rPr/>
              <w:t xml:space="preserve">Residential mortgage and other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6" w:type="dxa"/>
            <w:tcBorders/>
            <w:shd w:fill="CCEEFF" w:val="clear"/>
            <w:vAlign w:val="center"/>
          </w:tcPr>
          <w:p>
            <w:pPr>
              <w:pStyle w:val="TableContents"/>
              <w:spacing w:before="0" w:after="0"/>
              <w:ind w:left="0" w:right="0" w:hanging="0"/>
              <w:rPr/>
            </w:pPr>
            <w:r>
              <w:rPr/>
              <w:t> </w:t>
            </w:r>
          </w:p>
        </w:tc>
        <w:tc>
          <w:tcPr>
            <w:tcW w:w="954"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24" w:type="dxa"/>
            <w:tcBorders/>
            <w:shd w:fill="CCEEFF" w:val="clear"/>
            <w:vAlign w:val="center"/>
          </w:tcPr>
          <w:p>
            <w:pPr>
              <w:pStyle w:val="TableContents"/>
              <w:spacing w:before="0" w:after="0"/>
              <w:ind w:left="0" w:right="0" w:hanging="0"/>
              <w:rPr/>
            </w:pPr>
            <w:r>
              <w:rPr/>
              <w:t> </w:t>
            </w:r>
          </w:p>
        </w:tc>
        <w:tc>
          <w:tcPr>
            <w:tcW w:w="726"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3" w:type="dxa"/>
            <w:tcBorders/>
            <w:shd w:fill="CCEEFF" w:val="clear"/>
            <w:vAlign w:val="center"/>
          </w:tcPr>
          <w:p>
            <w:pPr>
              <w:pStyle w:val="TableContents"/>
              <w:spacing w:before="0" w:after="0"/>
              <w:ind w:left="0" w:right="0" w:hanging="0"/>
              <w:rPr/>
            </w:pPr>
            <w:r>
              <w:rPr/>
              <w:t> </w:t>
            </w:r>
          </w:p>
        </w:tc>
        <w:tc>
          <w:tcPr>
            <w:tcW w:w="977"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24" w:type="dxa"/>
            <w:tcBorders/>
            <w:shd w:fill="CCEEFF" w:val="clear"/>
            <w:vAlign w:val="center"/>
          </w:tcPr>
          <w:p>
            <w:pPr>
              <w:pStyle w:val="TableContents"/>
              <w:spacing w:before="0" w:after="0"/>
              <w:ind w:left="0" w:right="0" w:hanging="0"/>
              <w:rPr/>
            </w:pPr>
            <w:r>
              <w:rPr/>
              <w:t> </w:t>
            </w:r>
          </w:p>
        </w:tc>
        <w:tc>
          <w:tcPr>
            <w:tcW w:w="726"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3" w:type="dxa"/>
            <w:tcBorders/>
            <w:shd w:fill="CCEEFF" w:val="clear"/>
            <w:vAlign w:val="center"/>
          </w:tcPr>
          <w:p>
            <w:pPr>
              <w:pStyle w:val="TableContents"/>
              <w:spacing w:before="0" w:after="0"/>
              <w:ind w:left="0" w:right="0" w:hanging="0"/>
              <w:rPr/>
            </w:pPr>
            <w:r>
              <w:rPr/>
              <w:t> </w:t>
            </w:r>
          </w:p>
        </w:tc>
        <w:tc>
          <w:tcPr>
            <w:tcW w:w="977"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1625" w:type="dxa"/>
            <w:tcBorders/>
            <w:shd w:fill="CCEEFF" w:val="clear"/>
            <w:vAlign w:val="center"/>
          </w:tcPr>
          <w:p>
            <w:pPr>
              <w:pStyle w:val="TableContents"/>
              <w:spacing w:before="0" w:after="0"/>
              <w:ind w:left="0" w:right="0" w:hanging="0"/>
              <w:rPr/>
            </w:pPr>
            <w:r>
              <w:rPr/>
              <w:t xml:space="preserve">asset backed securities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CCEEFF" w:val="clear"/>
            <w:tcMar>
              <w:bottom w:w="28" w:type="dxa"/>
            </w:tcMar>
            <w:vAlign w:val="center"/>
          </w:tcPr>
          <w:p>
            <w:pPr>
              <w:pStyle w:val="TableContents"/>
              <w:spacing w:before="0" w:after="283"/>
              <w:jc w:val="right"/>
              <w:rPr/>
            </w:pPr>
            <w:r>
              <w:rPr/>
              <w:t>5,862,636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54" w:type="dxa"/>
            <w:tcBorders>
              <w:bottom w:val="single" w:sz="2" w:space="0" w:color="000000"/>
            </w:tcBorders>
            <w:shd w:fill="CCEEFF" w:val="clear"/>
            <w:tcMar>
              <w:bottom w:w="28" w:type="dxa"/>
            </w:tcMar>
            <w:vAlign w:val="center"/>
          </w:tcPr>
          <w:p>
            <w:pPr>
              <w:pStyle w:val="TableContents"/>
              <w:spacing w:before="0" w:after="283"/>
              <w:jc w:val="right"/>
              <w:rPr/>
            </w:pPr>
            <w:r>
              <w:rPr/>
              <w:t>(68,793</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22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26" w:type="dxa"/>
            <w:tcBorders>
              <w:bottom w:val="single" w:sz="2" w:space="0" w:color="000000"/>
            </w:tcBorders>
            <w:shd w:fill="CCEEFF" w:val="clear"/>
            <w:tcMar>
              <w:bottom w:w="28" w:type="dxa"/>
            </w:tcMar>
            <w:vAlign w:val="center"/>
          </w:tcPr>
          <w:p>
            <w:pPr>
              <w:pStyle w:val="TableContents"/>
              <w:spacing w:before="0" w:after="283"/>
              <w:jc w:val="right"/>
              <w:rPr/>
            </w:pPr>
            <w:r>
              <w:rPr/>
              <w:t>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CCEEFF" w:val="clear"/>
            <w:tcMar>
              <w:bottom w:w="28" w:type="dxa"/>
            </w:tcMar>
            <w:vAlign w:val="center"/>
          </w:tcPr>
          <w:p>
            <w:pPr>
              <w:pStyle w:val="TableContents"/>
              <w:spacing w:before="0" w:after="283"/>
              <w:jc w:val="right"/>
              <w:rPr/>
            </w:pPr>
            <w:r>
              <w:rPr/>
              <w:t>13,534,768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3"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77" w:type="dxa"/>
            <w:tcBorders>
              <w:bottom w:val="single" w:sz="2" w:space="0" w:color="000000"/>
            </w:tcBorders>
            <w:shd w:fill="CCEEFF" w:val="clear"/>
            <w:tcMar>
              <w:bottom w:w="28" w:type="dxa"/>
            </w:tcMar>
            <w:vAlign w:val="center"/>
          </w:tcPr>
          <w:p>
            <w:pPr>
              <w:pStyle w:val="TableContents"/>
              <w:spacing w:before="0" w:after="283"/>
              <w:jc w:val="right"/>
              <w:rPr/>
            </w:pPr>
            <w:r>
              <w:rPr/>
              <w:t>(276,451</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22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26" w:type="dxa"/>
            <w:tcBorders>
              <w:bottom w:val="single" w:sz="2" w:space="0" w:color="000000"/>
            </w:tcBorders>
            <w:shd w:fill="CCEEFF" w:val="clear"/>
            <w:tcMar>
              <w:bottom w:w="28" w:type="dxa"/>
            </w:tcMar>
            <w:vAlign w:val="center"/>
          </w:tcPr>
          <w:p>
            <w:pPr>
              <w:pStyle w:val="TableContents"/>
              <w:spacing w:before="0" w:after="283"/>
              <w:jc w:val="right"/>
              <w:rPr/>
            </w:pPr>
            <w:r>
              <w:rPr/>
              <w:t>21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CCEEFF" w:val="clear"/>
            <w:tcMar>
              <w:bottom w:w="28" w:type="dxa"/>
            </w:tcMar>
            <w:vAlign w:val="center"/>
          </w:tcPr>
          <w:p>
            <w:pPr>
              <w:pStyle w:val="TableContents"/>
              <w:spacing w:before="0" w:after="283"/>
              <w:jc w:val="right"/>
              <w:rPr/>
            </w:pPr>
            <w:r>
              <w:rPr/>
              <w:t>19,397,404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3"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77" w:type="dxa"/>
            <w:tcBorders>
              <w:bottom w:val="single" w:sz="2" w:space="0" w:color="000000"/>
            </w:tcBorders>
            <w:shd w:fill="CCEEFF" w:val="clear"/>
            <w:tcMar>
              <w:bottom w:w="28" w:type="dxa"/>
            </w:tcMar>
            <w:vAlign w:val="center"/>
          </w:tcPr>
          <w:p>
            <w:pPr>
              <w:pStyle w:val="TableContents"/>
              <w:spacing w:before="0" w:after="283"/>
              <w:jc w:val="right"/>
              <w:rPr/>
            </w:pPr>
            <w:r>
              <w:rPr/>
              <w:t>(345,244</w:t>
            </w:r>
          </w:p>
        </w:tc>
        <w:tc>
          <w:tcPr>
            <w:tcW w:w="170" w:type="dxa"/>
            <w:tcBorders/>
            <w:shd w:fill="CCEEFF" w:val="clear"/>
            <w:vAlign w:val="center"/>
          </w:tcPr>
          <w:p>
            <w:pPr>
              <w:pStyle w:val="TableContents"/>
              <w:spacing w:before="0" w:after="283"/>
              <w:rPr/>
            </w:pPr>
            <w:r>
              <w:rPr/>
              <w:t>)</w:t>
            </w:r>
          </w:p>
        </w:tc>
      </w:tr>
      <w:tr>
        <w:trPr/>
        <w:tc>
          <w:tcPr>
            <w:tcW w:w="16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06" w:type="dxa"/>
            <w:tcBorders/>
            <w:shd w:fill="FFFFFF" w:val="clear"/>
            <w:vAlign w:val="center"/>
          </w:tcPr>
          <w:p>
            <w:pPr>
              <w:pStyle w:val="TableContents"/>
              <w:spacing w:before="0" w:after="0"/>
              <w:ind w:left="0" w:right="0" w:hanging="0"/>
              <w:rPr/>
            </w:pPr>
            <w:r>
              <w:rPr/>
              <w:t> </w:t>
            </w:r>
          </w:p>
        </w:tc>
        <w:tc>
          <w:tcPr>
            <w:tcW w:w="954"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24" w:type="dxa"/>
            <w:tcBorders/>
            <w:shd w:fill="FFFFFF" w:val="clear"/>
            <w:vAlign w:val="center"/>
          </w:tcPr>
          <w:p>
            <w:pPr>
              <w:pStyle w:val="TableContents"/>
              <w:spacing w:before="0" w:after="0"/>
              <w:ind w:left="0" w:right="0" w:hanging="0"/>
              <w:rPr/>
            </w:pPr>
            <w:r>
              <w:rPr/>
              <w:t> </w:t>
            </w:r>
          </w:p>
        </w:tc>
        <w:tc>
          <w:tcPr>
            <w:tcW w:w="726"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3" w:type="dxa"/>
            <w:tcBorders/>
            <w:shd w:fill="FFFFFF" w:val="clear"/>
            <w:vAlign w:val="center"/>
          </w:tcPr>
          <w:p>
            <w:pPr>
              <w:pStyle w:val="TableContents"/>
              <w:spacing w:before="0" w:after="0"/>
              <w:ind w:left="0" w:right="0" w:hanging="0"/>
              <w:rPr/>
            </w:pPr>
            <w:r>
              <w:rPr/>
              <w:t> </w:t>
            </w:r>
          </w:p>
        </w:tc>
        <w:tc>
          <w:tcPr>
            <w:tcW w:w="977"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24" w:type="dxa"/>
            <w:tcBorders/>
            <w:shd w:fill="FFFFFF" w:val="clear"/>
            <w:vAlign w:val="center"/>
          </w:tcPr>
          <w:p>
            <w:pPr>
              <w:pStyle w:val="TableContents"/>
              <w:spacing w:before="0" w:after="0"/>
              <w:ind w:left="0" w:right="0" w:hanging="0"/>
              <w:rPr/>
            </w:pPr>
            <w:r>
              <w:rPr/>
              <w:t> </w:t>
            </w:r>
          </w:p>
        </w:tc>
        <w:tc>
          <w:tcPr>
            <w:tcW w:w="726"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3" w:type="dxa"/>
            <w:tcBorders/>
            <w:shd w:fill="FFFFFF" w:val="clear"/>
            <w:vAlign w:val="center"/>
          </w:tcPr>
          <w:p>
            <w:pPr>
              <w:pStyle w:val="TableContents"/>
              <w:spacing w:before="0" w:after="0"/>
              <w:ind w:left="0" w:right="0" w:hanging="0"/>
              <w:rPr/>
            </w:pPr>
            <w:r>
              <w:rPr/>
              <w:t> </w:t>
            </w:r>
          </w:p>
        </w:tc>
        <w:tc>
          <w:tcPr>
            <w:tcW w:w="977"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1625" w:type="dxa"/>
            <w:tcBorders/>
            <w:shd w:fill="CCEEFF" w:val="clear"/>
            <w:vAlign w:val="center"/>
          </w:tcPr>
          <w:p>
            <w:pPr>
              <w:pStyle w:val="TableContents"/>
              <w:spacing w:before="0" w:after="0"/>
              <w:ind w:left="0" w:right="0" w:hanging="0"/>
              <w:rPr/>
            </w:pPr>
            <w:r>
              <w:rPr/>
              <w:t xml:space="preserve">Total fixed-maturity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6" w:type="dxa"/>
            <w:tcBorders/>
            <w:shd w:fill="CCEEFF" w:val="clear"/>
            <w:vAlign w:val="center"/>
          </w:tcPr>
          <w:p>
            <w:pPr>
              <w:pStyle w:val="TableContents"/>
              <w:spacing w:before="0" w:after="0"/>
              <w:ind w:left="0" w:right="0" w:hanging="0"/>
              <w:rPr/>
            </w:pPr>
            <w:r>
              <w:rPr/>
              <w:t> </w:t>
            </w:r>
          </w:p>
        </w:tc>
        <w:tc>
          <w:tcPr>
            <w:tcW w:w="954"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24" w:type="dxa"/>
            <w:tcBorders/>
            <w:shd w:fill="CCEEFF" w:val="clear"/>
            <w:vAlign w:val="center"/>
          </w:tcPr>
          <w:p>
            <w:pPr>
              <w:pStyle w:val="TableContents"/>
              <w:spacing w:before="0" w:after="0"/>
              <w:ind w:left="0" w:right="0" w:hanging="0"/>
              <w:rPr/>
            </w:pPr>
            <w:r>
              <w:rPr/>
              <w:t> </w:t>
            </w:r>
          </w:p>
        </w:tc>
        <w:tc>
          <w:tcPr>
            <w:tcW w:w="726"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3" w:type="dxa"/>
            <w:tcBorders/>
            <w:shd w:fill="CCEEFF" w:val="clear"/>
            <w:vAlign w:val="center"/>
          </w:tcPr>
          <w:p>
            <w:pPr>
              <w:pStyle w:val="TableContents"/>
              <w:spacing w:before="0" w:after="0"/>
              <w:ind w:left="0" w:right="0" w:hanging="0"/>
              <w:rPr/>
            </w:pPr>
            <w:r>
              <w:rPr/>
              <w:t> </w:t>
            </w:r>
          </w:p>
        </w:tc>
        <w:tc>
          <w:tcPr>
            <w:tcW w:w="977"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24" w:type="dxa"/>
            <w:tcBorders/>
            <w:shd w:fill="CCEEFF" w:val="clear"/>
            <w:vAlign w:val="center"/>
          </w:tcPr>
          <w:p>
            <w:pPr>
              <w:pStyle w:val="TableContents"/>
              <w:spacing w:before="0" w:after="0"/>
              <w:ind w:left="0" w:right="0" w:hanging="0"/>
              <w:rPr/>
            </w:pPr>
            <w:r>
              <w:rPr/>
              <w:t> </w:t>
            </w:r>
          </w:p>
        </w:tc>
        <w:tc>
          <w:tcPr>
            <w:tcW w:w="726"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3" w:type="dxa"/>
            <w:tcBorders/>
            <w:shd w:fill="CCEEFF" w:val="clear"/>
            <w:vAlign w:val="center"/>
          </w:tcPr>
          <w:p>
            <w:pPr>
              <w:pStyle w:val="TableContents"/>
              <w:spacing w:before="0" w:after="0"/>
              <w:ind w:left="0" w:right="0" w:hanging="0"/>
              <w:rPr/>
            </w:pPr>
            <w:r>
              <w:rPr/>
              <w:t> </w:t>
            </w:r>
          </w:p>
        </w:tc>
        <w:tc>
          <w:tcPr>
            <w:tcW w:w="977"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1625" w:type="dxa"/>
            <w:tcBorders/>
            <w:shd w:fill="CCEEFF" w:val="clear"/>
            <w:vAlign w:val="center"/>
          </w:tcPr>
          <w:p>
            <w:pPr>
              <w:pStyle w:val="TableContents"/>
              <w:spacing w:before="0" w:after="0"/>
              <w:ind w:left="0" w:right="0" w:hanging="0"/>
              <w:rPr/>
            </w:pPr>
            <w:r>
              <w:rPr/>
              <w:t xml:space="preserve">securities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130" w:type="dxa"/>
            <w:tcBorders>
              <w:bottom w:val="double" w:sz="6" w:space="0" w:color="000000"/>
            </w:tcBorders>
            <w:shd w:fill="CCEEFF" w:val="clear"/>
            <w:tcMar>
              <w:bottom w:w="28" w:type="dxa"/>
            </w:tcMar>
            <w:vAlign w:val="center"/>
          </w:tcPr>
          <w:p>
            <w:pPr>
              <w:pStyle w:val="TableContents"/>
              <w:spacing w:before="0" w:after="283"/>
              <w:jc w:val="right"/>
              <w:rPr/>
            </w:pPr>
            <w:r>
              <w:rPr/>
              <w:t>12,660,542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6" w:type="dxa"/>
            <w:tcBorders>
              <w:bottom w:val="double" w:sz="6" w:space="0" w:color="000000"/>
            </w:tcBorders>
            <w:shd w:fill="CCEEFF" w:val="clear"/>
            <w:tcMar>
              <w:bottom w:w="28" w:type="dxa"/>
            </w:tcMar>
            <w:vAlign w:val="center"/>
          </w:tcPr>
          <w:p>
            <w:pPr>
              <w:pStyle w:val="TableContents"/>
              <w:spacing w:before="0" w:after="283"/>
              <w:rPr/>
            </w:pPr>
            <w:r>
              <w:rPr/>
              <w:t>$</w:t>
            </w:r>
          </w:p>
        </w:tc>
        <w:tc>
          <w:tcPr>
            <w:tcW w:w="954" w:type="dxa"/>
            <w:tcBorders>
              <w:bottom w:val="double" w:sz="6" w:space="0" w:color="000000"/>
            </w:tcBorders>
            <w:shd w:fill="CCEEFF" w:val="clear"/>
            <w:tcMar>
              <w:bottom w:w="28" w:type="dxa"/>
            </w:tcMar>
            <w:vAlign w:val="center"/>
          </w:tcPr>
          <w:p>
            <w:pPr>
              <w:pStyle w:val="TableContents"/>
              <w:spacing w:before="0" w:after="283"/>
              <w:jc w:val="right"/>
              <w:rPr/>
            </w:pPr>
            <w:r>
              <w:rPr/>
              <w:t>(96,794</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224"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726" w:type="dxa"/>
            <w:tcBorders>
              <w:bottom w:val="double" w:sz="6" w:space="0" w:color="000000"/>
            </w:tcBorders>
            <w:shd w:fill="CCEEFF" w:val="clear"/>
            <w:tcMar>
              <w:bottom w:w="28" w:type="dxa"/>
            </w:tcMar>
            <w:vAlign w:val="center"/>
          </w:tcPr>
          <w:p>
            <w:pPr>
              <w:pStyle w:val="TableContents"/>
              <w:spacing w:before="0" w:after="283"/>
              <w:jc w:val="right"/>
              <w:rPr/>
            </w:pPr>
            <w:r>
              <w:rPr/>
              <w:t>15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130" w:type="dxa"/>
            <w:tcBorders>
              <w:bottom w:val="double" w:sz="6" w:space="0" w:color="000000"/>
            </w:tcBorders>
            <w:shd w:fill="CCEEFF" w:val="clear"/>
            <w:tcMar>
              <w:bottom w:w="28" w:type="dxa"/>
            </w:tcMar>
            <w:vAlign w:val="center"/>
          </w:tcPr>
          <w:p>
            <w:pPr>
              <w:pStyle w:val="TableContents"/>
              <w:spacing w:before="0" w:after="283"/>
              <w:jc w:val="right"/>
              <w:rPr/>
            </w:pPr>
            <w:r>
              <w:rPr/>
              <w:t>14,835,683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3" w:type="dxa"/>
            <w:tcBorders>
              <w:bottom w:val="double" w:sz="6" w:space="0" w:color="000000"/>
            </w:tcBorders>
            <w:shd w:fill="CCEEFF" w:val="clear"/>
            <w:tcMar>
              <w:bottom w:w="28" w:type="dxa"/>
            </w:tcMar>
            <w:vAlign w:val="center"/>
          </w:tcPr>
          <w:p>
            <w:pPr>
              <w:pStyle w:val="TableContents"/>
              <w:spacing w:before="0" w:after="283"/>
              <w:rPr/>
            </w:pPr>
            <w:r>
              <w:rPr/>
              <w:t>$</w:t>
            </w:r>
          </w:p>
        </w:tc>
        <w:tc>
          <w:tcPr>
            <w:tcW w:w="977" w:type="dxa"/>
            <w:tcBorders>
              <w:bottom w:val="double" w:sz="6" w:space="0" w:color="000000"/>
            </w:tcBorders>
            <w:shd w:fill="CCEEFF" w:val="clear"/>
            <w:tcMar>
              <w:bottom w:w="28" w:type="dxa"/>
            </w:tcMar>
            <w:vAlign w:val="center"/>
          </w:tcPr>
          <w:p>
            <w:pPr>
              <w:pStyle w:val="TableContents"/>
              <w:spacing w:before="0" w:after="283"/>
              <w:jc w:val="right"/>
              <w:rPr/>
            </w:pPr>
            <w:r>
              <w:rPr/>
              <w:t>(289,924</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224"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726" w:type="dxa"/>
            <w:tcBorders>
              <w:bottom w:val="double" w:sz="6" w:space="0" w:color="000000"/>
            </w:tcBorders>
            <w:shd w:fill="CCEEFF" w:val="clear"/>
            <w:tcMar>
              <w:bottom w:w="28" w:type="dxa"/>
            </w:tcMar>
            <w:vAlign w:val="center"/>
          </w:tcPr>
          <w:p>
            <w:pPr>
              <w:pStyle w:val="TableContents"/>
              <w:spacing w:before="0" w:after="283"/>
              <w:jc w:val="right"/>
              <w:rPr/>
            </w:pPr>
            <w:r>
              <w:rPr/>
              <w:t>24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130" w:type="dxa"/>
            <w:tcBorders>
              <w:bottom w:val="double" w:sz="6" w:space="0" w:color="000000"/>
            </w:tcBorders>
            <w:shd w:fill="CCEEFF" w:val="clear"/>
            <w:tcMar>
              <w:bottom w:w="28" w:type="dxa"/>
            </w:tcMar>
            <w:vAlign w:val="center"/>
          </w:tcPr>
          <w:p>
            <w:pPr>
              <w:pStyle w:val="TableContents"/>
              <w:spacing w:before="0" w:after="283"/>
              <w:jc w:val="right"/>
              <w:rPr/>
            </w:pPr>
            <w:r>
              <w:rPr/>
              <w:t>27,496,225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3" w:type="dxa"/>
            <w:tcBorders>
              <w:bottom w:val="double" w:sz="6" w:space="0" w:color="000000"/>
            </w:tcBorders>
            <w:shd w:fill="CCEEFF" w:val="clear"/>
            <w:tcMar>
              <w:bottom w:w="28" w:type="dxa"/>
            </w:tcMar>
            <w:vAlign w:val="center"/>
          </w:tcPr>
          <w:p>
            <w:pPr>
              <w:pStyle w:val="TableContents"/>
              <w:spacing w:before="0" w:after="283"/>
              <w:rPr/>
            </w:pPr>
            <w:r>
              <w:rPr/>
              <w:t>$</w:t>
            </w:r>
          </w:p>
        </w:tc>
        <w:tc>
          <w:tcPr>
            <w:tcW w:w="977" w:type="dxa"/>
            <w:tcBorders>
              <w:bottom w:val="double" w:sz="6" w:space="0" w:color="000000"/>
            </w:tcBorders>
            <w:shd w:fill="CCEEFF" w:val="clear"/>
            <w:tcMar>
              <w:bottom w:w="28" w:type="dxa"/>
            </w:tcMar>
            <w:vAlign w:val="center"/>
          </w:tcPr>
          <w:p>
            <w:pPr>
              <w:pStyle w:val="TableContents"/>
              <w:spacing w:before="0" w:after="283"/>
              <w:jc w:val="right"/>
              <w:rPr/>
            </w:pPr>
            <w:r>
              <w:rPr/>
              <w:t>(386,718</w:t>
            </w:r>
          </w:p>
        </w:tc>
        <w:tc>
          <w:tcPr>
            <w:tcW w:w="170" w:type="dxa"/>
            <w:tcBorders/>
            <w:shd w:fill="CCEEFF" w:val="clear"/>
            <w:vAlign w:val="center"/>
          </w:tcPr>
          <w:p>
            <w:pPr>
              <w:pStyle w:val="TableContents"/>
              <w:spacing w:before="0" w:after="283"/>
              <w:rPr/>
            </w:pPr>
            <w:r>
              <w:rPr/>
              <w:t>)</w:t>
            </w:r>
          </w:p>
        </w:tc>
      </w:tr>
    </w:tbl>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54</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There were 16 securities at December 31, 2020 that accounted for the gross unrealized loss, none of which were deemed by us to be other than temporarily impaired. There were 39 securities at December 31, 2019 that accounted for the gross unrealized loss, none of which were deemed by us to be other than temporarily impaired. Significant factors influencing our determination that unrealized losses were temporary included the magnitude of the unrealized losses in relation to each security’s cost, the nature of the investment and management’s intent not to sell these securities and it being not more likely than not that we will be required to sell these investments before anticipated recovery of fair value to our cost basis. </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Liquidity and Capital Resources</w:t>
      </w:r>
      <w:r>
        <w:rPr>
          <w:rFonts w:ascii="times new roman" w:hAnsi="times new roman"/>
          <w:sz w:val="20"/>
        </w:rPr>
        <w:t xml:space="preserve"> </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 xml:space="preserve">Cash Flows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primary sources of cash flow are from our insurance underwriting subsidiary, KICO, and include direct premiums written, ceding commissions from our quota share reinsurers, loss recovery payments from our reinsurers, investment income and proceeds from the sale or maturity of investments. Funds are used by KICO for ceded premium payments to reinsurers, which are paid on a net basis after subtracting losses paid on reinsured claims and reinsurance commissions. KICO also uses funds for loss payments and loss adjustment expenses on our net business, commissions to producers, salaries and other underwriting expenses as well as to purchase investments and fixed assets.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For the year ended December 31, 2020, the primary source of cash flow for our holding company was the dividends received from KICO, subject to statutory restrictions. For the year ended December 31, 2020, KICO paid dividends of $6,000,000 to us.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KICO is a member of the Federal Home Loan Bank of New York (“FHLBNY”), which provides additional access to liquidity. Members have access to a variety of flexible, low cost funding through FHLBNY’s credit products, enabling members to customize advances. Advances are to be fully collateralized; eligible collateral to pledge to FHLBNY includes residential and commercial mortgage backed securities, along with U.S. Treasury and agency securities. See Note 3 to our condensed consolidated financial statements – Investments, for eligible collateral held in a designated custodian account available for future advances. Advances are limited to 5% of KICO’s net admitted assets as of the end of the previous quarter, which is September 30, 2020, and are due and payable within 90 days of borrowing. The maximum allowable advance as of December 31, 2020, based on the net admitted assets as of September 30, 2020, was approximately $12,066,000. Advances are limited to 85% of the amount of available collateral, which was approximately $9,682,000 as of December 31, 2020. There were no borrowings under this facility during the year ended December 31, 2020.</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As of December 31, 2020, invested assets and cash in our holding company was approximately $2,783,000. If the aforementioned sources of cash flow currently available are insufficient to cover our holding company cash requirements, we will seek to obtain additional financing.</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reconciliation of net income to net cash provided by operations is generally influenced by the collection of premiums in advance of paid losses, the timing of reinsurance, issuing company settlements and loss payments.</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55</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Cash flow and liquidity are categorized into three sources: (1) operating activities; (2) investing activities; and (3) financing activities, which are shown in the following table: </w:t>
      </w:r>
    </w:p>
    <w:p>
      <w:pPr>
        <w:pStyle w:val="TextBody"/>
        <w:spacing w:before="0" w:after="0"/>
        <w:ind w:left="0" w:right="0" w:hanging="0"/>
        <w:jc w:val="both"/>
        <w:rPr/>
      </w:pPr>
      <w:r>
        <w:rPr/>
        <w:t> </w:t>
      </w:r>
    </w:p>
    <w:tbl>
      <w:tblPr>
        <w:tblW w:w="8600" w:type="dxa"/>
        <w:jc w:val="left"/>
        <w:tblInd w:w="0" w:type="dxa"/>
        <w:tblCellMar>
          <w:top w:w="0" w:type="dxa"/>
          <w:left w:w="0" w:type="dxa"/>
          <w:bottom w:w="28" w:type="dxa"/>
          <w:right w:w="0" w:type="dxa"/>
        </w:tblCellMar>
      </w:tblPr>
      <w:tblGrid>
        <w:gridCol w:w="5375"/>
        <w:gridCol w:w="90"/>
        <w:gridCol w:w="170"/>
        <w:gridCol w:w="1205"/>
        <w:gridCol w:w="125"/>
        <w:gridCol w:w="90"/>
        <w:gridCol w:w="170"/>
        <w:gridCol w:w="1205"/>
        <w:gridCol w:w="170"/>
      </w:tblGrid>
      <w:tr>
        <w:trPr/>
        <w:tc>
          <w:tcPr>
            <w:tcW w:w="5375" w:type="dxa"/>
            <w:tcBorders>
              <w:bottom w:val="single" w:sz="2" w:space="0" w:color="000000"/>
            </w:tcBorders>
            <w:shd w:fill="auto" w:val="clear"/>
            <w:vAlign w:val="center"/>
          </w:tcPr>
          <w:p>
            <w:pPr>
              <w:pStyle w:val="TableContents"/>
              <w:spacing w:before="0" w:after="0"/>
              <w:ind w:left="0" w:right="0" w:hanging="0"/>
              <w:rPr/>
            </w:pPr>
            <w:r>
              <w:rPr>
                <w:rStyle w:val="Emphasis"/>
              </w:rPr>
              <w:t>Years Ended December 31,</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375"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Pr>
              <w:t>2020</w:t>
            </w:r>
          </w:p>
        </w:tc>
        <w:tc>
          <w:tcPr>
            <w:tcW w:w="1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375"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Pr>
              <w:t>2019</w:t>
            </w:r>
          </w:p>
        </w:tc>
        <w:tc>
          <w:tcPr>
            <w:tcW w:w="170" w:type="dxa"/>
            <w:tcBorders/>
            <w:shd w:fill="auto" w:val="clear"/>
            <w:tcMar>
              <w:bottom w:w="0" w:type="dxa"/>
            </w:tcMar>
            <w:vAlign w:val="center"/>
          </w:tcPr>
          <w:p>
            <w:pPr>
              <w:pStyle w:val="TableContents"/>
              <w:spacing w:before="0" w:after="0"/>
              <w:ind w:left="0" w:right="0" w:hanging="0"/>
              <w:rPr/>
            </w:pPr>
            <w:r>
              <w:rPr/>
              <w:t> </w:t>
            </w:r>
          </w:p>
        </w:tc>
      </w:tr>
      <w:tr>
        <w:trPr/>
        <w:tc>
          <w:tcPr>
            <w:tcW w:w="537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375" w:type="dxa"/>
            <w:gridSpan w:val="2"/>
            <w:tcBorders/>
            <w:shd w:fill="auto" w:val="clear"/>
            <w:tcMar>
              <w:bottom w:w="0" w:type="dxa"/>
            </w:tcMar>
            <w:vAlign w:val="center"/>
          </w:tcPr>
          <w:p>
            <w:pPr>
              <w:pStyle w:val="TableContents"/>
              <w:spacing w:before="0" w:after="0"/>
              <w:ind w:left="0" w:right="0" w:hanging="0"/>
              <w:rPr/>
            </w:pPr>
            <w:r>
              <w:rPr/>
              <w:t> </w:t>
            </w:r>
          </w:p>
        </w:tc>
        <w:tc>
          <w:tcPr>
            <w:tcW w:w="1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375" w:type="dxa"/>
            <w:gridSpan w:val="2"/>
            <w:tcBorders/>
            <w:shd w:fill="auto" w:val="clear"/>
            <w:tcMar>
              <w:bottom w:w="0" w:type="dxa"/>
            </w:tcMar>
            <w:vAlign w:val="center"/>
          </w:tcPr>
          <w:p>
            <w:pPr>
              <w:pStyle w:val="TableContents"/>
              <w:spacing w:before="0" w:after="0"/>
              <w:ind w:left="0" w:right="0" w:hanging="0"/>
              <w:rPr/>
            </w:pPr>
            <w:r>
              <w:rPr/>
              <w:t> </w:t>
            </w:r>
          </w:p>
        </w:tc>
        <w:tc>
          <w:tcPr>
            <w:tcW w:w="170" w:type="dxa"/>
            <w:tcBorders/>
            <w:shd w:fill="auto" w:val="clear"/>
            <w:tcMar>
              <w:bottom w:w="0" w:type="dxa"/>
            </w:tcMar>
            <w:vAlign w:val="center"/>
          </w:tcPr>
          <w:p>
            <w:pPr>
              <w:pStyle w:val="TableContents"/>
              <w:spacing w:before="0" w:after="0"/>
              <w:ind w:left="0" w:right="0" w:hanging="0"/>
              <w:rPr/>
            </w:pPr>
            <w:r>
              <w:rPr/>
              <w:t> </w:t>
            </w:r>
          </w:p>
        </w:tc>
      </w:tr>
      <w:tr>
        <w:trPr/>
        <w:tc>
          <w:tcPr>
            <w:tcW w:w="5375" w:type="dxa"/>
            <w:tcBorders/>
            <w:shd w:fill="auto" w:val="clear"/>
            <w:tcMar>
              <w:bottom w:w="0" w:type="dxa"/>
            </w:tcMar>
            <w:vAlign w:val="center"/>
          </w:tcPr>
          <w:p>
            <w:pPr>
              <w:pStyle w:val="TableContents"/>
              <w:spacing w:before="0" w:after="0"/>
              <w:ind w:left="0" w:right="0" w:hanging="0"/>
              <w:rPr/>
            </w:pPr>
            <w:r>
              <w:rPr/>
              <w:t xml:space="preserve">Cash flows provided by (used in):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375" w:type="dxa"/>
            <w:gridSpan w:val="2"/>
            <w:tcBorders/>
            <w:shd w:fill="auto" w:val="clear"/>
            <w:tcMar>
              <w:bottom w:w="0" w:type="dxa"/>
            </w:tcMar>
            <w:vAlign w:val="center"/>
          </w:tcPr>
          <w:p>
            <w:pPr>
              <w:pStyle w:val="TableContents"/>
              <w:spacing w:before="0" w:after="0"/>
              <w:ind w:left="0" w:right="0" w:hanging="0"/>
              <w:rPr/>
            </w:pPr>
            <w:r>
              <w:rPr/>
              <w:t> </w:t>
            </w:r>
          </w:p>
        </w:tc>
        <w:tc>
          <w:tcPr>
            <w:tcW w:w="1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375" w:type="dxa"/>
            <w:gridSpan w:val="2"/>
            <w:tcBorders/>
            <w:shd w:fill="auto" w:val="clear"/>
            <w:tcMar>
              <w:bottom w:w="0" w:type="dxa"/>
            </w:tcMar>
            <w:vAlign w:val="center"/>
          </w:tcPr>
          <w:p>
            <w:pPr>
              <w:pStyle w:val="TableContents"/>
              <w:spacing w:before="0" w:after="0"/>
              <w:ind w:left="0" w:right="0" w:hanging="0"/>
              <w:rPr/>
            </w:pPr>
            <w:r>
              <w:rPr/>
              <w:t> </w:t>
            </w:r>
          </w:p>
        </w:tc>
        <w:tc>
          <w:tcPr>
            <w:tcW w:w="170" w:type="dxa"/>
            <w:tcBorders/>
            <w:shd w:fill="auto" w:val="clear"/>
            <w:tcMar>
              <w:bottom w:w="0" w:type="dxa"/>
            </w:tcMar>
            <w:vAlign w:val="center"/>
          </w:tcPr>
          <w:p>
            <w:pPr>
              <w:pStyle w:val="TableContents"/>
              <w:spacing w:before="0" w:after="0"/>
              <w:ind w:left="0" w:right="0" w:hanging="0"/>
              <w:rPr/>
            </w:pPr>
            <w:r>
              <w:rPr/>
              <w:t> </w:t>
            </w:r>
          </w:p>
        </w:tc>
      </w:tr>
      <w:tr>
        <w:trPr/>
        <w:tc>
          <w:tcPr>
            <w:tcW w:w="5375" w:type="dxa"/>
            <w:tcBorders/>
            <w:shd w:fill="CCEEFF" w:val="clear"/>
            <w:tcMar>
              <w:bottom w:w="0" w:type="dxa"/>
            </w:tcMar>
            <w:vAlign w:val="center"/>
          </w:tcPr>
          <w:p>
            <w:pPr>
              <w:pStyle w:val="TableContents"/>
              <w:spacing w:before="0" w:after="0"/>
              <w:ind w:left="0" w:right="0" w:firstLine="200"/>
              <w:rPr/>
            </w:pPr>
            <w:r>
              <w:rPr/>
              <w:t xml:space="preserve">Operating activities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283"/>
              <w:rPr/>
            </w:pPr>
            <w:r>
              <w:rPr/>
              <w:t>$</w:t>
            </w:r>
          </w:p>
        </w:tc>
        <w:tc>
          <w:tcPr>
            <w:tcW w:w="1205" w:type="dxa"/>
            <w:tcBorders/>
            <w:shd w:fill="CCEEFF" w:val="clear"/>
            <w:tcMar>
              <w:bottom w:w="0" w:type="dxa"/>
            </w:tcMar>
            <w:vAlign w:val="center"/>
          </w:tcPr>
          <w:p>
            <w:pPr>
              <w:pStyle w:val="TableContents"/>
              <w:spacing w:before="0" w:after="283"/>
              <w:jc w:val="right"/>
              <w:rPr/>
            </w:pPr>
            <w:r>
              <w:rPr/>
              <w:t>(10,234,626</w:t>
            </w:r>
          </w:p>
        </w:tc>
        <w:tc>
          <w:tcPr>
            <w:tcW w:w="125" w:type="dxa"/>
            <w:tcBorders/>
            <w:shd w:fill="CCEEFF" w:val="clear"/>
            <w:tcMar>
              <w:bottom w:w="0" w:type="dxa"/>
            </w:tcMar>
            <w:vAlign w:val="center"/>
          </w:tcPr>
          <w:p>
            <w:pPr>
              <w:pStyle w:val="TableContents"/>
              <w:spacing w:before="0" w:after="283"/>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283"/>
              <w:rPr/>
            </w:pPr>
            <w:r>
              <w:rPr/>
              <w:t>$</w:t>
            </w:r>
          </w:p>
        </w:tc>
        <w:tc>
          <w:tcPr>
            <w:tcW w:w="1205" w:type="dxa"/>
            <w:tcBorders/>
            <w:shd w:fill="CCEEFF" w:val="clear"/>
            <w:tcMar>
              <w:bottom w:w="0" w:type="dxa"/>
            </w:tcMar>
            <w:vAlign w:val="center"/>
          </w:tcPr>
          <w:p>
            <w:pPr>
              <w:pStyle w:val="TableContents"/>
              <w:spacing w:before="0" w:after="283"/>
              <w:jc w:val="right"/>
              <w:rPr/>
            </w:pPr>
            <w:r>
              <w:rPr/>
              <w:t>29,859,049</w:t>
            </w:r>
          </w:p>
        </w:tc>
        <w:tc>
          <w:tcPr>
            <w:tcW w:w="170" w:type="dxa"/>
            <w:tcBorders/>
            <w:shd w:fill="CCEEFF" w:val="clear"/>
            <w:tcMar>
              <w:bottom w:w="0" w:type="dxa"/>
            </w:tcMar>
            <w:vAlign w:val="center"/>
          </w:tcPr>
          <w:p>
            <w:pPr>
              <w:pStyle w:val="TableContents"/>
              <w:spacing w:before="0" w:after="0"/>
              <w:ind w:left="0" w:right="0" w:hanging="0"/>
              <w:rPr/>
            </w:pPr>
            <w:r>
              <w:rPr/>
              <w:t> </w:t>
            </w:r>
          </w:p>
        </w:tc>
      </w:tr>
      <w:tr>
        <w:trPr/>
        <w:tc>
          <w:tcPr>
            <w:tcW w:w="5375" w:type="dxa"/>
            <w:tcBorders/>
            <w:shd w:fill="FFFFFF" w:val="clear"/>
            <w:tcMar>
              <w:bottom w:w="0" w:type="dxa"/>
            </w:tcMar>
            <w:vAlign w:val="center"/>
          </w:tcPr>
          <w:p>
            <w:pPr>
              <w:pStyle w:val="TableContents"/>
              <w:spacing w:before="0" w:after="0"/>
              <w:ind w:left="0" w:right="0" w:firstLine="200"/>
              <w:rPr/>
            </w:pPr>
            <w:r>
              <w:rPr/>
              <w:t xml:space="preserve">Investing activities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1205" w:type="dxa"/>
            <w:tcBorders/>
            <w:shd w:fill="FFFFFF" w:val="clear"/>
            <w:tcMar>
              <w:bottom w:w="0" w:type="dxa"/>
            </w:tcMar>
            <w:vAlign w:val="center"/>
          </w:tcPr>
          <w:p>
            <w:pPr>
              <w:pStyle w:val="TableContents"/>
              <w:spacing w:before="0" w:after="283"/>
              <w:jc w:val="right"/>
              <w:rPr/>
            </w:pPr>
            <w:r>
              <w:rPr/>
              <w:t>581,293</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1205" w:type="dxa"/>
            <w:tcBorders/>
            <w:shd w:fill="FFFFFF" w:val="clear"/>
            <w:tcMar>
              <w:bottom w:w="0" w:type="dxa"/>
            </w:tcMar>
            <w:vAlign w:val="center"/>
          </w:tcPr>
          <w:p>
            <w:pPr>
              <w:pStyle w:val="TableContents"/>
              <w:spacing w:before="0" w:after="283"/>
              <w:jc w:val="right"/>
              <w:rPr/>
            </w:pPr>
            <w:r>
              <w:rPr/>
              <w:t>(14,973,699</w:t>
            </w:r>
          </w:p>
        </w:tc>
        <w:tc>
          <w:tcPr>
            <w:tcW w:w="170" w:type="dxa"/>
            <w:tcBorders/>
            <w:shd w:fill="FFFFFF" w:val="clear"/>
            <w:tcMar>
              <w:bottom w:w="0" w:type="dxa"/>
            </w:tcMar>
            <w:vAlign w:val="center"/>
          </w:tcPr>
          <w:p>
            <w:pPr>
              <w:pStyle w:val="TableContents"/>
              <w:spacing w:before="0" w:after="283"/>
              <w:rPr/>
            </w:pPr>
            <w:r>
              <w:rPr/>
              <w:t>)</w:t>
            </w:r>
          </w:p>
        </w:tc>
      </w:tr>
      <w:tr>
        <w:trPr/>
        <w:tc>
          <w:tcPr>
            <w:tcW w:w="5375" w:type="dxa"/>
            <w:tcBorders/>
            <w:shd w:fill="CCEEFF" w:val="clear"/>
            <w:tcMar>
              <w:bottom w:w="0" w:type="dxa"/>
            </w:tcMar>
            <w:vAlign w:val="center"/>
          </w:tcPr>
          <w:p>
            <w:pPr>
              <w:pStyle w:val="TableContents"/>
              <w:spacing w:before="0" w:after="0"/>
              <w:ind w:left="0" w:right="0" w:firstLine="200"/>
              <w:rPr/>
            </w:pPr>
            <w:r>
              <w:rPr/>
              <w:t xml:space="preserve">Financing activities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bottom w:val="single" w:sz="2" w:space="0" w:color="000000"/>
            </w:tcBorders>
            <w:shd w:fill="CCEEFF" w:val="clear"/>
            <w:vAlign w:val="center"/>
          </w:tcPr>
          <w:p>
            <w:pPr>
              <w:pStyle w:val="TableContents"/>
              <w:spacing w:before="0" w:after="0"/>
              <w:ind w:left="0" w:right="0" w:hanging="0"/>
              <w:rPr/>
            </w:pPr>
            <w:r>
              <w:rPr/>
              <w:t> </w:t>
            </w:r>
          </w:p>
        </w:tc>
        <w:tc>
          <w:tcPr>
            <w:tcW w:w="1205" w:type="dxa"/>
            <w:tcBorders>
              <w:bottom w:val="single" w:sz="2" w:space="0" w:color="000000"/>
            </w:tcBorders>
            <w:shd w:fill="CCEEFF" w:val="clear"/>
            <w:vAlign w:val="center"/>
          </w:tcPr>
          <w:p>
            <w:pPr>
              <w:pStyle w:val="TableContents"/>
              <w:spacing w:before="0" w:after="283"/>
              <w:jc w:val="right"/>
              <w:rPr/>
            </w:pPr>
            <w:r>
              <w:rPr/>
              <w:t>(3,274,410</w:t>
            </w:r>
          </w:p>
        </w:tc>
        <w:tc>
          <w:tcPr>
            <w:tcW w:w="125" w:type="dxa"/>
            <w:tcBorders/>
            <w:shd w:fill="CCEEFF" w:val="clear"/>
            <w:tcMar>
              <w:bottom w:w="0" w:type="dxa"/>
            </w:tcMar>
            <w:vAlign w:val="center"/>
          </w:tcPr>
          <w:p>
            <w:pPr>
              <w:pStyle w:val="TableContents"/>
              <w:spacing w:before="0" w:after="283"/>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bottom w:val="single" w:sz="2" w:space="0" w:color="000000"/>
            </w:tcBorders>
            <w:shd w:fill="CCEEFF" w:val="clear"/>
            <w:vAlign w:val="center"/>
          </w:tcPr>
          <w:p>
            <w:pPr>
              <w:pStyle w:val="TableContents"/>
              <w:spacing w:before="0" w:after="0"/>
              <w:ind w:left="0" w:right="0" w:hanging="0"/>
              <w:rPr/>
            </w:pPr>
            <w:r>
              <w:rPr/>
              <w:t> </w:t>
            </w:r>
          </w:p>
        </w:tc>
        <w:tc>
          <w:tcPr>
            <w:tcW w:w="1205" w:type="dxa"/>
            <w:tcBorders>
              <w:bottom w:val="single" w:sz="2" w:space="0" w:color="000000"/>
            </w:tcBorders>
            <w:shd w:fill="CCEEFF" w:val="clear"/>
            <w:vAlign w:val="center"/>
          </w:tcPr>
          <w:p>
            <w:pPr>
              <w:pStyle w:val="TableContents"/>
              <w:spacing w:before="0" w:after="283"/>
              <w:jc w:val="right"/>
              <w:rPr/>
            </w:pPr>
            <w:r>
              <w:rPr/>
              <w:t>(3,632,268</w:t>
            </w:r>
          </w:p>
        </w:tc>
        <w:tc>
          <w:tcPr>
            <w:tcW w:w="170" w:type="dxa"/>
            <w:tcBorders/>
            <w:shd w:fill="CCEEFF" w:val="clear"/>
            <w:tcMar>
              <w:bottom w:w="0" w:type="dxa"/>
            </w:tcMar>
            <w:vAlign w:val="center"/>
          </w:tcPr>
          <w:p>
            <w:pPr>
              <w:pStyle w:val="TableContents"/>
              <w:spacing w:before="0" w:after="283"/>
              <w:rPr/>
            </w:pPr>
            <w:r>
              <w:rPr/>
              <w:t>)</w:t>
            </w:r>
          </w:p>
        </w:tc>
      </w:tr>
      <w:tr>
        <w:trPr/>
        <w:tc>
          <w:tcPr>
            <w:tcW w:w="5375" w:type="dxa"/>
            <w:tcBorders/>
            <w:shd w:fill="FFFFFF" w:val="clear"/>
            <w:tcMar>
              <w:bottom w:w="0" w:type="dxa"/>
            </w:tcMar>
            <w:vAlign w:val="center"/>
          </w:tcPr>
          <w:p>
            <w:pPr>
              <w:pStyle w:val="TableContents"/>
              <w:spacing w:before="0" w:after="0"/>
              <w:ind w:left="0" w:right="0" w:hanging="0"/>
              <w:rPr/>
            </w:pPr>
            <w:r>
              <w:rPr>
                <w:rStyle w:val="StrongEmphasis"/>
              </w:rPr>
              <w:t xml:space="preserve">Net (decrease) increase in cash and cash equivalents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1205" w:type="dxa"/>
            <w:tcBorders/>
            <w:shd w:fill="FFFFFF" w:val="clear"/>
            <w:tcMar>
              <w:bottom w:w="0" w:type="dxa"/>
            </w:tcMar>
            <w:vAlign w:val="center"/>
          </w:tcPr>
          <w:p>
            <w:pPr>
              <w:pStyle w:val="TableContents"/>
              <w:spacing w:before="0" w:after="283"/>
              <w:jc w:val="right"/>
              <w:rPr/>
            </w:pPr>
            <w:r>
              <w:rPr/>
              <w:t>(12,927,743</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1205" w:type="dxa"/>
            <w:tcBorders/>
            <w:shd w:fill="FFFFFF" w:val="clear"/>
            <w:tcMar>
              <w:bottom w:w="0" w:type="dxa"/>
            </w:tcMar>
            <w:vAlign w:val="center"/>
          </w:tcPr>
          <w:p>
            <w:pPr>
              <w:pStyle w:val="TableContents"/>
              <w:spacing w:before="0" w:after="283"/>
              <w:jc w:val="right"/>
              <w:rPr/>
            </w:pPr>
            <w:r>
              <w:rPr/>
              <w:t>11,253,082</w:t>
            </w:r>
          </w:p>
        </w:tc>
        <w:tc>
          <w:tcPr>
            <w:tcW w:w="170" w:type="dxa"/>
            <w:tcBorders/>
            <w:shd w:fill="FFFFFF" w:val="clear"/>
            <w:tcMar>
              <w:bottom w:w="0" w:type="dxa"/>
            </w:tcMar>
            <w:vAlign w:val="center"/>
          </w:tcPr>
          <w:p>
            <w:pPr>
              <w:pStyle w:val="TableContents"/>
              <w:spacing w:before="0" w:after="0"/>
              <w:ind w:left="0" w:right="0" w:hanging="0"/>
              <w:rPr/>
            </w:pPr>
            <w:r>
              <w:rPr/>
              <w:t> </w:t>
            </w:r>
          </w:p>
        </w:tc>
      </w:tr>
      <w:tr>
        <w:trPr/>
        <w:tc>
          <w:tcPr>
            <w:tcW w:w="5375" w:type="dxa"/>
            <w:tcBorders/>
            <w:shd w:fill="CCEEFF" w:val="clear"/>
            <w:tcMar>
              <w:bottom w:w="0" w:type="dxa"/>
            </w:tcMar>
            <w:vAlign w:val="center"/>
          </w:tcPr>
          <w:p>
            <w:pPr>
              <w:pStyle w:val="TableContents"/>
              <w:spacing w:before="0" w:after="0"/>
              <w:ind w:left="0" w:right="0" w:hanging="0"/>
              <w:rPr/>
            </w:pPr>
            <w:r>
              <w:rPr/>
              <w:t xml:space="preserve">Cash and cash equivalents, beginning of period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bottom w:val="single" w:sz="2" w:space="0" w:color="000000"/>
            </w:tcBorders>
            <w:shd w:fill="CCEEFF" w:val="clear"/>
            <w:vAlign w:val="center"/>
          </w:tcPr>
          <w:p>
            <w:pPr>
              <w:pStyle w:val="TableContents"/>
              <w:spacing w:before="0" w:after="0"/>
              <w:ind w:left="0" w:right="0" w:hanging="0"/>
              <w:rPr/>
            </w:pPr>
            <w:r>
              <w:rPr/>
              <w:t> </w:t>
            </w:r>
          </w:p>
        </w:tc>
        <w:tc>
          <w:tcPr>
            <w:tcW w:w="1205" w:type="dxa"/>
            <w:tcBorders>
              <w:bottom w:val="single" w:sz="2" w:space="0" w:color="000000"/>
            </w:tcBorders>
            <w:shd w:fill="CCEEFF" w:val="clear"/>
            <w:vAlign w:val="center"/>
          </w:tcPr>
          <w:p>
            <w:pPr>
              <w:pStyle w:val="TableContents"/>
              <w:spacing w:before="0" w:after="283"/>
              <w:jc w:val="right"/>
              <w:rPr/>
            </w:pPr>
            <w:r>
              <w:rPr/>
              <w:t>32,391,485</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bottom w:val="single" w:sz="2" w:space="0" w:color="000000"/>
            </w:tcBorders>
            <w:shd w:fill="CCEEFF" w:val="clear"/>
            <w:vAlign w:val="center"/>
          </w:tcPr>
          <w:p>
            <w:pPr>
              <w:pStyle w:val="TableContents"/>
              <w:spacing w:before="0" w:after="0"/>
              <w:ind w:left="0" w:right="0" w:hanging="0"/>
              <w:rPr/>
            </w:pPr>
            <w:r>
              <w:rPr/>
              <w:t> </w:t>
            </w:r>
          </w:p>
        </w:tc>
        <w:tc>
          <w:tcPr>
            <w:tcW w:w="1205" w:type="dxa"/>
            <w:tcBorders>
              <w:bottom w:val="single" w:sz="2" w:space="0" w:color="000000"/>
            </w:tcBorders>
            <w:shd w:fill="CCEEFF" w:val="clear"/>
            <w:vAlign w:val="center"/>
          </w:tcPr>
          <w:p>
            <w:pPr>
              <w:pStyle w:val="TableContents"/>
              <w:spacing w:before="0" w:after="283"/>
              <w:jc w:val="right"/>
              <w:rPr/>
            </w:pPr>
            <w:r>
              <w:rPr/>
              <w:t>21,138,403</w:t>
            </w:r>
          </w:p>
        </w:tc>
        <w:tc>
          <w:tcPr>
            <w:tcW w:w="170" w:type="dxa"/>
            <w:tcBorders/>
            <w:shd w:fill="CCEEFF" w:val="clear"/>
            <w:tcMar>
              <w:bottom w:w="0" w:type="dxa"/>
            </w:tcMar>
            <w:vAlign w:val="center"/>
          </w:tcPr>
          <w:p>
            <w:pPr>
              <w:pStyle w:val="TableContents"/>
              <w:spacing w:before="0" w:after="0"/>
              <w:ind w:left="0" w:right="0" w:hanging="0"/>
              <w:rPr/>
            </w:pPr>
            <w:r>
              <w:rPr/>
              <w:t> </w:t>
            </w:r>
          </w:p>
        </w:tc>
      </w:tr>
      <w:tr>
        <w:trPr/>
        <w:tc>
          <w:tcPr>
            <w:tcW w:w="5375" w:type="dxa"/>
            <w:tcBorders/>
            <w:shd w:fill="FFFFFF" w:val="clear"/>
            <w:tcMar>
              <w:bottom w:w="0" w:type="dxa"/>
            </w:tcMar>
            <w:vAlign w:val="center"/>
          </w:tcPr>
          <w:p>
            <w:pPr>
              <w:pStyle w:val="TableContents"/>
              <w:spacing w:before="0" w:after="0"/>
              <w:ind w:left="0" w:right="0" w:hanging="0"/>
              <w:rPr/>
            </w:pPr>
            <w:r>
              <w:rPr>
                <w:rStyle w:val="StrongEmphasis"/>
              </w:rPr>
              <w:t xml:space="preserve">Cash and cash equivalents, end of period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bottom w:val="double" w:sz="6" w:space="0" w:color="000000"/>
            </w:tcBorders>
            <w:shd w:fill="FFFFFF" w:val="clear"/>
            <w:vAlign w:val="center"/>
          </w:tcPr>
          <w:p>
            <w:pPr>
              <w:pStyle w:val="TableContents"/>
              <w:spacing w:before="0" w:after="283"/>
              <w:rPr/>
            </w:pPr>
            <w:r>
              <w:rPr/>
              <w:t>$</w:t>
            </w:r>
          </w:p>
        </w:tc>
        <w:tc>
          <w:tcPr>
            <w:tcW w:w="1205" w:type="dxa"/>
            <w:tcBorders>
              <w:bottom w:val="double" w:sz="6" w:space="0" w:color="000000"/>
            </w:tcBorders>
            <w:shd w:fill="FFFFFF" w:val="clear"/>
            <w:vAlign w:val="center"/>
          </w:tcPr>
          <w:p>
            <w:pPr>
              <w:pStyle w:val="TableContents"/>
              <w:spacing w:before="0" w:after="283"/>
              <w:jc w:val="right"/>
              <w:rPr/>
            </w:pPr>
            <w:r>
              <w:rPr/>
              <w:t>19,463,742</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bottom w:val="double" w:sz="6" w:space="0" w:color="000000"/>
            </w:tcBorders>
            <w:shd w:fill="FFFFFF" w:val="clear"/>
            <w:vAlign w:val="center"/>
          </w:tcPr>
          <w:p>
            <w:pPr>
              <w:pStyle w:val="TableContents"/>
              <w:spacing w:before="0" w:after="283"/>
              <w:rPr/>
            </w:pPr>
            <w:r>
              <w:rPr/>
              <w:t>$</w:t>
            </w:r>
          </w:p>
        </w:tc>
        <w:tc>
          <w:tcPr>
            <w:tcW w:w="1205" w:type="dxa"/>
            <w:tcBorders>
              <w:bottom w:val="double" w:sz="6" w:space="0" w:color="000000"/>
            </w:tcBorders>
            <w:shd w:fill="FFFFFF" w:val="clear"/>
            <w:vAlign w:val="center"/>
          </w:tcPr>
          <w:p>
            <w:pPr>
              <w:pStyle w:val="TableContents"/>
              <w:spacing w:before="0" w:after="283"/>
              <w:jc w:val="right"/>
              <w:rPr/>
            </w:pPr>
            <w:r>
              <w:rPr/>
              <w:t>32,391,485</w:t>
            </w:r>
          </w:p>
        </w:tc>
        <w:tc>
          <w:tcPr>
            <w:tcW w:w="170" w:type="dxa"/>
            <w:tcBorders/>
            <w:shd w:fill="FFFFFF" w:val="clear"/>
            <w:tcMar>
              <w:bottom w:w="0" w:type="dxa"/>
            </w:tcM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Net cash used in operating activities was $10,235,000 in Year Ended 2020 as compared to net cash provided by $29,859,000 in Year Ended 2019. The $40,094,000 decrease in cash flows provided by operating activities in Year Ended 2020 was primarily a result of a decrease in cash arising from net fluctuations in assets and liabilities, partially offset by an increase in net income (adjusted for non-cash items) of $16,065,000. The net fluctuations in assets and liabilities are related to operating activities of KICO as affected by growth or declines in its operations, payments on claims and changes in quota share ceding rates which are described above.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Net cash provided by investing activities was $581,000 in Year Ended 2020 compared to net cash used of $14,974,000 in Year Ended 2019. The $15,555,000 increase in net cash flows for investing activities was the result of a $25,016,000 increase in the sale of invested assets and a $10,073,000 decrease in sales or maturities of invested assets.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Net cash used in financing activities was $3,274,000 in Year Ended 2020 compared to $3,632,000 used in Year Ended 2019. The $358,000 decrease in net cash used in financing activities was attributable to a $1,544,000 reduction in dividends paid, partially offset by $1,183,000 purchases of treasury stock in Year Ended 2020 compared to Year Ended 2019.   </w:t>
      </w:r>
    </w:p>
    <w:p>
      <w:pPr>
        <w:pStyle w:val="TextBody"/>
        <w:spacing w:before="0" w:after="0"/>
        <w:ind w:left="0" w:right="0" w:hanging="0"/>
        <w:rPr/>
      </w:pPr>
      <w:r>
        <w:rPr/>
        <w:t>  </w:t>
      </w:r>
    </w:p>
    <w:p>
      <w:pPr>
        <w:pStyle w:val="TextBody"/>
        <w:spacing w:before="0" w:after="0"/>
        <w:ind w:left="0" w:right="0" w:hanging="0"/>
        <w:jc w:val="both"/>
        <w:rPr/>
      </w:pPr>
      <w:r>
        <w:rPr>
          <w:rStyle w:val="StrongEmphasis"/>
          <w:rFonts w:ascii="times new roman" w:hAnsi="times new roman"/>
          <w:sz w:val="20"/>
        </w:rPr>
        <w:t>Reinsurance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provides summary information with respect to each reinsurer that accounted for more than 10% of our reinsurance recoverables on paid and unpaid losses and loss adjustment expenses as of December 31, 2020:</w:t>
      </w:r>
    </w:p>
    <w:p>
      <w:pPr>
        <w:pStyle w:val="TextBody"/>
        <w:spacing w:before="0" w:after="0"/>
        <w:ind w:left="0" w:right="0" w:hanging="0"/>
        <w:jc w:val="both"/>
        <w:rPr/>
      </w:pPr>
      <w:r>
        <w:rPr/>
        <w:t> </w:t>
      </w:r>
    </w:p>
    <w:tbl>
      <w:tblPr>
        <w:tblW w:w="8049" w:type="dxa"/>
        <w:jc w:val="left"/>
        <w:tblInd w:w="0" w:type="dxa"/>
        <w:tblCellMar>
          <w:top w:w="0" w:type="dxa"/>
          <w:left w:w="0" w:type="dxa"/>
          <w:bottom w:w="0" w:type="dxa"/>
          <w:right w:w="0" w:type="dxa"/>
        </w:tblCellMar>
      </w:tblPr>
      <w:tblGrid>
        <w:gridCol w:w="3980"/>
        <w:gridCol w:w="90"/>
        <w:gridCol w:w="1295"/>
        <w:gridCol w:w="90"/>
        <w:gridCol w:w="277"/>
        <w:gridCol w:w="1167"/>
        <w:gridCol w:w="90"/>
        <w:gridCol w:w="90"/>
        <w:gridCol w:w="90"/>
        <w:gridCol w:w="590"/>
        <w:gridCol w:w="290"/>
      </w:tblGrid>
      <w:tr>
        <w:trPr/>
        <w:tc>
          <w:tcPr>
            <w:tcW w:w="398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9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1444"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Pr>
              <w:t xml:space="preserve">Amount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680" w:type="dxa"/>
            <w:gridSpan w:val="2"/>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0"/>
              <w:ind w:left="0" w:right="0" w:hanging="0"/>
              <w:rPr/>
            </w:pPr>
            <w:r>
              <w:rPr/>
              <w:t> </w:t>
            </w:r>
          </w:p>
        </w:tc>
      </w:tr>
      <w:tr>
        <w:trPr/>
        <w:tc>
          <w:tcPr>
            <w:tcW w:w="398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9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1444"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Pr>
              <w:t xml:space="preserve">Recoverable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680" w:type="dxa"/>
            <w:gridSpan w:val="2"/>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0"/>
              <w:ind w:left="0" w:right="0" w:hanging="0"/>
              <w:rPr/>
            </w:pPr>
            <w:r>
              <w:rPr/>
              <w:t> </w:t>
            </w:r>
          </w:p>
        </w:tc>
      </w:tr>
      <w:tr>
        <w:trPr/>
        <w:tc>
          <w:tcPr>
            <w:tcW w:w="398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9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1444" w:type="dxa"/>
            <w:gridSpan w:val="2"/>
            <w:tcBorders/>
            <w:shd w:fill="auto" w:val="clear"/>
            <w:vAlign w:val="center"/>
          </w:tcPr>
          <w:p>
            <w:pPr>
              <w:pStyle w:val="TableContents"/>
              <w:spacing w:before="0" w:after="0"/>
              <w:ind w:left="0" w:right="0" w:hanging="0"/>
              <w:jc w:val="center"/>
              <w:rPr/>
            </w:pPr>
            <w:r>
              <w:rPr>
                <w:rStyle w:val="StrongEmphasis"/>
              </w:rPr>
              <w:t xml:space="preserve">as of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680" w:type="dxa"/>
            <w:gridSpan w:val="2"/>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0"/>
              <w:ind w:left="0" w:right="0" w:hanging="0"/>
              <w:rPr/>
            </w:pPr>
            <w:r>
              <w:rPr/>
              <w:t> </w:t>
            </w:r>
          </w:p>
        </w:tc>
      </w:tr>
      <w:tr>
        <w:trPr/>
        <w:tc>
          <w:tcPr>
            <w:tcW w:w="3980"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Pr>
              <w:t xml:space="preserve">($ in thousands) </w:t>
            </w:r>
          </w:p>
        </w:tc>
        <w:tc>
          <w:tcPr>
            <w:tcW w:w="90" w:type="dxa"/>
            <w:tcBorders/>
            <w:shd w:fill="auto" w:val="clear"/>
            <w:vAlign w:val="center"/>
          </w:tcPr>
          <w:p>
            <w:pPr>
              <w:pStyle w:val="TableContents"/>
              <w:spacing w:before="0" w:after="0"/>
              <w:ind w:left="0" w:right="0" w:hanging="0"/>
              <w:rPr/>
            </w:pPr>
            <w:r>
              <w:rPr/>
              <w:t> </w:t>
            </w:r>
          </w:p>
        </w:tc>
        <w:tc>
          <w:tcPr>
            <w:tcW w:w="1295"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A.M. </w:t>
            </w:r>
          </w:p>
          <w:p>
            <w:pPr>
              <w:pStyle w:val="TableContents"/>
              <w:spacing w:before="0" w:after="0"/>
              <w:ind w:left="0" w:right="0" w:hanging="0"/>
              <w:jc w:val="center"/>
              <w:rPr/>
            </w:pPr>
            <w:r>
              <w:rPr>
                <w:rStyle w:val="StrongEmphasis"/>
              </w:rPr>
              <w:t xml:space="preserve">Best Rating </w:t>
            </w:r>
          </w:p>
        </w:tc>
        <w:tc>
          <w:tcPr>
            <w:tcW w:w="90" w:type="dxa"/>
            <w:tcBorders/>
            <w:shd w:fill="auto" w:val="clear"/>
            <w:vAlign w:val="center"/>
          </w:tcPr>
          <w:p>
            <w:pPr>
              <w:pStyle w:val="TableContents"/>
              <w:spacing w:before="0" w:after="0"/>
              <w:ind w:left="0" w:right="0" w:hanging="0"/>
              <w:rPr/>
            </w:pPr>
            <w:r>
              <w:rPr/>
              <w:t> </w:t>
            </w:r>
          </w:p>
        </w:tc>
        <w:tc>
          <w:tcPr>
            <w:tcW w:w="144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December 31,</w:t>
            </w:r>
          </w:p>
          <w:p>
            <w:pPr>
              <w:pStyle w:val="TableContents"/>
              <w:spacing w:before="0" w:after="0"/>
              <w:ind w:left="0" w:right="0" w:hanging="0"/>
              <w:jc w:val="center"/>
              <w:rPr/>
            </w:pPr>
            <w:r>
              <w:rPr>
                <w:rStyle w:val="StrongEmphasis"/>
              </w:rPr>
              <w:t>2020</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6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w:t>
            </w:r>
          </w:p>
        </w:tc>
        <w:tc>
          <w:tcPr>
            <w:tcW w:w="290" w:type="dxa"/>
            <w:tcBorders/>
            <w:shd w:fill="auto" w:val="clear"/>
            <w:vAlign w:val="center"/>
          </w:tcPr>
          <w:p>
            <w:pPr>
              <w:pStyle w:val="TableContents"/>
              <w:spacing w:before="0" w:after="0"/>
              <w:ind w:left="0" w:right="0" w:hanging="0"/>
              <w:rPr/>
            </w:pPr>
            <w:r>
              <w:rPr/>
              <w:t> </w:t>
            </w:r>
          </w:p>
        </w:tc>
      </w:tr>
      <w:tr>
        <w:trPr/>
        <w:tc>
          <w:tcPr>
            <w:tcW w:w="3980" w:type="dxa"/>
            <w:tcBorders/>
            <w:shd w:fill="CCEEFF" w:val="clear"/>
            <w:vAlign w:val="center"/>
          </w:tcPr>
          <w:p>
            <w:pPr>
              <w:pStyle w:val="TableContents"/>
              <w:spacing w:before="0" w:after="0"/>
              <w:ind w:left="0" w:right="0" w:hanging="0"/>
              <w:rPr/>
            </w:pPr>
            <w:r>
              <w:rPr/>
              <w:t xml:space="preserve">Cavello Bay Reinsurance Limited </w:t>
            </w:r>
          </w:p>
        </w:tc>
        <w:tc>
          <w:tcPr>
            <w:tcW w:w="90" w:type="dxa"/>
            <w:tcBorders/>
            <w:shd w:fill="CCEEFF" w:val="clear"/>
            <w:vAlign w:val="center"/>
          </w:tcPr>
          <w:p>
            <w:pPr>
              <w:pStyle w:val="TableContents"/>
              <w:spacing w:before="0" w:after="0"/>
              <w:ind w:left="0" w:right="0" w:hanging="0"/>
              <w:rPr/>
            </w:pPr>
            <w:r>
              <w:rPr/>
              <w:t> </w:t>
            </w:r>
          </w:p>
        </w:tc>
        <w:tc>
          <w:tcPr>
            <w:tcW w:w="1295" w:type="dxa"/>
            <w:tcBorders/>
            <w:shd w:fill="CCEEFF" w:val="clear"/>
            <w:vAlign w:val="center"/>
          </w:tcPr>
          <w:p>
            <w:pPr>
              <w:pStyle w:val="TableContents"/>
              <w:spacing w:before="0" w:after="0"/>
              <w:ind w:left="0" w:right="0" w:hanging="0"/>
              <w:jc w:val="center"/>
              <w:rPr/>
            </w:pPr>
            <w:r>
              <w:rPr/>
              <w:t xml:space="preserve">A- </w:t>
            </w:r>
          </w:p>
        </w:tc>
        <w:tc>
          <w:tcPr>
            <w:tcW w:w="90" w:type="dxa"/>
            <w:tcBorders/>
            <w:shd w:fill="CCEEFF" w:val="clear"/>
            <w:vAlign w:val="center"/>
          </w:tcPr>
          <w:p>
            <w:pPr>
              <w:pStyle w:val="TableContents"/>
              <w:spacing w:before="0" w:after="0"/>
              <w:ind w:left="0" w:right="0" w:hanging="0"/>
              <w:rPr/>
            </w:pPr>
            <w:r>
              <w:rPr/>
              <w:t> </w:t>
            </w:r>
          </w:p>
        </w:tc>
        <w:tc>
          <w:tcPr>
            <w:tcW w:w="277" w:type="dxa"/>
            <w:tcBorders/>
            <w:shd w:fill="CCEEFF" w:val="clear"/>
            <w:vAlign w:val="center"/>
          </w:tcPr>
          <w:p>
            <w:pPr>
              <w:pStyle w:val="TableContents"/>
              <w:spacing w:before="0" w:after="283"/>
              <w:rPr/>
            </w:pPr>
            <w:r>
              <w:rPr/>
              <w:t>$</w:t>
            </w:r>
          </w:p>
        </w:tc>
        <w:tc>
          <w:tcPr>
            <w:tcW w:w="1167" w:type="dxa"/>
            <w:tcBorders/>
            <w:shd w:fill="CCEEFF" w:val="clear"/>
            <w:vAlign w:val="center"/>
          </w:tcPr>
          <w:p>
            <w:pPr>
              <w:pStyle w:val="TableContents"/>
              <w:spacing w:before="0" w:after="283"/>
              <w:jc w:val="right"/>
              <w:rPr/>
            </w:pPr>
            <w:r>
              <w:rPr/>
              <w:t>6,255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283"/>
              <w:jc w:val="right"/>
              <w:rPr/>
            </w:pPr>
            <w:r>
              <w:rPr/>
              <w:t>17.9</w:t>
            </w:r>
          </w:p>
        </w:tc>
        <w:tc>
          <w:tcPr>
            <w:tcW w:w="290" w:type="dxa"/>
            <w:tcBorders/>
            <w:shd w:fill="CCEEFF" w:val="clear"/>
            <w:vAlign w:val="center"/>
          </w:tcPr>
          <w:p>
            <w:pPr>
              <w:pStyle w:val="TableContents"/>
              <w:spacing w:before="0" w:after="283"/>
              <w:rPr/>
            </w:pPr>
            <w:r>
              <w:rPr/>
              <w:t>%</w:t>
            </w:r>
          </w:p>
        </w:tc>
      </w:tr>
      <w:tr>
        <w:trPr/>
        <w:tc>
          <w:tcPr>
            <w:tcW w:w="3980" w:type="dxa"/>
            <w:tcBorders/>
            <w:shd w:fill="FFFFFF" w:val="clear"/>
            <w:vAlign w:val="center"/>
          </w:tcPr>
          <w:p>
            <w:pPr>
              <w:pStyle w:val="TableContents"/>
              <w:spacing w:before="0" w:after="0"/>
              <w:ind w:left="0" w:right="0" w:hanging="0"/>
              <w:rPr/>
            </w:pPr>
            <w:r>
              <w:rPr/>
              <w:t xml:space="preserve">Swiss Reinsurance America Corporation </w:t>
            </w:r>
          </w:p>
        </w:tc>
        <w:tc>
          <w:tcPr>
            <w:tcW w:w="90" w:type="dxa"/>
            <w:tcBorders/>
            <w:shd w:fill="FFFFFF" w:val="clear"/>
            <w:vAlign w:val="center"/>
          </w:tcPr>
          <w:p>
            <w:pPr>
              <w:pStyle w:val="TableContents"/>
              <w:spacing w:before="0" w:after="0"/>
              <w:ind w:left="0" w:right="0" w:hanging="0"/>
              <w:rPr/>
            </w:pPr>
            <w:r>
              <w:rPr/>
              <w:t> </w:t>
            </w:r>
          </w:p>
        </w:tc>
        <w:tc>
          <w:tcPr>
            <w:tcW w:w="1295" w:type="dxa"/>
            <w:tcBorders/>
            <w:shd w:fill="FFFFFF" w:val="clear"/>
            <w:vAlign w:val="center"/>
          </w:tcPr>
          <w:p>
            <w:pPr>
              <w:pStyle w:val="TableContents"/>
              <w:spacing w:before="0" w:after="0"/>
              <w:ind w:left="0" w:right="0" w:hanging="0"/>
              <w:jc w:val="center"/>
              <w:rPr/>
            </w:pPr>
            <w:r>
              <w:rPr/>
              <w:t xml:space="preserve">A+ </w:t>
            </w:r>
          </w:p>
        </w:tc>
        <w:tc>
          <w:tcPr>
            <w:tcW w:w="90" w:type="dxa"/>
            <w:tcBorders/>
            <w:shd w:fill="FFFFFF" w:val="clear"/>
            <w:vAlign w:val="center"/>
          </w:tcPr>
          <w:p>
            <w:pPr>
              <w:pStyle w:val="TableContents"/>
              <w:spacing w:before="0" w:after="0"/>
              <w:ind w:left="0" w:right="0" w:hanging="0"/>
              <w:rPr/>
            </w:pPr>
            <w:r>
              <w:rPr/>
              <w:t> </w:t>
            </w:r>
          </w:p>
        </w:tc>
        <w:tc>
          <w:tcPr>
            <w:tcW w:w="277" w:type="dxa"/>
            <w:tcBorders/>
            <w:shd w:fill="FFFFFF" w:val="clear"/>
            <w:vAlign w:val="center"/>
          </w:tcPr>
          <w:p>
            <w:pPr>
              <w:pStyle w:val="TableContents"/>
              <w:spacing w:before="0" w:after="0"/>
              <w:ind w:left="0" w:right="0" w:hanging="0"/>
              <w:rPr/>
            </w:pPr>
            <w:r>
              <w:rPr/>
              <w:t> </w:t>
            </w:r>
          </w:p>
        </w:tc>
        <w:tc>
          <w:tcPr>
            <w:tcW w:w="1167" w:type="dxa"/>
            <w:tcBorders/>
            <w:shd w:fill="FFFFFF" w:val="clear"/>
            <w:vAlign w:val="center"/>
          </w:tcPr>
          <w:p>
            <w:pPr>
              <w:pStyle w:val="TableContents"/>
              <w:spacing w:before="0" w:after="283"/>
              <w:jc w:val="right"/>
              <w:rPr/>
            </w:pPr>
            <w:r>
              <w:rPr/>
              <w:t>13,618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283"/>
              <w:jc w:val="right"/>
              <w:rPr/>
            </w:pPr>
            <w:r>
              <w:rPr/>
              <w:t>39.0</w:t>
            </w:r>
          </w:p>
        </w:tc>
        <w:tc>
          <w:tcPr>
            <w:tcW w:w="290" w:type="dxa"/>
            <w:tcBorders/>
            <w:shd w:fill="FFFFFF" w:val="clear"/>
            <w:vAlign w:val="center"/>
          </w:tcPr>
          <w:p>
            <w:pPr>
              <w:pStyle w:val="TableContents"/>
              <w:spacing w:before="0" w:after="283"/>
              <w:rPr/>
            </w:pPr>
            <w:r>
              <w:rPr/>
              <w:t>%</w:t>
            </w:r>
          </w:p>
        </w:tc>
      </w:tr>
      <w:tr>
        <w:trPr/>
        <w:tc>
          <w:tcPr>
            <w:tcW w:w="3980" w:type="dxa"/>
            <w:tcBorders/>
            <w:shd w:fill="CCEEFF" w:val="clear"/>
            <w:vAlign w:val="center"/>
          </w:tcPr>
          <w:p>
            <w:pPr>
              <w:pStyle w:val="TableContents"/>
              <w:spacing w:before="0" w:after="0"/>
              <w:ind w:left="0" w:right="0" w:hanging="0"/>
              <w:rPr/>
            </w:pPr>
            <w:r>
              <w:rPr/>
              <w:t xml:space="preserve">Hannover Rueck SE </w:t>
            </w:r>
          </w:p>
        </w:tc>
        <w:tc>
          <w:tcPr>
            <w:tcW w:w="90" w:type="dxa"/>
            <w:tcBorders/>
            <w:shd w:fill="CCEEFF" w:val="clear"/>
            <w:vAlign w:val="center"/>
          </w:tcPr>
          <w:p>
            <w:pPr>
              <w:pStyle w:val="TableContents"/>
              <w:spacing w:before="0" w:after="0"/>
              <w:ind w:left="0" w:right="0" w:hanging="0"/>
              <w:rPr/>
            </w:pPr>
            <w:r>
              <w:rPr/>
              <w:t> </w:t>
            </w:r>
          </w:p>
        </w:tc>
        <w:tc>
          <w:tcPr>
            <w:tcW w:w="1295" w:type="dxa"/>
            <w:tcBorders/>
            <w:shd w:fill="CCEEFF" w:val="clear"/>
            <w:vAlign w:val="center"/>
          </w:tcPr>
          <w:p>
            <w:pPr>
              <w:pStyle w:val="TableContents"/>
              <w:spacing w:before="0" w:after="0"/>
              <w:ind w:left="0" w:right="0" w:hanging="0"/>
              <w:jc w:val="center"/>
              <w:rPr/>
            </w:pPr>
            <w:r>
              <w:rPr/>
              <w:t xml:space="preserve">A+ </w:t>
            </w:r>
          </w:p>
        </w:tc>
        <w:tc>
          <w:tcPr>
            <w:tcW w:w="90" w:type="dxa"/>
            <w:tcBorders/>
            <w:shd w:fill="CCEEFF" w:val="clear"/>
            <w:vAlign w:val="center"/>
          </w:tcPr>
          <w:p>
            <w:pPr>
              <w:pStyle w:val="TableContents"/>
              <w:spacing w:before="0" w:after="0"/>
              <w:ind w:left="0" w:right="0" w:hanging="0"/>
              <w:rPr/>
            </w:pPr>
            <w:r>
              <w:rPr/>
              <w:t> </w:t>
            </w:r>
          </w:p>
        </w:tc>
        <w:tc>
          <w:tcPr>
            <w:tcW w:w="277" w:type="dxa"/>
            <w:tcBorders/>
            <w:shd w:fill="CCEEFF" w:val="clear"/>
            <w:vAlign w:val="center"/>
          </w:tcPr>
          <w:p>
            <w:pPr>
              <w:pStyle w:val="TableContents"/>
              <w:spacing w:before="0" w:after="0"/>
              <w:ind w:left="0" w:right="0" w:hanging="0"/>
              <w:rPr/>
            </w:pPr>
            <w:r>
              <w:rPr/>
              <w:t> </w:t>
            </w:r>
          </w:p>
        </w:tc>
        <w:tc>
          <w:tcPr>
            <w:tcW w:w="1167" w:type="dxa"/>
            <w:tcBorders/>
            <w:shd w:fill="CCEEFF" w:val="clear"/>
            <w:vAlign w:val="center"/>
          </w:tcPr>
          <w:p>
            <w:pPr>
              <w:pStyle w:val="TableContents"/>
              <w:spacing w:before="0" w:after="283"/>
              <w:jc w:val="right"/>
              <w:rPr/>
            </w:pPr>
            <w:r>
              <w:rPr/>
              <w:t>7,806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283"/>
              <w:jc w:val="right"/>
              <w:rPr/>
            </w:pPr>
            <w:r>
              <w:rPr/>
              <w:t>22.3</w:t>
            </w:r>
          </w:p>
        </w:tc>
        <w:tc>
          <w:tcPr>
            <w:tcW w:w="290" w:type="dxa"/>
            <w:tcBorders/>
            <w:shd w:fill="CCEEFF" w:val="clear"/>
            <w:vAlign w:val="center"/>
          </w:tcPr>
          <w:p>
            <w:pPr>
              <w:pStyle w:val="TableContents"/>
              <w:spacing w:before="0" w:after="283"/>
              <w:rPr/>
            </w:pPr>
            <w:r>
              <w:rPr/>
              <w:t>%</w:t>
            </w:r>
          </w:p>
        </w:tc>
      </w:tr>
      <w:tr>
        <w:trPr/>
        <w:tc>
          <w:tcPr>
            <w:tcW w:w="3980" w:type="dxa"/>
            <w:tcBorders/>
            <w:shd w:fill="FFFFFF" w:val="clear"/>
            <w:vAlign w:val="center"/>
          </w:tcPr>
          <w:p>
            <w:pPr>
              <w:pStyle w:val="TableContents"/>
              <w:spacing w:before="0" w:after="0"/>
              <w:ind w:left="0" w:right="0" w:hanging="0"/>
              <w:rPr/>
            </w:pPr>
            <w:r>
              <w:rPr/>
              <w:t xml:space="preserve">Allied World Assurance Company </w:t>
            </w:r>
          </w:p>
        </w:tc>
        <w:tc>
          <w:tcPr>
            <w:tcW w:w="90" w:type="dxa"/>
            <w:tcBorders/>
            <w:shd w:fill="FFFFFF" w:val="clear"/>
            <w:vAlign w:val="center"/>
          </w:tcPr>
          <w:p>
            <w:pPr>
              <w:pStyle w:val="TableContents"/>
              <w:spacing w:before="0" w:after="0"/>
              <w:ind w:left="0" w:right="0" w:hanging="0"/>
              <w:rPr/>
            </w:pPr>
            <w:r>
              <w:rPr/>
              <w:t> </w:t>
            </w:r>
          </w:p>
        </w:tc>
        <w:tc>
          <w:tcPr>
            <w:tcW w:w="1295" w:type="dxa"/>
            <w:tcBorders/>
            <w:shd w:fill="FFFFFF" w:val="clear"/>
            <w:vAlign w:val="center"/>
          </w:tcPr>
          <w:p>
            <w:pPr>
              <w:pStyle w:val="TableContents"/>
              <w:spacing w:before="0" w:after="0"/>
              <w:ind w:left="0" w:right="0" w:hanging="0"/>
              <w:jc w:val="center"/>
              <w:rPr/>
            </w:pPr>
            <w:r>
              <w:rPr/>
              <w:t xml:space="preserve">A </w:t>
            </w:r>
          </w:p>
        </w:tc>
        <w:tc>
          <w:tcPr>
            <w:tcW w:w="90" w:type="dxa"/>
            <w:tcBorders/>
            <w:shd w:fill="FFFFFF" w:val="clear"/>
            <w:vAlign w:val="center"/>
          </w:tcPr>
          <w:p>
            <w:pPr>
              <w:pStyle w:val="TableContents"/>
              <w:spacing w:before="0" w:after="0"/>
              <w:ind w:left="0" w:right="0" w:hanging="0"/>
              <w:rPr/>
            </w:pPr>
            <w:r>
              <w:rPr/>
              <w:t> </w:t>
            </w:r>
          </w:p>
        </w:tc>
        <w:tc>
          <w:tcPr>
            <w:tcW w:w="277"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67" w:type="dxa"/>
            <w:tcBorders>
              <w:bottom w:val="single" w:sz="2" w:space="0" w:color="000000"/>
            </w:tcBorders>
            <w:shd w:fill="FFFFFF" w:val="clear"/>
            <w:tcMar>
              <w:bottom w:w="28" w:type="dxa"/>
            </w:tcMar>
            <w:vAlign w:val="center"/>
          </w:tcPr>
          <w:p>
            <w:pPr>
              <w:pStyle w:val="TableContents"/>
              <w:spacing w:before="0" w:after="283"/>
              <w:jc w:val="right"/>
              <w:rPr/>
            </w:pPr>
            <w:r>
              <w:rPr/>
              <w:t>3,780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jc w:val="right"/>
              <w:rPr/>
            </w:pPr>
            <w:r>
              <w:rPr/>
              <w:t>10.8</w:t>
            </w:r>
          </w:p>
        </w:tc>
        <w:tc>
          <w:tcPr>
            <w:tcW w:w="290" w:type="dxa"/>
            <w:tcBorders/>
            <w:shd w:fill="FFFFFF" w:val="clear"/>
            <w:vAlign w:val="center"/>
          </w:tcPr>
          <w:p>
            <w:pPr>
              <w:pStyle w:val="TableContents"/>
              <w:spacing w:before="0" w:after="283"/>
              <w:rPr/>
            </w:pPr>
            <w:r>
              <w:rPr/>
              <w:t>%</w:t>
            </w:r>
          </w:p>
        </w:tc>
      </w:tr>
      <w:tr>
        <w:trPr/>
        <w:tc>
          <w:tcPr>
            <w:tcW w:w="398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29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77" w:type="dxa"/>
            <w:tcBorders/>
            <w:shd w:fill="CCEEFF" w:val="clear"/>
            <w:vAlign w:val="center"/>
          </w:tcPr>
          <w:p>
            <w:pPr>
              <w:pStyle w:val="TableContents"/>
              <w:spacing w:before="0" w:after="0"/>
              <w:ind w:left="0" w:right="0" w:hanging="0"/>
              <w:rPr/>
            </w:pPr>
            <w:r>
              <w:rPr/>
              <w:t> </w:t>
            </w:r>
          </w:p>
        </w:tc>
        <w:tc>
          <w:tcPr>
            <w:tcW w:w="1167" w:type="dxa"/>
            <w:tcBorders/>
            <w:shd w:fill="CCEEFF" w:val="clear"/>
            <w:vAlign w:val="center"/>
          </w:tcPr>
          <w:p>
            <w:pPr>
              <w:pStyle w:val="TableContents"/>
              <w:spacing w:before="0" w:after="283"/>
              <w:jc w:val="right"/>
              <w:rPr/>
            </w:pPr>
            <w:r>
              <w:rPr/>
              <w:t>31,459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283"/>
              <w:jc w:val="right"/>
              <w:rPr/>
            </w:pPr>
            <w:r>
              <w:rPr/>
              <w:t>90.0</w:t>
            </w:r>
          </w:p>
        </w:tc>
        <w:tc>
          <w:tcPr>
            <w:tcW w:w="290" w:type="dxa"/>
            <w:tcBorders/>
            <w:shd w:fill="CCEEFF" w:val="clear"/>
            <w:vAlign w:val="center"/>
          </w:tcPr>
          <w:p>
            <w:pPr>
              <w:pStyle w:val="TableContents"/>
              <w:spacing w:before="0" w:after="283"/>
              <w:rPr/>
            </w:pPr>
            <w:r>
              <w:rPr/>
              <w:t>%</w:t>
            </w:r>
          </w:p>
        </w:tc>
      </w:tr>
      <w:tr>
        <w:trPr/>
        <w:tc>
          <w:tcPr>
            <w:tcW w:w="3980" w:type="dxa"/>
            <w:tcBorders/>
            <w:shd w:fill="FFFFFF" w:val="clear"/>
            <w:vAlign w:val="center"/>
          </w:tcPr>
          <w:p>
            <w:pPr>
              <w:pStyle w:val="TableContents"/>
              <w:spacing w:before="0" w:after="0"/>
              <w:ind w:left="0" w:right="0" w:hanging="0"/>
              <w:rPr/>
            </w:pPr>
            <w:r>
              <w:rPr/>
              <w:t xml:space="preserve">Others </w:t>
            </w:r>
          </w:p>
        </w:tc>
        <w:tc>
          <w:tcPr>
            <w:tcW w:w="90" w:type="dxa"/>
            <w:tcBorders/>
            <w:shd w:fill="FFFFFF" w:val="clear"/>
            <w:vAlign w:val="center"/>
          </w:tcPr>
          <w:p>
            <w:pPr>
              <w:pStyle w:val="TableContents"/>
              <w:spacing w:before="0" w:after="0"/>
              <w:ind w:left="0" w:right="0" w:hanging="0"/>
              <w:rPr/>
            </w:pPr>
            <w:r>
              <w:rPr/>
              <w:t> </w:t>
            </w:r>
          </w:p>
        </w:tc>
        <w:tc>
          <w:tcPr>
            <w:tcW w:w="129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77"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67" w:type="dxa"/>
            <w:tcBorders>
              <w:bottom w:val="single" w:sz="2" w:space="0" w:color="000000"/>
            </w:tcBorders>
            <w:shd w:fill="FFFFFF" w:val="clear"/>
            <w:tcMar>
              <w:bottom w:w="28" w:type="dxa"/>
            </w:tcMar>
            <w:vAlign w:val="center"/>
          </w:tcPr>
          <w:p>
            <w:pPr>
              <w:pStyle w:val="TableContents"/>
              <w:spacing w:before="0" w:after="283"/>
              <w:jc w:val="right"/>
              <w:rPr/>
            </w:pPr>
            <w:r>
              <w:rPr/>
              <w:t>3,482</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jc w:val="right"/>
              <w:rPr/>
            </w:pPr>
            <w:r>
              <w:rPr/>
              <w:t>10.0</w:t>
            </w:r>
          </w:p>
        </w:tc>
        <w:tc>
          <w:tcPr>
            <w:tcW w:w="290" w:type="dxa"/>
            <w:tcBorders/>
            <w:shd w:fill="FFFFFF" w:val="clear"/>
            <w:vAlign w:val="center"/>
          </w:tcPr>
          <w:p>
            <w:pPr>
              <w:pStyle w:val="TableContents"/>
              <w:spacing w:before="0" w:after="283"/>
              <w:rPr/>
            </w:pPr>
            <w:r>
              <w:rPr/>
              <w:t>%</w:t>
            </w:r>
          </w:p>
        </w:tc>
      </w:tr>
      <w:tr>
        <w:trPr/>
        <w:tc>
          <w:tcPr>
            <w:tcW w:w="3980" w:type="dxa"/>
            <w:tcBorders/>
            <w:shd w:fill="CCEEFF" w:val="clear"/>
            <w:vAlign w:val="center"/>
          </w:tcPr>
          <w:p>
            <w:pPr>
              <w:pStyle w:val="TableContents"/>
              <w:spacing w:before="0" w:after="0"/>
              <w:ind w:left="0" w:right="0" w:hanging="0"/>
              <w:rPr/>
            </w:pPr>
            <w:r>
              <w:rPr/>
              <w:t xml:space="preserve">Total </w:t>
            </w:r>
          </w:p>
        </w:tc>
        <w:tc>
          <w:tcPr>
            <w:tcW w:w="90" w:type="dxa"/>
            <w:tcBorders/>
            <w:shd w:fill="CCEEFF" w:val="clear"/>
            <w:vAlign w:val="center"/>
          </w:tcPr>
          <w:p>
            <w:pPr>
              <w:pStyle w:val="TableContents"/>
              <w:spacing w:before="0" w:after="0"/>
              <w:ind w:left="0" w:right="0" w:hanging="0"/>
              <w:rPr/>
            </w:pPr>
            <w:r>
              <w:rPr/>
              <w:t> </w:t>
            </w:r>
          </w:p>
        </w:tc>
        <w:tc>
          <w:tcPr>
            <w:tcW w:w="129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77" w:type="dxa"/>
            <w:tcBorders>
              <w:bottom w:val="double" w:sz="6" w:space="0" w:color="000000"/>
            </w:tcBorders>
            <w:shd w:fill="CCEEFF" w:val="clear"/>
            <w:tcMar>
              <w:bottom w:w="28" w:type="dxa"/>
            </w:tcMar>
            <w:vAlign w:val="center"/>
          </w:tcPr>
          <w:p>
            <w:pPr>
              <w:pStyle w:val="TableContents"/>
              <w:spacing w:before="0" w:after="283"/>
              <w:rPr/>
            </w:pPr>
            <w:r>
              <w:rPr/>
              <w:t>$</w:t>
            </w:r>
          </w:p>
        </w:tc>
        <w:tc>
          <w:tcPr>
            <w:tcW w:w="1167" w:type="dxa"/>
            <w:tcBorders>
              <w:bottom w:val="double" w:sz="6" w:space="0" w:color="000000"/>
            </w:tcBorders>
            <w:shd w:fill="CCEEFF" w:val="clear"/>
            <w:tcMar>
              <w:bottom w:w="28" w:type="dxa"/>
            </w:tcMar>
            <w:vAlign w:val="center"/>
          </w:tcPr>
          <w:p>
            <w:pPr>
              <w:pStyle w:val="TableContents"/>
              <w:spacing w:before="0" w:after="283"/>
              <w:jc w:val="right"/>
              <w:rPr/>
            </w:pPr>
            <w:r>
              <w:rPr/>
              <w:t>34,941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590" w:type="dxa"/>
            <w:tcBorders>
              <w:bottom w:val="double" w:sz="6" w:space="0" w:color="000000"/>
            </w:tcBorders>
            <w:shd w:fill="CCEEFF" w:val="clear"/>
            <w:tcMar>
              <w:bottom w:w="28" w:type="dxa"/>
            </w:tcMar>
            <w:vAlign w:val="center"/>
          </w:tcPr>
          <w:p>
            <w:pPr>
              <w:pStyle w:val="TableContents"/>
              <w:spacing w:before="0" w:after="283"/>
              <w:jc w:val="right"/>
              <w:rPr/>
            </w:pPr>
            <w:r>
              <w:rPr/>
              <w:t>100.0</w:t>
            </w:r>
          </w:p>
        </w:tc>
        <w:tc>
          <w:tcPr>
            <w:tcW w:w="290" w:type="dxa"/>
            <w:tcBorders/>
            <w:shd w:fill="CCEEFF" w:val="clear"/>
            <w:vAlign w:val="center"/>
          </w:tcPr>
          <w:p>
            <w:pPr>
              <w:pStyle w:val="TableContents"/>
              <w:spacing w:before="0" w:after="283"/>
              <w:rPr/>
            </w:pPr>
            <w:r>
              <w:rPr/>
              <w:t>%</w:t>
            </w:r>
          </w:p>
        </w:tc>
      </w:tr>
    </w:tbl>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56</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Reinsurance recoverable from Cavello Bay Reinsurance Limited is secured pursuant to a collateralized trust agreement. Assets held in the trust are not included in our invested assets and investment income earned on this asset is credited to the reinsurer.</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Through June 30, 2019, our quota share reinsurance treaties were on a July 1 through June 30 fiscal year basis. Effective December 15, 2019, we entered into a quota share reinsurance treaty for our personal lines business covering the period from December 15, 2019 through December 30, 2020 (“2019/2020 Treaty”). Effective December 31, 2020, the 2019/2020 Treaty expired on a cut off basis; this treaty was not renewed.</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quota share reinsurance treaties in effect during Year Ended 2020 and 2019 for our personal lines business, which primarily consists of homeowners’ policies, were covered under the 2019/2020 Treaty and under a treaty covering a two-year period from July 1, 2017 through June 30, 2019 (“2017/2019 Treaty”). The 2017/2019 Treaty was in run-off effective from July 1, 2019 through June 30, 2020 (run-off period). The treaty in effect during Year Ended 2019 through June 30, 2019 (together with the run-off period) was covered under the July 1, 2018 through June 30, 2019 treaty year (“2018/2019 Treaty Year”).</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57</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Effective July 1, 2019, our 2017/2019 Treaty and commercial umbrella treaty expired on a run-off basis; these treaties were not renewed. We entered into new excess of loss and catastrophe reinsurance treaties effective July 1, 2020. Material terms for our reinsurance treaties in effect for the treaty years shown below are as follows:</w:t>
      </w:r>
    </w:p>
    <w:p>
      <w:pPr>
        <w:pStyle w:val="TextBody"/>
        <w:spacing w:before="0" w:after="0"/>
        <w:ind w:left="0" w:right="0" w:hanging="0"/>
        <w:jc w:val="both"/>
        <w:rPr/>
      </w:pPr>
      <w:r>
        <w:rPr/>
        <w:t> </w:t>
      </w:r>
    </w:p>
    <w:tbl>
      <w:tblPr>
        <w:tblW w:w="9284" w:type="dxa"/>
        <w:jc w:val="left"/>
        <w:tblInd w:w="0" w:type="dxa"/>
        <w:tblCellMar>
          <w:top w:w="0" w:type="dxa"/>
          <w:left w:w="0" w:type="dxa"/>
          <w:bottom w:w="0" w:type="dxa"/>
          <w:right w:w="0" w:type="dxa"/>
        </w:tblCellMar>
      </w:tblPr>
      <w:tblGrid>
        <w:gridCol w:w="3065"/>
        <w:gridCol w:w="90"/>
        <w:gridCol w:w="470"/>
        <w:gridCol w:w="1515"/>
        <w:gridCol w:w="245"/>
        <w:gridCol w:w="90"/>
        <w:gridCol w:w="1985"/>
        <w:gridCol w:w="90"/>
        <w:gridCol w:w="339"/>
        <w:gridCol w:w="1105"/>
        <w:gridCol w:w="290"/>
      </w:tblGrid>
      <w:tr>
        <w:trPr/>
        <w:tc>
          <w:tcPr>
            <w:tcW w:w="306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5839"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Treaty Year </w:t>
            </w:r>
          </w:p>
        </w:tc>
        <w:tc>
          <w:tcPr>
            <w:tcW w:w="290" w:type="dxa"/>
            <w:tcBorders/>
            <w:shd w:fill="auto" w:val="clear"/>
            <w:vAlign w:val="center"/>
          </w:tcPr>
          <w:p>
            <w:pPr>
              <w:pStyle w:val="TableContents"/>
              <w:spacing w:before="0" w:after="0"/>
              <w:ind w:left="0" w:right="0" w:hanging="0"/>
              <w:rPr/>
            </w:pPr>
            <w:r>
              <w:rPr/>
              <w:t> </w:t>
            </w:r>
          </w:p>
        </w:tc>
      </w:tr>
      <w:tr>
        <w:trPr/>
        <w:tc>
          <w:tcPr>
            <w:tcW w:w="306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985" w:type="dxa"/>
            <w:gridSpan w:val="2"/>
            <w:tcBorders/>
            <w:shd w:fill="auto" w:val="clear"/>
            <w:vAlign w:val="center"/>
          </w:tcPr>
          <w:p>
            <w:pPr>
              <w:pStyle w:val="TableContents"/>
              <w:spacing w:before="0" w:after="0"/>
              <w:ind w:left="0" w:right="0" w:hanging="0"/>
              <w:jc w:val="center"/>
              <w:rPr/>
            </w:pPr>
            <w:r>
              <w:rPr>
                <w:rStyle w:val="StrongEmphasis"/>
              </w:rPr>
              <w:t>December 15, 2019</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985" w:type="dxa"/>
            <w:tcBorders/>
            <w:shd w:fill="auto" w:val="clear"/>
            <w:vAlign w:val="center"/>
          </w:tcPr>
          <w:p>
            <w:pPr>
              <w:pStyle w:val="TableContents"/>
              <w:spacing w:before="0" w:after="0"/>
              <w:ind w:left="0" w:right="0" w:hanging="0"/>
              <w:jc w:val="center"/>
              <w:rPr/>
            </w:pPr>
            <w:r>
              <w:rPr>
                <w:rStyle w:val="StrongEmphasis"/>
              </w:rPr>
              <w:t>July 1, 2019</w:t>
            </w:r>
          </w:p>
        </w:tc>
        <w:tc>
          <w:tcPr>
            <w:tcW w:w="90" w:type="dxa"/>
            <w:tcBorders/>
            <w:shd w:fill="auto" w:val="clear"/>
            <w:vAlign w:val="center"/>
          </w:tcPr>
          <w:p>
            <w:pPr>
              <w:pStyle w:val="TableContents"/>
              <w:spacing w:before="0" w:after="0"/>
              <w:ind w:left="0" w:right="0" w:hanging="0"/>
              <w:rPr/>
            </w:pPr>
            <w:r>
              <w:rPr/>
              <w:t> </w:t>
            </w:r>
          </w:p>
        </w:tc>
        <w:tc>
          <w:tcPr>
            <w:tcW w:w="1444" w:type="dxa"/>
            <w:gridSpan w:val="2"/>
            <w:tcBorders/>
            <w:shd w:fill="auto" w:val="clear"/>
            <w:vAlign w:val="center"/>
          </w:tcPr>
          <w:p>
            <w:pPr>
              <w:pStyle w:val="TableContents"/>
              <w:spacing w:before="0" w:after="0"/>
              <w:ind w:left="0" w:right="0" w:hanging="0"/>
              <w:jc w:val="center"/>
              <w:rPr/>
            </w:pPr>
            <w:r>
              <w:rPr>
                <w:rStyle w:val="StrongEmphasis"/>
              </w:rPr>
              <w:t>July 1, 2018</w:t>
            </w:r>
          </w:p>
        </w:tc>
        <w:tc>
          <w:tcPr>
            <w:tcW w:w="290" w:type="dxa"/>
            <w:tcBorders/>
            <w:shd w:fill="auto" w:val="clear"/>
            <w:vAlign w:val="center"/>
          </w:tcPr>
          <w:p>
            <w:pPr>
              <w:pStyle w:val="TableContents"/>
              <w:spacing w:before="0" w:after="0"/>
              <w:ind w:left="0" w:right="0" w:hanging="0"/>
              <w:rPr/>
            </w:pPr>
            <w:r>
              <w:rPr/>
              <w:t> </w:t>
            </w:r>
          </w:p>
        </w:tc>
      </w:tr>
      <w:tr>
        <w:trPr/>
        <w:tc>
          <w:tcPr>
            <w:tcW w:w="306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985" w:type="dxa"/>
            <w:gridSpan w:val="2"/>
            <w:tcBorders/>
            <w:shd w:fill="auto" w:val="clear"/>
            <w:vAlign w:val="center"/>
          </w:tcPr>
          <w:p>
            <w:pPr>
              <w:pStyle w:val="TableContents"/>
              <w:spacing w:before="0" w:after="0"/>
              <w:ind w:left="0" w:right="0" w:hanging="0"/>
              <w:jc w:val="center"/>
              <w:rPr/>
            </w:pPr>
            <w:r>
              <w:rPr>
                <w:rStyle w:val="StrongEmphasis"/>
              </w:rPr>
              <w:t>to</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985" w:type="dxa"/>
            <w:tcBorders/>
            <w:shd w:fill="auto" w:val="clear"/>
            <w:vAlign w:val="center"/>
          </w:tcPr>
          <w:p>
            <w:pPr>
              <w:pStyle w:val="TableContents"/>
              <w:spacing w:before="0" w:after="0"/>
              <w:ind w:left="0" w:right="0" w:hanging="0"/>
              <w:jc w:val="center"/>
              <w:rPr/>
            </w:pPr>
            <w:r>
              <w:rPr>
                <w:rStyle w:val="StrongEmphasis"/>
              </w:rPr>
              <w:t>to</w:t>
            </w:r>
          </w:p>
        </w:tc>
        <w:tc>
          <w:tcPr>
            <w:tcW w:w="90" w:type="dxa"/>
            <w:tcBorders/>
            <w:shd w:fill="auto" w:val="clear"/>
            <w:vAlign w:val="center"/>
          </w:tcPr>
          <w:p>
            <w:pPr>
              <w:pStyle w:val="TableContents"/>
              <w:spacing w:before="0" w:after="0"/>
              <w:ind w:left="0" w:right="0" w:hanging="0"/>
              <w:rPr/>
            </w:pPr>
            <w:r>
              <w:rPr/>
              <w:t> </w:t>
            </w:r>
          </w:p>
        </w:tc>
        <w:tc>
          <w:tcPr>
            <w:tcW w:w="1444" w:type="dxa"/>
            <w:gridSpan w:val="2"/>
            <w:tcBorders/>
            <w:shd w:fill="auto" w:val="clear"/>
            <w:vAlign w:val="center"/>
          </w:tcPr>
          <w:p>
            <w:pPr>
              <w:pStyle w:val="TableContents"/>
              <w:spacing w:before="0" w:after="0"/>
              <w:ind w:left="0" w:right="0" w:hanging="0"/>
              <w:jc w:val="center"/>
              <w:rPr/>
            </w:pPr>
            <w:r>
              <w:rPr>
                <w:rStyle w:val="StrongEmphasis"/>
              </w:rPr>
              <w:t>to</w:t>
            </w:r>
          </w:p>
        </w:tc>
        <w:tc>
          <w:tcPr>
            <w:tcW w:w="290" w:type="dxa"/>
            <w:tcBorders/>
            <w:shd w:fill="auto" w:val="clear"/>
            <w:vAlign w:val="center"/>
          </w:tcPr>
          <w:p>
            <w:pPr>
              <w:pStyle w:val="TableContents"/>
              <w:spacing w:before="0" w:after="0"/>
              <w:ind w:left="0" w:right="0" w:hanging="0"/>
              <w:rPr/>
            </w:pPr>
            <w:r>
              <w:rPr/>
              <w:t> </w:t>
            </w:r>
          </w:p>
        </w:tc>
      </w:tr>
      <w:tr>
        <w:trPr/>
        <w:tc>
          <w:tcPr>
            <w:tcW w:w="3065"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Pr>
              <w:t xml:space="preserve">Line of Business </w:t>
            </w:r>
          </w:p>
        </w:tc>
        <w:tc>
          <w:tcPr>
            <w:tcW w:w="90" w:type="dxa"/>
            <w:tcBorders/>
            <w:shd w:fill="auto" w:val="clear"/>
            <w:vAlign w:val="center"/>
          </w:tcPr>
          <w:p>
            <w:pPr>
              <w:pStyle w:val="TableContents"/>
              <w:spacing w:before="0" w:after="0"/>
              <w:ind w:left="0" w:right="0" w:hanging="0"/>
              <w:rPr/>
            </w:pPr>
            <w:r>
              <w:rPr/>
              <w:t> </w:t>
            </w:r>
          </w:p>
        </w:tc>
        <w:tc>
          <w:tcPr>
            <w:tcW w:w="19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December 30, 2020</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985"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December 14, 2019</w:t>
            </w:r>
          </w:p>
        </w:tc>
        <w:tc>
          <w:tcPr>
            <w:tcW w:w="90" w:type="dxa"/>
            <w:tcBorders/>
            <w:shd w:fill="auto" w:val="clear"/>
            <w:vAlign w:val="center"/>
          </w:tcPr>
          <w:p>
            <w:pPr>
              <w:pStyle w:val="TableContents"/>
              <w:spacing w:before="0" w:after="0"/>
              <w:ind w:left="0" w:right="0" w:hanging="0"/>
              <w:rPr/>
            </w:pPr>
            <w:r>
              <w:rPr/>
              <w:t> </w:t>
            </w:r>
          </w:p>
        </w:tc>
        <w:tc>
          <w:tcPr>
            <w:tcW w:w="144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June 30, 2019</w:t>
            </w:r>
          </w:p>
        </w:tc>
        <w:tc>
          <w:tcPr>
            <w:tcW w:w="290" w:type="dxa"/>
            <w:tcBorders/>
            <w:shd w:fill="auto" w:val="clear"/>
            <w:vAlign w:val="center"/>
          </w:tcPr>
          <w:p>
            <w:pPr>
              <w:pStyle w:val="TableContents"/>
              <w:spacing w:before="0" w:after="0"/>
              <w:ind w:left="0" w:right="0" w:hanging="0"/>
              <w:rPr/>
            </w:pPr>
            <w:r>
              <w:rPr/>
              <w:t> </w:t>
            </w:r>
          </w:p>
        </w:tc>
      </w:tr>
      <w:tr>
        <w:trPr/>
        <w:tc>
          <w:tcPr>
            <w:tcW w:w="306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985"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98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44" w:type="dxa"/>
            <w:gridSpan w:val="2"/>
            <w:tcBorders/>
            <w:shd w:fill="auto" w:val="clear"/>
            <w:vAlign w:val="center"/>
          </w:tcPr>
          <w:p>
            <w:pPr>
              <w:pStyle w:val="TableContents"/>
              <w:spacing w:before="0" w:after="0"/>
              <w:ind w:left="0" w:right="0" w:hanging="0"/>
              <w:rPr/>
            </w:pPr>
            <w:r>
              <w:rPr/>
              <w:t> </w:t>
            </w:r>
          </w:p>
        </w:tc>
        <w:tc>
          <w:tcPr>
            <w:tcW w:w="290" w:type="dxa"/>
            <w:tcBorders/>
            <w:shd w:fill="auto" w:val="clear"/>
            <w:vAlign w:val="center"/>
          </w:tcPr>
          <w:p>
            <w:pPr>
              <w:pStyle w:val="TableContents"/>
              <w:spacing w:before="0" w:after="0"/>
              <w:ind w:left="0" w:right="0" w:hanging="0"/>
              <w:rPr/>
            </w:pPr>
            <w:r>
              <w:rPr/>
              <w:t> </w:t>
            </w:r>
          </w:p>
        </w:tc>
      </w:tr>
      <w:tr>
        <w:trPr/>
        <w:tc>
          <w:tcPr>
            <w:tcW w:w="3065" w:type="dxa"/>
            <w:tcBorders/>
            <w:shd w:fill="auto" w:val="clear"/>
            <w:vAlign w:val="center"/>
          </w:tcPr>
          <w:p>
            <w:pPr>
              <w:pStyle w:val="TableContents"/>
              <w:spacing w:before="0" w:after="0"/>
              <w:ind w:left="0" w:right="0" w:hanging="0"/>
              <w:jc w:val="both"/>
              <w:rPr>
                <w:u w:val="single"/>
              </w:rPr>
            </w:pPr>
            <w:r>
              <w:rPr>
                <w:u w:val="single"/>
              </w:rPr>
              <w:t>Personal Lines:</w:t>
            </w:r>
          </w:p>
        </w:tc>
        <w:tc>
          <w:tcPr>
            <w:tcW w:w="90" w:type="dxa"/>
            <w:tcBorders/>
            <w:shd w:fill="auto" w:val="clear"/>
            <w:vAlign w:val="center"/>
          </w:tcPr>
          <w:p>
            <w:pPr>
              <w:pStyle w:val="TableContents"/>
              <w:spacing w:before="0" w:after="0"/>
              <w:ind w:left="0" w:right="0" w:hanging="0"/>
              <w:rPr/>
            </w:pPr>
            <w:r>
              <w:rPr/>
              <w:t> </w:t>
            </w:r>
          </w:p>
        </w:tc>
        <w:tc>
          <w:tcPr>
            <w:tcW w:w="1985"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98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44" w:type="dxa"/>
            <w:gridSpan w:val="2"/>
            <w:tcBorders/>
            <w:shd w:fill="auto" w:val="clear"/>
            <w:vAlign w:val="center"/>
          </w:tcPr>
          <w:p>
            <w:pPr>
              <w:pStyle w:val="TableContents"/>
              <w:spacing w:before="0" w:after="0"/>
              <w:ind w:left="0" w:right="0" w:hanging="0"/>
              <w:rPr/>
            </w:pPr>
            <w:r>
              <w:rPr/>
              <w:t> </w:t>
            </w:r>
          </w:p>
        </w:tc>
        <w:tc>
          <w:tcPr>
            <w:tcW w:w="290" w:type="dxa"/>
            <w:tcBorders/>
            <w:shd w:fill="auto" w:val="clear"/>
            <w:vAlign w:val="center"/>
          </w:tcPr>
          <w:p>
            <w:pPr>
              <w:pStyle w:val="TableContents"/>
              <w:spacing w:before="0" w:after="0"/>
              <w:ind w:left="0" w:right="0" w:hanging="0"/>
              <w:rPr/>
            </w:pPr>
            <w:r>
              <w:rPr/>
              <w:t> </w:t>
            </w:r>
          </w:p>
        </w:tc>
      </w:tr>
      <w:tr>
        <w:trPr/>
        <w:tc>
          <w:tcPr>
            <w:tcW w:w="3065" w:type="dxa"/>
            <w:tcBorders/>
            <w:shd w:fill="CCEEFF" w:val="clear"/>
            <w:vAlign w:val="center"/>
          </w:tcPr>
          <w:p>
            <w:pPr>
              <w:pStyle w:val="TableContents"/>
              <w:spacing w:before="0" w:after="0"/>
              <w:ind w:left="0" w:right="0" w:hanging="0"/>
              <w:jc w:val="both"/>
              <w:rPr/>
            </w:pPr>
            <w:r>
              <w:rPr/>
              <w:t>Homeowners, dwelling fire and</w:t>
            </w:r>
          </w:p>
        </w:tc>
        <w:tc>
          <w:tcPr>
            <w:tcW w:w="90" w:type="dxa"/>
            <w:tcBorders/>
            <w:shd w:fill="CCEEFF" w:val="clear"/>
            <w:vAlign w:val="center"/>
          </w:tcPr>
          <w:p>
            <w:pPr>
              <w:pStyle w:val="TableContents"/>
              <w:spacing w:before="0" w:after="0"/>
              <w:ind w:left="0" w:right="0" w:hanging="0"/>
              <w:rPr/>
            </w:pPr>
            <w:r>
              <w:rPr/>
              <w:t> </w:t>
            </w:r>
          </w:p>
        </w:tc>
        <w:tc>
          <w:tcPr>
            <w:tcW w:w="1985" w:type="dxa"/>
            <w:gridSpan w:val="2"/>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98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44" w:type="dxa"/>
            <w:gridSpan w:val="2"/>
            <w:tcBorders/>
            <w:shd w:fill="CCEEFF" w:val="clear"/>
            <w:vAlign w:val="center"/>
          </w:tcPr>
          <w:p>
            <w:pPr>
              <w:pStyle w:val="TableContents"/>
              <w:spacing w:before="0" w:after="0"/>
              <w:ind w:left="0" w:right="0" w:hanging="0"/>
              <w:rPr/>
            </w:pPr>
            <w:r>
              <w:rPr/>
              <w:t> </w:t>
            </w:r>
          </w:p>
        </w:tc>
        <w:tc>
          <w:tcPr>
            <w:tcW w:w="290" w:type="dxa"/>
            <w:tcBorders/>
            <w:shd w:fill="CCEEFF" w:val="clear"/>
            <w:vAlign w:val="center"/>
          </w:tcPr>
          <w:p>
            <w:pPr>
              <w:pStyle w:val="TableContents"/>
              <w:spacing w:before="0" w:after="0"/>
              <w:ind w:left="0" w:right="0" w:hanging="0"/>
              <w:rPr/>
            </w:pPr>
            <w:r>
              <w:rPr/>
              <w:t> </w:t>
            </w:r>
          </w:p>
        </w:tc>
      </w:tr>
      <w:tr>
        <w:trPr/>
        <w:tc>
          <w:tcPr>
            <w:tcW w:w="3065" w:type="dxa"/>
            <w:tcBorders/>
            <w:shd w:fill="FFFFFF" w:val="clear"/>
            <w:vAlign w:val="center"/>
          </w:tcPr>
          <w:p>
            <w:pPr>
              <w:pStyle w:val="TableContents"/>
              <w:spacing w:before="0" w:after="0"/>
              <w:ind w:left="0" w:right="0" w:firstLine="160"/>
              <w:rPr/>
            </w:pPr>
            <w:r>
              <w:rPr/>
              <w:t>and canine legal liability</w:t>
            </w:r>
          </w:p>
        </w:tc>
        <w:tc>
          <w:tcPr>
            <w:tcW w:w="90" w:type="dxa"/>
            <w:tcBorders/>
            <w:shd w:fill="FFFFFF" w:val="clear"/>
            <w:vAlign w:val="center"/>
          </w:tcPr>
          <w:p>
            <w:pPr>
              <w:pStyle w:val="TableContents"/>
              <w:spacing w:before="0" w:after="0"/>
              <w:ind w:left="0" w:right="0" w:hanging="0"/>
              <w:rPr/>
            </w:pPr>
            <w:r>
              <w:rPr/>
              <w:t> </w:t>
            </w:r>
          </w:p>
        </w:tc>
        <w:tc>
          <w:tcPr>
            <w:tcW w:w="1985" w:type="dxa"/>
            <w:gridSpan w:val="2"/>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98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44" w:type="dxa"/>
            <w:gridSpan w:val="2"/>
            <w:tcBorders/>
            <w:shd w:fill="FFFFFF" w:val="clear"/>
            <w:vAlign w:val="center"/>
          </w:tcPr>
          <w:p>
            <w:pPr>
              <w:pStyle w:val="TableContents"/>
              <w:spacing w:before="0" w:after="0"/>
              <w:ind w:left="0" w:right="0" w:hanging="0"/>
              <w:rPr/>
            </w:pPr>
            <w:r>
              <w:rPr/>
              <w:t> </w:t>
            </w:r>
          </w:p>
        </w:tc>
        <w:tc>
          <w:tcPr>
            <w:tcW w:w="290" w:type="dxa"/>
            <w:tcBorders/>
            <w:shd w:fill="FFFFFF" w:val="clear"/>
            <w:vAlign w:val="center"/>
          </w:tcPr>
          <w:p>
            <w:pPr>
              <w:pStyle w:val="TableContents"/>
              <w:spacing w:before="0" w:after="0"/>
              <w:ind w:left="0" w:right="0" w:hanging="0"/>
              <w:rPr/>
            </w:pPr>
            <w:r>
              <w:rPr/>
              <w:t> </w:t>
            </w:r>
          </w:p>
        </w:tc>
      </w:tr>
      <w:tr>
        <w:trPr/>
        <w:tc>
          <w:tcPr>
            <w:tcW w:w="3065" w:type="dxa"/>
            <w:tcBorders/>
            <w:shd w:fill="CCEEFF" w:val="clear"/>
            <w:vAlign w:val="center"/>
          </w:tcPr>
          <w:p>
            <w:pPr>
              <w:pStyle w:val="TableContents"/>
              <w:spacing w:before="0" w:after="0"/>
              <w:ind w:left="0" w:right="0" w:firstLine="160"/>
              <w:rPr/>
            </w:pPr>
            <w:r>
              <w:rPr/>
              <w:t xml:space="preserve">Quota share treaty: </w:t>
            </w:r>
          </w:p>
        </w:tc>
        <w:tc>
          <w:tcPr>
            <w:tcW w:w="90" w:type="dxa"/>
            <w:tcBorders/>
            <w:shd w:fill="CCEEFF" w:val="clear"/>
            <w:vAlign w:val="center"/>
          </w:tcPr>
          <w:p>
            <w:pPr>
              <w:pStyle w:val="TableContents"/>
              <w:spacing w:before="0" w:after="0"/>
              <w:ind w:left="0" w:right="0" w:hanging="0"/>
              <w:rPr/>
            </w:pPr>
            <w:r>
              <w:rPr/>
              <w:t> </w:t>
            </w:r>
          </w:p>
        </w:tc>
        <w:tc>
          <w:tcPr>
            <w:tcW w:w="1985" w:type="dxa"/>
            <w:gridSpan w:val="2"/>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98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44" w:type="dxa"/>
            <w:gridSpan w:val="2"/>
            <w:tcBorders/>
            <w:shd w:fill="CCEEFF" w:val="clear"/>
            <w:vAlign w:val="center"/>
          </w:tcPr>
          <w:p>
            <w:pPr>
              <w:pStyle w:val="TableContents"/>
              <w:spacing w:before="0" w:after="0"/>
              <w:ind w:left="0" w:right="0" w:hanging="0"/>
              <w:rPr/>
            </w:pPr>
            <w:r>
              <w:rPr/>
              <w:t> </w:t>
            </w:r>
          </w:p>
        </w:tc>
        <w:tc>
          <w:tcPr>
            <w:tcW w:w="290" w:type="dxa"/>
            <w:tcBorders/>
            <w:shd w:fill="CCEEFF" w:val="clear"/>
            <w:vAlign w:val="center"/>
          </w:tcPr>
          <w:p>
            <w:pPr>
              <w:pStyle w:val="TableContents"/>
              <w:spacing w:before="0" w:after="0"/>
              <w:ind w:left="0" w:right="0" w:hanging="0"/>
              <w:rPr/>
            </w:pPr>
            <w:r>
              <w:rPr/>
              <w:t> </w:t>
            </w:r>
          </w:p>
        </w:tc>
      </w:tr>
      <w:tr>
        <w:trPr/>
        <w:tc>
          <w:tcPr>
            <w:tcW w:w="3065" w:type="dxa"/>
            <w:tcBorders/>
            <w:shd w:fill="FFFFFF" w:val="clear"/>
            <w:vAlign w:val="center"/>
          </w:tcPr>
          <w:p>
            <w:pPr>
              <w:pStyle w:val="TableContents"/>
              <w:spacing w:before="0" w:after="0"/>
              <w:ind w:left="0" w:right="0" w:firstLine="480"/>
              <w:rPr/>
            </w:pPr>
            <w:r>
              <w:rPr/>
              <w:t xml:space="preserve">Percent ceded </w:t>
            </w:r>
          </w:p>
        </w:tc>
        <w:tc>
          <w:tcPr>
            <w:tcW w:w="90" w:type="dxa"/>
            <w:tcBorders/>
            <w:shd w:fill="FFFFFF" w:val="clear"/>
            <w:vAlign w:val="center"/>
          </w:tcPr>
          <w:p>
            <w:pPr>
              <w:pStyle w:val="TableContents"/>
              <w:spacing w:before="0" w:after="0"/>
              <w:ind w:left="0" w:right="0" w:hanging="0"/>
              <w:rPr/>
            </w:pPr>
            <w:r>
              <w:rPr/>
              <w:t> </w:t>
            </w:r>
          </w:p>
        </w:tc>
        <w:tc>
          <w:tcPr>
            <w:tcW w:w="470" w:type="dxa"/>
            <w:tcBorders/>
            <w:shd w:fill="FFFFFF" w:val="clear"/>
            <w:vAlign w:val="center"/>
          </w:tcPr>
          <w:p>
            <w:pPr>
              <w:pStyle w:val="TableContents"/>
              <w:spacing w:before="0" w:after="0"/>
              <w:ind w:left="0" w:right="0" w:hanging="0"/>
              <w:rPr/>
            </w:pPr>
            <w:r>
              <w:rPr/>
              <w:t> </w:t>
            </w:r>
          </w:p>
        </w:tc>
        <w:tc>
          <w:tcPr>
            <w:tcW w:w="1515" w:type="dxa"/>
            <w:tcBorders/>
            <w:shd w:fill="FFFFFF" w:val="clear"/>
            <w:vAlign w:val="center"/>
          </w:tcPr>
          <w:p>
            <w:pPr>
              <w:pStyle w:val="TableContents"/>
              <w:spacing w:before="0" w:after="283"/>
              <w:jc w:val="right"/>
              <w:rPr/>
            </w:pPr>
            <w:r>
              <w:rPr/>
              <w:t>25</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985" w:type="dxa"/>
            <w:tcBorders/>
            <w:shd w:fill="FFFFFF" w:val="clear"/>
            <w:vAlign w:val="center"/>
          </w:tcPr>
          <w:p>
            <w:pPr>
              <w:pStyle w:val="TableContents"/>
              <w:spacing w:before="0" w:after="0"/>
              <w:ind w:left="0" w:right="0" w:hanging="0"/>
              <w:jc w:val="right"/>
              <w:rPr/>
            </w:pPr>
            <w:r>
              <w:rPr/>
              <w:t>None</w:t>
            </w:r>
          </w:p>
        </w:tc>
        <w:tc>
          <w:tcPr>
            <w:tcW w:w="90" w:type="dxa"/>
            <w:tcBorders/>
            <w:shd w:fill="FFFFFF" w:val="clear"/>
            <w:vAlign w:val="center"/>
          </w:tcPr>
          <w:p>
            <w:pPr>
              <w:pStyle w:val="TableContents"/>
              <w:spacing w:before="0" w:after="0"/>
              <w:ind w:left="0" w:right="0" w:hanging="0"/>
              <w:rPr/>
            </w:pPr>
            <w:r>
              <w:rPr/>
              <w:t> </w:t>
            </w:r>
          </w:p>
        </w:tc>
        <w:tc>
          <w:tcPr>
            <w:tcW w:w="339" w:type="dxa"/>
            <w:tcBorders/>
            <w:shd w:fill="FFFFFF" w:val="clear"/>
            <w:vAlign w:val="center"/>
          </w:tcPr>
          <w:p>
            <w:pPr>
              <w:pStyle w:val="TableContents"/>
              <w:spacing w:before="0" w:after="0"/>
              <w:ind w:left="0" w:right="0" w:hanging="0"/>
              <w:rPr/>
            </w:pPr>
            <w:r>
              <w:rPr/>
              <w:t> </w:t>
            </w:r>
          </w:p>
        </w:tc>
        <w:tc>
          <w:tcPr>
            <w:tcW w:w="1105" w:type="dxa"/>
            <w:tcBorders/>
            <w:shd w:fill="FFFFFF" w:val="clear"/>
            <w:vAlign w:val="center"/>
          </w:tcPr>
          <w:p>
            <w:pPr>
              <w:pStyle w:val="TableContents"/>
              <w:spacing w:before="0" w:after="283"/>
              <w:jc w:val="right"/>
              <w:rPr/>
            </w:pPr>
            <w:r>
              <w:rPr/>
              <w:t>10</w:t>
            </w:r>
          </w:p>
        </w:tc>
        <w:tc>
          <w:tcPr>
            <w:tcW w:w="290" w:type="dxa"/>
            <w:tcBorders/>
            <w:shd w:fill="FFFFFF" w:val="clear"/>
            <w:vAlign w:val="center"/>
          </w:tcPr>
          <w:p>
            <w:pPr>
              <w:pStyle w:val="TableContents"/>
              <w:spacing w:before="0" w:after="283"/>
              <w:rPr/>
            </w:pPr>
            <w:r>
              <w:rPr/>
              <w:t>%</w:t>
            </w:r>
          </w:p>
        </w:tc>
      </w:tr>
    </w:tbl>
    <w:p>
      <w:pPr>
        <w:pStyle w:val="TextBody"/>
        <w:spacing w:before="0" w:after="0"/>
        <w:ind w:left="0" w:right="0" w:hanging="0"/>
        <w:jc w:val="both"/>
        <w:rPr/>
      </w:pPr>
      <w:r>
        <w:rPr/>
        <w:t xml:space="preserve">  </w:t>
      </w:r>
    </w:p>
    <w:tbl>
      <w:tblPr>
        <w:tblW w:w="11945" w:type="dxa"/>
        <w:jc w:val="left"/>
        <w:tblInd w:w="0" w:type="dxa"/>
        <w:tblCellMar>
          <w:top w:w="0" w:type="dxa"/>
          <w:left w:w="0" w:type="dxa"/>
          <w:bottom w:w="0" w:type="dxa"/>
          <w:right w:w="0" w:type="dxa"/>
        </w:tblCellMar>
      </w:tblPr>
      <w:tblGrid>
        <w:gridCol w:w="1560"/>
        <w:gridCol w:w="170"/>
        <w:gridCol w:w="237"/>
        <w:gridCol w:w="1748"/>
        <w:gridCol w:w="90"/>
        <w:gridCol w:w="90"/>
        <w:gridCol w:w="237"/>
        <w:gridCol w:w="1748"/>
        <w:gridCol w:w="90"/>
        <w:gridCol w:w="90"/>
        <w:gridCol w:w="237"/>
        <w:gridCol w:w="1748"/>
        <w:gridCol w:w="90"/>
        <w:gridCol w:w="90"/>
        <w:gridCol w:w="237"/>
        <w:gridCol w:w="1748"/>
        <w:gridCol w:w="90"/>
        <w:gridCol w:w="90"/>
        <w:gridCol w:w="170"/>
        <w:gridCol w:w="1250"/>
        <w:gridCol w:w="135"/>
      </w:tblGrid>
      <w:tr>
        <w:trPr/>
        <w:tc>
          <w:tcPr>
            <w:tcW w:w="1560" w:type="dxa"/>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c>
          <w:tcPr>
            <w:tcW w:w="10080" w:type="dxa"/>
            <w:gridSpan w:val="18"/>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Treaty Year</w:t>
            </w:r>
          </w:p>
        </w:tc>
        <w:tc>
          <w:tcPr>
            <w:tcW w:w="135" w:type="dxa"/>
            <w:tcBorders/>
            <w:shd w:fill="auto" w:val="clear"/>
            <w:vAlign w:val="center"/>
          </w:tcPr>
          <w:p>
            <w:pPr>
              <w:pStyle w:val="TableContents"/>
              <w:spacing w:before="0" w:after="0"/>
              <w:ind w:left="0" w:right="0" w:hanging="0"/>
              <w:rPr/>
            </w:pPr>
            <w:r>
              <w:rPr/>
              <w:t> </w:t>
            </w:r>
          </w:p>
        </w:tc>
      </w:tr>
      <w:tr>
        <w:trPr/>
        <w:tc>
          <w:tcPr>
            <w:tcW w:w="1560" w:type="dxa"/>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c>
          <w:tcPr>
            <w:tcW w:w="1985" w:type="dxa"/>
            <w:gridSpan w:val="2"/>
            <w:tcBorders/>
            <w:shd w:fill="auto" w:val="clear"/>
            <w:vAlign w:val="center"/>
          </w:tcPr>
          <w:p>
            <w:pPr>
              <w:pStyle w:val="TableContents"/>
              <w:spacing w:before="0" w:after="0"/>
              <w:ind w:left="0" w:right="0" w:hanging="0"/>
              <w:jc w:val="center"/>
              <w:rPr/>
            </w:pPr>
            <w:r>
              <w:rPr>
                <w:rStyle w:val="StrongEmphasis"/>
              </w:rPr>
              <w:t>December 31, 2020</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985" w:type="dxa"/>
            <w:gridSpan w:val="2"/>
            <w:tcBorders/>
            <w:shd w:fill="auto" w:val="clear"/>
            <w:vAlign w:val="center"/>
          </w:tcPr>
          <w:p>
            <w:pPr>
              <w:pStyle w:val="TableContents"/>
              <w:spacing w:before="0" w:after="0"/>
              <w:ind w:left="0" w:right="0" w:hanging="0"/>
              <w:jc w:val="center"/>
              <w:rPr/>
            </w:pPr>
            <w:r>
              <w:rPr>
                <w:rStyle w:val="StrongEmphasis"/>
              </w:rPr>
              <w:t>July 1, 2020</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985" w:type="dxa"/>
            <w:gridSpan w:val="2"/>
            <w:tcBorders/>
            <w:shd w:fill="auto" w:val="clear"/>
            <w:vAlign w:val="center"/>
          </w:tcPr>
          <w:p>
            <w:pPr>
              <w:pStyle w:val="TableContents"/>
              <w:spacing w:before="0" w:after="0"/>
              <w:ind w:left="0" w:right="0" w:hanging="0"/>
              <w:jc w:val="center"/>
              <w:rPr/>
            </w:pPr>
            <w:r>
              <w:rPr>
                <w:rStyle w:val="StrongEmphasis"/>
              </w:rPr>
              <w:t>December 15, 2019</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985" w:type="dxa"/>
            <w:gridSpan w:val="2"/>
            <w:tcBorders/>
            <w:shd w:fill="auto" w:val="clear"/>
            <w:vAlign w:val="center"/>
          </w:tcPr>
          <w:p>
            <w:pPr>
              <w:pStyle w:val="TableContents"/>
              <w:spacing w:before="0" w:after="0"/>
              <w:ind w:left="0" w:right="0" w:hanging="0"/>
              <w:jc w:val="center"/>
              <w:rPr/>
            </w:pPr>
            <w:r>
              <w:rPr>
                <w:rStyle w:val="StrongEmphasis"/>
              </w:rPr>
              <w:t>July 1, 2019</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Pr>
              <w:t>July 1, 2018</w:t>
            </w:r>
          </w:p>
        </w:tc>
        <w:tc>
          <w:tcPr>
            <w:tcW w:w="135" w:type="dxa"/>
            <w:tcBorders/>
            <w:shd w:fill="auto" w:val="clear"/>
            <w:vAlign w:val="center"/>
          </w:tcPr>
          <w:p>
            <w:pPr>
              <w:pStyle w:val="TableContents"/>
              <w:spacing w:before="0" w:after="0"/>
              <w:ind w:left="0" w:right="0" w:hanging="0"/>
              <w:rPr/>
            </w:pPr>
            <w:r>
              <w:rPr/>
              <w:t> </w:t>
            </w:r>
          </w:p>
        </w:tc>
      </w:tr>
      <w:tr>
        <w:trPr/>
        <w:tc>
          <w:tcPr>
            <w:tcW w:w="1560" w:type="dxa"/>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c>
          <w:tcPr>
            <w:tcW w:w="1985" w:type="dxa"/>
            <w:gridSpan w:val="2"/>
            <w:tcBorders/>
            <w:shd w:fill="auto" w:val="clear"/>
            <w:vAlign w:val="center"/>
          </w:tcPr>
          <w:p>
            <w:pPr>
              <w:pStyle w:val="TableContents"/>
              <w:spacing w:before="0" w:after="0"/>
              <w:ind w:left="0" w:right="0" w:hanging="0"/>
              <w:jc w:val="center"/>
              <w:rPr/>
            </w:pPr>
            <w:r>
              <w:rPr>
                <w:rStyle w:val="StrongEmphasis"/>
              </w:rPr>
              <w:t>to</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985" w:type="dxa"/>
            <w:gridSpan w:val="2"/>
            <w:tcBorders/>
            <w:shd w:fill="auto" w:val="clear"/>
            <w:vAlign w:val="center"/>
          </w:tcPr>
          <w:p>
            <w:pPr>
              <w:pStyle w:val="TableContents"/>
              <w:spacing w:before="0" w:after="0"/>
              <w:ind w:left="0" w:right="0" w:hanging="0"/>
              <w:jc w:val="center"/>
              <w:rPr/>
            </w:pPr>
            <w:r>
              <w:rPr>
                <w:rStyle w:val="StrongEmphasis"/>
              </w:rPr>
              <w:t>to</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985" w:type="dxa"/>
            <w:gridSpan w:val="2"/>
            <w:tcBorders/>
            <w:shd w:fill="auto" w:val="clear"/>
            <w:vAlign w:val="center"/>
          </w:tcPr>
          <w:p>
            <w:pPr>
              <w:pStyle w:val="TableContents"/>
              <w:spacing w:before="0" w:after="0"/>
              <w:ind w:left="0" w:right="0" w:hanging="0"/>
              <w:jc w:val="center"/>
              <w:rPr/>
            </w:pPr>
            <w:r>
              <w:rPr>
                <w:rStyle w:val="StrongEmphasis"/>
              </w:rPr>
              <w:t>to</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985" w:type="dxa"/>
            <w:gridSpan w:val="2"/>
            <w:tcBorders/>
            <w:shd w:fill="auto" w:val="clear"/>
            <w:vAlign w:val="center"/>
          </w:tcPr>
          <w:p>
            <w:pPr>
              <w:pStyle w:val="TableContents"/>
              <w:spacing w:before="0" w:after="0"/>
              <w:ind w:left="0" w:right="0" w:hanging="0"/>
              <w:jc w:val="center"/>
              <w:rPr/>
            </w:pPr>
            <w:r>
              <w:rPr>
                <w:rStyle w:val="StrongEmphasis"/>
              </w:rPr>
              <w:t>to</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Pr>
              <w:t>to</w:t>
            </w:r>
          </w:p>
        </w:tc>
        <w:tc>
          <w:tcPr>
            <w:tcW w:w="135" w:type="dxa"/>
            <w:tcBorders/>
            <w:shd w:fill="auto" w:val="clear"/>
            <w:vAlign w:val="center"/>
          </w:tcPr>
          <w:p>
            <w:pPr>
              <w:pStyle w:val="TableContents"/>
              <w:spacing w:before="0" w:after="0"/>
              <w:ind w:left="0" w:right="0" w:hanging="0"/>
              <w:rPr/>
            </w:pPr>
            <w:r>
              <w:rPr/>
              <w:t> </w:t>
            </w:r>
          </w:p>
        </w:tc>
      </w:tr>
      <w:tr>
        <w:trPr/>
        <w:tc>
          <w:tcPr>
            <w:tcW w:w="1560" w:type="dxa"/>
            <w:tcBorders>
              <w:bottom w:val="single" w:sz="2" w:space="0" w:color="000000"/>
            </w:tcBorders>
            <w:shd w:fill="auto" w:val="clear"/>
            <w:tcMar>
              <w:bottom w:w="28" w:type="dxa"/>
            </w:tcMar>
            <w:vAlign w:val="center"/>
          </w:tcPr>
          <w:p>
            <w:pPr>
              <w:pStyle w:val="TableContents"/>
              <w:spacing w:before="0" w:after="0"/>
              <w:ind w:left="0" w:right="0" w:hanging="0"/>
              <w:jc w:val="left"/>
              <w:rPr/>
            </w:pPr>
            <w:r>
              <w:rPr>
                <w:rStyle w:val="StrongEmphasis"/>
              </w:rPr>
              <w:t xml:space="preserve">Line of Business </w:t>
            </w:r>
          </w:p>
        </w:tc>
        <w:tc>
          <w:tcPr>
            <w:tcW w:w="170" w:type="dxa"/>
            <w:tcBorders/>
            <w:shd w:fill="auto" w:val="clear"/>
            <w:vAlign w:val="center"/>
          </w:tcPr>
          <w:p>
            <w:pPr>
              <w:pStyle w:val="TableContents"/>
              <w:spacing w:before="0" w:after="0"/>
              <w:ind w:left="0" w:right="0" w:hanging="0"/>
              <w:rPr/>
            </w:pPr>
            <w:r>
              <w:rPr/>
              <w:t> </w:t>
            </w:r>
          </w:p>
        </w:tc>
        <w:tc>
          <w:tcPr>
            <w:tcW w:w="19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June 30, 2021</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9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December 30, 2020</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9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June 30, 2020</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9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December 14, 2019</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June 30, 2019</w:t>
            </w:r>
          </w:p>
        </w:tc>
        <w:tc>
          <w:tcPr>
            <w:tcW w:w="135" w:type="dxa"/>
            <w:tcBorders/>
            <w:shd w:fill="auto" w:val="clear"/>
            <w:vAlign w:val="center"/>
          </w:tcPr>
          <w:p>
            <w:pPr>
              <w:pStyle w:val="TableContents"/>
              <w:spacing w:before="0" w:after="0"/>
              <w:ind w:left="0" w:right="0" w:hanging="0"/>
              <w:rPr/>
            </w:pPr>
            <w:r>
              <w:rPr/>
              <w:t> </w:t>
            </w:r>
          </w:p>
        </w:tc>
      </w:tr>
      <w:tr>
        <w:trPr/>
        <w:tc>
          <w:tcPr>
            <w:tcW w:w="1560" w:type="dxa"/>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c>
          <w:tcPr>
            <w:tcW w:w="1985"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985"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985"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985"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1560" w:type="dxa"/>
            <w:tcBorders/>
            <w:shd w:fill="auto" w:val="clear"/>
            <w:vAlign w:val="center"/>
          </w:tcPr>
          <w:p>
            <w:pPr>
              <w:pStyle w:val="TableContents"/>
              <w:spacing w:before="0" w:after="0"/>
              <w:ind w:left="0" w:right="0" w:hanging="0"/>
              <w:jc w:val="both"/>
              <w:rPr>
                <w:u w:val="single"/>
              </w:rPr>
            </w:pPr>
            <w:r>
              <w:rPr>
                <w:u w:val="single"/>
              </w:rPr>
              <w:t>Personal Lines:</w:t>
            </w:r>
          </w:p>
        </w:tc>
        <w:tc>
          <w:tcPr>
            <w:tcW w:w="170" w:type="dxa"/>
            <w:tcBorders/>
            <w:shd w:fill="auto" w:val="clear"/>
            <w:vAlign w:val="center"/>
          </w:tcPr>
          <w:p>
            <w:pPr>
              <w:pStyle w:val="TableContents"/>
              <w:spacing w:before="0" w:after="0"/>
              <w:ind w:left="0" w:right="0" w:hanging="0"/>
              <w:rPr/>
            </w:pPr>
            <w:r>
              <w:rPr/>
              <w:t> </w:t>
            </w:r>
          </w:p>
        </w:tc>
        <w:tc>
          <w:tcPr>
            <w:tcW w:w="1985"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985"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985"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985"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1560" w:type="dxa"/>
            <w:tcBorders/>
            <w:shd w:fill="CCEEFF" w:val="clear"/>
            <w:vAlign w:val="center"/>
          </w:tcPr>
          <w:p>
            <w:pPr>
              <w:pStyle w:val="TableContents"/>
              <w:spacing w:before="0" w:after="0"/>
              <w:ind w:left="0" w:right="0" w:hanging="0"/>
              <w:jc w:val="both"/>
              <w:rPr/>
            </w:pPr>
            <w:r>
              <w:rPr/>
              <w:t>Homeowners, dwelling fire and</w:t>
            </w:r>
          </w:p>
        </w:tc>
        <w:tc>
          <w:tcPr>
            <w:tcW w:w="170" w:type="dxa"/>
            <w:tcBorders/>
            <w:shd w:fill="CCEEFF" w:val="clear"/>
            <w:vAlign w:val="center"/>
          </w:tcPr>
          <w:p>
            <w:pPr>
              <w:pStyle w:val="TableContents"/>
              <w:spacing w:before="0" w:after="0"/>
              <w:ind w:left="0" w:right="0" w:hanging="0"/>
              <w:rPr/>
            </w:pPr>
            <w:r>
              <w:rPr/>
              <w:t> </w:t>
            </w:r>
          </w:p>
        </w:tc>
        <w:tc>
          <w:tcPr>
            <w:tcW w:w="1985" w:type="dxa"/>
            <w:gridSpan w:val="2"/>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985" w:type="dxa"/>
            <w:gridSpan w:val="2"/>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985" w:type="dxa"/>
            <w:gridSpan w:val="2"/>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985" w:type="dxa"/>
            <w:gridSpan w:val="2"/>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20" w:type="dxa"/>
            <w:gridSpan w:val="2"/>
            <w:tcBorders/>
            <w:shd w:fill="CCEEFF" w:val="clear"/>
            <w:vAlign w:val="center"/>
          </w:tcPr>
          <w:p>
            <w:pPr>
              <w:pStyle w:val="TableContents"/>
              <w:spacing w:before="0" w:after="0"/>
              <w:ind w:left="0" w:right="0" w:hanging="0"/>
              <w:rPr/>
            </w:pPr>
            <w:r>
              <w:rPr/>
              <w:t> </w:t>
            </w:r>
          </w:p>
        </w:tc>
        <w:tc>
          <w:tcPr>
            <w:tcW w:w="135" w:type="dxa"/>
            <w:tcBorders/>
            <w:shd w:fill="CCEEFF" w:val="clear"/>
            <w:vAlign w:val="center"/>
          </w:tcPr>
          <w:p>
            <w:pPr>
              <w:pStyle w:val="TableContents"/>
              <w:spacing w:before="0" w:after="0"/>
              <w:ind w:left="0" w:right="0" w:hanging="0"/>
              <w:rPr/>
            </w:pPr>
            <w:r>
              <w:rPr/>
              <w:t> </w:t>
            </w:r>
          </w:p>
        </w:tc>
      </w:tr>
      <w:tr>
        <w:trPr/>
        <w:tc>
          <w:tcPr>
            <w:tcW w:w="1560" w:type="dxa"/>
            <w:tcBorders/>
            <w:shd w:fill="CCEEFF" w:val="clear"/>
            <w:vAlign w:val="center"/>
          </w:tcPr>
          <w:p>
            <w:pPr>
              <w:pStyle w:val="TableContents"/>
              <w:spacing w:before="0" w:after="0"/>
              <w:ind w:left="0" w:right="0" w:firstLine="160"/>
              <w:rPr/>
            </w:pPr>
            <w:r>
              <w:rPr/>
              <w:t>and canine legal liability</w:t>
            </w:r>
          </w:p>
        </w:tc>
        <w:tc>
          <w:tcPr>
            <w:tcW w:w="170" w:type="dxa"/>
            <w:tcBorders/>
            <w:shd w:fill="CCEEFF" w:val="clear"/>
            <w:vAlign w:val="center"/>
          </w:tcPr>
          <w:p>
            <w:pPr>
              <w:pStyle w:val="TableContents"/>
              <w:spacing w:before="0" w:after="0"/>
              <w:ind w:left="0" w:right="0" w:hanging="0"/>
              <w:rPr/>
            </w:pPr>
            <w:r>
              <w:rPr/>
              <w:t> </w:t>
            </w:r>
          </w:p>
        </w:tc>
        <w:tc>
          <w:tcPr>
            <w:tcW w:w="1985" w:type="dxa"/>
            <w:gridSpan w:val="2"/>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985" w:type="dxa"/>
            <w:gridSpan w:val="2"/>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985" w:type="dxa"/>
            <w:gridSpan w:val="2"/>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985" w:type="dxa"/>
            <w:gridSpan w:val="2"/>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20" w:type="dxa"/>
            <w:gridSpan w:val="2"/>
            <w:tcBorders/>
            <w:shd w:fill="CCEEFF" w:val="clear"/>
            <w:vAlign w:val="center"/>
          </w:tcPr>
          <w:p>
            <w:pPr>
              <w:pStyle w:val="TableContents"/>
              <w:spacing w:before="0" w:after="0"/>
              <w:ind w:left="0" w:right="0" w:hanging="0"/>
              <w:rPr/>
            </w:pPr>
            <w:r>
              <w:rPr/>
              <w:t> </w:t>
            </w:r>
          </w:p>
        </w:tc>
        <w:tc>
          <w:tcPr>
            <w:tcW w:w="135" w:type="dxa"/>
            <w:tcBorders/>
            <w:shd w:fill="CCEEFF" w:val="clear"/>
            <w:vAlign w:val="center"/>
          </w:tcPr>
          <w:p>
            <w:pPr>
              <w:pStyle w:val="TableContents"/>
              <w:spacing w:before="0" w:after="0"/>
              <w:ind w:left="0" w:right="0" w:hanging="0"/>
              <w:rPr/>
            </w:pPr>
            <w:r>
              <w:rPr/>
              <w:t> </w:t>
            </w:r>
          </w:p>
        </w:tc>
      </w:tr>
      <w:tr>
        <w:trPr/>
        <w:tc>
          <w:tcPr>
            <w:tcW w:w="1560" w:type="dxa"/>
            <w:tcBorders/>
            <w:shd w:fill="FFFFFF" w:val="clear"/>
            <w:vAlign w:val="center"/>
          </w:tcPr>
          <w:p>
            <w:pPr>
              <w:pStyle w:val="TableContents"/>
              <w:spacing w:before="0" w:after="0"/>
              <w:ind w:left="0" w:right="0" w:firstLine="160"/>
              <w:rPr/>
            </w:pPr>
            <w:r>
              <w:rPr/>
              <w:t xml:space="preserve">Quota share treaty: </w:t>
            </w:r>
          </w:p>
        </w:tc>
        <w:tc>
          <w:tcPr>
            <w:tcW w:w="170" w:type="dxa"/>
            <w:tcBorders/>
            <w:shd w:fill="FFFFFF" w:val="clear"/>
            <w:vAlign w:val="center"/>
          </w:tcPr>
          <w:p>
            <w:pPr>
              <w:pStyle w:val="TableContents"/>
              <w:spacing w:before="0" w:after="0"/>
              <w:ind w:left="0" w:right="0" w:hanging="0"/>
              <w:rPr/>
            </w:pPr>
            <w:r>
              <w:rPr/>
              <w:t> </w:t>
            </w:r>
          </w:p>
        </w:tc>
        <w:tc>
          <w:tcPr>
            <w:tcW w:w="1985" w:type="dxa"/>
            <w:gridSpan w:val="2"/>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985" w:type="dxa"/>
            <w:gridSpan w:val="2"/>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985" w:type="dxa"/>
            <w:gridSpan w:val="2"/>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985" w:type="dxa"/>
            <w:gridSpan w:val="2"/>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20" w:type="dxa"/>
            <w:gridSpan w:val="2"/>
            <w:tcBorders/>
            <w:shd w:fill="FFFFFF" w:val="clear"/>
            <w:vAlign w:val="center"/>
          </w:tcPr>
          <w:p>
            <w:pPr>
              <w:pStyle w:val="TableContents"/>
              <w:spacing w:before="0" w:after="0"/>
              <w:ind w:left="0" w:right="0" w:hanging="0"/>
              <w:rPr/>
            </w:pPr>
            <w:r>
              <w:rPr/>
              <w:t> </w:t>
            </w:r>
          </w:p>
        </w:tc>
        <w:tc>
          <w:tcPr>
            <w:tcW w:w="135" w:type="dxa"/>
            <w:tcBorders/>
            <w:shd w:fill="FFFFFF" w:val="clear"/>
            <w:vAlign w:val="center"/>
          </w:tcPr>
          <w:p>
            <w:pPr>
              <w:pStyle w:val="TableContents"/>
              <w:spacing w:before="0" w:after="0"/>
              <w:ind w:left="0" w:right="0" w:hanging="0"/>
              <w:rPr/>
            </w:pPr>
            <w:r>
              <w:rPr/>
              <w:t> </w:t>
            </w:r>
          </w:p>
        </w:tc>
      </w:tr>
      <w:tr>
        <w:trPr/>
        <w:tc>
          <w:tcPr>
            <w:tcW w:w="1560" w:type="dxa"/>
            <w:tcBorders/>
            <w:shd w:fill="CCEEFF" w:val="clear"/>
            <w:vAlign w:val="center"/>
          </w:tcPr>
          <w:p>
            <w:pPr>
              <w:pStyle w:val="TableContents"/>
              <w:spacing w:before="0" w:after="0"/>
              <w:ind w:left="0" w:right="0" w:firstLine="160"/>
              <w:rPr/>
            </w:pPr>
            <w:r>
              <w:rPr/>
              <w:t xml:space="preserve">Risk retained on intial </w:t>
            </w:r>
          </w:p>
        </w:tc>
        <w:tc>
          <w:tcPr>
            <w:tcW w:w="170" w:type="dxa"/>
            <w:tcBorders/>
            <w:shd w:fill="CCEEFF" w:val="clear"/>
            <w:vAlign w:val="center"/>
          </w:tcPr>
          <w:p>
            <w:pPr>
              <w:pStyle w:val="TableContents"/>
              <w:spacing w:before="0" w:after="0"/>
              <w:ind w:left="0" w:right="0" w:hanging="0"/>
              <w:rPr/>
            </w:pPr>
            <w:r>
              <w:rPr/>
              <w:t> </w:t>
            </w:r>
          </w:p>
        </w:tc>
        <w:tc>
          <w:tcPr>
            <w:tcW w:w="1985" w:type="dxa"/>
            <w:gridSpan w:val="2"/>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985" w:type="dxa"/>
            <w:gridSpan w:val="2"/>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985" w:type="dxa"/>
            <w:gridSpan w:val="2"/>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985" w:type="dxa"/>
            <w:gridSpan w:val="2"/>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20" w:type="dxa"/>
            <w:gridSpan w:val="2"/>
            <w:tcBorders/>
            <w:shd w:fill="CCEEFF" w:val="clear"/>
            <w:vAlign w:val="center"/>
          </w:tcPr>
          <w:p>
            <w:pPr>
              <w:pStyle w:val="TableContents"/>
              <w:spacing w:before="0" w:after="0"/>
              <w:ind w:left="0" w:right="0" w:hanging="0"/>
              <w:rPr/>
            </w:pPr>
            <w:r>
              <w:rPr/>
              <w:t> </w:t>
            </w:r>
          </w:p>
        </w:tc>
        <w:tc>
          <w:tcPr>
            <w:tcW w:w="135" w:type="dxa"/>
            <w:tcBorders/>
            <w:shd w:fill="CCEEFF" w:val="clear"/>
            <w:vAlign w:val="center"/>
          </w:tcPr>
          <w:p>
            <w:pPr>
              <w:pStyle w:val="TableContents"/>
              <w:spacing w:before="0" w:after="0"/>
              <w:ind w:left="0" w:right="0" w:hanging="0"/>
              <w:rPr/>
            </w:pPr>
            <w:r>
              <w:rPr/>
              <w:t> </w:t>
            </w:r>
          </w:p>
        </w:tc>
      </w:tr>
      <w:tr>
        <w:trPr/>
        <w:tc>
          <w:tcPr>
            <w:tcW w:w="1560" w:type="dxa"/>
            <w:tcBorders/>
            <w:shd w:fill="CCEEFF" w:val="clear"/>
            <w:vAlign w:val="center"/>
          </w:tcPr>
          <w:p>
            <w:pPr>
              <w:pStyle w:val="TableContents"/>
              <w:spacing w:before="0" w:after="0"/>
              <w:ind w:left="0" w:right="0" w:firstLine="320"/>
              <w:rPr/>
            </w:pPr>
            <w:r>
              <w:rPr/>
              <w:t>$1,000,000 of losses (7)</w:t>
            </w:r>
          </w:p>
        </w:tc>
        <w:tc>
          <w:tcPr>
            <w:tcW w:w="170" w:type="dxa"/>
            <w:tcBorders/>
            <w:shd w:fill="CCEEFF" w:val="clear"/>
            <w:vAlign w:val="center"/>
          </w:tcPr>
          <w:p>
            <w:pPr>
              <w:pStyle w:val="TableContents"/>
              <w:spacing w:before="0" w:after="0"/>
              <w:ind w:left="0" w:right="0" w:hanging="0"/>
              <w:rPr/>
            </w:pPr>
            <w:r>
              <w:rPr/>
              <w:t>$</w:t>
            </w:r>
          </w:p>
        </w:tc>
        <w:tc>
          <w:tcPr>
            <w:tcW w:w="1985" w:type="dxa"/>
            <w:gridSpan w:val="2"/>
            <w:tcBorders/>
            <w:shd w:fill="CCEEFF" w:val="clear"/>
            <w:vAlign w:val="center"/>
          </w:tcPr>
          <w:p>
            <w:pPr>
              <w:pStyle w:val="TableContents"/>
              <w:spacing w:before="0" w:after="0"/>
              <w:ind w:left="0" w:right="0" w:hanging="0"/>
              <w:jc w:val="right"/>
              <w:rPr/>
            </w:pPr>
            <w:r>
              <w:rPr/>
              <w:t>1,000,000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37" w:type="dxa"/>
            <w:tcBorders/>
            <w:shd w:fill="CCEEFF" w:val="clear"/>
            <w:vAlign w:val="center"/>
          </w:tcPr>
          <w:p>
            <w:pPr>
              <w:pStyle w:val="TableContents"/>
              <w:spacing w:before="0" w:after="283"/>
              <w:rPr/>
            </w:pPr>
            <w:r>
              <w:rPr/>
              <w:t>$</w:t>
            </w:r>
          </w:p>
        </w:tc>
        <w:tc>
          <w:tcPr>
            <w:tcW w:w="1748" w:type="dxa"/>
            <w:tcBorders/>
            <w:shd w:fill="CCEEFF" w:val="clear"/>
            <w:vAlign w:val="center"/>
          </w:tcPr>
          <w:p>
            <w:pPr>
              <w:pStyle w:val="TableContents"/>
              <w:spacing w:before="0" w:after="283"/>
              <w:jc w:val="right"/>
              <w:rPr/>
            </w:pPr>
            <w:r>
              <w:rPr/>
              <w:t>750,000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37" w:type="dxa"/>
            <w:tcBorders/>
            <w:shd w:fill="CCEEFF" w:val="clear"/>
            <w:vAlign w:val="center"/>
          </w:tcPr>
          <w:p>
            <w:pPr>
              <w:pStyle w:val="TableContents"/>
              <w:spacing w:before="0" w:after="283"/>
              <w:rPr/>
            </w:pPr>
            <w:r>
              <w:rPr/>
              <w:t>$</w:t>
            </w:r>
          </w:p>
        </w:tc>
        <w:tc>
          <w:tcPr>
            <w:tcW w:w="1748" w:type="dxa"/>
            <w:tcBorders/>
            <w:shd w:fill="CCEEFF" w:val="clear"/>
            <w:vAlign w:val="center"/>
          </w:tcPr>
          <w:p>
            <w:pPr>
              <w:pStyle w:val="TableContents"/>
              <w:spacing w:before="0" w:after="283"/>
              <w:jc w:val="right"/>
              <w:rPr/>
            </w:pPr>
            <w:r>
              <w:rPr/>
              <w:t>750,000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37" w:type="dxa"/>
            <w:tcBorders/>
            <w:shd w:fill="CCEEFF" w:val="clear"/>
            <w:vAlign w:val="center"/>
          </w:tcPr>
          <w:p>
            <w:pPr>
              <w:pStyle w:val="TableContents"/>
              <w:spacing w:before="0" w:after="283"/>
              <w:rPr/>
            </w:pPr>
            <w:r>
              <w:rPr/>
              <w:t>$</w:t>
            </w:r>
          </w:p>
        </w:tc>
        <w:tc>
          <w:tcPr>
            <w:tcW w:w="1748" w:type="dxa"/>
            <w:tcBorders/>
            <w:shd w:fill="CCEEFF" w:val="clear"/>
            <w:vAlign w:val="center"/>
          </w:tcPr>
          <w:p>
            <w:pPr>
              <w:pStyle w:val="TableContents"/>
              <w:spacing w:before="0" w:after="283"/>
              <w:jc w:val="right"/>
              <w:rPr/>
            </w:pPr>
            <w:r>
              <w:rPr/>
              <w:t>1,000,000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900,000</w:t>
            </w:r>
          </w:p>
        </w:tc>
        <w:tc>
          <w:tcPr>
            <w:tcW w:w="135" w:type="dxa"/>
            <w:tcBorders/>
            <w:shd w:fill="CCEEFF" w:val="clear"/>
            <w:vAlign w:val="center"/>
          </w:tcPr>
          <w:p>
            <w:pPr>
              <w:pStyle w:val="TableContents"/>
              <w:spacing w:before="0" w:after="0"/>
              <w:ind w:left="0" w:right="0" w:hanging="0"/>
              <w:rPr/>
            </w:pPr>
            <w:r>
              <w:rPr/>
              <w:t> </w:t>
            </w:r>
          </w:p>
        </w:tc>
      </w:tr>
      <w:tr>
        <w:trPr/>
        <w:tc>
          <w:tcPr>
            <w:tcW w:w="1560" w:type="dxa"/>
            <w:tcBorders/>
            <w:shd w:fill="FFFFFF" w:val="clear"/>
            <w:vAlign w:val="center"/>
          </w:tcPr>
          <w:p>
            <w:pPr>
              <w:pStyle w:val="TableContents"/>
              <w:spacing w:before="0" w:after="0"/>
              <w:ind w:left="0" w:right="0" w:firstLine="160"/>
              <w:rPr/>
            </w:pPr>
            <w:r>
              <w:rPr/>
              <w:t xml:space="preserve">Losses per occurrence subject </w:t>
            </w:r>
          </w:p>
        </w:tc>
        <w:tc>
          <w:tcPr>
            <w:tcW w:w="170" w:type="dxa"/>
            <w:tcBorders/>
            <w:shd w:fill="FFFFFF" w:val="clear"/>
            <w:vAlign w:val="center"/>
          </w:tcPr>
          <w:p>
            <w:pPr>
              <w:pStyle w:val="TableContents"/>
              <w:spacing w:before="0" w:after="0"/>
              <w:ind w:left="0" w:right="0" w:hanging="0"/>
              <w:rPr/>
            </w:pPr>
            <w:r>
              <w:rPr/>
              <w:t> </w:t>
            </w:r>
          </w:p>
        </w:tc>
        <w:tc>
          <w:tcPr>
            <w:tcW w:w="1985" w:type="dxa"/>
            <w:gridSpan w:val="2"/>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37" w:type="dxa"/>
            <w:tcBorders/>
            <w:shd w:fill="FFFFFF" w:val="clear"/>
            <w:vAlign w:val="center"/>
          </w:tcPr>
          <w:p>
            <w:pPr>
              <w:pStyle w:val="TableContents"/>
              <w:spacing w:before="0" w:after="0"/>
              <w:ind w:left="0" w:right="0" w:hanging="0"/>
              <w:rPr/>
            </w:pPr>
            <w:r>
              <w:rPr/>
              <w:t> </w:t>
            </w:r>
          </w:p>
        </w:tc>
        <w:tc>
          <w:tcPr>
            <w:tcW w:w="174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37" w:type="dxa"/>
            <w:tcBorders/>
            <w:shd w:fill="FFFFFF" w:val="clear"/>
            <w:vAlign w:val="center"/>
          </w:tcPr>
          <w:p>
            <w:pPr>
              <w:pStyle w:val="TableContents"/>
              <w:spacing w:before="0" w:after="0"/>
              <w:ind w:left="0" w:right="0" w:hanging="0"/>
              <w:rPr/>
            </w:pPr>
            <w:r>
              <w:rPr/>
              <w:t> </w:t>
            </w:r>
          </w:p>
        </w:tc>
        <w:tc>
          <w:tcPr>
            <w:tcW w:w="174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37" w:type="dxa"/>
            <w:tcBorders/>
            <w:shd w:fill="FFFFFF" w:val="clear"/>
            <w:vAlign w:val="center"/>
          </w:tcPr>
          <w:p>
            <w:pPr>
              <w:pStyle w:val="TableContents"/>
              <w:spacing w:before="0" w:after="0"/>
              <w:ind w:left="0" w:right="0" w:hanging="0"/>
              <w:rPr/>
            </w:pPr>
            <w:r>
              <w:rPr/>
              <w:t> </w:t>
            </w:r>
          </w:p>
        </w:tc>
        <w:tc>
          <w:tcPr>
            <w:tcW w:w="174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35" w:type="dxa"/>
            <w:tcBorders/>
            <w:shd w:fill="FFFFFF" w:val="clear"/>
            <w:vAlign w:val="center"/>
          </w:tcPr>
          <w:p>
            <w:pPr>
              <w:pStyle w:val="TableContents"/>
              <w:spacing w:before="0" w:after="0"/>
              <w:ind w:left="0" w:right="0" w:hanging="0"/>
              <w:rPr/>
            </w:pPr>
            <w:r>
              <w:rPr/>
              <w:t> </w:t>
            </w:r>
          </w:p>
        </w:tc>
      </w:tr>
      <w:tr>
        <w:trPr/>
        <w:tc>
          <w:tcPr>
            <w:tcW w:w="1560" w:type="dxa"/>
            <w:tcBorders/>
            <w:shd w:fill="FFFFFF" w:val="clear"/>
            <w:vAlign w:val="center"/>
          </w:tcPr>
          <w:p>
            <w:pPr>
              <w:pStyle w:val="TableContents"/>
              <w:spacing w:before="0" w:after="0"/>
              <w:ind w:left="0" w:right="0" w:firstLine="320"/>
              <w:rPr/>
            </w:pPr>
            <w:r>
              <w:rPr/>
              <w:t xml:space="preserve">to quota share </w:t>
            </w:r>
          </w:p>
        </w:tc>
        <w:tc>
          <w:tcPr>
            <w:tcW w:w="170" w:type="dxa"/>
            <w:tcBorders/>
            <w:shd w:fill="FFFFFF" w:val="clear"/>
            <w:vAlign w:val="center"/>
          </w:tcPr>
          <w:p>
            <w:pPr>
              <w:pStyle w:val="TableContents"/>
              <w:spacing w:before="0" w:after="0"/>
              <w:ind w:left="0" w:right="0" w:hanging="0"/>
              <w:rPr/>
            </w:pPr>
            <w:r>
              <w:rPr/>
              <w:t> </w:t>
            </w:r>
          </w:p>
        </w:tc>
        <w:tc>
          <w:tcPr>
            <w:tcW w:w="1985" w:type="dxa"/>
            <w:gridSpan w:val="2"/>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37" w:type="dxa"/>
            <w:tcBorders/>
            <w:shd w:fill="FFFFFF" w:val="clear"/>
            <w:vAlign w:val="center"/>
          </w:tcPr>
          <w:p>
            <w:pPr>
              <w:pStyle w:val="TableContents"/>
              <w:spacing w:before="0" w:after="0"/>
              <w:ind w:left="0" w:right="0" w:hanging="0"/>
              <w:rPr/>
            </w:pPr>
            <w:r>
              <w:rPr/>
              <w:t> </w:t>
            </w:r>
          </w:p>
        </w:tc>
        <w:tc>
          <w:tcPr>
            <w:tcW w:w="174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37" w:type="dxa"/>
            <w:tcBorders/>
            <w:shd w:fill="FFFFFF" w:val="clear"/>
            <w:vAlign w:val="center"/>
          </w:tcPr>
          <w:p>
            <w:pPr>
              <w:pStyle w:val="TableContents"/>
              <w:spacing w:before="0" w:after="0"/>
              <w:ind w:left="0" w:right="0" w:hanging="0"/>
              <w:rPr/>
            </w:pPr>
            <w:r>
              <w:rPr/>
              <w:t> </w:t>
            </w:r>
          </w:p>
        </w:tc>
        <w:tc>
          <w:tcPr>
            <w:tcW w:w="174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37" w:type="dxa"/>
            <w:tcBorders/>
            <w:shd w:fill="FFFFFF" w:val="clear"/>
            <w:vAlign w:val="center"/>
          </w:tcPr>
          <w:p>
            <w:pPr>
              <w:pStyle w:val="TableContents"/>
              <w:spacing w:before="0" w:after="0"/>
              <w:ind w:left="0" w:right="0" w:hanging="0"/>
              <w:rPr/>
            </w:pPr>
            <w:r>
              <w:rPr/>
              <w:t> </w:t>
            </w:r>
          </w:p>
        </w:tc>
        <w:tc>
          <w:tcPr>
            <w:tcW w:w="174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35" w:type="dxa"/>
            <w:tcBorders/>
            <w:shd w:fill="FFFFFF" w:val="clear"/>
            <w:vAlign w:val="center"/>
          </w:tcPr>
          <w:p>
            <w:pPr>
              <w:pStyle w:val="TableContents"/>
              <w:spacing w:before="0" w:after="0"/>
              <w:ind w:left="0" w:right="0" w:hanging="0"/>
              <w:rPr/>
            </w:pPr>
            <w:r>
              <w:rPr/>
              <w:t> </w:t>
            </w:r>
          </w:p>
        </w:tc>
      </w:tr>
      <w:tr>
        <w:trPr/>
        <w:tc>
          <w:tcPr>
            <w:tcW w:w="1560" w:type="dxa"/>
            <w:tcBorders/>
            <w:shd w:fill="FFFFFF" w:val="clear"/>
            <w:vAlign w:val="center"/>
          </w:tcPr>
          <w:p>
            <w:pPr>
              <w:pStyle w:val="TableContents"/>
              <w:spacing w:before="0" w:after="0"/>
              <w:ind w:left="0" w:right="0" w:firstLine="320"/>
              <w:rPr/>
            </w:pPr>
            <w:r>
              <w:rPr/>
              <w:t xml:space="preserve">reinsurance coverage </w:t>
            </w:r>
          </w:p>
        </w:tc>
        <w:tc>
          <w:tcPr>
            <w:tcW w:w="170" w:type="dxa"/>
            <w:tcBorders/>
            <w:shd w:fill="FFFFFF" w:val="clear"/>
            <w:vAlign w:val="center"/>
          </w:tcPr>
          <w:p>
            <w:pPr>
              <w:pStyle w:val="TableContents"/>
              <w:spacing w:before="0" w:after="0"/>
              <w:ind w:left="0" w:right="0" w:hanging="0"/>
              <w:rPr/>
            </w:pPr>
            <w:r>
              <w:rPr/>
              <w:t> </w:t>
            </w:r>
          </w:p>
        </w:tc>
        <w:tc>
          <w:tcPr>
            <w:tcW w:w="1985" w:type="dxa"/>
            <w:gridSpan w:val="2"/>
            <w:tcBorders/>
            <w:shd w:fill="FFFFFF" w:val="clear"/>
            <w:vAlign w:val="center"/>
          </w:tcPr>
          <w:p>
            <w:pPr>
              <w:pStyle w:val="TableContents"/>
              <w:spacing w:before="0" w:after="0"/>
              <w:ind w:left="0" w:right="0" w:hanging="0"/>
              <w:jc w:val="center"/>
              <w:rPr/>
            </w:pPr>
            <w:r>
              <w:rPr/>
              <w:t xml:space="preserve">None (7)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37" w:type="dxa"/>
            <w:tcBorders/>
            <w:shd w:fill="FFFFFF" w:val="clear"/>
            <w:vAlign w:val="center"/>
          </w:tcPr>
          <w:p>
            <w:pPr>
              <w:pStyle w:val="TableContents"/>
              <w:spacing w:before="0" w:after="283"/>
              <w:rPr/>
            </w:pPr>
            <w:r>
              <w:rPr/>
              <w:t>$</w:t>
            </w:r>
          </w:p>
        </w:tc>
        <w:tc>
          <w:tcPr>
            <w:tcW w:w="1748" w:type="dxa"/>
            <w:tcBorders/>
            <w:shd w:fill="FFFFFF" w:val="clear"/>
            <w:vAlign w:val="center"/>
          </w:tcPr>
          <w:p>
            <w:pPr>
              <w:pStyle w:val="TableContents"/>
              <w:spacing w:before="0" w:after="283"/>
              <w:jc w:val="right"/>
              <w:rPr/>
            </w:pPr>
            <w:r>
              <w:rPr/>
              <w:t>1,000,000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37" w:type="dxa"/>
            <w:tcBorders/>
            <w:shd w:fill="FFFFFF" w:val="clear"/>
            <w:vAlign w:val="center"/>
          </w:tcPr>
          <w:p>
            <w:pPr>
              <w:pStyle w:val="TableContents"/>
              <w:spacing w:before="0" w:after="283"/>
              <w:rPr/>
            </w:pPr>
            <w:r>
              <w:rPr/>
              <w:t>$</w:t>
            </w:r>
          </w:p>
        </w:tc>
        <w:tc>
          <w:tcPr>
            <w:tcW w:w="1748" w:type="dxa"/>
            <w:tcBorders/>
            <w:shd w:fill="FFFFFF" w:val="clear"/>
            <w:vAlign w:val="center"/>
          </w:tcPr>
          <w:p>
            <w:pPr>
              <w:pStyle w:val="TableContents"/>
              <w:spacing w:before="0" w:after="283"/>
              <w:jc w:val="right"/>
              <w:rPr/>
            </w:pPr>
            <w:r>
              <w:rPr/>
              <w:t>1,000,000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985" w:type="dxa"/>
            <w:gridSpan w:val="2"/>
            <w:tcBorders/>
            <w:shd w:fill="FFFFFF" w:val="clear"/>
            <w:vAlign w:val="center"/>
          </w:tcPr>
          <w:p>
            <w:pPr>
              <w:pStyle w:val="TableContents"/>
              <w:spacing w:before="0" w:after="0"/>
              <w:ind w:left="0" w:right="0" w:hanging="0"/>
              <w:jc w:val="center"/>
              <w:rPr/>
            </w:pPr>
            <w:r>
              <w:rPr/>
              <w:t>None</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1,000,000</w:t>
            </w:r>
          </w:p>
        </w:tc>
        <w:tc>
          <w:tcPr>
            <w:tcW w:w="135" w:type="dxa"/>
            <w:tcBorders/>
            <w:shd w:fill="FFFFFF" w:val="clear"/>
            <w:vAlign w:val="center"/>
          </w:tcPr>
          <w:p>
            <w:pPr>
              <w:pStyle w:val="TableContents"/>
              <w:spacing w:before="0" w:after="0"/>
              <w:ind w:left="0" w:right="0" w:hanging="0"/>
              <w:rPr/>
            </w:pPr>
            <w:r>
              <w:rPr/>
              <w:t> </w:t>
            </w:r>
          </w:p>
        </w:tc>
      </w:tr>
      <w:tr>
        <w:trPr/>
        <w:tc>
          <w:tcPr>
            <w:tcW w:w="1560" w:type="dxa"/>
            <w:tcBorders/>
            <w:shd w:fill="CCEEFF" w:val="clear"/>
            <w:vAlign w:val="center"/>
          </w:tcPr>
          <w:p>
            <w:pPr>
              <w:pStyle w:val="TableContents"/>
              <w:spacing w:before="0" w:after="0"/>
              <w:ind w:left="0" w:right="0" w:firstLine="480"/>
              <w:rPr/>
            </w:pPr>
            <w:r>
              <w:rPr/>
              <w:t xml:space="preserve">Expiration date </w:t>
            </w:r>
          </w:p>
        </w:tc>
        <w:tc>
          <w:tcPr>
            <w:tcW w:w="170" w:type="dxa"/>
            <w:tcBorders/>
            <w:shd w:fill="CCEEFF" w:val="clear"/>
            <w:vAlign w:val="center"/>
          </w:tcPr>
          <w:p>
            <w:pPr>
              <w:pStyle w:val="TableContents"/>
              <w:spacing w:before="0" w:after="0"/>
              <w:ind w:left="0" w:right="0" w:hanging="0"/>
              <w:rPr/>
            </w:pPr>
            <w:r>
              <w:rPr/>
              <w:t> </w:t>
            </w:r>
          </w:p>
        </w:tc>
        <w:tc>
          <w:tcPr>
            <w:tcW w:w="1985" w:type="dxa"/>
            <w:gridSpan w:val="2"/>
            <w:tcBorders/>
            <w:shd w:fill="CCEEFF" w:val="clear"/>
            <w:vAlign w:val="center"/>
          </w:tcPr>
          <w:p>
            <w:pPr>
              <w:pStyle w:val="TableContents"/>
              <w:spacing w:before="0" w:after="0"/>
              <w:ind w:left="0" w:right="0" w:hanging="0"/>
              <w:jc w:val="center"/>
              <w:rPr/>
            </w:pPr>
            <w:r>
              <w:rPr/>
              <w:t xml:space="preserve">NA (7)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985" w:type="dxa"/>
            <w:gridSpan w:val="2"/>
            <w:tcBorders/>
            <w:shd w:fill="CCEEFF" w:val="clear"/>
            <w:vAlign w:val="center"/>
          </w:tcPr>
          <w:p>
            <w:pPr>
              <w:pStyle w:val="TableContents"/>
              <w:spacing w:before="0" w:after="0"/>
              <w:ind w:left="0" w:right="0" w:hanging="0"/>
              <w:jc w:val="right"/>
              <w:rPr/>
            </w:pPr>
            <w:r>
              <w:rPr/>
              <w:t>December 30, 2020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985" w:type="dxa"/>
            <w:gridSpan w:val="2"/>
            <w:tcBorders/>
            <w:shd w:fill="CCEEFF" w:val="clear"/>
            <w:vAlign w:val="center"/>
          </w:tcPr>
          <w:p>
            <w:pPr>
              <w:pStyle w:val="TableContents"/>
              <w:spacing w:before="0" w:after="0"/>
              <w:ind w:left="0" w:right="0" w:hanging="0"/>
              <w:jc w:val="right"/>
              <w:rPr/>
            </w:pPr>
            <w:r>
              <w:rPr/>
              <w:t>December 30, 2020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985" w:type="dxa"/>
            <w:gridSpan w:val="2"/>
            <w:tcBorders/>
            <w:shd w:fill="CCEEFF" w:val="clear"/>
            <w:vAlign w:val="center"/>
          </w:tcPr>
          <w:p>
            <w:pPr>
              <w:pStyle w:val="TableContents"/>
              <w:spacing w:before="0" w:after="0"/>
              <w:ind w:left="0" w:right="0" w:hanging="0"/>
              <w:jc w:val="center"/>
              <w:rPr/>
            </w:pPr>
            <w:r>
              <w:rPr/>
              <w:t xml:space="preserve">NA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20" w:type="dxa"/>
            <w:gridSpan w:val="2"/>
            <w:tcBorders/>
            <w:shd w:fill="CCEEFF" w:val="clear"/>
            <w:vAlign w:val="center"/>
          </w:tcPr>
          <w:p>
            <w:pPr>
              <w:pStyle w:val="TableContents"/>
              <w:spacing w:before="0" w:after="0"/>
              <w:ind w:left="0" w:right="0" w:hanging="0"/>
              <w:jc w:val="right"/>
              <w:rPr/>
            </w:pPr>
            <w:r>
              <w:rPr/>
              <w:t>June 30, 2019</w:t>
            </w:r>
          </w:p>
        </w:tc>
        <w:tc>
          <w:tcPr>
            <w:tcW w:w="135" w:type="dxa"/>
            <w:tcBorders/>
            <w:shd w:fill="CCEEFF" w:val="clear"/>
            <w:vAlign w:val="center"/>
          </w:tcPr>
          <w:p>
            <w:pPr>
              <w:pStyle w:val="TableContents"/>
              <w:spacing w:before="0" w:after="0"/>
              <w:ind w:left="0" w:right="0" w:hanging="0"/>
              <w:rPr/>
            </w:pPr>
            <w:r>
              <w:rPr/>
              <w:t> </w:t>
            </w:r>
          </w:p>
        </w:tc>
      </w:tr>
      <w:tr>
        <w:trPr/>
        <w:tc>
          <w:tcPr>
            <w:tcW w:w="1560" w:type="dxa"/>
            <w:tcBorders/>
            <w:shd w:fill="FFFFFF" w:val="clear"/>
            <w:vAlign w:val="center"/>
          </w:tcPr>
          <w:p>
            <w:pPr>
              <w:pStyle w:val="TableContents"/>
              <w:spacing w:before="0" w:after="0"/>
              <w:ind w:left="0" w:right="0" w:firstLine="160"/>
              <w:rPr/>
            </w:pPr>
            <w:r>
              <w:rPr/>
              <w:t xml:space="preserve">Excess of loss coverage and </w:t>
            </w:r>
          </w:p>
        </w:tc>
        <w:tc>
          <w:tcPr>
            <w:tcW w:w="170" w:type="dxa"/>
            <w:tcBorders/>
            <w:shd w:fill="FFFFFF" w:val="clear"/>
            <w:vAlign w:val="center"/>
          </w:tcPr>
          <w:p>
            <w:pPr>
              <w:pStyle w:val="TableContents"/>
              <w:spacing w:before="0" w:after="0"/>
              <w:ind w:left="0" w:right="0" w:hanging="0"/>
              <w:rPr/>
            </w:pPr>
            <w:r>
              <w:rPr/>
              <w:t> </w:t>
            </w:r>
          </w:p>
        </w:tc>
        <w:tc>
          <w:tcPr>
            <w:tcW w:w="1985" w:type="dxa"/>
            <w:gridSpan w:val="2"/>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37" w:type="dxa"/>
            <w:tcBorders/>
            <w:shd w:fill="FFFFFF" w:val="clear"/>
            <w:vAlign w:val="center"/>
          </w:tcPr>
          <w:p>
            <w:pPr>
              <w:pStyle w:val="TableContents"/>
              <w:spacing w:before="0" w:after="0"/>
              <w:ind w:left="0" w:right="0" w:hanging="0"/>
              <w:rPr/>
            </w:pPr>
            <w:r>
              <w:rPr/>
              <w:t> </w:t>
            </w:r>
          </w:p>
        </w:tc>
        <w:tc>
          <w:tcPr>
            <w:tcW w:w="174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37" w:type="dxa"/>
            <w:tcBorders/>
            <w:shd w:fill="FFFFFF" w:val="clear"/>
            <w:vAlign w:val="center"/>
          </w:tcPr>
          <w:p>
            <w:pPr>
              <w:pStyle w:val="TableContents"/>
              <w:spacing w:before="0" w:after="0"/>
              <w:ind w:left="0" w:right="0" w:hanging="0"/>
              <w:rPr/>
            </w:pPr>
            <w:r>
              <w:rPr/>
              <w:t> </w:t>
            </w:r>
          </w:p>
        </w:tc>
        <w:tc>
          <w:tcPr>
            <w:tcW w:w="174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37" w:type="dxa"/>
            <w:tcBorders/>
            <w:shd w:fill="FFFFFF" w:val="clear"/>
            <w:vAlign w:val="center"/>
          </w:tcPr>
          <w:p>
            <w:pPr>
              <w:pStyle w:val="TableContents"/>
              <w:spacing w:before="0" w:after="0"/>
              <w:ind w:left="0" w:right="0" w:hanging="0"/>
              <w:rPr/>
            </w:pPr>
            <w:r>
              <w:rPr/>
              <w:t> </w:t>
            </w:r>
          </w:p>
        </w:tc>
        <w:tc>
          <w:tcPr>
            <w:tcW w:w="174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35" w:type="dxa"/>
            <w:tcBorders/>
            <w:shd w:fill="FFFFFF" w:val="clear"/>
            <w:vAlign w:val="center"/>
          </w:tcPr>
          <w:p>
            <w:pPr>
              <w:pStyle w:val="TableContents"/>
              <w:spacing w:before="0" w:after="0"/>
              <w:ind w:left="0" w:right="0" w:hanging="0"/>
              <w:rPr/>
            </w:pPr>
            <w:r>
              <w:rPr/>
              <w:t> </w:t>
            </w:r>
          </w:p>
        </w:tc>
      </w:tr>
      <w:tr>
        <w:trPr/>
        <w:tc>
          <w:tcPr>
            <w:tcW w:w="1560" w:type="dxa"/>
            <w:tcBorders/>
            <w:shd w:fill="CCEEFF" w:val="clear"/>
            <w:vAlign w:val="center"/>
          </w:tcPr>
          <w:p>
            <w:pPr>
              <w:pStyle w:val="TableContents"/>
              <w:spacing w:before="0" w:after="0"/>
              <w:ind w:left="0" w:right="0" w:firstLine="320"/>
              <w:rPr/>
            </w:pPr>
            <w:r>
              <w:rPr/>
              <w:t xml:space="preserve">facultative facility </w:t>
            </w:r>
          </w:p>
        </w:tc>
        <w:tc>
          <w:tcPr>
            <w:tcW w:w="170" w:type="dxa"/>
            <w:tcBorders/>
            <w:shd w:fill="CCEEFF" w:val="clear"/>
            <w:vAlign w:val="center"/>
          </w:tcPr>
          <w:p>
            <w:pPr>
              <w:pStyle w:val="TableContents"/>
              <w:spacing w:before="0" w:after="0"/>
              <w:ind w:left="0" w:right="0" w:hanging="0"/>
              <w:rPr/>
            </w:pPr>
            <w:r>
              <w:rPr/>
              <w:t> </w:t>
            </w:r>
          </w:p>
        </w:tc>
        <w:tc>
          <w:tcPr>
            <w:tcW w:w="1985" w:type="dxa"/>
            <w:gridSpan w:val="2"/>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37" w:type="dxa"/>
            <w:tcBorders/>
            <w:shd w:fill="CCEEFF" w:val="clear"/>
            <w:vAlign w:val="center"/>
          </w:tcPr>
          <w:p>
            <w:pPr>
              <w:pStyle w:val="TableContents"/>
              <w:spacing w:before="0" w:after="0"/>
              <w:ind w:left="0" w:right="0" w:hanging="0"/>
              <w:rPr/>
            </w:pPr>
            <w:r>
              <w:rPr/>
              <w:t> </w:t>
            </w:r>
          </w:p>
        </w:tc>
        <w:tc>
          <w:tcPr>
            <w:tcW w:w="1748"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37" w:type="dxa"/>
            <w:tcBorders/>
            <w:shd w:fill="CCEEFF" w:val="clear"/>
            <w:vAlign w:val="center"/>
          </w:tcPr>
          <w:p>
            <w:pPr>
              <w:pStyle w:val="TableContents"/>
              <w:spacing w:before="0" w:after="0"/>
              <w:ind w:left="0" w:right="0" w:hanging="0"/>
              <w:rPr/>
            </w:pPr>
            <w:r>
              <w:rPr/>
              <w:t> </w:t>
            </w:r>
          </w:p>
        </w:tc>
        <w:tc>
          <w:tcPr>
            <w:tcW w:w="1748"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37" w:type="dxa"/>
            <w:tcBorders/>
            <w:shd w:fill="CCEEFF" w:val="clear"/>
            <w:vAlign w:val="center"/>
          </w:tcPr>
          <w:p>
            <w:pPr>
              <w:pStyle w:val="TableContents"/>
              <w:spacing w:before="0" w:after="0"/>
              <w:ind w:left="0" w:right="0" w:hanging="0"/>
              <w:rPr/>
            </w:pPr>
            <w:r>
              <w:rPr/>
              <w:t> </w:t>
            </w:r>
          </w:p>
        </w:tc>
        <w:tc>
          <w:tcPr>
            <w:tcW w:w="1748"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35" w:type="dxa"/>
            <w:tcBorders/>
            <w:shd w:fill="CCEEFF" w:val="clear"/>
            <w:vAlign w:val="center"/>
          </w:tcPr>
          <w:p>
            <w:pPr>
              <w:pStyle w:val="TableContents"/>
              <w:spacing w:before="0" w:after="0"/>
              <w:ind w:left="0" w:right="0" w:hanging="0"/>
              <w:rPr/>
            </w:pPr>
            <w:r>
              <w:rPr/>
              <w:t> </w:t>
            </w:r>
          </w:p>
        </w:tc>
      </w:tr>
      <w:tr>
        <w:trPr/>
        <w:tc>
          <w:tcPr>
            <w:tcW w:w="1560" w:type="dxa"/>
            <w:tcBorders/>
            <w:shd w:fill="CCEEFF" w:val="clear"/>
            <w:vAlign w:val="center"/>
          </w:tcPr>
          <w:p>
            <w:pPr>
              <w:pStyle w:val="TableContents"/>
              <w:spacing w:before="0" w:after="0"/>
              <w:ind w:left="0" w:right="0" w:firstLine="320"/>
              <w:rPr/>
            </w:pPr>
            <w:r>
              <w:rPr/>
              <w:t xml:space="preserve">coverage (1) </w:t>
            </w:r>
          </w:p>
        </w:tc>
        <w:tc>
          <w:tcPr>
            <w:tcW w:w="170" w:type="dxa"/>
            <w:tcBorders/>
            <w:shd w:fill="CCEEFF" w:val="clear"/>
            <w:vAlign w:val="center"/>
          </w:tcPr>
          <w:p>
            <w:pPr>
              <w:pStyle w:val="TableContents"/>
              <w:spacing w:before="0" w:after="0"/>
              <w:ind w:left="0" w:right="0" w:hanging="0"/>
              <w:rPr/>
            </w:pPr>
            <w:r>
              <w:rPr/>
              <w:t> </w:t>
            </w:r>
          </w:p>
        </w:tc>
        <w:tc>
          <w:tcPr>
            <w:tcW w:w="237" w:type="dxa"/>
            <w:tcBorders/>
            <w:shd w:fill="CCEEFF" w:val="clear"/>
            <w:vAlign w:val="center"/>
          </w:tcPr>
          <w:p>
            <w:pPr>
              <w:pStyle w:val="TableContents"/>
              <w:spacing w:before="0" w:after="283"/>
              <w:rPr/>
            </w:pPr>
            <w:r>
              <w:rPr/>
              <w:t>$</w:t>
            </w:r>
          </w:p>
        </w:tc>
        <w:tc>
          <w:tcPr>
            <w:tcW w:w="1748" w:type="dxa"/>
            <w:tcBorders/>
            <w:shd w:fill="CCEEFF" w:val="clear"/>
            <w:vAlign w:val="center"/>
          </w:tcPr>
          <w:p>
            <w:pPr>
              <w:pStyle w:val="TableContents"/>
              <w:spacing w:before="0" w:after="283"/>
              <w:jc w:val="right"/>
              <w:rPr/>
            </w:pPr>
            <w:r>
              <w:rPr/>
              <w:t>8,000,000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37" w:type="dxa"/>
            <w:tcBorders/>
            <w:shd w:fill="CCEEFF" w:val="clear"/>
            <w:vAlign w:val="center"/>
          </w:tcPr>
          <w:p>
            <w:pPr>
              <w:pStyle w:val="TableContents"/>
              <w:spacing w:before="0" w:after="283"/>
              <w:rPr/>
            </w:pPr>
            <w:r>
              <w:rPr/>
              <w:t>$</w:t>
            </w:r>
          </w:p>
        </w:tc>
        <w:tc>
          <w:tcPr>
            <w:tcW w:w="1748" w:type="dxa"/>
            <w:tcBorders/>
            <w:shd w:fill="CCEEFF" w:val="clear"/>
            <w:vAlign w:val="center"/>
          </w:tcPr>
          <w:p>
            <w:pPr>
              <w:pStyle w:val="TableContents"/>
              <w:spacing w:before="0" w:after="283"/>
              <w:jc w:val="right"/>
              <w:rPr/>
            </w:pPr>
            <w:r>
              <w:rPr/>
              <w:t>8,000,000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37" w:type="dxa"/>
            <w:tcBorders/>
            <w:shd w:fill="CCEEFF" w:val="clear"/>
            <w:vAlign w:val="center"/>
          </w:tcPr>
          <w:p>
            <w:pPr>
              <w:pStyle w:val="TableContents"/>
              <w:spacing w:before="0" w:after="283"/>
              <w:rPr/>
            </w:pPr>
            <w:r>
              <w:rPr/>
              <w:t>$</w:t>
            </w:r>
          </w:p>
        </w:tc>
        <w:tc>
          <w:tcPr>
            <w:tcW w:w="1748" w:type="dxa"/>
            <w:tcBorders/>
            <w:shd w:fill="CCEEFF" w:val="clear"/>
            <w:vAlign w:val="center"/>
          </w:tcPr>
          <w:p>
            <w:pPr>
              <w:pStyle w:val="TableContents"/>
              <w:spacing w:before="0" w:after="283"/>
              <w:jc w:val="right"/>
              <w:rPr/>
            </w:pPr>
            <w:r>
              <w:rPr/>
              <w:t>9,000,000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37" w:type="dxa"/>
            <w:tcBorders/>
            <w:shd w:fill="CCEEFF" w:val="clear"/>
            <w:vAlign w:val="center"/>
          </w:tcPr>
          <w:p>
            <w:pPr>
              <w:pStyle w:val="TableContents"/>
              <w:spacing w:before="0" w:after="283"/>
              <w:rPr/>
            </w:pPr>
            <w:r>
              <w:rPr/>
              <w:t>$</w:t>
            </w:r>
          </w:p>
        </w:tc>
        <w:tc>
          <w:tcPr>
            <w:tcW w:w="1748" w:type="dxa"/>
            <w:tcBorders/>
            <w:shd w:fill="CCEEFF" w:val="clear"/>
            <w:vAlign w:val="center"/>
          </w:tcPr>
          <w:p>
            <w:pPr>
              <w:pStyle w:val="TableContents"/>
              <w:spacing w:before="0" w:after="283"/>
              <w:jc w:val="right"/>
              <w:rPr/>
            </w:pPr>
            <w:r>
              <w:rPr/>
              <w:t>9,000,000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9,000,000</w:t>
            </w:r>
          </w:p>
        </w:tc>
        <w:tc>
          <w:tcPr>
            <w:tcW w:w="135" w:type="dxa"/>
            <w:tcBorders/>
            <w:shd w:fill="CCEEFF" w:val="clear"/>
            <w:vAlign w:val="center"/>
          </w:tcPr>
          <w:p>
            <w:pPr>
              <w:pStyle w:val="TableContents"/>
              <w:spacing w:before="0" w:after="0"/>
              <w:ind w:left="0" w:right="0" w:hanging="0"/>
              <w:rPr/>
            </w:pPr>
            <w:r>
              <w:rPr/>
              <w:t> </w:t>
            </w:r>
          </w:p>
        </w:tc>
      </w:tr>
      <w:tr>
        <w:trPr/>
        <w:tc>
          <w:tcPr>
            <w:tcW w:w="156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985" w:type="dxa"/>
            <w:gridSpan w:val="2"/>
            <w:tcBorders/>
            <w:shd w:fill="CCEEFF" w:val="clear"/>
            <w:vAlign w:val="center"/>
          </w:tcPr>
          <w:p>
            <w:pPr>
              <w:pStyle w:val="TableContents"/>
              <w:spacing w:before="0" w:after="0"/>
              <w:ind w:left="0" w:right="0" w:hanging="0"/>
              <w:jc w:val="center"/>
              <w:rPr/>
            </w:pPr>
            <w:r>
              <w:rPr/>
              <w:t xml:space="preserve">in excess of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985" w:type="dxa"/>
            <w:gridSpan w:val="2"/>
            <w:tcBorders/>
            <w:shd w:fill="CCEEFF" w:val="clear"/>
            <w:vAlign w:val="center"/>
          </w:tcPr>
          <w:p>
            <w:pPr>
              <w:pStyle w:val="TableContents"/>
              <w:spacing w:before="0" w:after="0"/>
              <w:ind w:left="0" w:right="0" w:hanging="0"/>
              <w:jc w:val="center"/>
              <w:rPr/>
            </w:pPr>
            <w:r>
              <w:rPr/>
              <w:t xml:space="preserve">in excess of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985" w:type="dxa"/>
            <w:gridSpan w:val="2"/>
            <w:tcBorders/>
            <w:shd w:fill="CCEEFF" w:val="clear"/>
            <w:vAlign w:val="center"/>
          </w:tcPr>
          <w:p>
            <w:pPr>
              <w:pStyle w:val="TableContents"/>
              <w:spacing w:before="0" w:after="0"/>
              <w:ind w:left="0" w:right="0" w:hanging="0"/>
              <w:jc w:val="center"/>
              <w:rPr/>
            </w:pPr>
            <w:r>
              <w:rPr/>
              <w:t xml:space="preserve">in excess of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985" w:type="dxa"/>
            <w:gridSpan w:val="2"/>
            <w:tcBorders/>
            <w:shd w:fill="CCEEFF" w:val="clear"/>
            <w:vAlign w:val="center"/>
          </w:tcPr>
          <w:p>
            <w:pPr>
              <w:pStyle w:val="TableContents"/>
              <w:spacing w:before="0" w:after="0"/>
              <w:ind w:left="0" w:right="0" w:hanging="0"/>
              <w:jc w:val="center"/>
              <w:rPr/>
            </w:pPr>
            <w:r>
              <w:rPr/>
              <w:t xml:space="preserve">in excess of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20" w:type="dxa"/>
            <w:gridSpan w:val="2"/>
            <w:tcBorders/>
            <w:shd w:fill="CCEEFF" w:val="clear"/>
            <w:vAlign w:val="center"/>
          </w:tcPr>
          <w:p>
            <w:pPr>
              <w:pStyle w:val="TableContents"/>
              <w:spacing w:before="0" w:after="0"/>
              <w:ind w:left="0" w:right="0" w:hanging="0"/>
              <w:jc w:val="center"/>
              <w:rPr/>
            </w:pPr>
            <w:r>
              <w:rPr/>
              <w:t xml:space="preserve">in excess of </w:t>
            </w:r>
          </w:p>
        </w:tc>
        <w:tc>
          <w:tcPr>
            <w:tcW w:w="135" w:type="dxa"/>
            <w:tcBorders/>
            <w:shd w:fill="CCEEFF" w:val="clear"/>
            <w:vAlign w:val="center"/>
          </w:tcPr>
          <w:p>
            <w:pPr>
              <w:pStyle w:val="TableContents"/>
              <w:spacing w:before="0" w:after="0"/>
              <w:ind w:left="0" w:right="0" w:hanging="0"/>
              <w:rPr/>
            </w:pPr>
            <w:r>
              <w:rPr/>
              <w:t> </w:t>
            </w:r>
          </w:p>
        </w:tc>
      </w:tr>
      <w:tr>
        <w:trPr/>
        <w:tc>
          <w:tcPr>
            <w:tcW w:w="156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237" w:type="dxa"/>
            <w:tcBorders/>
            <w:shd w:fill="CCEEFF" w:val="clear"/>
            <w:vAlign w:val="center"/>
          </w:tcPr>
          <w:p>
            <w:pPr>
              <w:pStyle w:val="TableContents"/>
              <w:spacing w:before="0" w:after="283"/>
              <w:rPr/>
            </w:pPr>
            <w:r>
              <w:rPr/>
              <w:t>$</w:t>
            </w:r>
          </w:p>
        </w:tc>
        <w:tc>
          <w:tcPr>
            <w:tcW w:w="1748" w:type="dxa"/>
            <w:tcBorders/>
            <w:shd w:fill="CCEEFF" w:val="clear"/>
            <w:vAlign w:val="center"/>
          </w:tcPr>
          <w:p>
            <w:pPr>
              <w:pStyle w:val="TableContents"/>
              <w:spacing w:before="0" w:after="283"/>
              <w:jc w:val="right"/>
              <w:rPr/>
            </w:pPr>
            <w:r>
              <w:rPr/>
              <w:t>1,000,000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37" w:type="dxa"/>
            <w:tcBorders/>
            <w:shd w:fill="CCEEFF" w:val="clear"/>
            <w:vAlign w:val="center"/>
          </w:tcPr>
          <w:p>
            <w:pPr>
              <w:pStyle w:val="TableContents"/>
              <w:spacing w:before="0" w:after="283"/>
              <w:rPr/>
            </w:pPr>
            <w:r>
              <w:rPr/>
              <w:t>$</w:t>
            </w:r>
          </w:p>
        </w:tc>
        <w:tc>
          <w:tcPr>
            <w:tcW w:w="1748" w:type="dxa"/>
            <w:tcBorders/>
            <w:shd w:fill="CCEEFF" w:val="clear"/>
            <w:vAlign w:val="center"/>
          </w:tcPr>
          <w:p>
            <w:pPr>
              <w:pStyle w:val="TableContents"/>
              <w:spacing w:before="0" w:after="283"/>
              <w:jc w:val="right"/>
              <w:rPr/>
            </w:pPr>
            <w:r>
              <w:rPr/>
              <w:t>1,000,000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37" w:type="dxa"/>
            <w:tcBorders/>
            <w:shd w:fill="CCEEFF" w:val="clear"/>
            <w:vAlign w:val="center"/>
          </w:tcPr>
          <w:p>
            <w:pPr>
              <w:pStyle w:val="TableContents"/>
              <w:spacing w:before="0" w:after="283"/>
              <w:rPr/>
            </w:pPr>
            <w:r>
              <w:rPr/>
              <w:t>$</w:t>
            </w:r>
          </w:p>
        </w:tc>
        <w:tc>
          <w:tcPr>
            <w:tcW w:w="1748" w:type="dxa"/>
            <w:tcBorders/>
            <w:shd w:fill="CCEEFF" w:val="clear"/>
            <w:vAlign w:val="center"/>
          </w:tcPr>
          <w:p>
            <w:pPr>
              <w:pStyle w:val="TableContents"/>
              <w:spacing w:before="0" w:after="283"/>
              <w:jc w:val="right"/>
              <w:rPr/>
            </w:pPr>
            <w:r>
              <w:rPr/>
              <w:t>1,000,000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37" w:type="dxa"/>
            <w:tcBorders/>
            <w:shd w:fill="CCEEFF" w:val="clear"/>
            <w:vAlign w:val="center"/>
          </w:tcPr>
          <w:p>
            <w:pPr>
              <w:pStyle w:val="TableContents"/>
              <w:spacing w:before="0" w:after="283"/>
              <w:rPr/>
            </w:pPr>
            <w:r>
              <w:rPr/>
              <w:t>$</w:t>
            </w:r>
          </w:p>
        </w:tc>
        <w:tc>
          <w:tcPr>
            <w:tcW w:w="1748" w:type="dxa"/>
            <w:tcBorders/>
            <w:shd w:fill="CCEEFF" w:val="clear"/>
            <w:vAlign w:val="center"/>
          </w:tcPr>
          <w:p>
            <w:pPr>
              <w:pStyle w:val="TableContents"/>
              <w:spacing w:before="0" w:after="283"/>
              <w:jc w:val="right"/>
              <w:rPr/>
            </w:pPr>
            <w:r>
              <w:rPr/>
              <w:t>1,000,000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1,000,000</w:t>
            </w:r>
          </w:p>
        </w:tc>
        <w:tc>
          <w:tcPr>
            <w:tcW w:w="135" w:type="dxa"/>
            <w:tcBorders/>
            <w:shd w:fill="CCEEFF" w:val="clear"/>
            <w:vAlign w:val="center"/>
          </w:tcPr>
          <w:p>
            <w:pPr>
              <w:pStyle w:val="TableContents"/>
              <w:spacing w:before="0" w:after="0"/>
              <w:ind w:left="0" w:right="0" w:hanging="0"/>
              <w:rPr/>
            </w:pPr>
            <w:r>
              <w:rPr/>
              <w:t> </w:t>
            </w:r>
          </w:p>
        </w:tc>
      </w:tr>
      <w:tr>
        <w:trPr/>
        <w:tc>
          <w:tcPr>
            <w:tcW w:w="1560" w:type="dxa"/>
            <w:tcBorders/>
            <w:shd w:fill="FFFFFF" w:val="clear"/>
            <w:vAlign w:val="center"/>
          </w:tcPr>
          <w:p>
            <w:pPr>
              <w:pStyle w:val="TableContents"/>
              <w:spacing w:before="0" w:after="0"/>
              <w:ind w:left="0" w:right="0" w:firstLine="160"/>
              <w:rPr/>
            </w:pPr>
            <w:r>
              <w:rPr/>
              <w:t xml:space="preserve">Total reinsurance coverage </w:t>
            </w:r>
          </w:p>
        </w:tc>
        <w:tc>
          <w:tcPr>
            <w:tcW w:w="170" w:type="dxa"/>
            <w:tcBorders/>
            <w:shd w:fill="FFFFFF" w:val="clear"/>
            <w:vAlign w:val="center"/>
          </w:tcPr>
          <w:p>
            <w:pPr>
              <w:pStyle w:val="TableContents"/>
              <w:spacing w:before="0" w:after="0"/>
              <w:ind w:left="0" w:right="0" w:hanging="0"/>
              <w:rPr/>
            </w:pPr>
            <w:r>
              <w:rPr/>
              <w:t> </w:t>
            </w:r>
          </w:p>
        </w:tc>
        <w:tc>
          <w:tcPr>
            <w:tcW w:w="237" w:type="dxa"/>
            <w:tcBorders/>
            <w:shd w:fill="FFFFFF" w:val="clear"/>
            <w:vAlign w:val="center"/>
          </w:tcPr>
          <w:p>
            <w:pPr>
              <w:pStyle w:val="TableContents"/>
              <w:spacing w:before="0" w:after="0"/>
              <w:ind w:left="0" w:right="0" w:hanging="0"/>
              <w:rPr/>
            </w:pPr>
            <w:r>
              <w:rPr/>
              <w:t> </w:t>
            </w:r>
          </w:p>
        </w:tc>
        <w:tc>
          <w:tcPr>
            <w:tcW w:w="174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37" w:type="dxa"/>
            <w:tcBorders/>
            <w:shd w:fill="FFFFFF" w:val="clear"/>
            <w:vAlign w:val="center"/>
          </w:tcPr>
          <w:p>
            <w:pPr>
              <w:pStyle w:val="TableContents"/>
              <w:spacing w:before="0" w:after="0"/>
              <w:ind w:left="0" w:right="0" w:hanging="0"/>
              <w:rPr/>
            </w:pPr>
            <w:r>
              <w:rPr/>
              <w:t> </w:t>
            </w:r>
          </w:p>
        </w:tc>
        <w:tc>
          <w:tcPr>
            <w:tcW w:w="174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37" w:type="dxa"/>
            <w:tcBorders/>
            <w:shd w:fill="FFFFFF" w:val="clear"/>
            <w:vAlign w:val="center"/>
          </w:tcPr>
          <w:p>
            <w:pPr>
              <w:pStyle w:val="TableContents"/>
              <w:spacing w:before="0" w:after="0"/>
              <w:ind w:left="0" w:right="0" w:hanging="0"/>
              <w:rPr/>
            </w:pPr>
            <w:r>
              <w:rPr/>
              <w:t> </w:t>
            </w:r>
          </w:p>
        </w:tc>
        <w:tc>
          <w:tcPr>
            <w:tcW w:w="174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37" w:type="dxa"/>
            <w:tcBorders/>
            <w:shd w:fill="FFFFFF" w:val="clear"/>
            <w:vAlign w:val="center"/>
          </w:tcPr>
          <w:p>
            <w:pPr>
              <w:pStyle w:val="TableContents"/>
              <w:spacing w:before="0" w:after="0"/>
              <w:ind w:left="0" w:right="0" w:hanging="0"/>
              <w:rPr/>
            </w:pPr>
            <w:r>
              <w:rPr/>
              <w:t> </w:t>
            </w:r>
          </w:p>
        </w:tc>
        <w:tc>
          <w:tcPr>
            <w:tcW w:w="174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35" w:type="dxa"/>
            <w:tcBorders/>
            <w:shd w:fill="FFFFFF" w:val="clear"/>
            <w:vAlign w:val="center"/>
          </w:tcPr>
          <w:p>
            <w:pPr>
              <w:pStyle w:val="TableContents"/>
              <w:spacing w:before="0" w:after="0"/>
              <w:ind w:left="0" w:right="0" w:hanging="0"/>
              <w:rPr/>
            </w:pPr>
            <w:r>
              <w:rPr/>
              <w:t> </w:t>
            </w:r>
          </w:p>
        </w:tc>
      </w:tr>
      <w:tr>
        <w:trPr/>
        <w:tc>
          <w:tcPr>
            <w:tcW w:w="1560" w:type="dxa"/>
            <w:tcBorders/>
            <w:shd w:fill="FFFFFF" w:val="clear"/>
            <w:vAlign w:val="center"/>
          </w:tcPr>
          <w:p>
            <w:pPr>
              <w:pStyle w:val="TableContents"/>
              <w:spacing w:before="0" w:after="0"/>
              <w:ind w:left="0" w:right="0" w:firstLine="320"/>
              <w:rPr/>
            </w:pPr>
            <w:r>
              <w:rPr/>
              <w:t xml:space="preserve">per occurrence (7) </w:t>
            </w:r>
          </w:p>
        </w:tc>
        <w:tc>
          <w:tcPr>
            <w:tcW w:w="170" w:type="dxa"/>
            <w:tcBorders/>
            <w:shd w:fill="FFFFFF" w:val="clear"/>
            <w:vAlign w:val="center"/>
          </w:tcPr>
          <w:p>
            <w:pPr>
              <w:pStyle w:val="TableContents"/>
              <w:spacing w:before="0" w:after="0"/>
              <w:ind w:left="0" w:right="0" w:hanging="0"/>
              <w:rPr/>
            </w:pPr>
            <w:r>
              <w:rPr/>
              <w:t> </w:t>
            </w:r>
          </w:p>
        </w:tc>
        <w:tc>
          <w:tcPr>
            <w:tcW w:w="237" w:type="dxa"/>
            <w:tcBorders/>
            <w:shd w:fill="FFFFFF" w:val="clear"/>
            <w:vAlign w:val="center"/>
          </w:tcPr>
          <w:p>
            <w:pPr>
              <w:pStyle w:val="TableContents"/>
              <w:spacing w:before="0" w:after="283"/>
              <w:rPr/>
            </w:pPr>
            <w:r>
              <w:rPr/>
              <w:t>$</w:t>
            </w:r>
          </w:p>
        </w:tc>
        <w:tc>
          <w:tcPr>
            <w:tcW w:w="1748" w:type="dxa"/>
            <w:tcBorders/>
            <w:shd w:fill="FFFFFF" w:val="clear"/>
            <w:vAlign w:val="center"/>
          </w:tcPr>
          <w:p>
            <w:pPr>
              <w:pStyle w:val="TableContents"/>
              <w:spacing w:before="0" w:after="283"/>
              <w:jc w:val="right"/>
              <w:rPr/>
            </w:pPr>
            <w:r>
              <w:rPr/>
              <w:t>8,000,000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37" w:type="dxa"/>
            <w:tcBorders/>
            <w:shd w:fill="FFFFFF" w:val="clear"/>
            <w:vAlign w:val="center"/>
          </w:tcPr>
          <w:p>
            <w:pPr>
              <w:pStyle w:val="TableContents"/>
              <w:spacing w:before="0" w:after="283"/>
              <w:rPr/>
            </w:pPr>
            <w:r>
              <w:rPr/>
              <w:t>$</w:t>
            </w:r>
          </w:p>
        </w:tc>
        <w:tc>
          <w:tcPr>
            <w:tcW w:w="1748" w:type="dxa"/>
            <w:tcBorders/>
            <w:shd w:fill="FFFFFF" w:val="clear"/>
            <w:vAlign w:val="center"/>
          </w:tcPr>
          <w:p>
            <w:pPr>
              <w:pStyle w:val="TableContents"/>
              <w:spacing w:before="0" w:after="283"/>
              <w:jc w:val="right"/>
              <w:rPr/>
            </w:pPr>
            <w:r>
              <w:rPr/>
              <w:t>8,250,000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37" w:type="dxa"/>
            <w:tcBorders/>
            <w:shd w:fill="FFFFFF" w:val="clear"/>
            <w:vAlign w:val="center"/>
          </w:tcPr>
          <w:p>
            <w:pPr>
              <w:pStyle w:val="TableContents"/>
              <w:spacing w:before="0" w:after="283"/>
              <w:rPr/>
            </w:pPr>
            <w:r>
              <w:rPr/>
              <w:t>$</w:t>
            </w:r>
          </w:p>
        </w:tc>
        <w:tc>
          <w:tcPr>
            <w:tcW w:w="1748" w:type="dxa"/>
            <w:tcBorders/>
            <w:shd w:fill="FFFFFF" w:val="clear"/>
            <w:vAlign w:val="center"/>
          </w:tcPr>
          <w:p>
            <w:pPr>
              <w:pStyle w:val="TableContents"/>
              <w:spacing w:before="0" w:after="283"/>
              <w:jc w:val="right"/>
              <w:rPr/>
            </w:pPr>
            <w:r>
              <w:rPr/>
              <w:t>9,250,000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37" w:type="dxa"/>
            <w:tcBorders/>
            <w:shd w:fill="FFFFFF" w:val="clear"/>
            <w:vAlign w:val="center"/>
          </w:tcPr>
          <w:p>
            <w:pPr>
              <w:pStyle w:val="TableContents"/>
              <w:spacing w:before="0" w:after="283"/>
              <w:rPr/>
            </w:pPr>
            <w:r>
              <w:rPr/>
              <w:t>$</w:t>
            </w:r>
          </w:p>
        </w:tc>
        <w:tc>
          <w:tcPr>
            <w:tcW w:w="1748" w:type="dxa"/>
            <w:tcBorders/>
            <w:shd w:fill="FFFFFF" w:val="clear"/>
            <w:vAlign w:val="center"/>
          </w:tcPr>
          <w:p>
            <w:pPr>
              <w:pStyle w:val="TableContents"/>
              <w:spacing w:before="0" w:after="283"/>
              <w:jc w:val="right"/>
              <w:rPr/>
            </w:pPr>
            <w:r>
              <w:rPr/>
              <w:t>9,000,000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9,100,000</w:t>
            </w:r>
          </w:p>
        </w:tc>
        <w:tc>
          <w:tcPr>
            <w:tcW w:w="135" w:type="dxa"/>
            <w:tcBorders/>
            <w:shd w:fill="FFFFFF" w:val="clear"/>
            <w:vAlign w:val="center"/>
          </w:tcPr>
          <w:p>
            <w:pPr>
              <w:pStyle w:val="TableContents"/>
              <w:spacing w:before="0" w:after="0"/>
              <w:ind w:left="0" w:right="0" w:hanging="0"/>
              <w:rPr/>
            </w:pPr>
            <w:r>
              <w:rPr/>
              <w:t> </w:t>
            </w:r>
          </w:p>
        </w:tc>
      </w:tr>
      <w:tr>
        <w:trPr/>
        <w:tc>
          <w:tcPr>
            <w:tcW w:w="1560" w:type="dxa"/>
            <w:tcBorders/>
            <w:shd w:fill="CCEEFF" w:val="clear"/>
            <w:vAlign w:val="center"/>
          </w:tcPr>
          <w:p>
            <w:pPr>
              <w:pStyle w:val="TableContents"/>
              <w:spacing w:before="0" w:after="0"/>
              <w:ind w:left="0" w:right="0" w:firstLine="160"/>
              <w:rPr/>
            </w:pPr>
            <w:r>
              <w:rPr/>
              <w:t xml:space="preserve">Losses per occurrence subject </w:t>
            </w:r>
          </w:p>
        </w:tc>
        <w:tc>
          <w:tcPr>
            <w:tcW w:w="170" w:type="dxa"/>
            <w:tcBorders/>
            <w:shd w:fill="CCEEFF" w:val="clear"/>
            <w:vAlign w:val="center"/>
          </w:tcPr>
          <w:p>
            <w:pPr>
              <w:pStyle w:val="TableContents"/>
              <w:spacing w:before="0" w:after="0"/>
              <w:ind w:left="0" w:right="0" w:hanging="0"/>
              <w:rPr/>
            </w:pPr>
            <w:r>
              <w:rPr/>
              <w:t> </w:t>
            </w:r>
          </w:p>
        </w:tc>
        <w:tc>
          <w:tcPr>
            <w:tcW w:w="237" w:type="dxa"/>
            <w:tcBorders/>
            <w:shd w:fill="CCEEFF" w:val="clear"/>
            <w:vAlign w:val="center"/>
          </w:tcPr>
          <w:p>
            <w:pPr>
              <w:pStyle w:val="TableContents"/>
              <w:spacing w:before="0" w:after="0"/>
              <w:ind w:left="0" w:right="0" w:hanging="0"/>
              <w:rPr/>
            </w:pPr>
            <w:r>
              <w:rPr/>
              <w:t> </w:t>
            </w:r>
          </w:p>
        </w:tc>
        <w:tc>
          <w:tcPr>
            <w:tcW w:w="1748"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37" w:type="dxa"/>
            <w:tcBorders/>
            <w:shd w:fill="CCEEFF" w:val="clear"/>
            <w:vAlign w:val="center"/>
          </w:tcPr>
          <w:p>
            <w:pPr>
              <w:pStyle w:val="TableContents"/>
              <w:spacing w:before="0" w:after="0"/>
              <w:ind w:left="0" w:right="0" w:hanging="0"/>
              <w:rPr/>
            </w:pPr>
            <w:r>
              <w:rPr/>
              <w:t> </w:t>
            </w:r>
          </w:p>
        </w:tc>
        <w:tc>
          <w:tcPr>
            <w:tcW w:w="1748"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37" w:type="dxa"/>
            <w:tcBorders/>
            <w:shd w:fill="CCEEFF" w:val="clear"/>
            <w:vAlign w:val="center"/>
          </w:tcPr>
          <w:p>
            <w:pPr>
              <w:pStyle w:val="TableContents"/>
              <w:spacing w:before="0" w:after="0"/>
              <w:ind w:left="0" w:right="0" w:hanging="0"/>
              <w:rPr/>
            </w:pPr>
            <w:r>
              <w:rPr/>
              <w:t> </w:t>
            </w:r>
          </w:p>
        </w:tc>
        <w:tc>
          <w:tcPr>
            <w:tcW w:w="1748"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37" w:type="dxa"/>
            <w:tcBorders/>
            <w:shd w:fill="CCEEFF" w:val="clear"/>
            <w:vAlign w:val="center"/>
          </w:tcPr>
          <w:p>
            <w:pPr>
              <w:pStyle w:val="TableContents"/>
              <w:spacing w:before="0" w:after="0"/>
              <w:ind w:left="0" w:right="0" w:hanging="0"/>
              <w:rPr/>
            </w:pPr>
            <w:r>
              <w:rPr/>
              <w:t> </w:t>
            </w:r>
          </w:p>
        </w:tc>
        <w:tc>
          <w:tcPr>
            <w:tcW w:w="1748"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35" w:type="dxa"/>
            <w:tcBorders/>
            <w:shd w:fill="CCEEFF" w:val="clear"/>
            <w:vAlign w:val="center"/>
          </w:tcPr>
          <w:p>
            <w:pPr>
              <w:pStyle w:val="TableContents"/>
              <w:spacing w:before="0" w:after="0"/>
              <w:ind w:left="0" w:right="0" w:hanging="0"/>
              <w:rPr/>
            </w:pPr>
            <w:r>
              <w:rPr/>
              <w:t> </w:t>
            </w:r>
          </w:p>
        </w:tc>
      </w:tr>
      <w:tr>
        <w:trPr/>
        <w:tc>
          <w:tcPr>
            <w:tcW w:w="1560" w:type="dxa"/>
            <w:tcBorders/>
            <w:shd w:fill="CCEEFF" w:val="clear"/>
            <w:vAlign w:val="center"/>
          </w:tcPr>
          <w:p>
            <w:pPr>
              <w:pStyle w:val="TableContents"/>
              <w:spacing w:before="0" w:after="0"/>
              <w:ind w:left="0" w:right="0" w:firstLine="320"/>
              <w:rPr/>
            </w:pPr>
            <w:r>
              <w:rPr/>
              <w:t xml:space="preserve">to reinsurance coverage </w:t>
            </w:r>
          </w:p>
        </w:tc>
        <w:tc>
          <w:tcPr>
            <w:tcW w:w="170" w:type="dxa"/>
            <w:tcBorders/>
            <w:shd w:fill="CCEEFF" w:val="clear"/>
            <w:vAlign w:val="center"/>
          </w:tcPr>
          <w:p>
            <w:pPr>
              <w:pStyle w:val="TableContents"/>
              <w:spacing w:before="0" w:after="0"/>
              <w:ind w:left="0" w:right="0" w:hanging="0"/>
              <w:rPr/>
            </w:pPr>
            <w:r>
              <w:rPr/>
              <w:t> </w:t>
            </w:r>
          </w:p>
        </w:tc>
        <w:tc>
          <w:tcPr>
            <w:tcW w:w="237" w:type="dxa"/>
            <w:tcBorders/>
            <w:shd w:fill="CCEEFF" w:val="clear"/>
            <w:vAlign w:val="center"/>
          </w:tcPr>
          <w:p>
            <w:pPr>
              <w:pStyle w:val="TableContents"/>
              <w:spacing w:before="0" w:after="283"/>
              <w:rPr/>
            </w:pPr>
            <w:r>
              <w:rPr/>
              <w:t>$</w:t>
            </w:r>
          </w:p>
        </w:tc>
        <w:tc>
          <w:tcPr>
            <w:tcW w:w="1748" w:type="dxa"/>
            <w:tcBorders/>
            <w:shd w:fill="CCEEFF" w:val="clear"/>
            <w:vAlign w:val="center"/>
          </w:tcPr>
          <w:p>
            <w:pPr>
              <w:pStyle w:val="TableContents"/>
              <w:spacing w:before="0" w:after="283"/>
              <w:jc w:val="right"/>
              <w:rPr/>
            </w:pPr>
            <w:r>
              <w:rPr/>
              <w:t>8,000,000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37" w:type="dxa"/>
            <w:tcBorders/>
            <w:shd w:fill="CCEEFF" w:val="clear"/>
            <w:vAlign w:val="center"/>
          </w:tcPr>
          <w:p>
            <w:pPr>
              <w:pStyle w:val="TableContents"/>
              <w:spacing w:before="0" w:after="283"/>
              <w:rPr/>
            </w:pPr>
            <w:r>
              <w:rPr/>
              <w:t>$</w:t>
            </w:r>
          </w:p>
        </w:tc>
        <w:tc>
          <w:tcPr>
            <w:tcW w:w="1748" w:type="dxa"/>
            <w:tcBorders/>
            <w:shd w:fill="CCEEFF" w:val="clear"/>
            <w:vAlign w:val="center"/>
          </w:tcPr>
          <w:p>
            <w:pPr>
              <w:pStyle w:val="TableContents"/>
              <w:spacing w:before="0" w:after="283"/>
              <w:jc w:val="right"/>
              <w:rPr/>
            </w:pPr>
            <w:r>
              <w:rPr/>
              <w:t>9,000,000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37" w:type="dxa"/>
            <w:tcBorders/>
            <w:shd w:fill="CCEEFF" w:val="clear"/>
            <w:vAlign w:val="center"/>
          </w:tcPr>
          <w:p>
            <w:pPr>
              <w:pStyle w:val="TableContents"/>
              <w:spacing w:before="0" w:after="283"/>
              <w:rPr/>
            </w:pPr>
            <w:r>
              <w:rPr/>
              <w:t>$</w:t>
            </w:r>
          </w:p>
        </w:tc>
        <w:tc>
          <w:tcPr>
            <w:tcW w:w="1748" w:type="dxa"/>
            <w:tcBorders/>
            <w:shd w:fill="CCEEFF" w:val="clear"/>
            <w:vAlign w:val="center"/>
          </w:tcPr>
          <w:p>
            <w:pPr>
              <w:pStyle w:val="TableContents"/>
              <w:spacing w:before="0" w:after="283"/>
              <w:jc w:val="right"/>
              <w:rPr/>
            </w:pPr>
            <w:r>
              <w:rPr/>
              <w:t>10,000,000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37" w:type="dxa"/>
            <w:tcBorders/>
            <w:shd w:fill="CCEEFF" w:val="clear"/>
            <w:vAlign w:val="center"/>
          </w:tcPr>
          <w:p>
            <w:pPr>
              <w:pStyle w:val="TableContents"/>
              <w:spacing w:before="0" w:after="283"/>
              <w:rPr/>
            </w:pPr>
            <w:r>
              <w:rPr/>
              <w:t>$</w:t>
            </w:r>
          </w:p>
        </w:tc>
        <w:tc>
          <w:tcPr>
            <w:tcW w:w="1748" w:type="dxa"/>
            <w:tcBorders/>
            <w:shd w:fill="CCEEFF" w:val="clear"/>
            <w:vAlign w:val="center"/>
          </w:tcPr>
          <w:p>
            <w:pPr>
              <w:pStyle w:val="TableContents"/>
              <w:spacing w:before="0" w:after="283"/>
              <w:jc w:val="right"/>
              <w:rPr/>
            </w:pPr>
            <w:r>
              <w:rPr/>
              <w:t>10,000,000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10,000,000</w:t>
            </w:r>
          </w:p>
        </w:tc>
        <w:tc>
          <w:tcPr>
            <w:tcW w:w="135" w:type="dxa"/>
            <w:tcBorders/>
            <w:shd w:fill="CCEEFF" w:val="clear"/>
            <w:vAlign w:val="center"/>
          </w:tcPr>
          <w:p>
            <w:pPr>
              <w:pStyle w:val="TableContents"/>
              <w:spacing w:before="0" w:after="0"/>
              <w:ind w:left="0" w:right="0" w:hanging="0"/>
              <w:rPr/>
            </w:pPr>
            <w:r>
              <w:rPr/>
              <w:t> </w:t>
            </w:r>
          </w:p>
        </w:tc>
      </w:tr>
      <w:tr>
        <w:trPr/>
        <w:tc>
          <w:tcPr>
            <w:tcW w:w="1560" w:type="dxa"/>
            <w:tcBorders/>
            <w:shd w:fill="FFFFFF" w:val="clear"/>
            <w:vAlign w:val="center"/>
          </w:tcPr>
          <w:p>
            <w:pPr>
              <w:pStyle w:val="TableContents"/>
              <w:spacing w:before="0" w:after="0"/>
              <w:ind w:left="0" w:right="0" w:firstLine="480"/>
              <w:rPr/>
            </w:pPr>
            <w:r>
              <w:rPr/>
              <w:t xml:space="preserve">Expiration date (7) </w:t>
            </w:r>
          </w:p>
        </w:tc>
        <w:tc>
          <w:tcPr>
            <w:tcW w:w="170" w:type="dxa"/>
            <w:tcBorders/>
            <w:shd w:fill="FFFFFF" w:val="clear"/>
            <w:vAlign w:val="center"/>
          </w:tcPr>
          <w:p>
            <w:pPr>
              <w:pStyle w:val="TableContents"/>
              <w:spacing w:before="0" w:after="0"/>
              <w:ind w:left="0" w:right="0" w:hanging="0"/>
              <w:rPr/>
            </w:pPr>
            <w:r>
              <w:rPr/>
              <w:t> </w:t>
            </w:r>
          </w:p>
        </w:tc>
        <w:tc>
          <w:tcPr>
            <w:tcW w:w="1985" w:type="dxa"/>
            <w:gridSpan w:val="2"/>
            <w:tcBorders/>
            <w:shd w:fill="FFFFFF" w:val="clear"/>
            <w:vAlign w:val="center"/>
          </w:tcPr>
          <w:p>
            <w:pPr>
              <w:pStyle w:val="TableContents"/>
              <w:spacing w:before="0" w:after="0"/>
              <w:ind w:left="0" w:right="0" w:hanging="0"/>
              <w:jc w:val="right"/>
              <w:rPr/>
            </w:pPr>
            <w:r>
              <w:rPr/>
              <w:t>June 30, 2021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985" w:type="dxa"/>
            <w:gridSpan w:val="2"/>
            <w:tcBorders/>
            <w:shd w:fill="FFFFFF" w:val="clear"/>
            <w:vAlign w:val="center"/>
          </w:tcPr>
          <w:p>
            <w:pPr>
              <w:pStyle w:val="TableContents"/>
              <w:spacing w:before="0" w:after="0"/>
              <w:ind w:left="0" w:right="0" w:hanging="0"/>
              <w:jc w:val="right"/>
              <w:rPr/>
            </w:pPr>
            <w:r>
              <w:rPr/>
              <w:t>June 30, 2021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985" w:type="dxa"/>
            <w:gridSpan w:val="2"/>
            <w:tcBorders/>
            <w:shd w:fill="FFFFFF" w:val="clear"/>
            <w:vAlign w:val="center"/>
          </w:tcPr>
          <w:p>
            <w:pPr>
              <w:pStyle w:val="TableContents"/>
              <w:spacing w:before="0" w:after="0"/>
              <w:ind w:left="0" w:right="0" w:hanging="0"/>
              <w:jc w:val="right"/>
              <w:rPr/>
            </w:pPr>
            <w:r>
              <w:rPr/>
              <w:t>June 30, 2020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985" w:type="dxa"/>
            <w:gridSpan w:val="2"/>
            <w:tcBorders/>
            <w:shd w:fill="FFFFFF" w:val="clear"/>
            <w:vAlign w:val="center"/>
          </w:tcPr>
          <w:p>
            <w:pPr>
              <w:pStyle w:val="TableContents"/>
              <w:spacing w:before="0" w:after="0"/>
              <w:ind w:left="0" w:right="0" w:hanging="0"/>
              <w:jc w:val="right"/>
              <w:rPr/>
            </w:pPr>
            <w:r>
              <w:rPr/>
              <w:t>June 30, 2020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20" w:type="dxa"/>
            <w:gridSpan w:val="2"/>
            <w:tcBorders/>
            <w:shd w:fill="FFFFFF" w:val="clear"/>
            <w:vAlign w:val="center"/>
          </w:tcPr>
          <w:p>
            <w:pPr>
              <w:pStyle w:val="TableContents"/>
              <w:spacing w:before="0" w:after="0"/>
              <w:ind w:left="0" w:right="0" w:hanging="0"/>
              <w:jc w:val="right"/>
              <w:rPr/>
            </w:pPr>
            <w:r>
              <w:rPr/>
              <w:t>June 30, 2019</w:t>
            </w:r>
          </w:p>
        </w:tc>
        <w:tc>
          <w:tcPr>
            <w:tcW w:w="135" w:type="dxa"/>
            <w:tcBorders/>
            <w:shd w:fill="FFFFFF" w:val="clear"/>
            <w:vAlign w:val="center"/>
          </w:tcPr>
          <w:p>
            <w:pPr>
              <w:pStyle w:val="TableContents"/>
              <w:spacing w:before="0" w:after="0"/>
              <w:ind w:left="0" w:right="0" w:hanging="0"/>
              <w:rPr/>
            </w:pPr>
            <w:r>
              <w:rPr/>
              <w:t> </w:t>
            </w:r>
          </w:p>
        </w:tc>
      </w:tr>
      <w:tr>
        <w:trPr/>
        <w:tc>
          <w:tcPr>
            <w:tcW w:w="156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237" w:type="dxa"/>
            <w:tcBorders/>
            <w:shd w:fill="FFFFFF" w:val="clear"/>
            <w:vAlign w:val="center"/>
          </w:tcPr>
          <w:p>
            <w:pPr>
              <w:pStyle w:val="TableContents"/>
              <w:spacing w:before="0" w:after="0"/>
              <w:ind w:left="0" w:right="0" w:hanging="0"/>
              <w:rPr/>
            </w:pPr>
            <w:r>
              <w:rPr/>
              <w:t> </w:t>
            </w:r>
          </w:p>
        </w:tc>
        <w:tc>
          <w:tcPr>
            <w:tcW w:w="174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37" w:type="dxa"/>
            <w:tcBorders/>
            <w:shd w:fill="FFFFFF" w:val="clear"/>
            <w:vAlign w:val="center"/>
          </w:tcPr>
          <w:p>
            <w:pPr>
              <w:pStyle w:val="TableContents"/>
              <w:spacing w:before="0" w:after="0"/>
              <w:ind w:left="0" w:right="0" w:hanging="0"/>
              <w:rPr/>
            </w:pPr>
            <w:r>
              <w:rPr/>
              <w:t> </w:t>
            </w:r>
          </w:p>
        </w:tc>
        <w:tc>
          <w:tcPr>
            <w:tcW w:w="174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37" w:type="dxa"/>
            <w:tcBorders/>
            <w:shd w:fill="FFFFFF" w:val="clear"/>
            <w:vAlign w:val="center"/>
          </w:tcPr>
          <w:p>
            <w:pPr>
              <w:pStyle w:val="TableContents"/>
              <w:spacing w:before="0" w:after="0"/>
              <w:ind w:left="0" w:right="0" w:hanging="0"/>
              <w:rPr/>
            </w:pPr>
            <w:r>
              <w:rPr/>
              <w:t> </w:t>
            </w:r>
          </w:p>
        </w:tc>
        <w:tc>
          <w:tcPr>
            <w:tcW w:w="174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37" w:type="dxa"/>
            <w:tcBorders/>
            <w:shd w:fill="FFFFFF" w:val="clear"/>
            <w:vAlign w:val="center"/>
          </w:tcPr>
          <w:p>
            <w:pPr>
              <w:pStyle w:val="TableContents"/>
              <w:spacing w:before="0" w:after="0"/>
              <w:ind w:left="0" w:right="0" w:hanging="0"/>
              <w:rPr/>
            </w:pPr>
            <w:r>
              <w:rPr/>
              <w:t> </w:t>
            </w:r>
          </w:p>
        </w:tc>
        <w:tc>
          <w:tcPr>
            <w:tcW w:w="174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35" w:type="dxa"/>
            <w:tcBorders/>
            <w:shd w:fill="FFFFFF" w:val="clear"/>
            <w:vAlign w:val="center"/>
          </w:tcPr>
          <w:p>
            <w:pPr>
              <w:pStyle w:val="TableContents"/>
              <w:spacing w:before="0" w:after="0"/>
              <w:ind w:left="0" w:right="0" w:hanging="0"/>
              <w:rPr/>
            </w:pPr>
            <w:r>
              <w:rPr/>
              <w:t> </w:t>
            </w:r>
          </w:p>
        </w:tc>
      </w:tr>
      <w:tr>
        <w:trPr/>
        <w:tc>
          <w:tcPr>
            <w:tcW w:w="1560" w:type="dxa"/>
            <w:tcBorders/>
            <w:shd w:fill="CCEEFF" w:val="clear"/>
            <w:vAlign w:val="center"/>
          </w:tcPr>
          <w:p>
            <w:pPr>
              <w:pStyle w:val="TableContents"/>
              <w:spacing w:before="0" w:after="0"/>
              <w:ind w:left="0" w:right="0" w:hanging="0"/>
              <w:jc w:val="both"/>
              <w:rPr>
                <w:u w:val="single"/>
              </w:rPr>
            </w:pPr>
            <w:r>
              <w:rPr>
                <w:u w:val="single"/>
              </w:rPr>
              <w:t>Catastrophe Reinsurance:</w:t>
            </w:r>
          </w:p>
        </w:tc>
        <w:tc>
          <w:tcPr>
            <w:tcW w:w="170" w:type="dxa"/>
            <w:tcBorders/>
            <w:shd w:fill="CCEEFF" w:val="clear"/>
            <w:vAlign w:val="center"/>
          </w:tcPr>
          <w:p>
            <w:pPr>
              <w:pStyle w:val="TableContents"/>
              <w:spacing w:before="0" w:after="0"/>
              <w:ind w:left="0" w:right="0" w:hanging="0"/>
              <w:rPr/>
            </w:pPr>
            <w:r>
              <w:rPr/>
              <w:t> </w:t>
            </w:r>
          </w:p>
        </w:tc>
        <w:tc>
          <w:tcPr>
            <w:tcW w:w="237" w:type="dxa"/>
            <w:tcBorders/>
            <w:shd w:fill="CCEEFF" w:val="clear"/>
            <w:vAlign w:val="center"/>
          </w:tcPr>
          <w:p>
            <w:pPr>
              <w:pStyle w:val="TableContents"/>
              <w:spacing w:before="0" w:after="0"/>
              <w:ind w:left="0" w:right="0" w:hanging="0"/>
              <w:rPr/>
            </w:pPr>
            <w:r>
              <w:rPr/>
              <w:t> </w:t>
            </w:r>
          </w:p>
        </w:tc>
        <w:tc>
          <w:tcPr>
            <w:tcW w:w="1748"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37" w:type="dxa"/>
            <w:tcBorders/>
            <w:shd w:fill="CCEEFF" w:val="clear"/>
            <w:vAlign w:val="center"/>
          </w:tcPr>
          <w:p>
            <w:pPr>
              <w:pStyle w:val="TableContents"/>
              <w:spacing w:before="0" w:after="0"/>
              <w:ind w:left="0" w:right="0" w:hanging="0"/>
              <w:rPr/>
            </w:pPr>
            <w:r>
              <w:rPr/>
              <w:t> </w:t>
            </w:r>
          </w:p>
        </w:tc>
        <w:tc>
          <w:tcPr>
            <w:tcW w:w="1748"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37" w:type="dxa"/>
            <w:tcBorders/>
            <w:shd w:fill="CCEEFF" w:val="clear"/>
            <w:vAlign w:val="center"/>
          </w:tcPr>
          <w:p>
            <w:pPr>
              <w:pStyle w:val="TableContents"/>
              <w:spacing w:before="0" w:after="0"/>
              <w:ind w:left="0" w:right="0" w:hanging="0"/>
              <w:rPr/>
            </w:pPr>
            <w:r>
              <w:rPr/>
              <w:t> </w:t>
            </w:r>
          </w:p>
        </w:tc>
        <w:tc>
          <w:tcPr>
            <w:tcW w:w="1748"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37" w:type="dxa"/>
            <w:tcBorders/>
            <w:shd w:fill="CCEEFF" w:val="clear"/>
            <w:vAlign w:val="center"/>
          </w:tcPr>
          <w:p>
            <w:pPr>
              <w:pStyle w:val="TableContents"/>
              <w:spacing w:before="0" w:after="0"/>
              <w:ind w:left="0" w:right="0" w:hanging="0"/>
              <w:rPr/>
            </w:pPr>
            <w:r>
              <w:rPr/>
              <w:t> </w:t>
            </w:r>
          </w:p>
        </w:tc>
        <w:tc>
          <w:tcPr>
            <w:tcW w:w="1748"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35" w:type="dxa"/>
            <w:tcBorders/>
            <w:shd w:fill="CCEEFF" w:val="clear"/>
            <w:vAlign w:val="center"/>
          </w:tcPr>
          <w:p>
            <w:pPr>
              <w:pStyle w:val="TableContents"/>
              <w:spacing w:before="0" w:after="0"/>
              <w:ind w:left="0" w:right="0" w:hanging="0"/>
              <w:rPr/>
            </w:pPr>
            <w:r>
              <w:rPr/>
              <w:t> </w:t>
            </w:r>
          </w:p>
        </w:tc>
      </w:tr>
      <w:tr>
        <w:trPr/>
        <w:tc>
          <w:tcPr>
            <w:tcW w:w="1560" w:type="dxa"/>
            <w:tcBorders/>
            <w:shd w:fill="FFFFFF" w:val="clear"/>
            <w:vAlign w:val="center"/>
          </w:tcPr>
          <w:p>
            <w:pPr>
              <w:pStyle w:val="TableContents"/>
              <w:spacing w:before="0" w:after="0"/>
              <w:ind w:left="0" w:right="0" w:firstLine="160"/>
              <w:rPr/>
            </w:pPr>
            <w:r>
              <w:rPr/>
              <w:t xml:space="preserve">Initial loss subject to personal </w:t>
            </w:r>
          </w:p>
        </w:tc>
        <w:tc>
          <w:tcPr>
            <w:tcW w:w="170" w:type="dxa"/>
            <w:tcBorders/>
            <w:shd w:fill="FFFFFF" w:val="clear"/>
            <w:vAlign w:val="center"/>
          </w:tcPr>
          <w:p>
            <w:pPr>
              <w:pStyle w:val="TableContents"/>
              <w:spacing w:before="0" w:after="0"/>
              <w:ind w:left="0" w:right="0" w:hanging="0"/>
              <w:rPr/>
            </w:pPr>
            <w:r>
              <w:rPr/>
              <w:t> </w:t>
            </w:r>
          </w:p>
        </w:tc>
        <w:tc>
          <w:tcPr>
            <w:tcW w:w="237" w:type="dxa"/>
            <w:tcBorders/>
            <w:shd w:fill="FFFFFF" w:val="clear"/>
            <w:vAlign w:val="center"/>
          </w:tcPr>
          <w:p>
            <w:pPr>
              <w:pStyle w:val="TableContents"/>
              <w:spacing w:before="0" w:after="0"/>
              <w:ind w:left="0" w:right="0" w:hanging="0"/>
              <w:rPr/>
            </w:pPr>
            <w:r>
              <w:rPr/>
              <w:t> </w:t>
            </w:r>
          </w:p>
        </w:tc>
        <w:tc>
          <w:tcPr>
            <w:tcW w:w="174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37" w:type="dxa"/>
            <w:tcBorders/>
            <w:shd w:fill="FFFFFF" w:val="clear"/>
            <w:vAlign w:val="center"/>
          </w:tcPr>
          <w:p>
            <w:pPr>
              <w:pStyle w:val="TableContents"/>
              <w:spacing w:before="0" w:after="0"/>
              <w:ind w:left="0" w:right="0" w:hanging="0"/>
              <w:rPr/>
            </w:pPr>
            <w:r>
              <w:rPr/>
              <w:t> </w:t>
            </w:r>
          </w:p>
        </w:tc>
        <w:tc>
          <w:tcPr>
            <w:tcW w:w="174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37" w:type="dxa"/>
            <w:tcBorders/>
            <w:shd w:fill="FFFFFF" w:val="clear"/>
            <w:vAlign w:val="center"/>
          </w:tcPr>
          <w:p>
            <w:pPr>
              <w:pStyle w:val="TableContents"/>
              <w:spacing w:before="0" w:after="0"/>
              <w:ind w:left="0" w:right="0" w:hanging="0"/>
              <w:rPr/>
            </w:pPr>
            <w:r>
              <w:rPr/>
              <w:t> </w:t>
            </w:r>
          </w:p>
        </w:tc>
        <w:tc>
          <w:tcPr>
            <w:tcW w:w="174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37" w:type="dxa"/>
            <w:tcBorders/>
            <w:shd w:fill="FFFFFF" w:val="clear"/>
            <w:vAlign w:val="center"/>
          </w:tcPr>
          <w:p>
            <w:pPr>
              <w:pStyle w:val="TableContents"/>
              <w:spacing w:before="0" w:after="0"/>
              <w:ind w:left="0" w:right="0" w:hanging="0"/>
              <w:rPr/>
            </w:pPr>
            <w:r>
              <w:rPr/>
              <w:t> </w:t>
            </w:r>
          </w:p>
        </w:tc>
        <w:tc>
          <w:tcPr>
            <w:tcW w:w="174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35" w:type="dxa"/>
            <w:tcBorders/>
            <w:shd w:fill="FFFFFF" w:val="clear"/>
            <w:vAlign w:val="center"/>
          </w:tcPr>
          <w:p>
            <w:pPr>
              <w:pStyle w:val="TableContents"/>
              <w:spacing w:before="0" w:after="0"/>
              <w:ind w:left="0" w:right="0" w:hanging="0"/>
              <w:rPr/>
            </w:pPr>
            <w:r>
              <w:rPr/>
              <w:t> </w:t>
            </w:r>
          </w:p>
        </w:tc>
      </w:tr>
      <w:tr>
        <w:trPr/>
        <w:tc>
          <w:tcPr>
            <w:tcW w:w="1560" w:type="dxa"/>
            <w:tcBorders/>
            <w:shd w:fill="FFFFFF" w:val="clear"/>
            <w:vAlign w:val="center"/>
          </w:tcPr>
          <w:p>
            <w:pPr>
              <w:pStyle w:val="TableContents"/>
              <w:spacing w:before="0" w:after="0"/>
              <w:ind w:left="0" w:right="0" w:firstLine="320"/>
              <w:rPr/>
            </w:pPr>
            <w:r>
              <w:rPr/>
              <w:t xml:space="preserve">lines quota share treaty </w:t>
            </w:r>
          </w:p>
        </w:tc>
        <w:tc>
          <w:tcPr>
            <w:tcW w:w="170" w:type="dxa"/>
            <w:tcBorders/>
            <w:shd w:fill="FFFFFF" w:val="clear"/>
            <w:vAlign w:val="center"/>
          </w:tcPr>
          <w:p>
            <w:pPr>
              <w:pStyle w:val="TableContents"/>
              <w:spacing w:before="0" w:after="0"/>
              <w:ind w:left="0" w:right="0" w:hanging="0"/>
              <w:rPr/>
            </w:pPr>
            <w:r>
              <w:rPr/>
              <w:t> </w:t>
            </w:r>
          </w:p>
        </w:tc>
        <w:tc>
          <w:tcPr>
            <w:tcW w:w="1985" w:type="dxa"/>
            <w:gridSpan w:val="2"/>
            <w:tcBorders/>
            <w:shd w:fill="FFFFFF" w:val="clear"/>
            <w:vAlign w:val="center"/>
          </w:tcPr>
          <w:p>
            <w:pPr>
              <w:pStyle w:val="TableContents"/>
              <w:spacing w:before="0" w:after="0"/>
              <w:ind w:left="0" w:right="0" w:hanging="0"/>
              <w:jc w:val="center"/>
              <w:rPr/>
            </w:pPr>
            <w:r>
              <w:rPr/>
              <w:t xml:space="preserve">None (7)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37" w:type="dxa"/>
            <w:tcBorders/>
            <w:shd w:fill="FFFFFF" w:val="clear"/>
            <w:vAlign w:val="center"/>
          </w:tcPr>
          <w:p>
            <w:pPr>
              <w:pStyle w:val="TableContents"/>
              <w:spacing w:before="0" w:after="283"/>
              <w:rPr/>
            </w:pPr>
            <w:r>
              <w:rPr/>
              <w:t>$</w:t>
            </w:r>
          </w:p>
        </w:tc>
        <w:tc>
          <w:tcPr>
            <w:tcW w:w="1748" w:type="dxa"/>
            <w:tcBorders/>
            <w:shd w:fill="FFFFFF" w:val="clear"/>
            <w:vAlign w:val="center"/>
          </w:tcPr>
          <w:p>
            <w:pPr>
              <w:pStyle w:val="TableContents"/>
              <w:spacing w:before="0" w:after="283"/>
              <w:jc w:val="right"/>
              <w:rPr/>
            </w:pPr>
            <w:r>
              <w:rPr/>
              <w:t>7,500,000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37" w:type="dxa"/>
            <w:tcBorders/>
            <w:shd w:fill="FFFFFF" w:val="clear"/>
            <w:vAlign w:val="center"/>
          </w:tcPr>
          <w:p>
            <w:pPr>
              <w:pStyle w:val="TableContents"/>
              <w:spacing w:before="0" w:after="283"/>
              <w:rPr/>
            </w:pPr>
            <w:r>
              <w:rPr/>
              <w:t>$</w:t>
            </w:r>
          </w:p>
        </w:tc>
        <w:tc>
          <w:tcPr>
            <w:tcW w:w="1748" w:type="dxa"/>
            <w:tcBorders/>
            <w:shd w:fill="FFFFFF" w:val="clear"/>
            <w:vAlign w:val="center"/>
          </w:tcPr>
          <w:p>
            <w:pPr>
              <w:pStyle w:val="TableContents"/>
              <w:spacing w:before="0" w:after="283"/>
              <w:jc w:val="right"/>
              <w:rPr/>
            </w:pPr>
            <w:r>
              <w:rPr/>
              <w:t>7,500,000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985" w:type="dxa"/>
            <w:gridSpan w:val="2"/>
            <w:tcBorders/>
            <w:shd w:fill="FFFFFF" w:val="clear"/>
            <w:vAlign w:val="center"/>
          </w:tcPr>
          <w:p>
            <w:pPr>
              <w:pStyle w:val="TableContents"/>
              <w:spacing w:before="0" w:after="0"/>
              <w:ind w:left="0" w:right="0" w:hanging="0"/>
              <w:jc w:val="center"/>
              <w:rPr/>
            </w:pPr>
            <w:r>
              <w:rPr/>
              <w:t>None</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5,000,000</w:t>
            </w:r>
          </w:p>
        </w:tc>
        <w:tc>
          <w:tcPr>
            <w:tcW w:w="135" w:type="dxa"/>
            <w:tcBorders/>
            <w:shd w:fill="FFFFFF" w:val="clear"/>
            <w:vAlign w:val="center"/>
          </w:tcPr>
          <w:p>
            <w:pPr>
              <w:pStyle w:val="TableContents"/>
              <w:spacing w:before="0" w:after="0"/>
              <w:ind w:left="0" w:right="0" w:hanging="0"/>
              <w:rPr/>
            </w:pPr>
            <w:r>
              <w:rPr/>
              <w:t> </w:t>
            </w:r>
          </w:p>
        </w:tc>
      </w:tr>
      <w:tr>
        <w:trPr/>
        <w:tc>
          <w:tcPr>
            <w:tcW w:w="1560" w:type="dxa"/>
            <w:tcBorders/>
            <w:shd w:fill="CCEEFF" w:val="clear"/>
            <w:vAlign w:val="center"/>
          </w:tcPr>
          <w:p>
            <w:pPr>
              <w:pStyle w:val="TableContents"/>
              <w:spacing w:before="0" w:after="0"/>
              <w:ind w:left="0" w:right="0" w:firstLine="160"/>
              <w:rPr/>
            </w:pPr>
            <w:r>
              <w:rPr/>
              <w:t xml:space="preserve">Risk retained per catastrophe </w:t>
            </w:r>
          </w:p>
        </w:tc>
        <w:tc>
          <w:tcPr>
            <w:tcW w:w="170" w:type="dxa"/>
            <w:tcBorders/>
            <w:shd w:fill="CCEEFF" w:val="clear"/>
            <w:vAlign w:val="center"/>
          </w:tcPr>
          <w:p>
            <w:pPr>
              <w:pStyle w:val="TableContents"/>
              <w:spacing w:before="0" w:after="0"/>
              <w:ind w:left="0" w:right="0" w:hanging="0"/>
              <w:rPr/>
            </w:pPr>
            <w:r>
              <w:rPr/>
              <w:t> </w:t>
            </w:r>
          </w:p>
        </w:tc>
        <w:tc>
          <w:tcPr>
            <w:tcW w:w="237" w:type="dxa"/>
            <w:tcBorders/>
            <w:shd w:fill="CCEEFF" w:val="clear"/>
            <w:vAlign w:val="center"/>
          </w:tcPr>
          <w:p>
            <w:pPr>
              <w:pStyle w:val="TableContents"/>
              <w:spacing w:before="0" w:after="0"/>
              <w:ind w:left="0" w:right="0" w:hanging="0"/>
              <w:rPr/>
            </w:pPr>
            <w:r>
              <w:rPr/>
              <w:t> </w:t>
            </w:r>
          </w:p>
        </w:tc>
        <w:tc>
          <w:tcPr>
            <w:tcW w:w="1748"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37" w:type="dxa"/>
            <w:tcBorders/>
            <w:shd w:fill="CCEEFF" w:val="clear"/>
            <w:vAlign w:val="center"/>
          </w:tcPr>
          <w:p>
            <w:pPr>
              <w:pStyle w:val="TableContents"/>
              <w:spacing w:before="0" w:after="0"/>
              <w:ind w:left="0" w:right="0" w:hanging="0"/>
              <w:rPr/>
            </w:pPr>
            <w:r>
              <w:rPr/>
              <w:t> </w:t>
            </w:r>
          </w:p>
        </w:tc>
        <w:tc>
          <w:tcPr>
            <w:tcW w:w="1748"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37" w:type="dxa"/>
            <w:tcBorders/>
            <w:shd w:fill="CCEEFF" w:val="clear"/>
            <w:vAlign w:val="center"/>
          </w:tcPr>
          <w:p>
            <w:pPr>
              <w:pStyle w:val="TableContents"/>
              <w:spacing w:before="0" w:after="0"/>
              <w:ind w:left="0" w:right="0" w:hanging="0"/>
              <w:rPr/>
            </w:pPr>
            <w:r>
              <w:rPr/>
              <w:t> </w:t>
            </w:r>
          </w:p>
        </w:tc>
        <w:tc>
          <w:tcPr>
            <w:tcW w:w="1748"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37" w:type="dxa"/>
            <w:tcBorders/>
            <w:shd w:fill="CCEEFF" w:val="clear"/>
            <w:vAlign w:val="center"/>
          </w:tcPr>
          <w:p>
            <w:pPr>
              <w:pStyle w:val="TableContents"/>
              <w:spacing w:before="0" w:after="0"/>
              <w:ind w:left="0" w:right="0" w:hanging="0"/>
              <w:rPr/>
            </w:pPr>
            <w:r>
              <w:rPr/>
              <w:t> </w:t>
            </w:r>
          </w:p>
        </w:tc>
        <w:tc>
          <w:tcPr>
            <w:tcW w:w="1748"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35" w:type="dxa"/>
            <w:tcBorders/>
            <w:shd w:fill="CCEEFF" w:val="clear"/>
            <w:vAlign w:val="center"/>
          </w:tcPr>
          <w:p>
            <w:pPr>
              <w:pStyle w:val="TableContents"/>
              <w:spacing w:before="0" w:after="0"/>
              <w:ind w:left="0" w:right="0" w:hanging="0"/>
              <w:rPr/>
            </w:pPr>
            <w:r>
              <w:rPr/>
              <w:t> </w:t>
            </w:r>
          </w:p>
        </w:tc>
      </w:tr>
      <w:tr>
        <w:trPr/>
        <w:tc>
          <w:tcPr>
            <w:tcW w:w="1560" w:type="dxa"/>
            <w:tcBorders/>
            <w:shd w:fill="CCEEFF" w:val="clear"/>
            <w:vAlign w:val="center"/>
          </w:tcPr>
          <w:p>
            <w:pPr>
              <w:pStyle w:val="TableContents"/>
              <w:spacing w:before="0" w:after="0"/>
              <w:ind w:left="0" w:right="0" w:firstLine="320"/>
              <w:rPr/>
            </w:pPr>
            <w:r>
              <w:rPr/>
              <w:t xml:space="preserve">occurrence (2) (7) </w:t>
            </w:r>
          </w:p>
        </w:tc>
        <w:tc>
          <w:tcPr>
            <w:tcW w:w="170" w:type="dxa"/>
            <w:tcBorders/>
            <w:shd w:fill="CCEEFF" w:val="clear"/>
            <w:vAlign w:val="center"/>
          </w:tcPr>
          <w:p>
            <w:pPr>
              <w:pStyle w:val="TableContents"/>
              <w:spacing w:before="0" w:after="0"/>
              <w:ind w:left="0" w:right="0" w:hanging="0"/>
              <w:rPr/>
            </w:pPr>
            <w:r>
              <w:rPr/>
              <w:t> </w:t>
            </w:r>
          </w:p>
        </w:tc>
        <w:tc>
          <w:tcPr>
            <w:tcW w:w="237" w:type="dxa"/>
            <w:tcBorders/>
            <w:shd w:fill="CCEEFF" w:val="clear"/>
            <w:vAlign w:val="center"/>
          </w:tcPr>
          <w:p>
            <w:pPr>
              <w:pStyle w:val="TableContents"/>
              <w:spacing w:before="0" w:after="283"/>
              <w:rPr/>
            </w:pPr>
            <w:r>
              <w:rPr/>
              <w:t>$</w:t>
            </w:r>
          </w:p>
        </w:tc>
        <w:tc>
          <w:tcPr>
            <w:tcW w:w="1748" w:type="dxa"/>
            <w:tcBorders/>
            <w:shd w:fill="CCEEFF" w:val="clear"/>
            <w:vAlign w:val="center"/>
          </w:tcPr>
          <w:p>
            <w:pPr>
              <w:pStyle w:val="TableContents"/>
              <w:spacing w:before="0" w:after="283"/>
              <w:jc w:val="right"/>
              <w:rPr/>
            </w:pPr>
            <w:r>
              <w:rPr/>
              <w:t>10,000,000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37" w:type="dxa"/>
            <w:tcBorders/>
            <w:shd w:fill="CCEEFF" w:val="clear"/>
            <w:vAlign w:val="center"/>
          </w:tcPr>
          <w:p>
            <w:pPr>
              <w:pStyle w:val="TableContents"/>
              <w:spacing w:before="0" w:after="283"/>
              <w:rPr/>
            </w:pPr>
            <w:r>
              <w:rPr/>
              <w:t>$</w:t>
            </w:r>
          </w:p>
        </w:tc>
        <w:tc>
          <w:tcPr>
            <w:tcW w:w="1748" w:type="dxa"/>
            <w:tcBorders/>
            <w:shd w:fill="CCEEFF" w:val="clear"/>
            <w:vAlign w:val="center"/>
          </w:tcPr>
          <w:p>
            <w:pPr>
              <w:pStyle w:val="TableContents"/>
              <w:spacing w:before="0" w:after="283"/>
              <w:jc w:val="right"/>
              <w:rPr/>
            </w:pPr>
            <w:r>
              <w:rPr/>
              <w:t>8,125,000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37" w:type="dxa"/>
            <w:tcBorders/>
            <w:shd w:fill="CCEEFF" w:val="clear"/>
            <w:vAlign w:val="center"/>
          </w:tcPr>
          <w:p>
            <w:pPr>
              <w:pStyle w:val="TableContents"/>
              <w:spacing w:before="0" w:after="283"/>
              <w:rPr/>
            </w:pPr>
            <w:r>
              <w:rPr/>
              <w:t>$</w:t>
            </w:r>
          </w:p>
        </w:tc>
        <w:tc>
          <w:tcPr>
            <w:tcW w:w="1748" w:type="dxa"/>
            <w:tcBorders/>
            <w:shd w:fill="CCEEFF" w:val="clear"/>
            <w:vAlign w:val="center"/>
          </w:tcPr>
          <w:p>
            <w:pPr>
              <w:pStyle w:val="TableContents"/>
              <w:spacing w:before="0" w:after="283"/>
              <w:jc w:val="right"/>
              <w:rPr/>
            </w:pPr>
            <w:r>
              <w:rPr/>
              <w:t>5,625,000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37" w:type="dxa"/>
            <w:tcBorders/>
            <w:shd w:fill="CCEEFF" w:val="clear"/>
            <w:vAlign w:val="center"/>
          </w:tcPr>
          <w:p>
            <w:pPr>
              <w:pStyle w:val="TableContents"/>
              <w:spacing w:before="0" w:after="283"/>
              <w:rPr/>
            </w:pPr>
            <w:r>
              <w:rPr/>
              <w:t>$</w:t>
            </w:r>
          </w:p>
        </w:tc>
        <w:tc>
          <w:tcPr>
            <w:tcW w:w="1748" w:type="dxa"/>
            <w:tcBorders/>
            <w:shd w:fill="CCEEFF" w:val="clear"/>
            <w:vAlign w:val="center"/>
          </w:tcPr>
          <w:p>
            <w:pPr>
              <w:pStyle w:val="TableContents"/>
              <w:spacing w:before="0" w:after="283"/>
              <w:jc w:val="right"/>
              <w:rPr/>
            </w:pPr>
            <w:r>
              <w:rPr/>
              <w:t>7,500,000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4,500,000</w:t>
            </w:r>
          </w:p>
        </w:tc>
        <w:tc>
          <w:tcPr>
            <w:tcW w:w="135" w:type="dxa"/>
            <w:tcBorders/>
            <w:shd w:fill="CCEEFF" w:val="clear"/>
            <w:vAlign w:val="center"/>
          </w:tcPr>
          <w:p>
            <w:pPr>
              <w:pStyle w:val="TableContents"/>
              <w:spacing w:before="0" w:after="0"/>
              <w:ind w:left="0" w:right="0" w:hanging="0"/>
              <w:rPr/>
            </w:pPr>
            <w:r>
              <w:rPr/>
              <w:t> </w:t>
            </w:r>
          </w:p>
        </w:tc>
      </w:tr>
      <w:tr>
        <w:trPr/>
        <w:tc>
          <w:tcPr>
            <w:tcW w:w="1560" w:type="dxa"/>
            <w:tcBorders/>
            <w:shd w:fill="FFFFFF" w:val="clear"/>
            <w:vAlign w:val="center"/>
          </w:tcPr>
          <w:p>
            <w:pPr>
              <w:pStyle w:val="TableContents"/>
              <w:spacing w:before="0" w:after="0"/>
              <w:ind w:left="0" w:right="0" w:firstLine="160"/>
              <w:rPr/>
            </w:pPr>
            <w:r>
              <w:rPr/>
              <w:t xml:space="preserve">Catastrophe loss coverage </w:t>
            </w:r>
          </w:p>
        </w:tc>
        <w:tc>
          <w:tcPr>
            <w:tcW w:w="170" w:type="dxa"/>
            <w:tcBorders/>
            <w:shd w:fill="FFFFFF" w:val="clear"/>
            <w:vAlign w:val="center"/>
          </w:tcPr>
          <w:p>
            <w:pPr>
              <w:pStyle w:val="TableContents"/>
              <w:spacing w:before="0" w:after="0"/>
              <w:ind w:left="0" w:right="0" w:hanging="0"/>
              <w:rPr/>
            </w:pPr>
            <w:r>
              <w:rPr/>
              <w:t> </w:t>
            </w:r>
          </w:p>
        </w:tc>
        <w:tc>
          <w:tcPr>
            <w:tcW w:w="237" w:type="dxa"/>
            <w:tcBorders/>
            <w:shd w:fill="FFFFFF" w:val="clear"/>
            <w:vAlign w:val="center"/>
          </w:tcPr>
          <w:p>
            <w:pPr>
              <w:pStyle w:val="TableContents"/>
              <w:spacing w:before="0" w:after="0"/>
              <w:ind w:left="0" w:right="0" w:hanging="0"/>
              <w:rPr/>
            </w:pPr>
            <w:r>
              <w:rPr/>
              <w:t> </w:t>
            </w:r>
          </w:p>
        </w:tc>
        <w:tc>
          <w:tcPr>
            <w:tcW w:w="174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37" w:type="dxa"/>
            <w:tcBorders/>
            <w:shd w:fill="FFFFFF" w:val="clear"/>
            <w:vAlign w:val="center"/>
          </w:tcPr>
          <w:p>
            <w:pPr>
              <w:pStyle w:val="TableContents"/>
              <w:spacing w:before="0" w:after="0"/>
              <w:ind w:left="0" w:right="0" w:hanging="0"/>
              <w:rPr/>
            </w:pPr>
            <w:r>
              <w:rPr/>
              <w:t> </w:t>
            </w:r>
          </w:p>
        </w:tc>
        <w:tc>
          <w:tcPr>
            <w:tcW w:w="174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37" w:type="dxa"/>
            <w:tcBorders/>
            <w:shd w:fill="FFFFFF" w:val="clear"/>
            <w:vAlign w:val="center"/>
          </w:tcPr>
          <w:p>
            <w:pPr>
              <w:pStyle w:val="TableContents"/>
              <w:spacing w:before="0" w:after="0"/>
              <w:ind w:left="0" w:right="0" w:hanging="0"/>
              <w:rPr/>
            </w:pPr>
            <w:r>
              <w:rPr/>
              <w:t> </w:t>
            </w:r>
          </w:p>
        </w:tc>
        <w:tc>
          <w:tcPr>
            <w:tcW w:w="174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37" w:type="dxa"/>
            <w:tcBorders/>
            <w:shd w:fill="FFFFFF" w:val="clear"/>
            <w:vAlign w:val="center"/>
          </w:tcPr>
          <w:p>
            <w:pPr>
              <w:pStyle w:val="TableContents"/>
              <w:spacing w:before="0" w:after="0"/>
              <w:ind w:left="0" w:right="0" w:hanging="0"/>
              <w:rPr/>
            </w:pPr>
            <w:r>
              <w:rPr/>
              <w:t> </w:t>
            </w:r>
          </w:p>
        </w:tc>
        <w:tc>
          <w:tcPr>
            <w:tcW w:w="174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35" w:type="dxa"/>
            <w:tcBorders/>
            <w:shd w:fill="FFFFFF" w:val="clear"/>
            <w:vAlign w:val="center"/>
          </w:tcPr>
          <w:p>
            <w:pPr>
              <w:pStyle w:val="TableContents"/>
              <w:spacing w:before="0" w:after="0"/>
              <w:ind w:left="0" w:right="0" w:hanging="0"/>
              <w:rPr/>
            </w:pPr>
            <w:r>
              <w:rPr/>
              <w:t> </w:t>
            </w:r>
          </w:p>
        </w:tc>
      </w:tr>
      <w:tr>
        <w:trPr/>
        <w:tc>
          <w:tcPr>
            <w:tcW w:w="1560" w:type="dxa"/>
            <w:tcBorders/>
            <w:shd w:fill="FFFFFF" w:val="clear"/>
            <w:vAlign w:val="center"/>
          </w:tcPr>
          <w:p>
            <w:pPr>
              <w:pStyle w:val="TableContents"/>
              <w:spacing w:before="0" w:after="0"/>
              <w:ind w:left="0" w:right="0" w:firstLine="320"/>
              <w:rPr/>
            </w:pPr>
            <w:r>
              <w:rPr/>
              <w:t xml:space="preserve">in excess of </w:t>
            </w:r>
          </w:p>
        </w:tc>
        <w:tc>
          <w:tcPr>
            <w:tcW w:w="170" w:type="dxa"/>
            <w:tcBorders/>
            <w:shd w:fill="FFFFFF" w:val="clear"/>
            <w:vAlign w:val="center"/>
          </w:tcPr>
          <w:p>
            <w:pPr>
              <w:pStyle w:val="TableContents"/>
              <w:spacing w:before="0" w:after="0"/>
              <w:ind w:left="0" w:right="0" w:hanging="0"/>
              <w:rPr/>
            </w:pPr>
            <w:r>
              <w:rPr/>
              <w:t> </w:t>
            </w:r>
          </w:p>
        </w:tc>
        <w:tc>
          <w:tcPr>
            <w:tcW w:w="237" w:type="dxa"/>
            <w:tcBorders/>
            <w:shd w:fill="FFFFFF" w:val="clear"/>
            <w:vAlign w:val="center"/>
          </w:tcPr>
          <w:p>
            <w:pPr>
              <w:pStyle w:val="TableContents"/>
              <w:spacing w:before="0" w:after="0"/>
              <w:ind w:left="0" w:right="0" w:hanging="0"/>
              <w:rPr/>
            </w:pPr>
            <w:r>
              <w:rPr/>
              <w:t> </w:t>
            </w:r>
          </w:p>
        </w:tc>
        <w:tc>
          <w:tcPr>
            <w:tcW w:w="174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37" w:type="dxa"/>
            <w:tcBorders/>
            <w:shd w:fill="FFFFFF" w:val="clear"/>
            <w:vAlign w:val="center"/>
          </w:tcPr>
          <w:p>
            <w:pPr>
              <w:pStyle w:val="TableContents"/>
              <w:spacing w:before="0" w:after="0"/>
              <w:ind w:left="0" w:right="0" w:hanging="0"/>
              <w:rPr/>
            </w:pPr>
            <w:r>
              <w:rPr/>
              <w:t> </w:t>
            </w:r>
          </w:p>
        </w:tc>
        <w:tc>
          <w:tcPr>
            <w:tcW w:w="174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37" w:type="dxa"/>
            <w:tcBorders/>
            <w:shd w:fill="FFFFFF" w:val="clear"/>
            <w:vAlign w:val="center"/>
          </w:tcPr>
          <w:p>
            <w:pPr>
              <w:pStyle w:val="TableContents"/>
              <w:spacing w:before="0" w:after="0"/>
              <w:ind w:left="0" w:right="0" w:hanging="0"/>
              <w:rPr/>
            </w:pPr>
            <w:r>
              <w:rPr/>
              <w:t> </w:t>
            </w:r>
          </w:p>
        </w:tc>
        <w:tc>
          <w:tcPr>
            <w:tcW w:w="174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37" w:type="dxa"/>
            <w:tcBorders/>
            <w:shd w:fill="FFFFFF" w:val="clear"/>
            <w:vAlign w:val="center"/>
          </w:tcPr>
          <w:p>
            <w:pPr>
              <w:pStyle w:val="TableContents"/>
              <w:spacing w:before="0" w:after="0"/>
              <w:ind w:left="0" w:right="0" w:hanging="0"/>
              <w:rPr/>
            </w:pPr>
            <w:r>
              <w:rPr/>
              <w:t> </w:t>
            </w:r>
          </w:p>
        </w:tc>
        <w:tc>
          <w:tcPr>
            <w:tcW w:w="174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35" w:type="dxa"/>
            <w:tcBorders/>
            <w:shd w:fill="FFFFFF" w:val="clear"/>
            <w:vAlign w:val="center"/>
          </w:tcPr>
          <w:p>
            <w:pPr>
              <w:pStyle w:val="TableContents"/>
              <w:spacing w:before="0" w:after="0"/>
              <w:ind w:left="0" w:right="0" w:hanging="0"/>
              <w:rPr/>
            </w:pPr>
            <w:r>
              <w:rPr/>
              <w:t> </w:t>
            </w:r>
          </w:p>
        </w:tc>
      </w:tr>
      <w:tr>
        <w:trPr/>
        <w:tc>
          <w:tcPr>
            <w:tcW w:w="1560" w:type="dxa"/>
            <w:tcBorders/>
            <w:shd w:fill="FFFFFF" w:val="clear"/>
            <w:vAlign w:val="center"/>
          </w:tcPr>
          <w:p>
            <w:pPr>
              <w:pStyle w:val="TableContents"/>
              <w:spacing w:before="0" w:after="0"/>
              <w:ind w:left="0" w:right="0" w:firstLine="320"/>
              <w:rPr/>
            </w:pPr>
            <w:r>
              <w:rPr/>
              <w:t xml:space="preserve">quota share coverage (3) (7) </w:t>
            </w:r>
          </w:p>
        </w:tc>
        <w:tc>
          <w:tcPr>
            <w:tcW w:w="170" w:type="dxa"/>
            <w:tcBorders/>
            <w:shd w:fill="FFFFFF" w:val="clear"/>
            <w:vAlign w:val="center"/>
          </w:tcPr>
          <w:p>
            <w:pPr>
              <w:pStyle w:val="TableContents"/>
              <w:spacing w:before="0" w:after="0"/>
              <w:ind w:left="0" w:right="0" w:hanging="0"/>
              <w:rPr/>
            </w:pPr>
            <w:r>
              <w:rPr/>
              <w:t> </w:t>
            </w:r>
          </w:p>
        </w:tc>
        <w:tc>
          <w:tcPr>
            <w:tcW w:w="237" w:type="dxa"/>
            <w:tcBorders/>
            <w:shd w:fill="FFFFFF" w:val="clear"/>
            <w:vAlign w:val="center"/>
          </w:tcPr>
          <w:p>
            <w:pPr>
              <w:pStyle w:val="TableContents"/>
              <w:spacing w:before="0" w:after="283"/>
              <w:rPr/>
            </w:pPr>
            <w:r>
              <w:rPr/>
              <w:t>$</w:t>
            </w:r>
          </w:p>
        </w:tc>
        <w:tc>
          <w:tcPr>
            <w:tcW w:w="1748" w:type="dxa"/>
            <w:tcBorders/>
            <w:shd w:fill="FFFFFF" w:val="clear"/>
            <w:vAlign w:val="center"/>
          </w:tcPr>
          <w:p>
            <w:pPr>
              <w:pStyle w:val="TableContents"/>
              <w:spacing w:before="0" w:after="283"/>
              <w:jc w:val="right"/>
              <w:rPr/>
            </w:pPr>
            <w:r>
              <w:rPr/>
              <w:t>475,000,000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37" w:type="dxa"/>
            <w:tcBorders/>
            <w:shd w:fill="FFFFFF" w:val="clear"/>
            <w:vAlign w:val="center"/>
          </w:tcPr>
          <w:p>
            <w:pPr>
              <w:pStyle w:val="TableContents"/>
              <w:spacing w:before="0" w:after="283"/>
              <w:rPr/>
            </w:pPr>
            <w:r>
              <w:rPr/>
              <w:t>$</w:t>
            </w:r>
          </w:p>
        </w:tc>
        <w:tc>
          <w:tcPr>
            <w:tcW w:w="1748" w:type="dxa"/>
            <w:tcBorders/>
            <w:shd w:fill="FFFFFF" w:val="clear"/>
            <w:vAlign w:val="center"/>
          </w:tcPr>
          <w:p>
            <w:pPr>
              <w:pStyle w:val="TableContents"/>
              <w:spacing w:before="0" w:after="283"/>
              <w:jc w:val="right"/>
              <w:rPr/>
            </w:pPr>
            <w:r>
              <w:rPr/>
              <w:t>475,000,000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37" w:type="dxa"/>
            <w:tcBorders/>
            <w:shd w:fill="FFFFFF" w:val="clear"/>
            <w:vAlign w:val="center"/>
          </w:tcPr>
          <w:p>
            <w:pPr>
              <w:pStyle w:val="TableContents"/>
              <w:spacing w:before="0" w:after="283"/>
              <w:rPr/>
            </w:pPr>
            <w:r>
              <w:rPr/>
              <w:t>$</w:t>
            </w:r>
          </w:p>
        </w:tc>
        <w:tc>
          <w:tcPr>
            <w:tcW w:w="1748" w:type="dxa"/>
            <w:tcBorders/>
            <w:shd w:fill="FFFFFF" w:val="clear"/>
            <w:vAlign w:val="center"/>
          </w:tcPr>
          <w:p>
            <w:pPr>
              <w:pStyle w:val="TableContents"/>
              <w:spacing w:before="0" w:after="283"/>
              <w:jc w:val="right"/>
              <w:rPr/>
            </w:pPr>
            <w:r>
              <w:rPr/>
              <w:t>602,500,000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37" w:type="dxa"/>
            <w:tcBorders/>
            <w:shd w:fill="FFFFFF" w:val="clear"/>
            <w:vAlign w:val="center"/>
          </w:tcPr>
          <w:p>
            <w:pPr>
              <w:pStyle w:val="TableContents"/>
              <w:spacing w:before="0" w:after="283"/>
              <w:rPr/>
            </w:pPr>
            <w:r>
              <w:rPr/>
              <w:t>$</w:t>
            </w:r>
          </w:p>
        </w:tc>
        <w:tc>
          <w:tcPr>
            <w:tcW w:w="1748" w:type="dxa"/>
            <w:tcBorders/>
            <w:shd w:fill="FFFFFF" w:val="clear"/>
            <w:vAlign w:val="center"/>
          </w:tcPr>
          <w:p>
            <w:pPr>
              <w:pStyle w:val="TableContents"/>
              <w:spacing w:before="0" w:after="283"/>
              <w:jc w:val="right"/>
              <w:rPr/>
            </w:pPr>
            <w:r>
              <w:rPr/>
              <w:t>602,500,000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445,000,000</w:t>
            </w:r>
          </w:p>
        </w:tc>
        <w:tc>
          <w:tcPr>
            <w:tcW w:w="135" w:type="dxa"/>
            <w:tcBorders/>
            <w:shd w:fill="FFFFFF" w:val="clear"/>
            <w:vAlign w:val="center"/>
          </w:tcPr>
          <w:p>
            <w:pPr>
              <w:pStyle w:val="TableContents"/>
              <w:spacing w:before="0" w:after="0"/>
              <w:ind w:left="0" w:right="0" w:hanging="0"/>
              <w:rPr/>
            </w:pPr>
            <w:r>
              <w:rPr/>
              <w:t> </w:t>
            </w:r>
          </w:p>
        </w:tc>
      </w:tr>
      <w:tr>
        <w:trPr/>
        <w:tc>
          <w:tcPr>
            <w:tcW w:w="1560" w:type="dxa"/>
            <w:tcBorders/>
            <w:shd w:fill="CCEEFF" w:val="clear"/>
            <w:vAlign w:val="center"/>
          </w:tcPr>
          <w:p>
            <w:pPr>
              <w:pStyle w:val="TableContents"/>
              <w:spacing w:before="0" w:after="0"/>
              <w:ind w:left="0" w:right="0" w:firstLine="160"/>
              <w:rPr/>
            </w:pPr>
            <w:r>
              <w:rPr/>
              <w:t xml:space="preserve">Reinstatement premium </w:t>
            </w:r>
          </w:p>
        </w:tc>
        <w:tc>
          <w:tcPr>
            <w:tcW w:w="170" w:type="dxa"/>
            <w:tcBorders/>
            <w:shd w:fill="CCEEFF" w:val="clear"/>
            <w:vAlign w:val="center"/>
          </w:tcPr>
          <w:p>
            <w:pPr>
              <w:pStyle w:val="TableContents"/>
              <w:spacing w:before="0" w:after="0"/>
              <w:ind w:left="0" w:right="0" w:hanging="0"/>
              <w:rPr/>
            </w:pPr>
            <w:r>
              <w:rPr/>
              <w:t> </w:t>
            </w:r>
          </w:p>
        </w:tc>
        <w:tc>
          <w:tcPr>
            <w:tcW w:w="237" w:type="dxa"/>
            <w:tcBorders/>
            <w:shd w:fill="CCEEFF" w:val="clear"/>
            <w:vAlign w:val="center"/>
          </w:tcPr>
          <w:p>
            <w:pPr>
              <w:pStyle w:val="TableContents"/>
              <w:spacing w:before="0" w:after="0"/>
              <w:ind w:left="0" w:right="0" w:hanging="0"/>
              <w:rPr/>
            </w:pPr>
            <w:r>
              <w:rPr/>
              <w:t> </w:t>
            </w:r>
          </w:p>
        </w:tc>
        <w:tc>
          <w:tcPr>
            <w:tcW w:w="1748"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37" w:type="dxa"/>
            <w:tcBorders/>
            <w:shd w:fill="CCEEFF" w:val="clear"/>
            <w:vAlign w:val="center"/>
          </w:tcPr>
          <w:p>
            <w:pPr>
              <w:pStyle w:val="TableContents"/>
              <w:spacing w:before="0" w:after="0"/>
              <w:ind w:left="0" w:right="0" w:hanging="0"/>
              <w:rPr/>
            </w:pPr>
            <w:r>
              <w:rPr/>
              <w:t> </w:t>
            </w:r>
          </w:p>
        </w:tc>
        <w:tc>
          <w:tcPr>
            <w:tcW w:w="1748"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37" w:type="dxa"/>
            <w:tcBorders/>
            <w:shd w:fill="CCEEFF" w:val="clear"/>
            <w:vAlign w:val="center"/>
          </w:tcPr>
          <w:p>
            <w:pPr>
              <w:pStyle w:val="TableContents"/>
              <w:spacing w:before="0" w:after="0"/>
              <w:ind w:left="0" w:right="0" w:hanging="0"/>
              <w:rPr/>
            </w:pPr>
            <w:r>
              <w:rPr/>
              <w:t> </w:t>
            </w:r>
          </w:p>
        </w:tc>
        <w:tc>
          <w:tcPr>
            <w:tcW w:w="1748"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37" w:type="dxa"/>
            <w:tcBorders/>
            <w:shd w:fill="CCEEFF" w:val="clear"/>
            <w:vAlign w:val="center"/>
          </w:tcPr>
          <w:p>
            <w:pPr>
              <w:pStyle w:val="TableContents"/>
              <w:spacing w:before="0" w:after="0"/>
              <w:ind w:left="0" w:right="0" w:hanging="0"/>
              <w:rPr/>
            </w:pPr>
            <w:r>
              <w:rPr/>
              <w:t> </w:t>
            </w:r>
          </w:p>
        </w:tc>
        <w:tc>
          <w:tcPr>
            <w:tcW w:w="1748"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35" w:type="dxa"/>
            <w:tcBorders/>
            <w:shd w:fill="CCEEFF" w:val="clear"/>
            <w:vAlign w:val="center"/>
          </w:tcPr>
          <w:p>
            <w:pPr>
              <w:pStyle w:val="TableContents"/>
              <w:spacing w:before="0" w:after="0"/>
              <w:ind w:left="0" w:right="0" w:hanging="0"/>
              <w:rPr/>
            </w:pPr>
            <w:r>
              <w:rPr/>
              <w:t> </w:t>
            </w:r>
          </w:p>
        </w:tc>
      </w:tr>
      <w:tr>
        <w:trPr/>
        <w:tc>
          <w:tcPr>
            <w:tcW w:w="1560" w:type="dxa"/>
            <w:tcBorders/>
            <w:shd w:fill="CCEEFF" w:val="clear"/>
            <w:vAlign w:val="center"/>
          </w:tcPr>
          <w:p>
            <w:pPr>
              <w:pStyle w:val="TableContents"/>
              <w:spacing w:before="0" w:after="0"/>
              <w:ind w:left="0" w:right="0" w:firstLine="320"/>
              <w:rPr/>
            </w:pPr>
            <w:r>
              <w:rPr/>
              <w:t xml:space="preserve">protection (4) (5) (6) </w:t>
            </w:r>
          </w:p>
        </w:tc>
        <w:tc>
          <w:tcPr>
            <w:tcW w:w="170" w:type="dxa"/>
            <w:tcBorders/>
            <w:shd w:fill="CCEEFF" w:val="clear"/>
            <w:vAlign w:val="center"/>
          </w:tcPr>
          <w:p>
            <w:pPr>
              <w:pStyle w:val="TableContents"/>
              <w:spacing w:before="0" w:after="0"/>
              <w:ind w:left="0" w:right="0" w:hanging="0"/>
              <w:rPr/>
            </w:pPr>
            <w:r>
              <w:rPr/>
              <w:t> </w:t>
            </w:r>
          </w:p>
        </w:tc>
        <w:tc>
          <w:tcPr>
            <w:tcW w:w="1985" w:type="dxa"/>
            <w:gridSpan w:val="2"/>
            <w:tcBorders/>
            <w:shd w:fill="CCEEFF" w:val="clear"/>
            <w:vAlign w:val="center"/>
          </w:tcPr>
          <w:p>
            <w:pPr>
              <w:pStyle w:val="TableContents"/>
              <w:spacing w:before="0" w:after="0"/>
              <w:ind w:left="0" w:right="0" w:hanging="0"/>
              <w:jc w:val="center"/>
              <w:rPr/>
            </w:pPr>
            <w:r>
              <w:rPr/>
              <w:t xml:space="preserve">Yes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985" w:type="dxa"/>
            <w:gridSpan w:val="2"/>
            <w:tcBorders/>
            <w:shd w:fill="CCEEFF" w:val="clear"/>
            <w:vAlign w:val="center"/>
          </w:tcPr>
          <w:p>
            <w:pPr>
              <w:pStyle w:val="TableContents"/>
              <w:spacing w:before="0" w:after="0"/>
              <w:ind w:left="0" w:right="0" w:hanging="0"/>
              <w:jc w:val="center"/>
              <w:rPr/>
            </w:pPr>
            <w:r>
              <w:rPr/>
              <w:t xml:space="preserve">Yes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985" w:type="dxa"/>
            <w:gridSpan w:val="2"/>
            <w:tcBorders/>
            <w:shd w:fill="CCEEFF" w:val="clear"/>
            <w:vAlign w:val="center"/>
          </w:tcPr>
          <w:p>
            <w:pPr>
              <w:pStyle w:val="TableContents"/>
              <w:spacing w:before="0" w:after="0"/>
              <w:ind w:left="0" w:right="0" w:hanging="0"/>
              <w:jc w:val="center"/>
              <w:rPr/>
            </w:pPr>
            <w:r>
              <w:rPr/>
              <w:t xml:space="preserve">Yes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985" w:type="dxa"/>
            <w:gridSpan w:val="2"/>
            <w:tcBorders/>
            <w:shd w:fill="CCEEFF" w:val="clear"/>
            <w:vAlign w:val="center"/>
          </w:tcPr>
          <w:p>
            <w:pPr>
              <w:pStyle w:val="TableContents"/>
              <w:spacing w:before="0" w:after="0"/>
              <w:ind w:left="0" w:right="0" w:hanging="0"/>
              <w:jc w:val="center"/>
              <w:rPr/>
            </w:pPr>
            <w:r>
              <w:rPr/>
              <w:t xml:space="preserve">Yes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20" w:type="dxa"/>
            <w:gridSpan w:val="2"/>
            <w:tcBorders/>
            <w:shd w:fill="CCEEFF" w:val="clear"/>
            <w:vAlign w:val="center"/>
          </w:tcPr>
          <w:p>
            <w:pPr>
              <w:pStyle w:val="TableContents"/>
              <w:spacing w:before="0" w:after="0"/>
              <w:ind w:left="0" w:right="0" w:hanging="0"/>
              <w:jc w:val="center"/>
              <w:rPr/>
            </w:pPr>
            <w:r>
              <w:rPr/>
              <w:t xml:space="preserve">Yes </w:t>
            </w:r>
          </w:p>
        </w:tc>
        <w:tc>
          <w:tcPr>
            <w:tcW w:w="135"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306"/>
        <w:gridCol w:w="9899"/>
      </w:tblGrid>
      <w:tr>
        <w:trPr/>
        <w:tc>
          <w:tcPr>
            <w:tcW w:w="306" w:type="dxa"/>
            <w:tcBorders/>
            <w:shd w:fill="auto" w:val="clear"/>
            <w:vAlign w:val="center"/>
          </w:tcPr>
          <w:p>
            <w:pPr>
              <w:pStyle w:val="TableContents"/>
              <w:spacing w:before="0" w:after="0"/>
              <w:ind w:left="0" w:right="0" w:hanging="0"/>
              <w:rPr/>
            </w:pPr>
            <w:r>
              <w:rPr/>
              <w:t xml:space="preserve">(1) </w:t>
            </w:r>
          </w:p>
        </w:tc>
        <w:tc>
          <w:tcPr>
            <w:tcW w:w="9899" w:type="dxa"/>
            <w:tcBorders/>
            <w:shd w:fill="auto" w:val="clear"/>
            <w:vAlign w:val="center"/>
          </w:tcPr>
          <w:p>
            <w:pPr>
              <w:pStyle w:val="TableContents"/>
              <w:spacing w:before="0" w:after="283"/>
              <w:rPr/>
            </w:pPr>
            <w:r>
              <w:rPr/>
              <w:t>For personal lines, includes the addition of an automatic facultative facility allowing KICO to obtain homeowners single risk coverage up to $10,000,000 in total insured value, which covers direct losses from $3,500,000 to $10,000,000.</w:t>
            </w:r>
          </w:p>
        </w:tc>
      </w:tr>
      <w:tr>
        <w:trPr/>
        <w:tc>
          <w:tcPr>
            <w:tcW w:w="306" w:type="dxa"/>
            <w:tcBorders/>
            <w:shd w:fill="auto" w:val="clear"/>
            <w:vAlign w:val="center"/>
          </w:tcPr>
          <w:p>
            <w:pPr>
              <w:pStyle w:val="TableContents"/>
              <w:spacing w:before="0" w:after="0"/>
              <w:ind w:left="0" w:right="0" w:hanging="0"/>
              <w:rPr/>
            </w:pPr>
            <w:r>
              <w:rPr/>
              <w:t xml:space="preserve">(2) </w:t>
            </w:r>
          </w:p>
        </w:tc>
        <w:tc>
          <w:tcPr>
            <w:tcW w:w="9899" w:type="dxa"/>
            <w:tcBorders/>
            <w:shd w:fill="auto" w:val="clear"/>
            <w:vAlign w:val="center"/>
          </w:tcPr>
          <w:p>
            <w:pPr>
              <w:pStyle w:val="TableContents"/>
              <w:spacing w:before="0" w:after="283"/>
              <w:rPr/>
            </w:pPr>
            <w:r>
              <w:rPr/>
              <w:t xml:space="preserve">Plus losses in excess of catastrophe coverage. For the period July 1, 2020 through December 30, 2020, there was no reinsurance coverage for the $2,500,000 gap between quota share limit of $7,500,000 and first $10,000,000 layer of catastrophe coverage (see note (7) below). </w:t>
            </w:r>
          </w:p>
        </w:tc>
      </w:tr>
      <w:tr>
        <w:trPr/>
        <w:tc>
          <w:tcPr>
            <w:tcW w:w="306" w:type="dxa"/>
            <w:tcBorders/>
            <w:shd w:fill="auto" w:val="clear"/>
            <w:vAlign w:val="center"/>
          </w:tcPr>
          <w:p>
            <w:pPr>
              <w:pStyle w:val="TableContents"/>
              <w:spacing w:before="0" w:after="0"/>
              <w:ind w:left="0" w:right="0" w:hanging="0"/>
              <w:rPr/>
            </w:pPr>
            <w:r>
              <w:rPr/>
              <w:t xml:space="preserve">(3) </w:t>
            </w:r>
          </w:p>
        </w:tc>
        <w:tc>
          <w:tcPr>
            <w:tcW w:w="9899" w:type="dxa"/>
            <w:tcBorders/>
            <w:shd w:fill="auto" w:val="clear"/>
            <w:vAlign w:val="center"/>
          </w:tcPr>
          <w:p>
            <w:pPr>
              <w:pStyle w:val="TableContents"/>
              <w:spacing w:before="0" w:after="283"/>
              <w:rPr/>
            </w:pPr>
            <w:r>
              <w:rPr/>
              <w:t>Catastrophe coverage is limited on an annual basis to two times the per occurrence amounts. Duration of 168 consecutive hours for a catastrophe occurrence from windstorm, hail, tornado, hurricane and cyclone.</w:t>
            </w:r>
          </w:p>
        </w:tc>
      </w:tr>
      <w:tr>
        <w:trPr/>
        <w:tc>
          <w:tcPr>
            <w:tcW w:w="306" w:type="dxa"/>
            <w:tcBorders/>
            <w:shd w:fill="auto" w:val="clear"/>
            <w:vAlign w:val="center"/>
          </w:tcPr>
          <w:p>
            <w:pPr>
              <w:pStyle w:val="TableContents"/>
              <w:spacing w:before="0" w:after="0"/>
              <w:ind w:left="0" w:right="0" w:hanging="0"/>
              <w:rPr/>
            </w:pPr>
            <w:r>
              <w:rPr/>
              <w:t xml:space="preserve">(4) </w:t>
            </w:r>
          </w:p>
        </w:tc>
        <w:tc>
          <w:tcPr>
            <w:tcW w:w="9899" w:type="dxa"/>
            <w:tcBorders/>
            <w:shd w:fill="auto" w:val="clear"/>
            <w:vAlign w:val="center"/>
          </w:tcPr>
          <w:p>
            <w:pPr>
              <w:pStyle w:val="TableContents"/>
              <w:spacing w:before="0" w:after="283"/>
              <w:rPr/>
            </w:pPr>
            <w:r>
              <w:rPr/>
              <w:t>For the period July 1, 2018 through June 30, 2019, reinstatement premium protection for $210,000,000 of catastrophe coverage in excess of $5,000,000.</w:t>
            </w:r>
          </w:p>
        </w:tc>
      </w:tr>
      <w:tr>
        <w:trPr/>
        <w:tc>
          <w:tcPr>
            <w:tcW w:w="306" w:type="dxa"/>
            <w:tcBorders/>
            <w:shd w:fill="auto" w:val="clear"/>
            <w:vAlign w:val="center"/>
          </w:tcPr>
          <w:p>
            <w:pPr>
              <w:pStyle w:val="TableContents"/>
              <w:spacing w:before="0" w:after="0"/>
              <w:ind w:left="0" w:right="0" w:hanging="0"/>
              <w:rPr/>
            </w:pPr>
            <w:r>
              <w:rPr/>
              <w:t xml:space="preserve">(5) </w:t>
            </w:r>
          </w:p>
        </w:tc>
        <w:tc>
          <w:tcPr>
            <w:tcW w:w="9899" w:type="dxa"/>
            <w:tcBorders/>
            <w:shd w:fill="auto" w:val="clear"/>
            <w:vAlign w:val="center"/>
          </w:tcPr>
          <w:p>
            <w:pPr>
              <w:pStyle w:val="TableContents"/>
              <w:spacing w:before="0" w:after="283"/>
              <w:rPr/>
            </w:pPr>
            <w:r>
              <w:rPr/>
              <w:t>For the period July 1, 2019 through June 30, 2020, reinstatement premium protection for $292,500,000 of catastrophe coverage in excess of $7,500,000.</w:t>
            </w:r>
          </w:p>
        </w:tc>
      </w:tr>
      <w:tr>
        <w:trPr/>
        <w:tc>
          <w:tcPr>
            <w:tcW w:w="306" w:type="dxa"/>
            <w:tcBorders/>
            <w:shd w:fill="auto" w:val="clear"/>
            <w:vAlign w:val="center"/>
          </w:tcPr>
          <w:p>
            <w:pPr>
              <w:pStyle w:val="TableContents"/>
              <w:spacing w:before="0" w:after="0"/>
              <w:ind w:left="0" w:right="0" w:hanging="0"/>
              <w:rPr/>
            </w:pPr>
            <w:r>
              <w:rPr/>
              <w:t xml:space="preserve">(6) </w:t>
            </w:r>
          </w:p>
        </w:tc>
        <w:tc>
          <w:tcPr>
            <w:tcW w:w="9899" w:type="dxa"/>
            <w:tcBorders/>
            <w:shd w:fill="auto" w:val="clear"/>
            <w:vAlign w:val="center"/>
          </w:tcPr>
          <w:p>
            <w:pPr>
              <w:pStyle w:val="TableContents"/>
              <w:spacing w:before="0" w:after="283"/>
              <w:rPr/>
            </w:pPr>
            <w:r>
              <w:rPr/>
              <w:t>For the period July 1, 2020 through June 30, 2021, reinstatement premium protection for $70,000,000 of catastrophe coverage in excess of $10,000,000.</w:t>
            </w:r>
          </w:p>
        </w:tc>
      </w:tr>
      <w:tr>
        <w:trPr/>
        <w:tc>
          <w:tcPr>
            <w:tcW w:w="306" w:type="dxa"/>
            <w:tcBorders/>
            <w:shd w:fill="auto" w:val="clear"/>
            <w:vAlign w:val="center"/>
          </w:tcPr>
          <w:p>
            <w:pPr>
              <w:pStyle w:val="TableContents"/>
              <w:spacing w:before="0" w:after="0"/>
              <w:ind w:left="0" w:right="0" w:hanging="0"/>
              <w:rPr/>
            </w:pPr>
            <w:r>
              <w:rPr/>
              <w:t xml:space="preserve">(7) </w:t>
            </w:r>
          </w:p>
        </w:tc>
        <w:tc>
          <w:tcPr>
            <w:tcW w:w="9899" w:type="dxa"/>
            <w:tcBorders/>
            <w:shd w:fill="auto" w:val="clear"/>
            <w:vAlign w:val="center"/>
          </w:tcPr>
          <w:p>
            <w:pPr>
              <w:pStyle w:val="TableContents"/>
              <w:spacing w:before="0" w:after="283"/>
              <w:rPr/>
            </w:pPr>
            <w:r>
              <w:rPr/>
              <w:t>The personal lines quota share (homeowners, dwelling fire and canine legal liability) expired on December 30, 2020; reinsurance coverage from December 31, 2020 through June 30, 2021 is only for excess of loss and catastrophe reinsurance.</w:t>
            </w:r>
          </w:p>
        </w:tc>
      </w:tr>
    </w:tbl>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58</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5090"/>
        <w:gridCol w:w="90"/>
        <w:gridCol w:w="195"/>
        <w:gridCol w:w="1159"/>
        <w:gridCol w:w="245"/>
        <w:gridCol w:w="90"/>
        <w:gridCol w:w="195"/>
        <w:gridCol w:w="1159"/>
        <w:gridCol w:w="245"/>
        <w:gridCol w:w="90"/>
        <w:gridCol w:w="195"/>
        <w:gridCol w:w="1159"/>
        <w:gridCol w:w="293"/>
      </w:tblGrid>
      <w:tr>
        <w:trPr/>
        <w:tc>
          <w:tcPr>
            <w:tcW w:w="50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4732" w:type="dxa"/>
            <w:gridSpan w:val="10"/>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Treaty Year </w:t>
            </w:r>
          </w:p>
        </w:tc>
        <w:tc>
          <w:tcPr>
            <w:tcW w:w="293" w:type="dxa"/>
            <w:tcBorders/>
            <w:shd w:fill="auto" w:val="clear"/>
            <w:vAlign w:val="center"/>
          </w:tcPr>
          <w:p>
            <w:pPr>
              <w:pStyle w:val="TableContents"/>
              <w:spacing w:before="0" w:after="0"/>
              <w:ind w:left="0" w:right="0" w:hanging="0"/>
              <w:rPr/>
            </w:pPr>
            <w:r>
              <w:rPr>
                <w:rStyle w:val="StrongEmphasis"/>
              </w:rPr>
              <w:t> </w:t>
            </w:r>
          </w:p>
        </w:tc>
      </w:tr>
      <w:tr>
        <w:trPr/>
        <w:tc>
          <w:tcPr>
            <w:tcW w:w="50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54" w:type="dxa"/>
            <w:gridSpan w:val="2"/>
            <w:tcBorders/>
            <w:shd w:fill="auto" w:val="clear"/>
            <w:vAlign w:val="center"/>
          </w:tcPr>
          <w:p>
            <w:pPr>
              <w:pStyle w:val="TableContents"/>
              <w:spacing w:before="0" w:after="0"/>
              <w:ind w:left="0" w:right="0" w:hanging="0"/>
              <w:jc w:val="center"/>
              <w:rPr/>
            </w:pPr>
            <w:r>
              <w:rPr>
                <w:rStyle w:val="StrongEmphasis"/>
              </w:rPr>
              <w:t>July 1, 2020</w:t>
            </w:r>
          </w:p>
        </w:tc>
        <w:tc>
          <w:tcPr>
            <w:tcW w:w="24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54" w:type="dxa"/>
            <w:gridSpan w:val="2"/>
            <w:tcBorders/>
            <w:shd w:fill="auto" w:val="clear"/>
            <w:vAlign w:val="center"/>
          </w:tcPr>
          <w:p>
            <w:pPr>
              <w:pStyle w:val="TableContents"/>
              <w:spacing w:before="0" w:after="0"/>
              <w:ind w:left="0" w:right="0" w:hanging="0"/>
              <w:jc w:val="center"/>
              <w:rPr/>
            </w:pPr>
            <w:r>
              <w:rPr>
                <w:rStyle w:val="StrongEmphasis"/>
              </w:rPr>
              <w:t>July 1, 2019</w:t>
            </w:r>
          </w:p>
        </w:tc>
        <w:tc>
          <w:tcPr>
            <w:tcW w:w="24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54" w:type="dxa"/>
            <w:gridSpan w:val="2"/>
            <w:tcBorders/>
            <w:shd w:fill="auto" w:val="clear"/>
            <w:vAlign w:val="center"/>
          </w:tcPr>
          <w:p>
            <w:pPr>
              <w:pStyle w:val="TableContents"/>
              <w:spacing w:before="0" w:after="0"/>
              <w:ind w:left="0" w:right="0" w:hanging="0"/>
              <w:jc w:val="center"/>
              <w:rPr/>
            </w:pPr>
            <w:r>
              <w:rPr>
                <w:rStyle w:val="StrongEmphasis"/>
              </w:rPr>
              <w:t>July 1, 2018</w:t>
            </w:r>
          </w:p>
        </w:tc>
        <w:tc>
          <w:tcPr>
            <w:tcW w:w="293" w:type="dxa"/>
            <w:tcBorders/>
            <w:shd w:fill="auto" w:val="clear"/>
            <w:vAlign w:val="center"/>
          </w:tcPr>
          <w:p>
            <w:pPr>
              <w:pStyle w:val="TableContents"/>
              <w:spacing w:before="0" w:after="0"/>
              <w:ind w:left="0" w:right="0" w:hanging="0"/>
              <w:rPr/>
            </w:pPr>
            <w:r>
              <w:rPr>
                <w:rStyle w:val="StrongEmphasis"/>
              </w:rPr>
              <w:t> </w:t>
            </w:r>
          </w:p>
        </w:tc>
      </w:tr>
      <w:tr>
        <w:trPr/>
        <w:tc>
          <w:tcPr>
            <w:tcW w:w="50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54" w:type="dxa"/>
            <w:gridSpan w:val="2"/>
            <w:tcBorders/>
            <w:shd w:fill="auto" w:val="clear"/>
            <w:vAlign w:val="center"/>
          </w:tcPr>
          <w:p>
            <w:pPr>
              <w:pStyle w:val="TableContents"/>
              <w:spacing w:before="0" w:after="0"/>
              <w:ind w:left="0" w:right="0" w:hanging="0"/>
              <w:jc w:val="center"/>
              <w:rPr/>
            </w:pPr>
            <w:r>
              <w:rPr>
                <w:rStyle w:val="StrongEmphasis"/>
              </w:rPr>
              <w:t>to</w:t>
            </w:r>
          </w:p>
        </w:tc>
        <w:tc>
          <w:tcPr>
            <w:tcW w:w="24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54" w:type="dxa"/>
            <w:gridSpan w:val="2"/>
            <w:tcBorders/>
            <w:shd w:fill="auto" w:val="clear"/>
            <w:vAlign w:val="center"/>
          </w:tcPr>
          <w:p>
            <w:pPr>
              <w:pStyle w:val="TableContents"/>
              <w:spacing w:before="0" w:after="0"/>
              <w:ind w:left="0" w:right="0" w:hanging="0"/>
              <w:jc w:val="center"/>
              <w:rPr/>
            </w:pPr>
            <w:r>
              <w:rPr>
                <w:rStyle w:val="StrongEmphasis"/>
              </w:rPr>
              <w:t>to</w:t>
            </w:r>
          </w:p>
        </w:tc>
        <w:tc>
          <w:tcPr>
            <w:tcW w:w="24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54" w:type="dxa"/>
            <w:gridSpan w:val="2"/>
            <w:tcBorders/>
            <w:shd w:fill="auto" w:val="clear"/>
            <w:vAlign w:val="center"/>
          </w:tcPr>
          <w:p>
            <w:pPr>
              <w:pStyle w:val="TableContents"/>
              <w:spacing w:before="0" w:after="0"/>
              <w:ind w:left="0" w:right="0" w:hanging="0"/>
              <w:jc w:val="center"/>
              <w:rPr/>
            </w:pPr>
            <w:r>
              <w:rPr>
                <w:rStyle w:val="StrongEmphasis"/>
              </w:rPr>
              <w:t>to</w:t>
            </w:r>
          </w:p>
        </w:tc>
        <w:tc>
          <w:tcPr>
            <w:tcW w:w="293" w:type="dxa"/>
            <w:tcBorders/>
            <w:shd w:fill="auto" w:val="clear"/>
            <w:vAlign w:val="center"/>
          </w:tcPr>
          <w:p>
            <w:pPr>
              <w:pStyle w:val="TableContents"/>
              <w:spacing w:before="0" w:after="0"/>
              <w:ind w:left="0" w:right="0" w:hanging="0"/>
              <w:rPr/>
            </w:pPr>
            <w:r>
              <w:rPr>
                <w:rStyle w:val="StrongEmphasis"/>
              </w:rPr>
              <w:t> </w:t>
            </w:r>
          </w:p>
        </w:tc>
      </w:tr>
      <w:tr>
        <w:trPr/>
        <w:tc>
          <w:tcPr>
            <w:tcW w:w="5090"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Pr>
              <w:t xml:space="preserve">Line of Business </w:t>
            </w:r>
          </w:p>
        </w:tc>
        <w:tc>
          <w:tcPr>
            <w:tcW w:w="90" w:type="dxa"/>
            <w:tcBorders/>
            <w:shd w:fill="auto" w:val="clear"/>
            <w:vAlign w:val="center"/>
          </w:tcPr>
          <w:p>
            <w:pPr>
              <w:pStyle w:val="TableContents"/>
              <w:spacing w:before="0" w:after="0"/>
              <w:ind w:left="0" w:right="0" w:hanging="0"/>
              <w:rPr/>
            </w:pPr>
            <w:r>
              <w:rPr>
                <w:rStyle w:val="StrongEmphasis"/>
              </w:rPr>
              <w:t> </w:t>
            </w:r>
          </w:p>
        </w:tc>
        <w:tc>
          <w:tcPr>
            <w:tcW w:w="135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June 30, 2021</w:t>
            </w:r>
          </w:p>
        </w:tc>
        <w:tc>
          <w:tcPr>
            <w:tcW w:w="24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5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June 30, 2020</w:t>
            </w:r>
          </w:p>
        </w:tc>
        <w:tc>
          <w:tcPr>
            <w:tcW w:w="24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5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June 30, 2019</w:t>
            </w:r>
          </w:p>
        </w:tc>
        <w:tc>
          <w:tcPr>
            <w:tcW w:w="293" w:type="dxa"/>
            <w:tcBorders/>
            <w:shd w:fill="auto" w:val="clear"/>
            <w:vAlign w:val="center"/>
          </w:tcPr>
          <w:p>
            <w:pPr>
              <w:pStyle w:val="TableContents"/>
              <w:spacing w:before="0" w:after="0"/>
              <w:ind w:left="0" w:right="0" w:hanging="0"/>
              <w:rPr/>
            </w:pPr>
            <w:r>
              <w:rPr/>
              <w:t> </w:t>
            </w:r>
          </w:p>
        </w:tc>
      </w:tr>
      <w:tr>
        <w:trPr/>
        <w:tc>
          <w:tcPr>
            <w:tcW w:w="50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54"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54"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54" w:type="dxa"/>
            <w:gridSpan w:val="2"/>
            <w:tcBorders/>
            <w:shd w:fill="auto" w:val="clear"/>
            <w:vAlign w:val="center"/>
          </w:tcPr>
          <w:p>
            <w:pPr>
              <w:pStyle w:val="TableContents"/>
              <w:spacing w:before="0" w:after="0"/>
              <w:ind w:left="0" w:right="0" w:hanging="0"/>
              <w:rPr/>
            </w:pPr>
            <w:r>
              <w:rPr/>
              <w:t> </w:t>
            </w:r>
          </w:p>
        </w:tc>
        <w:tc>
          <w:tcPr>
            <w:tcW w:w="293" w:type="dxa"/>
            <w:tcBorders/>
            <w:shd w:fill="auto" w:val="clear"/>
            <w:vAlign w:val="center"/>
          </w:tcPr>
          <w:p>
            <w:pPr>
              <w:pStyle w:val="TableContents"/>
              <w:spacing w:before="0" w:after="0"/>
              <w:ind w:left="0" w:right="0" w:hanging="0"/>
              <w:rPr/>
            </w:pPr>
            <w:r>
              <w:rPr/>
              <w:t> </w:t>
            </w:r>
          </w:p>
        </w:tc>
      </w:tr>
      <w:tr>
        <w:trPr/>
        <w:tc>
          <w:tcPr>
            <w:tcW w:w="5090" w:type="dxa"/>
            <w:tcBorders/>
            <w:shd w:fill="auto" w:val="clear"/>
            <w:vAlign w:val="center"/>
          </w:tcPr>
          <w:p>
            <w:pPr>
              <w:pStyle w:val="TableContents"/>
              <w:spacing w:before="0" w:after="0"/>
              <w:ind w:left="0" w:right="0" w:hanging="0"/>
              <w:jc w:val="both"/>
              <w:rPr/>
            </w:pPr>
            <w:r>
              <w:rPr>
                <w:u w:val="single"/>
              </w:rPr>
              <w:t>Personal Lines</w:t>
            </w:r>
            <w:r>
              <w:rPr/>
              <w:t>:</w:t>
            </w:r>
          </w:p>
        </w:tc>
        <w:tc>
          <w:tcPr>
            <w:tcW w:w="90" w:type="dxa"/>
            <w:tcBorders/>
            <w:shd w:fill="auto" w:val="clear"/>
            <w:vAlign w:val="center"/>
          </w:tcPr>
          <w:p>
            <w:pPr>
              <w:pStyle w:val="TableContents"/>
              <w:spacing w:before="0" w:after="0"/>
              <w:ind w:left="0" w:right="0" w:hanging="0"/>
              <w:rPr/>
            </w:pPr>
            <w:r>
              <w:rPr/>
              <w:t> </w:t>
            </w:r>
          </w:p>
        </w:tc>
        <w:tc>
          <w:tcPr>
            <w:tcW w:w="1354"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54"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54" w:type="dxa"/>
            <w:gridSpan w:val="2"/>
            <w:tcBorders/>
            <w:shd w:fill="auto" w:val="clear"/>
            <w:vAlign w:val="center"/>
          </w:tcPr>
          <w:p>
            <w:pPr>
              <w:pStyle w:val="TableContents"/>
              <w:spacing w:before="0" w:after="0"/>
              <w:ind w:left="0" w:right="0" w:hanging="0"/>
              <w:rPr/>
            </w:pPr>
            <w:r>
              <w:rPr/>
              <w:t> </w:t>
            </w:r>
          </w:p>
        </w:tc>
        <w:tc>
          <w:tcPr>
            <w:tcW w:w="293" w:type="dxa"/>
            <w:tcBorders/>
            <w:shd w:fill="auto" w:val="clear"/>
            <w:vAlign w:val="center"/>
          </w:tcPr>
          <w:p>
            <w:pPr>
              <w:pStyle w:val="TableContents"/>
              <w:spacing w:before="0" w:after="0"/>
              <w:ind w:left="0" w:right="0" w:hanging="0"/>
              <w:rPr/>
            </w:pPr>
            <w:r>
              <w:rPr/>
              <w:t> </w:t>
            </w:r>
          </w:p>
        </w:tc>
      </w:tr>
      <w:tr>
        <w:trPr/>
        <w:tc>
          <w:tcPr>
            <w:tcW w:w="50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54"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54"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54" w:type="dxa"/>
            <w:gridSpan w:val="2"/>
            <w:tcBorders/>
            <w:shd w:fill="auto" w:val="clear"/>
            <w:vAlign w:val="center"/>
          </w:tcPr>
          <w:p>
            <w:pPr>
              <w:pStyle w:val="TableContents"/>
              <w:spacing w:before="0" w:after="0"/>
              <w:ind w:left="0" w:right="0" w:hanging="0"/>
              <w:rPr/>
            </w:pPr>
            <w:r>
              <w:rPr/>
              <w:t> </w:t>
            </w:r>
          </w:p>
        </w:tc>
        <w:tc>
          <w:tcPr>
            <w:tcW w:w="293" w:type="dxa"/>
            <w:tcBorders/>
            <w:shd w:fill="auto" w:val="clear"/>
            <w:vAlign w:val="center"/>
          </w:tcPr>
          <w:p>
            <w:pPr>
              <w:pStyle w:val="TableContents"/>
              <w:spacing w:before="0" w:after="0"/>
              <w:ind w:left="0" w:right="0" w:hanging="0"/>
              <w:rPr/>
            </w:pPr>
            <w:r>
              <w:rPr/>
              <w:t> </w:t>
            </w:r>
          </w:p>
        </w:tc>
      </w:tr>
      <w:tr>
        <w:trPr/>
        <w:tc>
          <w:tcPr>
            <w:tcW w:w="5090" w:type="dxa"/>
            <w:tcBorders/>
            <w:shd w:fill="auto" w:val="clear"/>
            <w:vAlign w:val="center"/>
          </w:tcPr>
          <w:p>
            <w:pPr>
              <w:pStyle w:val="TableContents"/>
              <w:spacing w:before="0" w:after="0"/>
              <w:ind w:left="0" w:right="0" w:hanging="0"/>
              <w:rPr/>
            </w:pPr>
            <w:r>
              <w:rPr/>
              <w:t xml:space="preserve">Personal Umbrella </w:t>
            </w:r>
          </w:p>
        </w:tc>
        <w:tc>
          <w:tcPr>
            <w:tcW w:w="90" w:type="dxa"/>
            <w:tcBorders/>
            <w:shd w:fill="auto" w:val="clear"/>
            <w:vAlign w:val="center"/>
          </w:tcPr>
          <w:p>
            <w:pPr>
              <w:pStyle w:val="TableContents"/>
              <w:spacing w:before="0" w:after="0"/>
              <w:ind w:left="0" w:right="0" w:hanging="0"/>
              <w:rPr/>
            </w:pPr>
            <w:r>
              <w:rPr/>
              <w:t> </w:t>
            </w:r>
          </w:p>
        </w:tc>
        <w:tc>
          <w:tcPr>
            <w:tcW w:w="1354"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54"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54" w:type="dxa"/>
            <w:gridSpan w:val="2"/>
            <w:tcBorders/>
            <w:shd w:fill="auto" w:val="clear"/>
            <w:vAlign w:val="center"/>
          </w:tcPr>
          <w:p>
            <w:pPr>
              <w:pStyle w:val="TableContents"/>
              <w:spacing w:before="0" w:after="0"/>
              <w:ind w:left="0" w:right="0" w:hanging="0"/>
              <w:rPr/>
            </w:pPr>
            <w:r>
              <w:rPr/>
              <w:t> </w:t>
            </w:r>
          </w:p>
        </w:tc>
        <w:tc>
          <w:tcPr>
            <w:tcW w:w="293" w:type="dxa"/>
            <w:tcBorders/>
            <w:shd w:fill="auto" w:val="clear"/>
            <w:vAlign w:val="center"/>
          </w:tcPr>
          <w:p>
            <w:pPr>
              <w:pStyle w:val="TableContents"/>
              <w:spacing w:before="0" w:after="0"/>
              <w:ind w:left="0" w:right="0" w:hanging="0"/>
              <w:rPr/>
            </w:pPr>
            <w:r>
              <w:rPr/>
              <w:t> </w:t>
            </w:r>
          </w:p>
        </w:tc>
      </w:tr>
      <w:tr>
        <w:trPr/>
        <w:tc>
          <w:tcPr>
            <w:tcW w:w="5090" w:type="dxa"/>
            <w:tcBorders/>
            <w:shd w:fill="auto" w:val="clear"/>
            <w:vAlign w:val="center"/>
          </w:tcPr>
          <w:p>
            <w:pPr>
              <w:pStyle w:val="TableContents"/>
              <w:spacing w:before="0" w:after="0"/>
              <w:ind w:left="0" w:right="0" w:firstLine="160"/>
              <w:rPr/>
            </w:pPr>
            <w:r>
              <w:rPr/>
              <w:t xml:space="preserve">Quota share treaty: </w:t>
            </w:r>
          </w:p>
        </w:tc>
        <w:tc>
          <w:tcPr>
            <w:tcW w:w="90" w:type="dxa"/>
            <w:tcBorders/>
            <w:shd w:fill="auto" w:val="clear"/>
            <w:vAlign w:val="center"/>
          </w:tcPr>
          <w:p>
            <w:pPr>
              <w:pStyle w:val="TableContents"/>
              <w:spacing w:before="0" w:after="0"/>
              <w:ind w:left="0" w:right="0" w:hanging="0"/>
              <w:rPr/>
            </w:pPr>
            <w:r>
              <w:rPr/>
              <w:t> </w:t>
            </w:r>
          </w:p>
        </w:tc>
        <w:tc>
          <w:tcPr>
            <w:tcW w:w="1354"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54"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54" w:type="dxa"/>
            <w:gridSpan w:val="2"/>
            <w:tcBorders/>
            <w:shd w:fill="auto" w:val="clear"/>
            <w:vAlign w:val="center"/>
          </w:tcPr>
          <w:p>
            <w:pPr>
              <w:pStyle w:val="TableContents"/>
              <w:spacing w:before="0" w:after="0"/>
              <w:ind w:left="0" w:right="0" w:hanging="0"/>
              <w:rPr/>
            </w:pPr>
            <w:r>
              <w:rPr/>
              <w:t> </w:t>
            </w:r>
          </w:p>
        </w:tc>
        <w:tc>
          <w:tcPr>
            <w:tcW w:w="293" w:type="dxa"/>
            <w:tcBorders/>
            <w:shd w:fill="auto" w:val="clear"/>
            <w:vAlign w:val="center"/>
          </w:tcPr>
          <w:p>
            <w:pPr>
              <w:pStyle w:val="TableContents"/>
              <w:spacing w:before="0" w:after="0"/>
              <w:ind w:left="0" w:right="0" w:hanging="0"/>
              <w:rPr/>
            </w:pPr>
            <w:r>
              <w:rPr/>
              <w:t> </w:t>
            </w:r>
          </w:p>
        </w:tc>
      </w:tr>
      <w:tr>
        <w:trPr/>
        <w:tc>
          <w:tcPr>
            <w:tcW w:w="5090" w:type="dxa"/>
            <w:tcBorders/>
            <w:shd w:fill="CCEEFF" w:val="clear"/>
            <w:vAlign w:val="center"/>
          </w:tcPr>
          <w:p>
            <w:pPr>
              <w:pStyle w:val="TableContents"/>
              <w:spacing w:before="0" w:after="0"/>
              <w:ind w:left="0" w:right="0" w:firstLine="480"/>
              <w:rPr/>
            </w:pPr>
            <w:r>
              <w:rPr/>
              <w:t xml:space="preserve">Percent ceded - first $1,000,000 of coverage </w:t>
            </w:r>
          </w:p>
        </w:tc>
        <w:tc>
          <w:tcPr>
            <w:tcW w:w="90" w:type="dxa"/>
            <w:tcBorders/>
            <w:shd w:fill="CCEEFF" w:val="clear"/>
            <w:vAlign w:val="center"/>
          </w:tcPr>
          <w:p>
            <w:pPr>
              <w:pStyle w:val="TableContents"/>
              <w:spacing w:before="0" w:after="0"/>
              <w:ind w:left="0" w:right="0" w:hanging="0"/>
              <w:rPr/>
            </w:pPr>
            <w:r>
              <w:rPr/>
              <w:t> </w:t>
            </w:r>
          </w:p>
        </w:tc>
        <w:tc>
          <w:tcPr>
            <w:tcW w:w="195" w:type="dxa"/>
            <w:tcBorders/>
            <w:shd w:fill="CCEEFF" w:val="clear"/>
            <w:vAlign w:val="center"/>
          </w:tcPr>
          <w:p>
            <w:pPr>
              <w:pStyle w:val="TableContents"/>
              <w:spacing w:before="0" w:after="0"/>
              <w:ind w:left="0" w:right="0" w:hanging="0"/>
              <w:rPr/>
            </w:pPr>
            <w:r>
              <w:rPr/>
              <w:t> </w:t>
            </w:r>
          </w:p>
        </w:tc>
        <w:tc>
          <w:tcPr>
            <w:tcW w:w="1159" w:type="dxa"/>
            <w:tcBorders/>
            <w:shd w:fill="CCEEFF" w:val="clear"/>
            <w:vAlign w:val="center"/>
          </w:tcPr>
          <w:p>
            <w:pPr>
              <w:pStyle w:val="TableContents"/>
              <w:spacing w:before="0" w:after="283"/>
              <w:jc w:val="right"/>
              <w:rPr/>
            </w:pPr>
            <w:r>
              <w:rPr/>
              <w:t>90</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95" w:type="dxa"/>
            <w:tcBorders/>
            <w:shd w:fill="CCEEFF" w:val="clear"/>
            <w:vAlign w:val="center"/>
          </w:tcPr>
          <w:p>
            <w:pPr>
              <w:pStyle w:val="TableContents"/>
              <w:spacing w:before="0" w:after="0"/>
              <w:ind w:left="0" w:right="0" w:hanging="0"/>
              <w:rPr/>
            </w:pPr>
            <w:r>
              <w:rPr/>
              <w:t> </w:t>
            </w:r>
          </w:p>
        </w:tc>
        <w:tc>
          <w:tcPr>
            <w:tcW w:w="1159" w:type="dxa"/>
            <w:tcBorders/>
            <w:shd w:fill="CCEEFF" w:val="clear"/>
            <w:vAlign w:val="center"/>
          </w:tcPr>
          <w:p>
            <w:pPr>
              <w:pStyle w:val="TableContents"/>
              <w:spacing w:before="0" w:after="283"/>
              <w:jc w:val="right"/>
              <w:rPr/>
            </w:pPr>
            <w:r>
              <w:rPr/>
              <w:t>90</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95" w:type="dxa"/>
            <w:tcBorders/>
            <w:shd w:fill="CCEEFF" w:val="clear"/>
            <w:vAlign w:val="center"/>
          </w:tcPr>
          <w:p>
            <w:pPr>
              <w:pStyle w:val="TableContents"/>
              <w:spacing w:before="0" w:after="0"/>
              <w:ind w:left="0" w:right="0" w:hanging="0"/>
              <w:rPr/>
            </w:pPr>
            <w:r>
              <w:rPr/>
              <w:t> </w:t>
            </w:r>
          </w:p>
        </w:tc>
        <w:tc>
          <w:tcPr>
            <w:tcW w:w="1159" w:type="dxa"/>
            <w:tcBorders/>
            <w:shd w:fill="CCEEFF" w:val="clear"/>
            <w:vAlign w:val="center"/>
          </w:tcPr>
          <w:p>
            <w:pPr>
              <w:pStyle w:val="TableContents"/>
              <w:spacing w:before="0" w:after="283"/>
              <w:jc w:val="right"/>
              <w:rPr/>
            </w:pPr>
            <w:r>
              <w:rPr/>
              <w:t>90</w:t>
            </w:r>
          </w:p>
        </w:tc>
        <w:tc>
          <w:tcPr>
            <w:tcW w:w="293" w:type="dxa"/>
            <w:tcBorders/>
            <w:shd w:fill="CCEEFF" w:val="clear"/>
            <w:vAlign w:val="center"/>
          </w:tcPr>
          <w:p>
            <w:pPr>
              <w:pStyle w:val="TableContents"/>
              <w:spacing w:before="0" w:after="283"/>
              <w:rPr/>
            </w:pPr>
            <w:r>
              <w:rPr/>
              <w:t>%</w:t>
            </w:r>
          </w:p>
        </w:tc>
      </w:tr>
      <w:tr>
        <w:trPr/>
        <w:tc>
          <w:tcPr>
            <w:tcW w:w="5090" w:type="dxa"/>
            <w:tcBorders/>
            <w:shd w:fill="FFFFFF" w:val="clear"/>
            <w:vAlign w:val="center"/>
          </w:tcPr>
          <w:p>
            <w:pPr>
              <w:pStyle w:val="TableContents"/>
              <w:spacing w:before="0" w:after="0"/>
              <w:ind w:left="0" w:right="0" w:firstLine="480"/>
              <w:rPr/>
            </w:pPr>
            <w:r>
              <w:rPr/>
              <w:t xml:space="preserve">Percent ceded - excess of $1,000,000 of coverage </w:t>
            </w:r>
          </w:p>
        </w:tc>
        <w:tc>
          <w:tcPr>
            <w:tcW w:w="90" w:type="dxa"/>
            <w:tcBorders/>
            <w:shd w:fill="FFFFFF" w:val="clear"/>
            <w:vAlign w:val="center"/>
          </w:tcPr>
          <w:p>
            <w:pPr>
              <w:pStyle w:val="TableContents"/>
              <w:spacing w:before="0" w:after="0"/>
              <w:ind w:left="0" w:right="0" w:hanging="0"/>
              <w:rPr/>
            </w:pPr>
            <w:r>
              <w:rPr/>
              <w:t> </w:t>
            </w:r>
          </w:p>
        </w:tc>
        <w:tc>
          <w:tcPr>
            <w:tcW w:w="195" w:type="dxa"/>
            <w:tcBorders/>
            <w:shd w:fill="FFFFFF" w:val="clear"/>
            <w:vAlign w:val="center"/>
          </w:tcPr>
          <w:p>
            <w:pPr>
              <w:pStyle w:val="TableContents"/>
              <w:spacing w:before="0" w:after="0"/>
              <w:ind w:left="0" w:right="0" w:hanging="0"/>
              <w:rPr/>
            </w:pPr>
            <w:r>
              <w:rPr/>
              <w:t> </w:t>
            </w:r>
          </w:p>
        </w:tc>
        <w:tc>
          <w:tcPr>
            <w:tcW w:w="1159" w:type="dxa"/>
            <w:tcBorders/>
            <w:shd w:fill="FFFFFF" w:val="clear"/>
            <w:vAlign w:val="center"/>
          </w:tcPr>
          <w:p>
            <w:pPr>
              <w:pStyle w:val="TableContents"/>
              <w:spacing w:before="0" w:after="283"/>
              <w:jc w:val="right"/>
              <w:rPr/>
            </w:pPr>
            <w:r>
              <w:rPr/>
              <w:t>95</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95" w:type="dxa"/>
            <w:tcBorders/>
            <w:shd w:fill="FFFFFF" w:val="clear"/>
            <w:vAlign w:val="center"/>
          </w:tcPr>
          <w:p>
            <w:pPr>
              <w:pStyle w:val="TableContents"/>
              <w:spacing w:before="0" w:after="0"/>
              <w:ind w:left="0" w:right="0" w:hanging="0"/>
              <w:rPr/>
            </w:pPr>
            <w:r>
              <w:rPr/>
              <w:t> </w:t>
            </w:r>
          </w:p>
        </w:tc>
        <w:tc>
          <w:tcPr>
            <w:tcW w:w="1159" w:type="dxa"/>
            <w:tcBorders/>
            <w:shd w:fill="FFFFFF" w:val="clear"/>
            <w:vAlign w:val="center"/>
          </w:tcPr>
          <w:p>
            <w:pPr>
              <w:pStyle w:val="TableContents"/>
              <w:spacing w:before="0" w:after="283"/>
              <w:jc w:val="right"/>
              <w:rPr/>
            </w:pPr>
            <w:r>
              <w:rPr/>
              <w:t>100</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95" w:type="dxa"/>
            <w:tcBorders/>
            <w:shd w:fill="FFFFFF" w:val="clear"/>
            <w:vAlign w:val="center"/>
          </w:tcPr>
          <w:p>
            <w:pPr>
              <w:pStyle w:val="TableContents"/>
              <w:spacing w:before="0" w:after="0"/>
              <w:ind w:left="0" w:right="0" w:hanging="0"/>
              <w:rPr/>
            </w:pPr>
            <w:r>
              <w:rPr/>
              <w:t> </w:t>
            </w:r>
          </w:p>
        </w:tc>
        <w:tc>
          <w:tcPr>
            <w:tcW w:w="1159" w:type="dxa"/>
            <w:tcBorders/>
            <w:shd w:fill="FFFFFF" w:val="clear"/>
            <w:vAlign w:val="center"/>
          </w:tcPr>
          <w:p>
            <w:pPr>
              <w:pStyle w:val="TableContents"/>
              <w:spacing w:before="0" w:after="283"/>
              <w:jc w:val="right"/>
              <w:rPr/>
            </w:pPr>
            <w:r>
              <w:rPr/>
              <w:t>100</w:t>
            </w:r>
          </w:p>
        </w:tc>
        <w:tc>
          <w:tcPr>
            <w:tcW w:w="293" w:type="dxa"/>
            <w:tcBorders/>
            <w:shd w:fill="FFFFFF" w:val="clear"/>
            <w:vAlign w:val="center"/>
          </w:tcPr>
          <w:p>
            <w:pPr>
              <w:pStyle w:val="TableContents"/>
              <w:spacing w:before="0" w:after="283"/>
              <w:rPr/>
            </w:pPr>
            <w:r>
              <w:rPr/>
              <w:t>%</w:t>
            </w:r>
          </w:p>
        </w:tc>
      </w:tr>
      <w:tr>
        <w:trPr/>
        <w:tc>
          <w:tcPr>
            <w:tcW w:w="5090" w:type="dxa"/>
            <w:tcBorders/>
            <w:shd w:fill="CCEEFF" w:val="clear"/>
            <w:vAlign w:val="center"/>
          </w:tcPr>
          <w:p>
            <w:pPr>
              <w:pStyle w:val="TableContents"/>
              <w:spacing w:before="0" w:after="0"/>
              <w:ind w:left="0" w:right="0" w:firstLine="480"/>
              <w:rPr/>
            </w:pPr>
            <w:r>
              <w:rPr/>
              <w:t xml:space="preserve">Risk retained </w:t>
            </w:r>
          </w:p>
        </w:tc>
        <w:tc>
          <w:tcPr>
            <w:tcW w:w="90" w:type="dxa"/>
            <w:tcBorders/>
            <w:shd w:fill="CCEEFF" w:val="clear"/>
            <w:vAlign w:val="center"/>
          </w:tcPr>
          <w:p>
            <w:pPr>
              <w:pStyle w:val="TableContents"/>
              <w:spacing w:before="0" w:after="0"/>
              <w:ind w:left="0" w:right="0" w:hanging="0"/>
              <w:rPr/>
            </w:pPr>
            <w:r>
              <w:rPr/>
              <w:t> </w:t>
            </w:r>
          </w:p>
        </w:tc>
        <w:tc>
          <w:tcPr>
            <w:tcW w:w="195" w:type="dxa"/>
            <w:tcBorders/>
            <w:shd w:fill="CCEEFF" w:val="clear"/>
            <w:vAlign w:val="center"/>
          </w:tcPr>
          <w:p>
            <w:pPr>
              <w:pStyle w:val="TableContents"/>
              <w:spacing w:before="0" w:after="283"/>
              <w:rPr/>
            </w:pPr>
            <w:r>
              <w:rPr/>
              <w:t>$</w:t>
            </w:r>
          </w:p>
        </w:tc>
        <w:tc>
          <w:tcPr>
            <w:tcW w:w="1159" w:type="dxa"/>
            <w:tcBorders/>
            <w:shd w:fill="CCEEFF" w:val="clear"/>
            <w:vAlign w:val="center"/>
          </w:tcPr>
          <w:p>
            <w:pPr>
              <w:pStyle w:val="TableContents"/>
              <w:spacing w:before="0" w:after="283"/>
              <w:jc w:val="right"/>
              <w:rPr/>
            </w:pPr>
            <w:r>
              <w:rPr/>
              <w:t>300,000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95" w:type="dxa"/>
            <w:tcBorders/>
            <w:shd w:fill="CCEEFF" w:val="clear"/>
            <w:vAlign w:val="center"/>
          </w:tcPr>
          <w:p>
            <w:pPr>
              <w:pStyle w:val="TableContents"/>
              <w:spacing w:before="0" w:after="283"/>
              <w:rPr/>
            </w:pPr>
            <w:r>
              <w:rPr/>
              <w:t>$</w:t>
            </w:r>
          </w:p>
        </w:tc>
        <w:tc>
          <w:tcPr>
            <w:tcW w:w="1159" w:type="dxa"/>
            <w:tcBorders/>
            <w:shd w:fill="CCEEFF" w:val="clear"/>
            <w:vAlign w:val="center"/>
          </w:tcPr>
          <w:p>
            <w:pPr>
              <w:pStyle w:val="TableContents"/>
              <w:spacing w:before="0" w:after="283"/>
              <w:jc w:val="right"/>
              <w:rPr/>
            </w:pPr>
            <w:r>
              <w:rPr/>
              <w:t>100,000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95" w:type="dxa"/>
            <w:tcBorders/>
            <w:shd w:fill="CCEEFF" w:val="clear"/>
            <w:vAlign w:val="center"/>
          </w:tcPr>
          <w:p>
            <w:pPr>
              <w:pStyle w:val="TableContents"/>
              <w:spacing w:before="0" w:after="283"/>
              <w:rPr/>
            </w:pPr>
            <w:r>
              <w:rPr/>
              <w:t>$</w:t>
            </w:r>
          </w:p>
        </w:tc>
        <w:tc>
          <w:tcPr>
            <w:tcW w:w="1159" w:type="dxa"/>
            <w:tcBorders/>
            <w:shd w:fill="CCEEFF" w:val="clear"/>
            <w:vAlign w:val="center"/>
          </w:tcPr>
          <w:p>
            <w:pPr>
              <w:pStyle w:val="TableContents"/>
              <w:spacing w:before="0" w:after="283"/>
              <w:jc w:val="right"/>
              <w:rPr/>
            </w:pPr>
            <w:r>
              <w:rPr/>
              <w:t>100,000</w:t>
            </w:r>
          </w:p>
        </w:tc>
        <w:tc>
          <w:tcPr>
            <w:tcW w:w="293" w:type="dxa"/>
            <w:tcBorders/>
            <w:shd w:fill="CCEEFF" w:val="clear"/>
            <w:vAlign w:val="center"/>
          </w:tcPr>
          <w:p>
            <w:pPr>
              <w:pStyle w:val="TableContents"/>
              <w:spacing w:before="0" w:after="0"/>
              <w:ind w:left="0" w:right="0" w:hanging="0"/>
              <w:rPr/>
            </w:pPr>
            <w:r>
              <w:rPr/>
              <w:t> </w:t>
            </w:r>
          </w:p>
        </w:tc>
      </w:tr>
      <w:tr>
        <w:trPr/>
        <w:tc>
          <w:tcPr>
            <w:tcW w:w="5090" w:type="dxa"/>
            <w:tcBorders/>
            <w:shd w:fill="FFFFFF" w:val="clear"/>
            <w:vAlign w:val="center"/>
          </w:tcPr>
          <w:p>
            <w:pPr>
              <w:pStyle w:val="TableContents"/>
              <w:spacing w:before="0" w:after="0"/>
              <w:ind w:left="0" w:right="0" w:firstLine="480"/>
              <w:rPr/>
            </w:pPr>
            <w:r>
              <w:rPr/>
              <w:t xml:space="preserve">Total reinsurance coverage per occurrence </w:t>
            </w:r>
          </w:p>
        </w:tc>
        <w:tc>
          <w:tcPr>
            <w:tcW w:w="90" w:type="dxa"/>
            <w:tcBorders/>
            <w:shd w:fill="FFFFFF" w:val="clear"/>
            <w:vAlign w:val="center"/>
          </w:tcPr>
          <w:p>
            <w:pPr>
              <w:pStyle w:val="TableContents"/>
              <w:spacing w:before="0" w:after="0"/>
              <w:ind w:left="0" w:right="0" w:hanging="0"/>
              <w:rPr/>
            </w:pPr>
            <w:r>
              <w:rPr/>
              <w:t> </w:t>
            </w:r>
          </w:p>
        </w:tc>
        <w:tc>
          <w:tcPr>
            <w:tcW w:w="195" w:type="dxa"/>
            <w:tcBorders/>
            <w:shd w:fill="FFFFFF" w:val="clear"/>
            <w:vAlign w:val="center"/>
          </w:tcPr>
          <w:p>
            <w:pPr>
              <w:pStyle w:val="TableContents"/>
              <w:spacing w:before="0" w:after="283"/>
              <w:rPr/>
            </w:pPr>
            <w:r>
              <w:rPr/>
              <w:t>$</w:t>
            </w:r>
          </w:p>
        </w:tc>
        <w:tc>
          <w:tcPr>
            <w:tcW w:w="1159" w:type="dxa"/>
            <w:tcBorders/>
            <w:shd w:fill="FFFFFF" w:val="clear"/>
            <w:vAlign w:val="center"/>
          </w:tcPr>
          <w:p>
            <w:pPr>
              <w:pStyle w:val="TableContents"/>
              <w:spacing w:before="0" w:after="283"/>
              <w:jc w:val="right"/>
              <w:rPr/>
            </w:pPr>
            <w:r>
              <w:rPr/>
              <w:t>4,700,000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95" w:type="dxa"/>
            <w:tcBorders/>
            <w:shd w:fill="FFFFFF" w:val="clear"/>
            <w:vAlign w:val="center"/>
          </w:tcPr>
          <w:p>
            <w:pPr>
              <w:pStyle w:val="TableContents"/>
              <w:spacing w:before="0" w:after="283"/>
              <w:rPr/>
            </w:pPr>
            <w:r>
              <w:rPr/>
              <w:t>$</w:t>
            </w:r>
          </w:p>
        </w:tc>
        <w:tc>
          <w:tcPr>
            <w:tcW w:w="1159" w:type="dxa"/>
            <w:tcBorders/>
            <w:shd w:fill="FFFFFF" w:val="clear"/>
            <w:vAlign w:val="center"/>
          </w:tcPr>
          <w:p>
            <w:pPr>
              <w:pStyle w:val="TableContents"/>
              <w:spacing w:before="0" w:after="283"/>
              <w:jc w:val="right"/>
              <w:rPr/>
            </w:pPr>
            <w:r>
              <w:rPr/>
              <w:t>4,900,000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95" w:type="dxa"/>
            <w:tcBorders/>
            <w:shd w:fill="FFFFFF" w:val="clear"/>
            <w:vAlign w:val="center"/>
          </w:tcPr>
          <w:p>
            <w:pPr>
              <w:pStyle w:val="TableContents"/>
              <w:spacing w:before="0" w:after="283"/>
              <w:rPr/>
            </w:pPr>
            <w:r>
              <w:rPr/>
              <w:t>$</w:t>
            </w:r>
          </w:p>
        </w:tc>
        <w:tc>
          <w:tcPr>
            <w:tcW w:w="1159" w:type="dxa"/>
            <w:tcBorders/>
            <w:shd w:fill="FFFFFF" w:val="clear"/>
            <w:vAlign w:val="center"/>
          </w:tcPr>
          <w:p>
            <w:pPr>
              <w:pStyle w:val="TableContents"/>
              <w:spacing w:before="0" w:after="283"/>
              <w:jc w:val="right"/>
              <w:rPr/>
            </w:pPr>
            <w:r>
              <w:rPr/>
              <w:t>4,900,000</w:t>
            </w:r>
          </w:p>
        </w:tc>
        <w:tc>
          <w:tcPr>
            <w:tcW w:w="293" w:type="dxa"/>
            <w:tcBorders/>
            <w:shd w:fill="FFFFFF" w:val="clear"/>
            <w:vAlign w:val="center"/>
          </w:tcPr>
          <w:p>
            <w:pPr>
              <w:pStyle w:val="TableContents"/>
              <w:spacing w:before="0" w:after="0"/>
              <w:ind w:left="0" w:right="0" w:hanging="0"/>
              <w:rPr/>
            </w:pPr>
            <w:r>
              <w:rPr/>
              <w:t> </w:t>
            </w:r>
          </w:p>
        </w:tc>
      </w:tr>
      <w:tr>
        <w:trPr/>
        <w:tc>
          <w:tcPr>
            <w:tcW w:w="5090" w:type="dxa"/>
            <w:tcBorders/>
            <w:shd w:fill="CCEEFF" w:val="clear"/>
            <w:vAlign w:val="center"/>
          </w:tcPr>
          <w:p>
            <w:pPr>
              <w:pStyle w:val="TableContents"/>
              <w:spacing w:before="0" w:after="0"/>
              <w:ind w:left="0" w:right="0" w:firstLine="480"/>
              <w:rPr/>
            </w:pPr>
            <w:r>
              <w:rPr/>
              <w:t xml:space="preserve">Losses per occurrence subject to quota share reinsurance coverage </w:t>
            </w:r>
          </w:p>
        </w:tc>
        <w:tc>
          <w:tcPr>
            <w:tcW w:w="90" w:type="dxa"/>
            <w:tcBorders/>
            <w:shd w:fill="CCEEFF" w:val="clear"/>
            <w:vAlign w:val="center"/>
          </w:tcPr>
          <w:p>
            <w:pPr>
              <w:pStyle w:val="TableContents"/>
              <w:spacing w:before="0" w:after="0"/>
              <w:ind w:left="0" w:right="0" w:hanging="0"/>
              <w:rPr/>
            </w:pPr>
            <w:r>
              <w:rPr/>
              <w:t> </w:t>
            </w:r>
          </w:p>
        </w:tc>
        <w:tc>
          <w:tcPr>
            <w:tcW w:w="195" w:type="dxa"/>
            <w:tcBorders/>
            <w:shd w:fill="CCEEFF" w:val="clear"/>
            <w:vAlign w:val="center"/>
          </w:tcPr>
          <w:p>
            <w:pPr>
              <w:pStyle w:val="TableContents"/>
              <w:spacing w:before="0" w:after="283"/>
              <w:rPr/>
            </w:pPr>
            <w:r>
              <w:rPr/>
              <w:t>$</w:t>
            </w:r>
          </w:p>
        </w:tc>
        <w:tc>
          <w:tcPr>
            <w:tcW w:w="1159" w:type="dxa"/>
            <w:tcBorders/>
            <w:shd w:fill="CCEEFF" w:val="clear"/>
            <w:vAlign w:val="center"/>
          </w:tcPr>
          <w:p>
            <w:pPr>
              <w:pStyle w:val="TableContents"/>
              <w:spacing w:before="0" w:after="283"/>
              <w:jc w:val="right"/>
              <w:rPr/>
            </w:pPr>
            <w:r>
              <w:rPr/>
              <w:t>5,000,000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95" w:type="dxa"/>
            <w:tcBorders/>
            <w:shd w:fill="CCEEFF" w:val="clear"/>
            <w:vAlign w:val="center"/>
          </w:tcPr>
          <w:p>
            <w:pPr>
              <w:pStyle w:val="TableContents"/>
              <w:spacing w:before="0" w:after="283"/>
              <w:rPr/>
            </w:pPr>
            <w:r>
              <w:rPr/>
              <w:t>$</w:t>
            </w:r>
          </w:p>
        </w:tc>
        <w:tc>
          <w:tcPr>
            <w:tcW w:w="1159" w:type="dxa"/>
            <w:tcBorders/>
            <w:shd w:fill="CCEEFF" w:val="clear"/>
            <w:vAlign w:val="center"/>
          </w:tcPr>
          <w:p>
            <w:pPr>
              <w:pStyle w:val="TableContents"/>
              <w:spacing w:before="0" w:after="283"/>
              <w:jc w:val="right"/>
              <w:rPr/>
            </w:pPr>
            <w:r>
              <w:rPr/>
              <w:t>5,000,000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95" w:type="dxa"/>
            <w:tcBorders/>
            <w:shd w:fill="CCEEFF" w:val="clear"/>
            <w:vAlign w:val="center"/>
          </w:tcPr>
          <w:p>
            <w:pPr>
              <w:pStyle w:val="TableContents"/>
              <w:spacing w:before="0" w:after="283"/>
              <w:rPr/>
            </w:pPr>
            <w:r>
              <w:rPr/>
              <w:t>$</w:t>
            </w:r>
          </w:p>
        </w:tc>
        <w:tc>
          <w:tcPr>
            <w:tcW w:w="1159" w:type="dxa"/>
            <w:tcBorders/>
            <w:shd w:fill="CCEEFF" w:val="clear"/>
            <w:vAlign w:val="center"/>
          </w:tcPr>
          <w:p>
            <w:pPr>
              <w:pStyle w:val="TableContents"/>
              <w:spacing w:before="0" w:after="283"/>
              <w:jc w:val="right"/>
              <w:rPr/>
            </w:pPr>
            <w:r>
              <w:rPr/>
              <w:t>5,000,000</w:t>
            </w:r>
          </w:p>
        </w:tc>
        <w:tc>
          <w:tcPr>
            <w:tcW w:w="293" w:type="dxa"/>
            <w:tcBorders/>
            <w:shd w:fill="CCEEFF" w:val="clear"/>
            <w:vAlign w:val="center"/>
          </w:tcPr>
          <w:p>
            <w:pPr>
              <w:pStyle w:val="TableContents"/>
              <w:spacing w:before="0" w:after="0"/>
              <w:ind w:left="0" w:right="0" w:hanging="0"/>
              <w:rPr/>
            </w:pPr>
            <w:r>
              <w:rPr/>
              <w:t> </w:t>
            </w:r>
          </w:p>
        </w:tc>
      </w:tr>
      <w:tr>
        <w:trPr/>
        <w:tc>
          <w:tcPr>
            <w:tcW w:w="5090" w:type="dxa"/>
            <w:tcBorders/>
            <w:shd w:fill="FFFFFF" w:val="clear"/>
            <w:vAlign w:val="center"/>
          </w:tcPr>
          <w:p>
            <w:pPr>
              <w:pStyle w:val="TableContents"/>
              <w:spacing w:before="0" w:after="0"/>
              <w:ind w:left="0" w:right="0" w:firstLine="160"/>
              <w:rPr/>
            </w:pPr>
            <w:r>
              <w:rPr/>
              <w:t xml:space="preserve">Expiration date </w:t>
            </w:r>
          </w:p>
        </w:tc>
        <w:tc>
          <w:tcPr>
            <w:tcW w:w="90" w:type="dxa"/>
            <w:tcBorders/>
            <w:shd w:fill="FFFFFF" w:val="clear"/>
            <w:vAlign w:val="center"/>
          </w:tcPr>
          <w:p>
            <w:pPr>
              <w:pStyle w:val="TableContents"/>
              <w:spacing w:before="0" w:after="0"/>
              <w:ind w:left="0" w:right="0" w:hanging="0"/>
              <w:rPr/>
            </w:pPr>
            <w:r>
              <w:rPr/>
              <w:t> </w:t>
            </w:r>
          </w:p>
        </w:tc>
        <w:tc>
          <w:tcPr>
            <w:tcW w:w="1354" w:type="dxa"/>
            <w:gridSpan w:val="2"/>
            <w:tcBorders/>
            <w:shd w:fill="FFFFFF" w:val="clear"/>
            <w:vAlign w:val="center"/>
          </w:tcPr>
          <w:p>
            <w:pPr>
              <w:pStyle w:val="TableContents"/>
              <w:spacing w:before="0" w:after="0"/>
              <w:ind w:left="0" w:right="0" w:hanging="0"/>
              <w:jc w:val="right"/>
              <w:rPr/>
            </w:pPr>
            <w:r>
              <w:rPr/>
              <w:t>June 30, 2021</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354" w:type="dxa"/>
            <w:gridSpan w:val="2"/>
            <w:tcBorders/>
            <w:shd w:fill="FFFFFF" w:val="clear"/>
            <w:vAlign w:val="center"/>
          </w:tcPr>
          <w:p>
            <w:pPr>
              <w:pStyle w:val="TableContents"/>
              <w:spacing w:before="0" w:after="0"/>
              <w:ind w:left="0" w:right="0" w:hanging="0"/>
              <w:jc w:val="right"/>
              <w:rPr/>
            </w:pPr>
            <w:r>
              <w:rPr/>
              <w:t>June 30, 2020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354" w:type="dxa"/>
            <w:gridSpan w:val="2"/>
            <w:tcBorders/>
            <w:shd w:fill="FFFFFF" w:val="clear"/>
            <w:vAlign w:val="center"/>
          </w:tcPr>
          <w:p>
            <w:pPr>
              <w:pStyle w:val="TableContents"/>
              <w:spacing w:before="0" w:after="0"/>
              <w:ind w:left="0" w:right="0" w:hanging="0"/>
              <w:jc w:val="right"/>
              <w:rPr/>
            </w:pPr>
            <w:r>
              <w:rPr/>
              <w:t>June 30, 2019</w:t>
            </w:r>
          </w:p>
        </w:tc>
        <w:tc>
          <w:tcPr>
            <w:tcW w:w="293" w:type="dxa"/>
            <w:tcBorders/>
            <w:shd w:fill="FFFFFF" w:val="clear"/>
            <w:vAlign w:val="center"/>
          </w:tcPr>
          <w:p>
            <w:pPr>
              <w:pStyle w:val="TableContents"/>
              <w:spacing w:before="0" w:after="0"/>
              <w:ind w:left="0" w:right="0" w:hanging="0"/>
              <w:rPr/>
            </w:pPr>
            <w:r>
              <w:rPr/>
              <w:t> </w:t>
            </w:r>
          </w:p>
        </w:tc>
      </w:tr>
      <w:tr>
        <w:trPr/>
        <w:tc>
          <w:tcPr>
            <w:tcW w:w="50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95" w:type="dxa"/>
            <w:tcBorders/>
            <w:shd w:fill="CCEEFF" w:val="clear"/>
            <w:vAlign w:val="center"/>
          </w:tcPr>
          <w:p>
            <w:pPr>
              <w:pStyle w:val="TableContents"/>
              <w:spacing w:before="0" w:after="0"/>
              <w:ind w:left="0" w:right="0" w:hanging="0"/>
              <w:rPr/>
            </w:pPr>
            <w:r>
              <w:rPr/>
              <w:t> </w:t>
            </w:r>
          </w:p>
        </w:tc>
        <w:tc>
          <w:tcPr>
            <w:tcW w:w="1159"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95" w:type="dxa"/>
            <w:tcBorders/>
            <w:shd w:fill="CCEEFF" w:val="clear"/>
            <w:vAlign w:val="center"/>
          </w:tcPr>
          <w:p>
            <w:pPr>
              <w:pStyle w:val="TableContents"/>
              <w:spacing w:before="0" w:after="0"/>
              <w:ind w:left="0" w:right="0" w:hanging="0"/>
              <w:rPr/>
            </w:pPr>
            <w:r>
              <w:rPr/>
              <w:t> </w:t>
            </w:r>
          </w:p>
        </w:tc>
        <w:tc>
          <w:tcPr>
            <w:tcW w:w="1159"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95" w:type="dxa"/>
            <w:tcBorders/>
            <w:shd w:fill="CCEEFF" w:val="clear"/>
            <w:vAlign w:val="center"/>
          </w:tcPr>
          <w:p>
            <w:pPr>
              <w:pStyle w:val="TableContents"/>
              <w:spacing w:before="0" w:after="0"/>
              <w:ind w:left="0" w:right="0" w:hanging="0"/>
              <w:rPr/>
            </w:pPr>
            <w:r>
              <w:rPr/>
              <w:t> </w:t>
            </w:r>
          </w:p>
        </w:tc>
        <w:tc>
          <w:tcPr>
            <w:tcW w:w="1159" w:type="dxa"/>
            <w:tcBorders/>
            <w:shd w:fill="CCEEFF" w:val="clear"/>
            <w:vAlign w:val="center"/>
          </w:tcPr>
          <w:p>
            <w:pPr>
              <w:pStyle w:val="TableContents"/>
              <w:spacing w:before="0" w:after="0"/>
              <w:ind w:left="0" w:right="0" w:hanging="0"/>
              <w:rPr/>
            </w:pPr>
            <w:r>
              <w:rPr/>
              <w:t> </w:t>
            </w:r>
          </w:p>
        </w:tc>
        <w:tc>
          <w:tcPr>
            <w:tcW w:w="293" w:type="dxa"/>
            <w:tcBorders/>
            <w:shd w:fill="CCEEFF" w:val="clear"/>
            <w:vAlign w:val="center"/>
          </w:tcPr>
          <w:p>
            <w:pPr>
              <w:pStyle w:val="TableContents"/>
              <w:spacing w:before="0" w:after="0"/>
              <w:ind w:left="0" w:right="0" w:hanging="0"/>
              <w:rPr/>
            </w:pPr>
            <w:r>
              <w:rPr/>
              <w:t> </w:t>
            </w:r>
          </w:p>
        </w:tc>
      </w:tr>
      <w:tr>
        <w:trPr/>
        <w:tc>
          <w:tcPr>
            <w:tcW w:w="5090" w:type="dxa"/>
            <w:tcBorders/>
            <w:shd w:fill="FFFFFF" w:val="clear"/>
            <w:vAlign w:val="center"/>
          </w:tcPr>
          <w:p>
            <w:pPr>
              <w:pStyle w:val="TableContents"/>
              <w:spacing w:before="0" w:after="0"/>
              <w:ind w:left="0" w:right="0" w:hanging="0"/>
              <w:jc w:val="both"/>
              <w:rPr/>
            </w:pPr>
            <w:r>
              <w:rPr>
                <w:u w:val="single"/>
              </w:rPr>
              <w:t>Commercial Lines</w:t>
            </w:r>
            <w:r>
              <w:rPr/>
              <w:t>:</w:t>
            </w:r>
          </w:p>
        </w:tc>
        <w:tc>
          <w:tcPr>
            <w:tcW w:w="90" w:type="dxa"/>
            <w:tcBorders/>
            <w:shd w:fill="FFFFFF" w:val="clear"/>
            <w:vAlign w:val="center"/>
          </w:tcPr>
          <w:p>
            <w:pPr>
              <w:pStyle w:val="TableContents"/>
              <w:spacing w:before="0" w:after="0"/>
              <w:ind w:left="0" w:right="0" w:hanging="0"/>
              <w:rPr/>
            </w:pPr>
            <w:r>
              <w:rPr/>
              <w:t> </w:t>
            </w:r>
          </w:p>
        </w:tc>
        <w:tc>
          <w:tcPr>
            <w:tcW w:w="195" w:type="dxa"/>
            <w:tcBorders/>
            <w:shd w:fill="FFFFFF" w:val="clear"/>
            <w:vAlign w:val="center"/>
          </w:tcPr>
          <w:p>
            <w:pPr>
              <w:pStyle w:val="TableContents"/>
              <w:spacing w:before="0" w:after="0"/>
              <w:ind w:left="0" w:right="0" w:hanging="0"/>
              <w:rPr/>
            </w:pPr>
            <w:r>
              <w:rPr/>
              <w:t> </w:t>
            </w:r>
          </w:p>
        </w:tc>
        <w:tc>
          <w:tcPr>
            <w:tcW w:w="1159"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95" w:type="dxa"/>
            <w:tcBorders/>
            <w:shd w:fill="FFFFFF" w:val="clear"/>
            <w:vAlign w:val="center"/>
          </w:tcPr>
          <w:p>
            <w:pPr>
              <w:pStyle w:val="TableContents"/>
              <w:spacing w:before="0" w:after="0"/>
              <w:ind w:left="0" w:right="0" w:hanging="0"/>
              <w:rPr/>
            </w:pPr>
            <w:r>
              <w:rPr/>
              <w:t> </w:t>
            </w:r>
          </w:p>
        </w:tc>
        <w:tc>
          <w:tcPr>
            <w:tcW w:w="1159"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95" w:type="dxa"/>
            <w:tcBorders/>
            <w:shd w:fill="FFFFFF" w:val="clear"/>
            <w:vAlign w:val="center"/>
          </w:tcPr>
          <w:p>
            <w:pPr>
              <w:pStyle w:val="TableContents"/>
              <w:spacing w:before="0" w:after="0"/>
              <w:ind w:left="0" w:right="0" w:hanging="0"/>
              <w:rPr/>
            </w:pPr>
            <w:r>
              <w:rPr/>
              <w:t> </w:t>
            </w:r>
          </w:p>
        </w:tc>
        <w:tc>
          <w:tcPr>
            <w:tcW w:w="1159" w:type="dxa"/>
            <w:tcBorders/>
            <w:shd w:fill="FFFFFF" w:val="clear"/>
            <w:vAlign w:val="center"/>
          </w:tcPr>
          <w:p>
            <w:pPr>
              <w:pStyle w:val="TableContents"/>
              <w:spacing w:before="0" w:after="0"/>
              <w:ind w:left="0" w:right="0" w:hanging="0"/>
              <w:rPr/>
            </w:pPr>
            <w:r>
              <w:rPr/>
              <w:t> </w:t>
            </w:r>
          </w:p>
        </w:tc>
        <w:tc>
          <w:tcPr>
            <w:tcW w:w="293" w:type="dxa"/>
            <w:tcBorders/>
            <w:shd w:fill="FFFFFF" w:val="clear"/>
            <w:vAlign w:val="center"/>
          </w:tcPr>
          <w:p>
            <w:pPr>
              <w:pStyle w:val="TableContents"/>
              <w:spacing w:before="0" w:after="0"/>
              <w:ind w:left="0" w:right="0" w:hanging="0"/>
              <w:rPr/>
            </w:pPr>
            <w:r>
              <w:rPr/>
              <w:t> </w:t>
            </w:r>
          </w:p>
        </w:tc>
      </w:tr>
      <w:tr>
        <w:trPr/>
        <w:tc>
          <w:tcPr>
            <w:tcW w:w="5090" w:type="dxa"/>
            <w:tcBorders/>
            <w:shd w:fill="CCEEFF" w:val="clear"/>
            <w:vAlign w:val="center"/>
          </w:tcPr>
          <w:p>
            <w:pPr>
              <w:pStyle w:val="TableContents"/>
              <w:spacing w:before="0" w:after="0"/>
              <w:ind w:left="0" w:right="0" w:hanging="0"/>
              <w:rPr/>
            </w:pPr>
            <w:r>
              <w:rPr/>
              <w:t xml:space="preserve">General liability commercial policies </w:t>
            </w:r>
          </w:p>
        </w:tc>
        <w:tc>
          <w:tcPr>
            <w:tcW w:w="90" w:type="dxa"/>
            <w:tcBorders/>
            <w:shd w:fill="CCEEFF" w:val="clear"/>
            <w:vAlign w:val="center"/>
          </w:tcPr>
          <w:p>
            <w:pPr>
              <w:pStyle w:val="TableContents"/>
              <w:spacing w:before="0" w:after="0"/>
              <w:ind w:left="0" w:right="0" w:hanging="0"/>
              <w:rPr/>
            </w:pPr>
            <w:r>
              <w:rPr/>
              <w:t> </w:t>
            </w:r>
          </w:p>
        </w:tc>
        <w:tc>
          <w:tcPr>
            <w:tcW w:w="195" w:type="dxa"/>
            <w:tcBorders/>
            <w:shd w:fill="CCEEFF" w:val="clear"/>
            <w:vAlign w:val="center"/>
          </w:tcPr>
          <w:p>
            <w:pPr>
              <w:pStyle w:val="TableContents"/>
              <w:spacing w:before="0" w:after="0"/>
              <w:ind w:left="0" w:right="0" w:hanging="0"/>
              <w:rPr/>
            </w:pPr>
            <w:r>
              <w:rPr/>
              <w:t> </w:t>
            </w:r>
          </w:p>
        </w:tc>
        <w:tc>
          <w:tcPr>
            <w:tcW w:w="1159"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95" w:type="dxa"/>
            <w:tcBorders/>
            <w:shd w:fill="CCEEFF" w:val="clear"/>
            <w:vAlign w:val="center"/>
          </w:tcPr>
          <w:p>
            <w:pPr>
              <w:pStyle w:val="TableContents"/>
              <w:spacing w:before="0" w:after="0"/>
              <w:ind w:left="0" w:right="0" w:hanging="0"/>
              <w:rPr/>
            </w:pPr>
            <w:r>
              <w:rPr/>
              <w:t> </w:t>
            </w:r>
          </w:p>
        </w:tc>
        <w:tc>
          <w:tcPr>
            <w:tcW w:w="1159"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95" w:type="dxa"/>
            <w:tcBorders/>
            <w:shd w:fill="CCEEFF" w:val="clear"/>
            <w:vAlign w:val="center"/>
          </w:tcPr>
          <w:p>
            <w:pPr>
              <w:pStyle w:val="TableContents"/>
              <w:spacing w:before="0" w:after="0"/>
              <w:ind w:left="0" w:right="0" w:hanging="0"/>
              <w:rPr/>
            </w:pPr>
            <w:r>
              <w:rPr/>
              <w:t> </w:t>
            </w:r>
          </w:p>
        </w:tc>
        <w:tc>
          <w:tcPr>
            <w:tcW w:w="1159" w:type="dxa"/>
            <w:tcBorders/>
            <w:shd w:fill="CCEEFF" w:val="clear"/>
            <w:vAlign w:val="center"/>
          </w:tcPr>
          <w:p>
            <w:pPr>
              <w:pStyle w:val="TableContents"/>
              <w:spacing w:before="0" w:after="0"/>
              <w:ind w:left="0" w:right="0" w:hanging="0"/>
              <w:rPr/>
            </w:pPr>
            <w:r>
              <w:rPr/>
              <w:t> </w:t>
            </w:r>
          </w:p>
        </w:tc>
        <w:tc>
          <w:tcPr>
            <w:tcW w:w="293" w:type="dxa"/>
            <w:tcBorders/>
            <w:shd w:fill="CCEEFF" w:val="clear"/>
            <w:vAlign w:val="center"/>
          </w:tcPr>
          <w:p>
            <w:pPr>
              <w:pStyle w:val="TableContents"/>
              <w:spacing w:before="0" w:after="0"/>
              <w:ind w:left="0" w:right="0" w:hanging="0"/>
              <w:rPr/>
            </w:pPr>
            <w:r>
              <w:rPr/>
              <w:t> </w:t>
            </w:r>
          </w:p>
        </w:tc>
      </w:tr>
      <w:tr>
        <w:trPr/>
        <w:tc>
          <w:tcPr>
            <w:tcW w:w="5090" w:type="dxa"/>
            <w:tcBorders/>
            <w:shd w:fill="FFFFFF" w:val="clear"/>
            <w:vAlign w:val="center"/>
          </w:tcPr>
          <w:p>
            <w:pPr>
              <w:pStyle w:val="TableContents"/>
              <w:spacing w:before="0" w:after="0"/>
              <w:ind w:left="0" w:right="0" w:firstLine="160"/>
              <w:rPr/>
            </w:pPr>
            <w:r>
              <w:rPr/>
              <w:t xml:space="preserve">Quota share treaty </w:t>
            </w:r>
          </w:p>
        </w:tc>
        <w:tc>
          <w:tcPr>
            <w:tcW w:w="90" w:type="dxa"/>
            <w:tcBorders/>
            <w:shd w:fill="FFFFFF" w:val="clear"/>
            <w:vAlign w:val="center"/>
          </w:tcPr>
          <w:p>
            <w:pPr>
              <w:pStyle w:val="TableContents"/>
              <w:spacing w:before="0" w:after="0"/>
              <w:ind w:left="0" w:right="0" w:hanging="0"/>
              <w:rPr/>
            </w:pPr>
            <w:r>
              <w:rPr/>
              <w:t> </w:t>
            </w:r>
          </w:p>
        </w:tc>
        <w:tc>
          <w:tcPr>
            <w:tcW w:w="1354" w:type="dxa"/>
            <w:gridSpan w:val="2"/>
            <w:tcBorders/>
            <w:shd w:fill="FFFFFF" w:val="clear"/>
            <w:vAlign w:val="center"/>
          </w:tcPr>
          <w:p>
            <w:pPr>
              <w:pStyle w:val="TableContents"/>
              <w:spacing w:before="0" w:after="0"/>
              <w:ind w:left="0" w:right="0" w:hanging="0"/>
              <w:jc w:val="right"/>
              <w:rPr/>
            </w:pPr>
            <w:r>
              <w:rPr/>
              <w:t>None</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354" w:type="dxa"/>
            <w:gridSpan w:val="2"/>
            <w:tcBorders/>
            <w:shd w:fill="FFFFFF" w:val="clear"/>
            <w:vAlign w:val="center"/>
          </w:tcPr>
          <w:p>
            <w:pPr>
              <w:pStyle w:val="TableContents"/>
              <w:spacing w:before="0" w:after="0"/>
              <w:ind w:left="0" w:right="0" w:hanging="0"/>
              <w:jc w:val="right"/>
              <w:rPr/>
            </w:pPr>
            <w:r>
              <w:rPr/>
              <w:t>None</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354" w:type="dxa"/>
            <w:gridSpan w:val="2"/>
            <w:tcBorders/>
            <w:shd w:fill="FFFFFF" w:val="clear"/>
            <w:vAlign w:val="center"/>
          </w:tcPr>
          <w:p>
            <w:pPr>
              <w:pStyle w:val="TableContents"/>
              <w:spacing w:before="0" w:after="0"/>
              <w:ind w:left="0" w:right="0" w:hanging="0"/>
              <w:jc w:val="right"/>
              <w:rPr/>
            </w:pPr>
            <w:r>
              <w:rPr/>
              <w:t>None</w:t>
            </w:r>
          </w:p>
        </w:tc>
        <w:tc>
          <w:tcPr>
            <w:tcW w:w="293" w:type="dxa"/>
            <w:tcBorders/>
            <w:shd w:fill="FFFFFF" w:val="clear"/>
            <w:vAlign w:val="center"/>
          </w:tcPr>
          <w:p>
            <w:pPr>
              <w:pStyle w:val="TableContents"/>
              <w:spacing w:before="0" w:after="0"/>
              <w:ind w:left="0" w:right="0" w:hanging="0"/>
              <w:rPr/>
            </w:pPr>
            <w:r>
              <w:rPr/>
              <w:t> </w:t>
            </w:r>
          </w:p>
        </w:tc>
      </w:tr>
      <w:tr>
        <w:trPr/>
        <w:tc>
          <w:tcPr>
            <w:tcW w:w="5090" w:type="dxa"/>
            <w:tcBorders/>
            <w:shd w:fill="CCEEFF" w:val="clear"/>
            <w:vAlign w:val="center"/>
          </w:tcPr>
          <w:p>
            <w:pPr>
              <w:pStyle w:val="TableContents"/>
              <w:spacing w:before="0" w:after="0"/>
              <w:ind w:left="0" w:right="0" w:firstLine="160"/>
              <w:rPr/>
            </w:pPr>
            <w:r>
              <w:rPr/>
              <w:t xml:space="preserve">Risk retained </w:t>
            </w:r>
          </w:p>
        </w:tc>
        <w:tc>
          <w:tcPr>
            <w:tcW w:w="90" w:type="dxa"/>
            <w:tcBorders/>
            <w:shd w:fill="CCEEFF" w:val="clear"/>
            <w:vAlign w:val="center"/>
          </w:tcPr>
          <w:p>
            <w:pPr>
              <w:pStyle w:val="TableContents"/>
              <w:spacing w:before="0" w:after="0"/>
              <w:ind w:left="0" w:right="0" w:hanging="0"/>
              <w:rPr/>
            </w:pPr>
            <w:r>
              <w:rPr/>
              <w:t> </w:t>
            </w:r>
          </w:p>
        </w:tc>
        <w:tc>
          <w:tcPr>
            <w:tcW w:w="195" w:type="dxa"/>
            <w:tcBorders/>
            <w:shd w:fill="CCEEFF" w:val="clear"/>
            <w:vAlign w:val="center"/>
          </w:tcPr>
          <w:p>
            <w:pPr>
              <w:pStyle w:val="TableContents"/>
              <w:spacing w:before="0" w:after="283"/>
              <w:rPr/>
            </w:pPr>
            <w:r>
              <w:rPr/>
              <w:t>$</w:t>
            </w:r>
          </w:p>
        </w:tc>
        <w:tc>
          <w:tcPr>
            <w:tcW w:w="1159" w:type="dxa"/>
            <w:tcBorders/>
            <w:shd w:fill="CCEEFF" w:val="clear"/>
            <w:vAlign w:val="center"/>
          </w:tcPr>
          <w:p>
            <w:pPr>
              <w:pStyle w:val="TableContents"/>
              <w:spacing w:before="0" w:after="283"/>
              <w:jc w:val="right"/>
              <w:rPr/>
            </w:pPr>
            <w:r>
              <w:rPr/>
              <w:t>750,000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95" w:type="dxa"/>
            <w:tcBorders/>
            <w:shd w:fill="CCEEFF" w:val="clear"/>
            <w:vAlign w:val="center"/>
          </w:tcPr>
          <w:p>
            <w:pPr>
              <w:pStyle w:val="TableContents"/>
              <w:spacing w:before="0" w:after="283"/>
              <w:rPr/>
            </w:pPr>
            <w:r>
              <w:rPr/>
              <w:t>$</w:t>
            </w:r>
          </w:p>
        </w:tc>
        <w:tc>
          <w:tcPr>
            <w:tcW w:w="1159" w:type="dxa"/>
            <w:tcBorders/>
            <w:shd w:fill="CCEEFF" w:val="clear"/>
            <w:vAlign w:val="center"/>
          </w:tcPr>
          <w:p>
            <w:pPr>
              <w:pStyle w:val="TableContents"/>
              <w:spacing w:before="0" w:after="283"/>
              <w:jc w:val="right"/>
              <w:rPr/>
            </w:pPr>
            <w:r>
              <w:rPr/>
              <w:t>750,000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95" w:type="dxa"/>
            <w:tcBorders/>
            <w:shd w:fill="CCEEFF" w:val="clear"/>
            <w:vAlign w:val="center"/>
          </w:tcPr>
          <w:p>
            <w:pPr>
              <w:pStyle w:val="TableContents"/>
              <w:spacing w:before="0" w:after="283"/>
              <w:rPr/>
            </w:pPr>
            <w:r>
              <w:rPr/>
              <w:t>$</w:t>
            </w:r>
          </w:p>
        </w:tc>
        <w:tc>
          <w:tcPr>
            <w:tcW w:w="1159" w:type="dxa"/>
            <w:tcBorders/>
            <w:shd w:fill="CCEEFF" w:val="clear"/>
            <w:vAlign w:val="center"/>
          </w:tcPr>
          <w:p>
            <w:pPr>
              <w:pStyle w:val="TableContents"/>
              <w:spacing w:before="0" w:after="283"/>
              <w:jc w:val="right"/>
              <w:rPr/>
            </w:pPr>
            <w:r>
              <w:rPr/>
              <w:t>750,000</w:t>
            </w:r>
          </w:p>
        </w:tc>
        <w:tc>
          <w:tcPr>
            <w:tcW w:w="293" w:type="dxa"/>
            <w:tcBorders/>
            <w:shd w:fill="CCEEFF" w:val="clear"/>
            <w:vAlign w:val="center"/>
          </w:tcPr>
          <w:p>
            <w:pPr>
              <w:pStyle w:val="TableContents"/>
              <w:spacing w:before="0" w:after="0"/>
              <w:ind w:left="0" w:right="0" w:hanging="0"/>
              <w:rPr/>
            </w:pPr>
            <w:r>
              <w:rPr/>
              <w:t> </w:t>
            </w:r>
          </w:p>
        </w:tc>
      </w:tr>
      <w:tr>
        <w:trPr/>
        <w:tc>
          <w:tcPr>
            <w:tcW w:w="5090" w:type="dxa"/>
            <w:tcBorders/>
            <w:shd w:fill="FFFFFF" w:val="clear"/>
            <w:vAlign w:val="center"/>
          </w:tcPr>
          <w:p>
            <w:pPr>
              <w:pStyle w:val="TableContents"/>
              <w:spacing w:before="0" w:after="0"/>
              <w:ind w:left="0" w:right="0" w:firstLine="160"/>
              <w:rPr/>
            </w:pPr>
            <w:r>
              <w:rPr/>
              <w:t xml:space="preserve">Excess of loss coverage above risk retained </w:t>
            </w:r>
          </w:p>
        </w:tc>
        <w:tc>
          <w:tcPr>
            <w:tcW w:w="90" w:type="dxa"/>
            <w:tcBorders/>
            <w:shd w:fill="FFFFFF" w:val="clear"/>
            <w:vAlign w:val="center"/>
          </w:tcPr>
          <w:p>
            <w:pPr>
              <w:pStyle w:val="TableContents"/>
              <w:spacing w:before="0" w:after="0"/>
              <w:ind w:left="0" w:right="0" w:hanging="0"/>
              <w:rPr/>
            </w:pPr>
            <w:r>
              <w:rPr/>
              <w:t> </w:t>
            </w:r>
          </w:p>
        </w:tc>
        <w:tc>
          <w:tcPr>
            <w:tcW w:w="195" w:type="dxa"/>
            <w:tcBorders/>
            <w:shd w:fill="FFFFFF" w:val="clear"/>
            <w:vAlign w:val="center"/>
          </w:tcPr>
          <w:p>
            <w:pPr>
              <w:pStyle w:val="TableContents"/>
              <w:spacing w:before="0" w:after="283"/>
              <w:rPr/>
            </w:pPr>
            <w:r>
              <w:rPr/>
              <w:t>$</w:t>
            </w:r>
          </w:p>
        </w:tc>
        <w:tc>
          <w:tcPr>
            <w:tcW w:w="1159" w:type="dxa"/>
            <w:tcBorders/>
            <w:shd w:fill="FFFFFF" w:val="clear"/>
            <w:vAlign w:val="center"/>
          </w:tcPr>
          <w:p>
            <w:pPr>
              <w:pStyle w:val="TableContents"/>
              <w:spacing w:before="0" w:after="283"/>
              <w:jc w:val="right"/>
              <w:rPr/>
            </w:pPr>
            <w:r>
              <w:rPr/>
              <w:t>3,750,000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95" w:type="dxa"/>
            <w:tcBorders/>
            <w:shd w:fill="FFFFFF" w:val="clear"/>
            <w:vAlign w:val="center"/>
          </w:tcPr>
          <w:p>
            <w:pPr>
              <w:pStyle w:val="TableContents"/>
              <w:spacing w:before="0" w:after="283"/>
              <w:rPr/>
            </w:pPr>
            <w:r>
              <w:rPr/>
              <w:t>$</w:t>
            </w:r>
          </w:p>
        </w:tc>
        <w:tc>
          <w:tcPr>
            <w:tcW w:w="1159" w:type="dxa"/>
            <w:tcBorders/>
            <w:shd w:fill="FFFFFF" w:val="clear"/>
            <w:vAlign w:val="center"/>
          </w:tcPr>
          <w:p>
            <w:pPr>
              <w:pStyle w:val="TableContents"/>
              <w:spacing w:before="0" w:after="283"/>
              <w:jc w:val="right"/>
              <w:rPr/>
            </w:pPr>
            <w:r>
              <w:rPr/>
              <w:t>3,750,000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95" w:type="dxa"/>
            <w:tcBorders/>
            <w:shd w:fill="FFFFFF" w:val="clear"/>
            <w:vAlign w:val="center"/>
          </w:tcPr>
          <w:p>
            <w:pPr>
              <w:pStyle w:val="TableContents"/>
              <w:spacing w:before="0" w:after="283"/>
              <w:rPr/>
            </w:pPr>
            <w:r>
              <w:rPr/>
              <w:t>$</w:t>
            </w:r>
          </w:p>
        </w:tc>
        <w:tc>
          <w:tcPr>
            <w:tcW w:w="1159" w:type="dxa"/>
            <w:tcBorders/>
            <w:shd w:fill="FFFFFF" w:val="clear"/>
            <w:vAlign w:val="center"/>
          </w:tcPr>
          <w:p>
            <w:pPr>
              <w:pStyle w:val="TableContents"/>
              <w:spacing w:before="0" w:after="283"/>
              <w:jc w:val="right"/>
              <w:rPr/>
            </w:pPr>
            <w:r>
              <w:rPr/>
              <w:t>3,750,000</w:t>
            </w:r>
          </w:p>
        </w:tc>
        <w:tc>
          <w:tcPr>
            <w:tcW w:w="293" w:type="dxa"/>
            <w:tcBorders/>
            <w:shd w:fill="FFFFFF" w:val="clear"/>
            <w:vAlign w:val="center"/>
          </w:tcPr>
          <w:p>
            <w:pPr>
              <w:pStyle w:val="TableContents"/>
              <w:spacing w:before="0" w:after="0"/>
              <w:ind w:left="0" w:right="0" w:hanging="0"/>
              <w:rPr/>
            </w:pPr>
            <w:r>
              <w:rPr/>
              <w:t> </w:t>
            </w:r>
          </w:p>
        </w:tc>
      </w:tr>
      <w:tr>
        <w:trPr/>
        <w:tc>
          <w:tcPr>
            <w:tcW w:w="50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354" w:type="dxa"/>
            <w:gridSpan w:val="2"/>
            <w:tcBorders/>
            <w:shd w:fill="CCEEFF" w:val="clear"/>
            <w:vAlign w:val="center"/>
          </w:tcPr>
          <w:p>
            <w:pPr>
              <w:pStyle w:val="TableContents"/>
              <w:spacing w:before="0" w:after="0"/>
              <w:ind w:left="0" w:right="0" w:hanging="0"/>
              <w:jc w:val="right"/>
              <w:rPr/>
            </w:pPr>
            <w:r>
              <w:rPr/>
              <w:t xml:space="preserve">in excess of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354" w:type="dxa"/>
            <w:gridSpan w:val="2"/>
            <w:tcBorders/>
            <w:shd w:fill="CCEEFF" w:val="clear"/>
            <w:vAlign w:val="center"/>
          </w:tcPr>
          <w:p>
            <w:pPr>
              <w:pStyle w:val="TableContents"/>
              <w:spacing w:before="0" w:after="0"/>
              <w:ind w:left="0" w:right="0" w:hanging="0"/>
              <w:jc w:val="right"/>
              <w:rPr/>
            </w:pPr>
            <w:r>
              <w:rPr/>
              <w:t xml:space="preserve">in excess of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354" w:type="dxa"/>
            <w:gridSpan w:val="2"/>
            <w:tcBorders/>
            <w:shd w:fill="CCEEFF" w:val="clear"/>
            <w:vAlign w:val="center"/>
          </w:tcPr>
          <w:p>
            <w:pPr>
              <w:pStyle w:val="TableContents"/>
              <w:spacing w:before="0" w:after="0"/>
              <w:ind w:left="0" w:right="0" w:hanging="0"/>
              <w:jc w:val="right"/>
              <w:rPr/>
            </w:pPr>
            <w:r>
              <w:rPr/>
              <w:t xml:space="preserve">in excess of </w:t>
            </w:r>
          </w:p>
        </w:tc>
        <w:tc>
          <w:tcPr>
            <w:tcW w:w="293" w:type="dxa"/>
            <w:tcBorders/>
            <w:shd w:fill="CCEEFF" w:val="clear"/>
            <w:vAlign w:val="center"/>
          </w:tcPr>
          <w:p>
            <w:pPr>
              <w:pStyle w:val="TableContents"/>
              <w:spacing w:before="0" w:after="0"/>
              <w:ind w:left="0" w:right="0" w:hanging="0"/>
              <w:rPr/>
            </w:pPr>
            <w:r>
              <w:rPr/>
              <w:t> </w:t>
            </w:r>
          </w:p>
        </w:tc>
      </w:tr>
      <w:tr>
        <w:trPr/>
        <w:tc>
          <w:tcPr>
            <w:tcW w:w="50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95" w:type="dxa"/>
            <w:tcBorders/>
            <w:shd w:fill="FFFFFF" w:val="clear"/>
            <w:vAlign w:val="center"/>
          </w:tcPr>
          <w:p>
            <w:pPr>
              <w:pStyle w:val="TableContents"/>
              <w:spacing w:before="0" w:after="283"/>
              <w:rPr/>
            </w:pPr>
            <w:r>
              <w:rPr/>
              <w:t>$</w:t>
            </w:r>
          </w:p>
        </w:tc>
        <w:tc>
          <w:tcPr>
            <w:tcW w:w="1159" w:type="dxa"/>
            <w:tcBorders/>
            <w:shd w:fill="FFFFFF" w:val="clear"/>
            <w:vAlign w:val="center"/>
          </w:tcPr>
          <w:p>
            <w:pPr>
              <w:pStyle w:val="TableContents"/>
              <w:spacing w:before="0" w:after="283"/>
              <w:jc w:val="right"/>
              <w:rPr/>
            </w:pPr>
            <w:r>
              <w:rPr/>
              <w:t>750,000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95" w:type="dxa"/>
            <w:tcBorders/>
            <w:shd w:fill="FFFFFF" w:val="clear"/>
            <w:vAlign w:val="center"/>
          </w:tcPr>
          <w:p>
            <w:pPr>
              <w:pStyle w:val="TableContents"/>
              <w:spacing w:before="0" w:after="283"/>
              <w:rPr/>
            </w:pPr>
            <w:r>
              <w:rPr/>
              <w:t>$</w:t>
            </w:r>
          </w:p>
        </w:tc>
        <w:tc>
          <w:tcPr>
            <w:tcW w:w="1159" w:type="dxa"/>
            <w:tcBorders/>
            <w:shd w:fill="FFFFFF" w:val="clear"/>
            <w:vAlign w:val="center"/>
          </w:tcPr>
          <w:p>
            <w:pPr>
              <w:pStyle w:val="TableContents"/>
              <w:spacing w:before="0" w:after="283"/>
              <w:jc w:val="right"/>
              <w:rPr/>
            </w:pPr>
            <w:r>
              <w:rPr/>
              <w:t>750,000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95" w:type="dxa"/>
            <w:tcBorders/>
            <w:shd w:fill="FFFFFF" w:val="clear"/>
            <w:vAlign w:val="center"/>
          </w:tcPr>
          <w:p>
            <w:pPr>
              <w:pStyle w:val="TableContents"/>
              <w:spacing w:before="0" w:after="283"/>
              <w:rPr/>
            </w:pPr>
            <w:r>
              <w:rPr/>
              <w:t>$</w:t>
            </w:r>
          </w:p>
        </w:tc>
        <w:tc>
          <w:tcPr>
            <w:tcW w:w="1159" w:type="dxa"/>
            <w:tcBorders/>
            <w:shd w:fill="FFFFFF" w:val="clear"/>
            <w:vAlign w:val="center"/>
          </w:tcPr>
          <w:p>
            <w:pPr>
              <w:pStyle w:val="TableContents"/>
              <w:spacing w:before="0" w:after="283"/>
              <w:jc w:val="right"/>
              <w:rPr/>
            </w:pPr>
            <w:r>
              <w:rPr/>
              <w:t>750,000</w:t>
            </w:r>
          </w:p>
        </w:tc>
        <w:tc>
          <w:tcPr>
            <w:tcW w:w="293" w:type="dxa"/>
            <w:tcBorders/>
            <w:shd w:fill="FFFFFF" w:val="clear"/>
            <w:vAlign w:val="center"/>
          </w:tcPr>
          <w:p>
            <w:pPr>
              <w:pStyle w:val="TableContents"/>
              <w:spacing w:before="0" w:after="0"/>
              <w:ind w:left="0" w:right="0" w:hanging="0"/>
              <w:rPr/>
            </w:pPr>
            <w:r>
              <w:rPr/>
              <w:t> </w:t>
            </w:r>
          </w:p>
        </w:tc>
      </w:tr>
      <w:tr>
        <w:trPr/>
        <w:tc>
          <w:tcPr>
            <w:tcW w:w="5090" w:type="dxa"/>
            <w:tcBorders/>
            <w:shd w:fill="CCEEFF" w:val="clear"/>
            <w:vAlign w:val="center"/>
          </w:tcPr>
          <w:p>
            <w:pPr>
              <w:pStyle w:val="TableContents"/>
              <w:spacing w:before="0" w:after="0"/>
              <w:ind w:left="0" w:right="0" w:firstLine="160"/>
              <w:rPr/>
            </w:pPr>
            <w:r>
              <w:rPr/>
              <w:t xml:space="preserve">Total reinsurance coverage per occurrence </w:t>
            </w:r>
          </w:p>
        </w:tc>
        <w:tc>
          <w:tcPr>
            <w:tcW w:w="90" w:type="dxa"/>
            <w:tcBorders/>
            <w:shd w:fill="CCEEFF" w:val="clear"/>
            <w:vAlign w:val="center"/>
          </w:tcPr>
          <w:p>
            <w:pPr>
              <w:pStyle w:val="TableContents"/>
              <w:spacing w:before="0" w:after="0"/>
              <w:ind w:left="0" w:right="0" w:hanging="0"/>
              <w:rPr/>
            </w:pPr>
            <w:r>
              <w:rPr/>
              <w:t> </w:t>
            </w:r>
          </w:p>
        </w:tc>
        <w:tc>
          <w:tcPr>
            <w:tcW w:w="195" w:type="dxa"/>
            <w:tcBorders/>
            <w:shd w:fill="CCEEFF" w:val="clear"/>
            <w:vAlign w:val="center"/>
          </w:tcPr>
          <w:p>
            <w:pPr>
              <w:pStyle w:val="TableContents"/>
              <w:spacing w:before="0" w:after="283"/>
              <w:rPr/>
            </w:pPr>
            <w:r>
              <w:rPr/>
              <w:t>$</w:t>
            </w:r>
          </w:p>
        </w:tc>
        <w:tc>
          <w:tcPr>
            <w:tcW w:w="1159" w:type="dxa"/>
            <w:tcBorders/>
            <w:shd w:fill="CCEEFF" w:val="clear"/>
            <w:vAlign w:val="center"/>
          </w:tcPr>
          <w:p>
            <w:pPr>
              <w:pStyle w:val="TableContents"/>
              <w:spacing w:before="0" w:after="283"/>
              <w:jc w:val="right"/>
              <w:rPr/>
            </w:pPr>
            <w:r>
              <w:rPr/>
              <w:t>3,750,000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95" w:type="dxa"/>
            <w:tcBorders/>
            <w:shd w:fill="CCEEFF" w:val="clear"/>
            <w:vAlign w:val="center"/>
          </w:tcPr>
          <w:p>
            <w:pPr>
              <w:pStyle w:val="TableContents"/>
              <w:spacing w:before="0" w:after="283"/>
              <w:rPr/>
            </w:pPr>
            <w:r>
              <w:rPr/>
              <w:t>$</w:t>
            </w:r>
          </w:p>
        </w:tc>
        <w:tc>
          <w:tcPr>
            <w:tcW w:w="1159" w:type="dxa"/>
            <w:tcBorders/>
            <w:shd w:fill="CCEEFF" w:val="clear"/>
            <w:vAlign w:val="center"/>
          </w:tcPr>
          <w:p>
            <w:pPr>
              <w:pStyle w:val="TableContents"/>
              <w:spacing w:before="0" w:after="283"/>
              <w:jc w:val="right"/>
              <w:rPr/>
            </w:pPr>
            <w:r>
              <w:rPr/>
              <w:t>3,750,000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95" w:type="dxa"/>
            <w:tcBorders/>
            <w:shd w:fill="CCEEFF" w:val="clear"/>
            <w:vAlign w:val="center"/>
          </w:tcPr>
          <w:p>
            <w:pPr>
              <w:pStyle w:val="TableContents"/>
              <w:spacing w:before="0" w:after="283"/>
              <w:rPr/>
            </w:pPr>
            <w:r>
              <w:rPr/>
              <w:t>$</w:t>
            </w:r>
          </w:p>
        </w:tc>
        <w:tc>
          <w:tcPr>
            <w:tcW w:w="1159" w:type="dxa"/>
            <w:tcBorders/>
            <w:shd w:fill="CCEEFF" w:val="clear"/>
            <w:vAlign w:val="center"/>
          </w:tcPr>
          <w:p>
            <w:pPr>
              <w:pStyle w:val="TableContents"/>
              <w:spacing w:before="0" w:after="283"/>
              <w:jc w:val="right"/>
              <w:rPr/>
            </w:pPr>
            <w:r>
              <w:rPr/>
              <w:t>3,750,000</w:t>
            </w:r>
          </w:p>
        </w:tc>
        <w:tc>
          <w:tcPr>
            <w:tcW w:w="293" w:type="dxa"/>
            <w:tcBorders/>
            <w:shd w:fill="CCEEFF" w:val="clear"/>
            <w:vAlign w:val="center"/>
          </w:tcPr>
          <w:p>
            <w:pPr>
              <w:pStyle w:val="TableContents"/>
              <w:spacing w:before="0" w:after="0"/>
              <w:ind w:left="0" w:right="0" w:hanging="0"/>
              <w:rPr/>
            </w:pPr>
            <w:r>
              <w:rPr/>
              <w:t> </w:t>
            </w:r>
          </w:p>
        </w:tc>
      </w:tr>
      <w:tr>
        <w:trPr/>
        <w:tc>
          <w:tcPr>
            <w:tcW w:w="5090" w:type="dxa"/>
            <w:tcBorders/>
            <w:shd w:fill="FFFFFF" w:val="clear"/>
            <w:vAlign w:val="center"/>
          </w:tcPr>
          <w:p>
            <w:pPr>
              <w:pStyle w:val="TableContents"/>
              <w:spacing w:before="0" w:after="0"/>
              <w:ind w:left="0" w:right="0" w:firstLine="160"/>
              <w:rPr/>
            </w:pPr>
            <w:r>
              <w:rPr/>
              <w:t xml:space="preserve">Losses per occurrence subject to reinsurance coverage </w:t>
            </w:r>
          </w:p>
        </w:tc>
        <w:tc>
          <w:tcPr>
            <w:tcW w:w="90" w:type="dxa"/>
            <w:tcBorders/>
            <w:shd w:fill="FFFFFF" w:val="clear"/>
            <w:vAlign w:val="center"/>
          </w:tcPr>
          <w:p>
            <w:pPr>
              <w:pStyle w:val="TableContents"/>
              <w:spacing w:before="0" w:after="0"/>
              <w:ind w:left="0" w:right="0" w:hanging="0"/>
              <w:rPr/>
            </w:pPr>
            <w:r>
              <w:rPr/>
              <w:t> </w:t>
            </w:r>
          </w:p>
        </w:tc>
        <w:tc>
          <w:tcPr>
            <w:tcW w:w="195" w:type="dxa"/>
            <w:tcBorders/>
            <w:shd w:fill="FFFFFF" w:val="clear"/>
            <w:vAlign w:val="center"/>
          </w:tcPr>
          <w:p>
            <w:pPr>
              <w:pStyle w:val="TableContents"/>
              <w:spacing w:before="0" w:after="283"/>
              <w:rPr/>
            </w:pPr>
            <w:r>
              <w:rPr/>
              <w:t>$</w:t>
            </w:r>
          </w:p>
        </w:tc>
        <w:tc>
          <w:tcPr>
            <w:tcW w:w="1159" w:type="dxa"/>
            <w:tcBorders/>
            <w:shd w:fill="FFFFFF" w:val="clear"/>
            <w:vAlign w:val="center"/>
          </w:tcPr>
          <w:p>
            <w:pPr>
              <w:pStyle w:val="TableContents"/>
              <w:spacing w:before="0" w:after="283"/>
              <w:jc w:val="right"/>
              <w:rPr/>
            </w:pPr>
            <w:r>
              <w:rPr/>
              <w:t>4,500,000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95" w:type="dxa"/>
            <w:tcBorders/>
            <w:shd w:fill="FFFFFF" w:val="clear"/>
            <w:vAlign w:val="center"/>
          </w:tcPr>
          <w:p>
            <w:pPr>
              <w:pStyle w:val="TableContents"/>
              <w:spacing w:before="0" w:after="283"/>
              <w:rPr/>
            </w:pPr>
            <w:r>
              <w:rPr/>
              <w:t>$</w:t>
            </w:r>
          </w:p>
        </w:tc>
        <w:tc>
          <w:tcPr>
            <w:tcW w:w="1159" w:type="dxa"/>
            <w:tcBorders/>
            <w:shd w:fill="FFFFFF" w:val="clear"/>
            <w:vAlign w:val="center"/>
          </w:tcPr>
          <w:p>
            <w:pPr>
              <w:pStyle w:val="TableContents"/>
              <w:spacing w:before="0" w:after="283"/>
              <w:jc w:val="right"/>
              <w:rPr/>
            </w:pPr>
            <w:r>
              <w:rPr/>
              <w:t>4,500,000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95" w:type="dxa"/>
            <w:tcBorders/>
            <w:shd w:fill="FFFFFF" w:val="clear"/>
            <w:vAlign w:val="center"/>
          </w:tcPr>
          <w:p>
            <w:pPr>
              <w:pStyle w:val="TableContents"/>
              <w:spacing w:before="0" w:after="283"/>
              <w:rPr/>
            </w:pPr>
            <w:r>
              <w:rPr/>
              <w:t>$</w:t>
            </w:r>
          </w:p>
        </w:tc>
        <w:tc>
          <w:tcPr>
            <w:tcW w:w="1159" w:type="dxa"/>
            <w:tcBorders/>
            <w:shd w:fill="FFFFFF" w:val="clear"/>
            <w:vAlign w:val="center"/>
          </w:tcPr>
          <w:p>
            <w:pPr>
              <w:pStyle w:val="TableContents"/>
              <w:spacing w:before="0" w:after="283"/>
              <w:jc w:val="right"/>
              <w:rPr/>
            </w:pPr>
            <w:r>
              <w:rPr/>
              <w:t>4,500,000</w:t>
            </w:r>
          </w:p>
        </w:tc>
        <w:tc>
          <w:tcPr>
            <w:tcW w:w="293" w:type="dxa"/>
            <w:tcBorders/>
            <w:shd w:fill="FFFFFF" w:val="clear"/>
            <w:vAlign w:val="center"/>
          </w:tcPr>
          <w:p>
            <w:pPr>
              <w:pStyle w:val="TableContents"/>
              <w:spacing w:before="0" w:after="0"/>
              <w:ind w:left="0" w:right="0" w:hanging="0"/>
              <w:rPr/>
            </w:pPr>
            <w:r>
              <w:rPr/>
              <w:t> </w:t>
            </w:r>
          </w:p>
        </w:tc>
      </w:tr>
      <w:tr>
        <w:trPr/>
        <w:tc>
          <w:tcPr>
            <w:tcW w:w="50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95" w:type="dxa"/>
            <w:tcBorders/>
            <w:shd w:fill="CCEEFF" w:val="clear"/>
            <w:vAlign w:val="center"/>
          </w:tcPr>
          <w:p>
            <w:pPr>
              <w:pStyle w:val="TableContents"/>
              <w:spacing w:before="0" w:after="0"/>
              <w:ind w:left="0" w:right="0" w:hanging="0"/>
              <w:rPr/>
            </w:pPr>
            <w:r>
              <w:rPr/>
              <w:t> </w:t>
            </w:r>
          </w:p>
        </w:tc>
        <w:tc>
          <w:tcPr>
            <w:tcW w:w="1159"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95" w:type="dxa"/>
            <w:tcBorders/>
            <w:shd w:fill="CCEEFF" w:val="clear"/>
            <w:vAlign w:val="center"/>
          </w:tcPr>
          <w:p>
            <w:pPr>
              <w:pStyle w:val="TableContents"/>
              <w:spacing w:before="0" w:after="0"/>
              <w:ind w:left="0" w:right="0" w:hanging="0"/>
              <w:rPr/>
            </w:pPr>
            <w:r>
              <w:rPr/>
              <w:t> </w:t>
            </w:r>
          </w:p>
        </w:tc>
        <w:tc>
          <w:tcPr>
            <w:tcW w:w="1159"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95" w:type="dxa"/>
            <w:tcBorders/>
            <w:shd w:fill="CCEEFF" w:val="clear"/>
            <w:vAlign w:val="center"/>
          </w:tcPr>
          <w:p>
            <w:pPr>
              <w:pStyle w:val="TableContents"/>
              <w:spacing w:before="0" w:after="0"/>
              <w:ind w:left="0" w:right="0" w:hanging="0"/>
              <w:rPr/>
            </w:pPr>
            <w:r>
              <w:rPr/>
              <w:t> </w:t>
            </w:r>
          </w:p>
        </w:tc>
        <w:tc>
          <w:tcPr>
            <w:tcW w:w="1159" w:type="dxa"/>
            <w:tcBorders/>
            <w:shd w:fill="CCEEFF" w:val="clear"/>
            <w:vAlign w:val="center"/>
          </w:tcPr>
          <w:p>
            <w:pPr>
              <w:pStyle w:val="TableContents"/>
              <w:spacing w:before="0" w:after="0"/>
              <w:ind w:left="0" w:right="0" w:hanging="0"/>
              <w:rPr/>
            </w:pPr>
            <w:r>
              <w:rPr/>
              <w:t> </w:t>
            </w:r>
          </w:p>
        </w:tc>
        <w:tc>
          <w:tcPr>
            <w:tcW w:w="293" w:type="dxa"/>
            <w:tcBorders/>
            <w:shd w:fill="CCEEFF" w:val="clear"/>
            <w:vAlign w:val="center"/>
          </w:tcPr>
          <w:p>
            <w:pPr>
              <w:pStyle w:val="TableContents"/>
              <w:spacing w:before="0" w:after="0"/>
              <w:ind w:left="0" w:right="0" w:hanging="0"/>
              <w:rPr/>
            </w:pPr>
            <w:r>
              <w:rPr/>
              <w:t> </w:t>
            </w:r>
          </w:p>
        </w:tc>
      </w:tr>
      <w:tr>
        <w:trPr/>
        <w:tc>
          <w:tcPr>
            <w:tcW w:w="5090" w:type="dxa"/>
            <w:tcBorders/>
            <w:shd w:fill="FFFFFF" w:val="clear"/>
            <w:vAlign w:val="center"/>
          </w:tcPr>
          <w:p>
            <w:pPr>
              <w:pStyle w:val="TableContents"/>
              <w:spacing w:before="0" w:after="0"/>
              <w:ind w:left="0" w:right="0" w:hanging="0"/>
              <w:rPr/>
            </w:pPr>
            <w:r>
              <w:rPr/>
              <w:t xml:space="preserve">Commercial Umbrella </w:t>
            </w:r>
          </w:p>
        </w:tc>
        <w:tc>
          <w:tcPr>
            <w:tcW w:w="90" w:type="dxa"/>
            <w:tcBorders/>
            <w:shd w:fill="FFFFFF" w:val="clear"/>
            <w:vAlign w:val="center"/>
          </w:tcPr>
          <w:p>
            <w:pPr>
              <w:pStyle w:val="TableContents"/>
              <w:spacing w:before="0" w:after="0"/>
              <w:ind w:left="0" w:right="0" w:hanging="0"/>
              <w:rPr/>
            </w:pPr>
            <w:r>
              <w:rPr/>
              <w:t> </w:t>
            </w:r>
          </w:p>
        </w:tc>
        <w:tc>
          <w:tcPr>
            <w:tcW w:w="195" w:type="dxa"/>
            <w:tcBorders/>
            <w:shd w:fill="FFFFFF" w:val="clear"/>
            <w:vAlign w:val="center"/>
          </w:tcPr>
          <w:p>
            <w:pPr>
              <w:pStyle w:val="TableContents"/>
              <w:spacing w:before="0" w:after="0"/>
              <w:ind w:left="0" w:right="0" w:hanging="0"/>
              <w:rPr/>
            </w:pPr>
            <w:r>
              <w:rPr/>
              <w:t> </w:t>
            </w:r>
          </w:p>
        </w:tc>
        <w:tc>
          <w:tcPr>
            <w:tcW w:w="1159"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95" w:type="dxa"/>
            <w:tcBorders/>
            <w:shd w:fill="FFFFFF" w:val="clear"/>
            <w:vAlign w:val="center"/>
          </w:tcPr>
          <w:p>
            <w:pPr>
              <w:pStyle w:val="TableContents"/>
              <w:spacing w:before="0" w:after="0"/>
              <w:ind w:left="0" w:right="0" w:hanging="0"/>
              <w:rPr/>
            </w:pPr>
            <w:r>
              <w:rPr/>
              <w:t> </w:t>
            </w:r>
          </w:p>
        </w:tc>
        <w:tc>
          <w:tcPr>
            <w:tcW w:w="1159"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95" w:type="dxa"/>
            <w:tcBorders/>
            <w:shd w:fill="FFFFFF" w:val="clear"/>
            <w:vAlign w:val="center"/>
          </w:tcPr>
          <w:p>
            <w:pPr>
              <w:pStyle w:val="TableContents"/>
              <w:spacing w:before="0" w:after="0"/>
              <w:ind w:left="0" w:right="0" w:hanging="0"/>
              <w:rPr/>
            </w:pPr>
            <w:r>
              <w:rPr/>
              <w:t> </w:t>
            </w:r>
          </w:p>
        </w:tc>
        <w:tc>
          <w:tcPr>
            <w:tcW w:w="1159" w:type="dxa"/>
            <w:tcBorders/>
            <w:shd w:fill="FFFFFF" w:val="clear"/>
            <w:vAlign w:val="center"/>
          </w:tcPr>
          <w:p>
            <w:pPr>
              <w:pStyle w:val="TableContents"/>
              <w:spacing w:before="0" w:after="0"/>
              <w:ind w:left="0" w:right="0" w:hanging="0"/>
              <w:rPr/>
            </w:pPr>
            <w:r>
              <w:rPr/>
              <w:t> </w:t>
            </w:r>
          </w:p>
        </w:tc>
        <w:tc>
          <w:tcPr>
            <w:tcW w:w="293" w:type="dxa"/>
            <w:tcBorders/>
            <w:shd w:fill="FFFFFF" w:val="clear"/>
            <w:vAlign w:val="center"/>
          </w:tcPr>
          <w:p>
            <w:pPr>
              <w:pStyle w:val="TableContents"/>
              <w:spacing w:before="0" w:after="0"/>
              <w:ind w:left="0" w:right="0" w:hanging="0"/>
              <w:rPr/>
            </w:pPr>
            <w:r>
              <w:rPr/>
              <w:t> </w:t>
            </w:r>
          </w:p>
        </w:tc>
      </w:tr>
      <w:tr>
        <w:trPr/>
        <w:tc>
          <w:tcPr>
            <w:tcW w:w="5090" w:type="dxa"/>
            <w:tcBorders/>
            <w:shd w:fill="CCEEFF" w:val="clear"/>
            <w:vAlign w:val="center"/>
          </w:tcPr>
          <w:p>
            <w:pPr>
              <w:pStyle w:val="TableContents"/>
              <w:spacing w:before="0" w:after="0"/>
              <w:ind w:left="0" w:right="0" w:firstLine="160"/>
              <w:rPr/>
            </w:pPr>
            <w:r>
              <w:rPr/>
              <w:t xml:space="preserve">Quota share treaty: </w:t>
            </w:r>
          </w:p>
        </w:tc>
        <w:tc>
          <w:tcPr>
            <w:tcW w:w="90" w:type="dxa"/>
            <w:tcBorders/>
            <w:shd w:fill="CCEEFF" w:val="clear"/>
            <w:vAlign w:val="center"/>
          </w:tcPr>
          <w:p>
            <w:pPr>
              <w:pStyle w:val="TableContents"/>
              <w:spacing w:before="0" w:after="0"/>
              <w:ind w:left="0" w:right="0" w:hanging="0"/>
              <w:rPr/>
            </w:pPr>
            <w:r>
              <w:rPr/>
              <w:t> </w:t>
            </w:r>
          </w:p>
        </w:tc>
        <w:tc>
          <w:tcPr>
            <w:tcW w:w="1354" w:type="dxa"/>
            <w:gridSpan w:val="2"/>
            <w:tcBorders/>
            <w:shd w:fill="CCEEFF" w:val="clear"/>
            <w:vAlign w:val="center"/>
          </w:tcPr>
          <w:p>
            <w:pPr>
              <w:pStyle w:val="TableContents"/>
              <w:spacing w:before="0" w:after="0"/>
              <w:ind w:left="0" w:right="0" w:hanging="0"/>
              <w:jc w:val="right"/>
              <w:rPr/>
            </w:pPr>
            <w:r>
              <w:rPr/>
              <w:t>None</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354" w:type="dxa"/>
            <w:gridSpan w:val="2"/>
            <w:tcBorders/>
            <w:shd w:fill="CCEEFF" w:val="clear"/>
            <w:vAlign w:val="center"/>
          </w:tcPr>
          <w:p>
            <w:pPr>
              <w:pStyle w:val="TableContents"/>
              <w:spacing w:before="0" w:after="0"/>
              <w:ind w:left="0" w:right="0" w:hanging="0"/>
              <w:jc w:val="right"/>
              <w:rPr/>
            </w:pPr>
            <w:r>
              <w:rPr/>
              <w:t>None</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95" w:type="dxa"/>
            <w:tcBorders/>
            <w:shd w:fill="CCEEFF" w:val="clear"/>
            <w:vAlign w:val="center"/>
          </w:tcPr>
          <w:p>
            <w:pPr>
              <w:pStyle w:val="TableContents"/>
              <w:spacing w:before="0" w:after="0"/>
              <w:ind w:left="0" w:right="0" w:hanging="0"/>
              <w:rPr/>
            </w:pPr>
            <w:r>
              <w:rPr/>
              <w:t> </w:t>
            </w:r>
          </w:p>
        </w:tc>
        <w:tc>
          <w:tcPr>
            <w:tcW w:w="1159" w:type="dxa"/>
            <w:tcBorders/>
            <w:shd w:fill="CCEEFF" w:val="clear"/>
            <w:vAlign w:val="center"/>
          </w:tcPr>
          <w:p>
            <w:pPr>
              <w:pStyle w:val="TableContents"/>
              <w:spacing w:before="0" w:after="0"/>
              <w:ind w:left="0" w:right="0" w:hanging="0"/>
              <w:rPr/>
            </w:pPr>
            <w:r>
              <w:rPr/>
              <w:t> </w:t>
            </w:r>
          </w:p>
        </w:tc>
        <w:tc>
          <w:tcPr>
            <w:tcW w:w="293" w:type="dxa"/>
            <w:tcBorders/>
            <w:shd w:fill="CCEEFF" w:val="clear"/>
            <w:vAlign w:val="center"/>
          </w:tcPr>
          <w:p>
            <w:pPr>
              <w:pStyle w:val="TableContents"/>
              <w:spacing w:before="0" w:after="0"/>
              <w:ind w:left="0" w:right="0" w:hanging="0"/>
              <w:rPr/>
            </w:pPr>
            <w:r>
              <w:rPr/>
              <w:t> </w:t>
            </w:r>
          </w:p>
        </w:tc>
      </w:tr>
      <w:tr>
        <w:trPr/>
        <w:tc>
          <w:tcPr>
            <w:tcW w:w="5090" w:type="dxa"/>
            <w:tcBorders/>
            <w:shd w:fill="FFFFFF" w:val="clear"/>
            <w:vAlign w:val="center"/>
          </w:tcPr>
          <w:p>
            <w:pPr>
              <w:pStyle w:val="TableContents"/>
              <w:spacing w:before="0" w:after="0"/>
              <w:ind w:left="0" w:right="0" w:firstLine="480"/>
              <w:rPr/>
            </w:pPr>
            <w:r>
              <w:rPr/>
              <w:t xml:space="preserve">Percent ceded - first $1,000,000 of coverage </w:t>
            </w:r>
          </w:p>
        </w:tc>
        <w:tc>
          <w:tcPr>
            <w:tcW w:w="90" w:type="dxa"/>
            <w:tcBorders/>
            <w:shd w:fill="FFFFFF" w:val="clear"/>
            <w:vAlign w:val="center"/>
          </w:tcPr>
          <w:p>
            <w:pPr>
              <w:pStyle w:val="TableContents"/>
              <w:spacing w:before="0" w:after="0"/>
              <w:ind w:left="0" w:right="0" w:hanging="0"/>
              <w:rPr/>
            </w:pPr>
            <w:r>
              <w:rPr/>
              <w:t> </w:t>
            </w:r>
          </w:p>
        </w:tc>
        <w:tc>
          <w:tcPr>
            <w:tcW w:w="195" w:type="dxa"/>
            <w:tcBorders/>
            <w:shd w:fill="FFFFFF" w:val="clear"/>
            <w:vAlign w:val="center"/>
          </w:tcPr>
          <w:p>
            <w:pPr>
              <w:pStyle w:val="TableContents"/>
              <w:spacing w:before="0" w:after="0"/>
              <w:ind w:left="0" w:right="0" w:hanging="0"/>
              <w:rPr/>
            </w:pPr>
            <w:r>
              <w:rPr/>
              <w:t> </w:t>
            </w:r>
          </w:p>
        </w:tc>
        <w:tc>
          <w:tcPr>
            <w:tcW w:w="1159"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95" w:type="dxa"/>
            <w:tcBorders/>
            <w:shd w:fill="FFFFFF" w:val="clear"/>
            <w:vAlign w:val="center"/>
          </w:tcPr>
          <w:p>
            <w:pPr>
              <w:pStyle w:val="TableContents"/>
              <w:spacing w:before="0" w:after="0"/>
              <w:ind w:left="0" w:right="0" w:hanging="0"/>
              <w:rPr/>
            </w:pPr>
            <w:r>
              <w:rPr/>
              <w:t> </w:t>
            </w:r>
          </w:p>
        </w:tc>
        <w:tc>
          <w:tcPr>
            <w:tcW w:w="1159"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95" w:type="dxa"/>
            <w:tcBorders/>
            <w:shd w:fill="FFFFFF" w:val="clear"/>
            <w:vAlign w:val="center"/>
          </w:tcPr>
          <w:p>
            <w:pPr>
              <w:pStyle w:val="TableContents"/>
              <w:spacing w:before="0" w:after="0"/>
              <w:ind w:left="0" w:right="0" w:hanging="0"/>
              <w:rPr/>
            </w:pPr>
            <w:r>
              <w:rPr/>
              <w:t> </w:t>
            </w:r>
          </w:p>
        </w:tc>
        <w:tc>
          <w:tcPr>
            <w:tcW w:w="1159" w:type="dxa"/>
            <w:tcBorders/>
            <w:shd w:fill="FFFFFF" w:val="clear"/>
            <w:vAlign w:val="center"/>
          </w:tcPr>
          <w:p>
            <w:pPr>
              <w:pStyle w:val="TableContents"/>
              <w:spacing w:before="0" w:after="283"/>
              <w:jc w:val="right"/>
              <w:rPr/>
            </w:pPr>
            <w:r>
              <w:rPr/>
              <w:t>90</w:t>
            </w:r>
          </w:p>
        </w:tc>
        <w:tc>
          <w:tcPr>
            <w:tcW w:w="293" w:type="dxa"/>
            <w:tcBorders/>
            <w:shd w:fill="FFFFFF" w:val="clear"/>
            <w:vAlign w:val="center"/>
          </w:tcPr>
          <w:p>
            <w:pPr>
              <w:pStyle w:val="TableContents"/>
              <w:spacing w:before="0" w:after="283"/>
              <w:rPr/>
            </w:pPr>
            <w:r>
              <w:rPr/>
              <w:t>%</w:t>
            </w:r>
          </w:p>
        </w:tc>
      </w:tr>
      <w:tr>
        <w:trPr/>
        <w:tc>
          <w:tcPr>
            <w:tcW w:w="5090" w:type="dxa"/>
            <w:tcBorders/>
            <w:shd w:fill="CCEEFF" w:val="clear"/>
            <w:vAlign w:val="center"/>
          </w:tcPr>
          <w:p>
            <w:pPr>
              <w:pStyle w:val="TableContents"/>
              <w:spacing w:before="0" w:after="0"/>
              <w:ind w:left="0" w:right="0" w:firstLine="480"/>
              <w:rPr/>
            </w:pPr>
            <w:r>
              <w:rPr/>
              <w:t xml:space="preserve">Percent ceded - excess of $1,000,000 of coverage </w:t>
            </w:r>
          </w:p>
        </w:tc>
        <w:tc>
          <w:tcPr>
            <w:tcW w:w="90" w:type="dxa"/>
            <w:tcBorders/>
            <w:shd w:fill="CCEEFF" w:val="clear"/>
            <w:vAlign w:val="center"/>
          </w:tcPr>
          <w:p>
            <w:pPr>
              <w:pStyle w:val="TableContents"/>
              <w:spacing w:before="0" w:after="0"/>
              <w:ind w:left="0" w:right="0" w:hanging="0"/>
              <w:rPr/>
            </w:pPr>
            <w:r>
              <w:rPr/>
              <w:t> </w:t>
            </w:r>
          </w:p>
        </w:tc>
        <w:tc>
          <w:tcPr>
            <w:tcW w:w="195" w:type="dxa"/>
            <w:tcBorders/>
            <w:shd w:fill="CCEEFF" w:val="clear"/>
            <w:vAlign w:val="center"/>
          </w:tcPr>
          <w:p>
            <w:pPr>
              <w:pStyle w:val="TableContents"/>
              <w:spacing w:before="0" w:after="0"/>
              <w:ind w:left="0" w:right="0" w:hanging="0"/>
              <w:rPr/>
            </w:pPr>
            <w:r>
              <w:rPr/>
              <w:t> </w:t>
            </w:r>
          </w:p>
        </w:tc>
        <w:tc>
          <w:tcPr>
            <w:tcW w:w="1159"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95" w:type="dxa"/>
            <w:tcBorders/>
            <w:shd w:fill="CCEEFF" w:val="clear"/>
            <w:vAlign w:val="center"/>
          </w:tcPr>
          <w:p>
            <w:pPr>
              <w:pStyle w:val="TableContents"/>
              <w:spacing w:before="0" w:after="0"/>
              <w:ind w:left="0" w:right="0" w:hanging="0"/>
              <w:rPr/>
            </w:pPr>
            <w:r>
              <w:rPr/>
              <w:t> </w:t>
            </w:r>
          </w:p>
        </w:tc>
        <w:tc>
          <w:tcPr>
            <w:tcW w:w="1159"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95" w:type="dxa"/>
            <w:tcBorders/>
            <w:shd w:fill="CCEEFF" w:val="clear"/>
            <w:vAlign w:val="center"/>
          </w:tcPr>
          <w:p>
            <w:pPr>
              <w:pStyle w:val="TableContents"/>
              <w:spacing w:before="0" w:after="0"/>
              <w:ind w:left="0" w:right="0" w:hanging="0"/>
              <w:rPr/>
            </w:pPr>
            <w:r>
              <w:rPr/>
              <w:t> </w:t>
            </w:r>
          </w:p>
        </w:tc>
        <w:tc>
          <w:tcPr>
            <w:tcW w:w="1159" w:type="dxa"/>
            <w:tcBorders/>
            <w:shd w:fill="CCEEFF" w:val="clear"/>
            <w:vAlign w:val="center"/>
          </w:tcPr>
          <w:p>
            <w:pPr>
              <w:pStyle w:val="TableContents"/>
              <w:spacing w:before="0" w:after="283"/>
              <w:jc w:val="right"/>
              <w:rPr/>
            </w:pPr>
            <w:r>
              <w:rPr/>
              <w:t>100</w:t>
            </w:r>
          </w:p>
        </w:tc>
        <w:tc>
          <w:tcPr>
            <w:tcW w:w="293" w:type="dxa"/>
            <w:tcBorders/>
            <w:shd w:fill="CCEEFF" w:val="clear"/>
            <w:vAlign w:val="center"/>
          </w:tcPr>
          <w:p>
            <w:pPr>
              <w:pStyle w:val="TableContents"/>
              <w:spacing w:before="0" w:after="283"/>
              <w:rPr/>
            </w:pPr>
            <w:r>
              <w:rPr/>
              <w:t>%</w:t>
            </w:r>
          </w:p>
        </w:tc>
      </w:tr>
      <w:tr>
        <w:trPr/>
        <w:tc>
          <w:tcPr>
            <w:tcW w:w="5090" w:type="dxa"/>
            <w:tcBorders/>
            <w:shd w:fill="FFFFFF" w:val="clear"/>
            <w:vAlign w:val="center"/>
          </w:tcPr>
          <w:p>
            <w:pPr>
              <w:pStyle w:val="TableContents"/>
              <w:spacing w:before="0" w:after="0"/>
              <w:ind w:left="0" w:right="0" w:firstLine="480"/>
              <w:rPr/>
            </w:pPr>
            <w:r>
              <w:rPr/>
              <w:t xml:space="preserve">Risk retained </w:t>
            </w:r>
          </w:p>
        </w:tc>
        <w:tc>
          <w:tcPr>
            <w:tcW w:w="90" w:type="dxa"/>
            <w:tcBorders/>
            <w:shd w:fill="FFFFFF" w:val="clear"/>
            <w:vAlign w:val="center"/>
          </w:tcPr>
          <w:p>
            <w:pPr>
              <w:pStyle w:val="TableContents"/>
              <w:spacing w:before="0" w:after="0"/>
              <w:ind w:left="0" w:right="0" w:hanging="0"/>
              <w:rPr/>
            </w:pPr>
            <w:r>
              <w:rPr/>
              <w:t> </w:t>
            </w:r>
          </w:p>
        </w:tc>
        <w:tc>
          <w:tcPr>
            <w:tcW w:w="195" w:type="dxa"/>
            <w:tcBorders/>
            <w:shd w:fill="FFFFFF" w:val="clear"/>
            <w:vAlign w:val="center"/>
          </w:tcPr>
          <w:p>
            <w:pPr>
              <w:pStyle w:val="TableContents"/>
              <w:spacing w:before="0" w:after="0"/>
              <w:ind w:left="0" w:right="0" w:hanging="0"/>
              <w:rPr/>
            </w:pPr>
            <w:r>
              <w:rPr/>
              <w:t> </w:t>
            </w:r>
          </w:p>
        </w:tc>
        <w:tc>
          <w:tcPr>
            <w:tcW w:w="1159"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95" w:type="dxa"/>
            <w:tcBorders/>
            <w:shd w:fill="FFFFFF" w:val="clear"/>
            <w:vAlign w:val="center"/>
          </w:tcPr>
          <w:p>
            <w:pPr>
              <w:pStyle w:val="TableContents"/>
              <w:spacing w:before="0" w:after="0"/>
              <w:ind w:left="0" w:right="0" w:hanging="0"/>
              <w:rPr/>
            </w:pPr>
            <w:r>
              <w:rPr/>
              <w:t> </w:t>
            </w:r>
          </w:p>
        </w:tc>
        <w:tc>
          <w:tcPr>
            <w:tcW w:w="1159"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95" w:type="dxa"/>
            <w:tcBorders/>
            <w:shd w:fill="FFFFFF" w:val="clear"/>
            <w:vAlign w:val="center"/>
          </w:tcPr>
          <w:p>
            <w:pPr>
              <w:pStyle w:val="TableContents"/>
              <w:spacing w:before="0" w:after="283"/>
              <w:rPr/>
            </w:pPr>
            <w:r>
              <w:rPr/>
              <w:t>$</w:t>
            </w:r>
          </w:p>
        </w:tc>
        <w:tc>
          <w:tcPr>
            <w:tcW w:w="1159" w:type="dxa"/>
            <w:tcBorders/>
            <w:shd w:fill="FFFFFF" w:val="clear"/>
            <w:vAlign w:val="center"/>
          </w:tcPr>
          <w:p>
            <w:pPr>
              <w:pStyle w:val="TableContents"/>
              <w:spacing w:before="0" w:after="283"/>
              <w:jc w:val="right"/>
              <w:rPr/>
            </w:pPr>
            <w:r>
              <w:rPr/>
              <w:t>100,000</w:t>
            </w:r>
          </w:p>
        </w:tc>
        <w:tc>
          <w:tcPr>
            <w:tcW w:w="293" w:type="dxa"/>
            <w:tcBorders/>
            <w:shd w:fill="FFFFFF" w:val="clear"/>
            <w:vAlign w:val="center"/>
          </w:tcPr>
          <w:p>
            <w:pPr>
              <w:pStyle w:val="TableContents"/>
              <w:spacing w:before="0" w:after="0"/>
              <w:ind w:left="0" w:right="0" w:hanging="0"/>
              <w:rPr/>
            </w:pPr>
            <w:r>
              <w:rPr/>
              <w:t> </w:t>
            </w:r>
          </w:p>
        </w:tc>
      </w:tr>
      <w:tr>
        <w:trPr/>
        <w:tc>
          <w:tcPr>
            <w:tcW w:w="5090" w:type="dxa"/>
            <w:tcBorders/>
            <w:shd w:fill="CCEEFF" w:val="clear"/>
            <w:vAlign w:val="center"/>
          </w:tcPr>
          <w:p>
            <w:pPr>
              <w:pStyle w:val="TableContents"/>
              <w:spacing w:before="0" w:after="0"/>
              <w:ind w:left="0" w:right="0" w:firstLine="480"/>
              <w:rPr/>
            </w:pPr>
            <w:r>
              <w:rPr/>
              <w:t xml:space="preserve">Total reinsurance coverage per occurrence </w:t>
            </w:r>
          </w:p>
        </w:tc>
        <w:tc>
          <w:tcPr>
            <w:tcW w:w="90" w:type="dxa"/>
            <w:tcBorders/>
            <w:shd w:fill="CCEEFF" w:val="clear"/>
            <w:vAlign w:val="center"/>
          </w:tcPr>
          <w:p>
            <w:pPr>
              <w:pStyle w:val="TableContents"/>
              <w:spacing w:before="0" w:after="0"/>
              <w:ind w:left="0" w:right="0" w:hanging="0"/>
              <w:rPr/>
            </w:pPr>
            <w:r>
              <w:rPr/>
              <w:t> </w:t>
            </w:r>
          </w:p>
        </w:tc>
        <w:tc>
          <w:tcPr>
            <w:tcW w:w="195" w:type="dxa"/>
            <w:tcBorders/>
            <w:shd w:fill="CCEEFF" w:val="clear"/>
            <w:vAlign w:val="center"/>
          </w:tcPr>
          <w:p>
            <w:pPr>
              <w:pStyle w:val="TableContents"/>
              <w:spacing w:before="0" w:after="0"/>
              <w:ind w:left="0" w:right="0" w:hanging="0"/>
              <w:rPr/>
            </w:pPr>
            <w:r>
              <w:rPr/>
              <w:t> </w:t>
            </w:r>
          </w:p>
        </w:tc>
        <w:tc>
          <w:tcPr>
            <w:tcW w:w="1159"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95" w:type="dxa"/>
            <w:tcBorders/>
            <w:shd w:fill="CCEEFF" w:val="clear"/>
            <w:vAlign w:val="center"/>
          </w:tcPr>
          <w:p>
            <w:pPr>
              <w:pStyle w:val="TableContents"/>
              <w:spacing w:before="0" w:after="0"/>
              <w:ind w:left="0" w:right="0" w:hanging="0"/>
              <w:rPr/>
            </w:pPr>
            <w:r>
              <w:rPr/>
              <w:t> </w:t>
            </w:r>
          </w:p>
        </w:tc>
        <w:tc>
          <w:tcPr>
            <w:tcW w:w="1159"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95" w:type="dxa"/>
            <w:tcBorders/>
            <w:shd w:fill="CCEEFF" w:val="clear"/>
            <w:vAlign w:val="center"/>
          </w:tcPr>
          <w:p>
            <w:pPr>
              <w:pStyle w:val="TableContents"/>
              <w:spacing w:before="0" w:after="283"/>
              <w:rPr/>
            </w:pPr>
            <w:r>
              <w:rPr/>
              <w:t>$</w:t>
            </w:r>
          </w:p>
        </w:tc>
        <w:tc>
          <w:tcPr>
            <w:tcW w:w="1159" w:type="dxa"/>
            <w:tcBorders/>
            <w:shd w:fill="CCEEFF" w:val="clear"/>
            <w:vAlign w:val="center"/>
          </w:tcPr>
          <w:p>
            <w:pPr>
              <w:pStyle w:val="TableContents"/>
              <w:spacing w:before="0" w:after="283"/>
              <w:jc w:val="right"/>
              <w:rPr/>
            </w:pPr>
            <w:r>
              <w:rPr/>
              <w:t>4,900,000</w:t>
            </w:r>
          </w:p>
        </w:tc>
        <w:tc>
          <w:tcPr>
            <w:tcW w:w="293" w:type="dxa"/>
            <w:tcBorders/>
            <w:shd w:fill="CCEEFF" w:val="clear"/>
            <w:vAlign w:val="center"/>
          </w:tcPr>
          <w:p>
            <w:pPr>
              <w:pStyle w:val="TableContents"/>
              <w:spacing w:before="0" w:after="0"/>
              <w:ind w:left="0" w:right="0" w:hanging="0"/>
              <w:rPr/>
            </w:pPr>
            <w:r>
              <w:rPr/>
              <w:t> </w:t>
            </w:r>
          </w:p>
        </w:tc>
      </w:tr>
      <w:tr>
        <w:trPr/>
        <w:tc>
          <w:tcPr>
            <w:tcW w:w="5090" w:type="dxa"/>
            <w:tcBorders/>
            <w:shd w:fill="FFFFFF" w:val="clear"/>
            <w:vAlign w:val="center"/>
          </w:tcPr>
          <w:p>
            <w:pPr>
              <w:pStyle w:val="TableContents"/>
              <w:spacing w:before="0" w:after="0"/>
              <w:ind w:left="0" w:right="0" w:firstLine="480"/>
              <w:rPr/>
            </w:pPr>
            <w:r>
              <w:rPr/>
              <w:t xml:space="preserve">Losses per occurrence subject to quota share reinsurance coverage </w:t>
            </w:r>
          </w:p>
        </w:tc>
        <w:tc>
          <w:tcPr>
            <w:tcW w:w="90" w:type="dxa"/>
            <w:tcBorders/>
            <w:shd w:fill="FFFFFF" w:val="clear"/>
            <w:vAlign w:val="center"/>
          </w:tcPr>
          <w:p>
            <w:pPr>
              <w:pStyle w:val="TableContents"/>
              <w:spacing w:before="0" w:after="0"/>
              <w:ind w:left="0" w:right="0" w:hanging="0"/>
              <w:rPr/>
            </w:pPr>
            <w:r>
              <w:rPr/>
              <w:t> </w:t>
            </w:r>
          </w:p>
        </w:tc>
        <w:tc>
          <w:tcPr>
            <w:tcW w:w="195" w:type="dxa"/>
            <w:tcBorders/>
            <w:shd w:fill="FFFFFF" w:val="clear"/>
            <w:vAlign w:val="center"/>
          </w:tcPr>
          <w:p>
            <w:pPr>
              <w:pStyle w:val="TableContents"/>
              <w:spacing w:before="0" w:after="0"/>
              <w:ind w:left="0" w:right="0" w:hanging="0"/>
              <w:rPr/>
            </w:pPr>
            <w:r>
              <w:rPr/>
              <w:t> </w:t>
            </w:r>
          </w:p>
        </w:tc>
        <w:tc>
          <w:tcPr>
            <w:tcW w:w="1159"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95" w:type="dxa"/>
            <w:tcBorders/>
            <w:shd w:fill="FFFFFF" w:val="clear"/>
            <w:vAlign w:val="center"/>
          </w:tcPr>
          <w:p>
            <w:pPr>
              <w:pStyle w:val="TableContents"/>
              <w:spacing w:before="0" w:after="0"/>
              <w:ind w:left="0" w:right="0" w:hanging="0"/>
              <w:rPr/>
            </w:pPr>
            <w:r>
              <w:rPr/>
              <w:t> </w:t>
            </w:r>
          </w:p>
        </w:tc>
        <w:tc>
          <w:tcPr>
            <w:tcW w:w="1159"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95" w:type="dxa"/>
            <w:tcBorders/>
            <w:shd w:fill="FFFFFF" w:val="clear"/>
            <w:vAlign w:val="center"/>
          </w:tcPr>
          <w:p>
            <w:pPr>
              <w:pStyle w:val="TableContents"/>
              <w:spacing w:before="0" w:after="283"/>
              <w:rPr/>
            </w:pPr>
            <w:r>
              <w:rPr/>
              <w:t>$</w:t>
            </w:r>
          </w:p>
        </w:tc>
        <w:tc>
          <w:tcPr>
            <w:tcW w:w="1159" w:type="dxa"/>
            <w:tcBorders/>
            <w:shd w:fill="FFFFFF" w:val="clear"/>
            <w:vAlign w:val="center"/>
          </w:tcPr>
          <w:p>
            <w:pPr>
              <w:pStyle w:val="TableContents"/>
              <w:spacing w:before="0" w:after="283"/>
              <w:jc w:val="right"/>
              <w:rPr/>
            </w:pPr>
            <w:r>
              <w:rPr/>
              <w:t>5,000,000</w:t>
            </w:r>
          </w:p>
        </w:tc>
        <w:tc>
          <w:tcPr>
            <w:tcW w:w="293" w:type="dxa"/>
            <w:tcBorders/>
            <w:shd w:fill="FFFFFF" w:val="clear"/>
            <w:vAlign w:val="center"/>
          </w:tcPr>
          <w:p>
            <w:pPr>
              <w:pStyle w:val="TableContents"/>
              <w:spacing w:before="0" w:after="0"/>
              <w:ind w:left="0" w:right="0" w:hanging="0"/>
              <w:rPr/>
            </w:pPr>
            <w:r>
              <w:rPr/>
              <w:t> </w:t>
            </w:r>
          </w:p>
        </w:tc>
      </w:tr>
      <w:tr>
        <w:trPr/>
        <w:tc>
          <w:tcPr>
            <w:tcW w:w="5090" w:type="dxa"/>
            <w:tcBorders/>
            <w:shd w:fill="CCEEFF" w:val="clear"/>
            <w:vAlign w:val="center"/>
          </w:tcPr>
          <w:p>
            <w:pPr>
              <w:pStyle w:val="TableContents"/>
              <w:spacing w:before="0" w:after="0"/>
              <w:ind w:left="0" w:right="0" w:firstLine="160"/>
              <w:rPr/>
            </w:pPr>
            <w:r>
              <w:rPr/>
              <w:t xml:space="preserve">Expiration date </w:t>
            </w:r>
          </w:p>
        </w:tc>
        <w:tc>
          <w:tcPr>
            <w:tcW w:w="90" w:type="dxa"/>
            <w:tcBorders/>
            <w:shd w:fill="CCEEFF" w:val="clear"/>
            <w:vAlign w:val="center"/>
          </w:tcPr>
          <w:p>
            <w:pPr>
              <w:pStyle w:val="TableContents"/>
              <w:spacing w:before="0" w:after="0"/>
              <w:ind w:left="0" w:right="0" w:hanging="0"/>
              <w:rPr/>
            </w:pPr>
            <w:r>
              <w:rPr/>
              <w:t> </w:t>
            </w:r>
          </w:p>
        </w:tc>
        <w:tc>
          <w:tcPr>
            <w:tcW w:w="195" w:type="dxa"/>
            <w:tcBorders/>
            <w:shd w:fill="CCEEFF" w:val="clear"/>
            <w:vAlign w:val="center"/>
          </w:tcPr>
          <w:p>
            <w:pPr>
              <w:pStyle w:val="TableContents"/>
              <w:spacing w:before="0" w:after="0"/>
              <w:ind w:left="0" w:right="0" w:hanging="0"/>
              <w:rPr/>
            </w:pPr>
            <w:r>
              <w:rPr/>
              <w:t> </w:t>
            </w:r>
          </w:p>
        </w:tc>
        <w:tc>
          <w:tcPr>
            <w:tcW w:w="1159"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95" w:type="dxa"/>
            <w:tcBorders/>
            <w:shd w:fill="CCEEFF" w:val="clear"/>
            <w:vAlign w:val="center"/>
          </w:tcPr>
          <w:p>
            <w:pPr>
              <w:pStyle w:val="TableContents"/>
              <w:spacing w:before="0" w:after="0"/>
              <w:ind w:left="0" w:right="0" w:hanging="0"/>
              <w:rPr/>
            </w:pPr>
            <w:r>
              <w:rPr/>
              <w:t> </w:t>
            </w:r>
          </w:p>
        </w:tc>
        <w:tc>
          <w:tcPr>
            <w:tcW w:w="1159"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354" w:type="dxa"/>
            <w:gridSpan w:val="2"/>
            <w:tcBorders/>
            <w:shd w:fill="CCEEFF" w:val="clear"/>
            <w:vAlign w:val="center"/>
          </w:tcPr>
          <w:p>
            <w:pPr>
              <w:pStyle w:val="TableContents"/>
              <w:spacing w:before="0" w:after="0"/>
              <w:ind w:left="0" w:right="0" w:hanging="0"/>
              <w:jc w:val="right"/>
              <w:rPr/>
            </w:pPr>
            <w:r>
              <w:rPr/>
              <w:t>June 30, 2019</w:t>
            </w:r>
          </w:p>
        </w:tc>
        <w:tc>
          <w:tcPr>
            <w:tcW w:w="293"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 xml:space="preserve">Inflation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Premiums are established before we know the amount of losses and loss adjustment expenses or the extent to which inflation may affect such amounts. We attempt to anticipate the potential impact of inflation in establishing our reserves, especially as it relates to medical and hospital rates where historical inflation rates have exceeded the general level of inflation. Inflation in excess of the levels we have assumed could cause loss and loss adjustment expenses to be higher than we anticipated, which would require us to increase reserves and reduce earnings.</w:t>
      </w:r>
    </w:p>
    <w:p>
      <w:pPr>
        <w:pStyle w:val="TextBody"/>
        <w:spacing w:before="0" w:after="0"/>
        <w:ind w:left="0" w:right="0" w:hanging="0"/>
        <w:jc w:val="both"/>
        <w:rPr/>
      </w:pPr>
      <w:r>
        <w:rPr/>
        <w:t> </w:t>
      </w:r>
    </w:p>
    <w:p>
      <w:pPr>
        <w:pStyle w:val="TextBody"/>
        <w:spacing w:before="0" w:after="0"/>
        <w:ind w:left="0" w:right="0" w:firstLine="720"/>
        <w:jc w:val="both"/>
        <w:rPr/>
      </w:pPr>
      <w:r>
        <w:rPr/>
        <w:t> </w:t>
      </w:r>
      <w:r>
        <w:rPr>
          <w:rFonts w:ascii="times new roman" w:hAnsi="times new roman"/>
          <w:sz w:val="20"/>
        </w:rPr>
        <w:t xml:space="preserve">Fluctuations in rates of inflation also influence interest rates, which in turn impact the market value of our investment portfolio and yields on new investments. Operating expenses, including salaries and benefits, generally are impacted by inflation.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59</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Off-Balance Sheet Arrangements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have no off-balance sheet arrangements that have or are reasonably likely to have a current or future effect on our financial condition, changes in financial condition, revenues or expenses, results of operations, or liquidity that are material to investors.</w:t>
      </w:r>
    </w:p>
    <w:p>
      <w:pPr>
        <w:pStyle w:val="TextBody"/>
        <w:spacing w:before="0" w:after="0"/>
        <w:ind w:left="0" w:right="0" w:hanging="0"/>
        <w:jc w:val="both"/>
        <w:rPr/>
      </w:pPr>
      <w:r>
        <w:rPr/>
        <w:t> </w:t>
      </w:r>
    </w:p>
    <w:p>
      <w:pPr>
        <w:pStyle w:val="TextBody"/>
        <w:spacing w:before="0" w:after="0"/>
        <w:ind w:left="0" w:right="0" w:hanging="0"/>
        <w:jc w:val="both"/>
        <w:rPr/>
      </w:pPr>
      <w:bookmarkStart w:id="10" w:name="i7a"/>
      <w:bookmarkEnd w:id="10"/>
      <w:r>
        <w:rPr>
          <w:rStyle w:val="StrongEmphasis"/>
          <w:rFonts w:ascii="times new roman" w:hAnsi="times new roman"/>
          <w:sz w:val="20"/>
          <w:u w:val="single"/>
        </w:rPr>
        <w:t>ITEM 7A</w:t>
      </w:r>
      <w:r>
        <w:rPr>
          <w:rStyle w:val="StrongEmphasis"/>
          <w:rFonts w:ascii="times new roman" w:hAnsi="times new roman"/>
          <w:sz w:val="20"/>
        </w:rPr>
        <w:t>.</w:t>
      </w:r>
      <w:r>
        <w:rPr>
          <w:rFonts w:ascii="times new roman" w:hAnsi="times new roman"/>
          <w:sz w:val="20"/>
        </w:rPr>
        <w:t xml:space="preserve"> </w:t>
      </w:r>
      <w:r>
        <w:rPr>
          <w:rStyle w:val="StrongEmphasis"/>
          <w:rFonts w:ascii="times new roman" w:hAnsi="times new roman"/>
          <w:sz w:val="20"/>
          <w:u w:val="single"/>
        </w:rPr>
        <w:t>QUANTITATIVE AND QUALITATIVE DISCLOSURES ABOUT MARKET RISK</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41"/>
        <w:jc w:val="both"/>
        <w:rPr>
          <w:rFonts w:ascii="times new roman" w:hAnsi="times new roman"/>
          <w:sz w:val="20"/>
        </w:rPr>
      </w:pPr>
      <w:r>
        <w:rPr>
          <w:rFonts w:ascii="times new roman" w:hAnsi="times new roman"/>
          <w:sz w:val="20"/>
        </w:rPr>
        <w:t>This item is not applicable to smaller reporting companies.</w:t>
      </w:r>
    </w:p>
    <w:p>
      <w:pPr>
        <w:pStyle w:val="TextBody"/>
        <w:spacing w:before="0" w:after="0"/>
        <w:ind w:left="0" w:right="0" w:hanging="0"/>
        <w:jc w:val="both"/>
        <w:rPr/>
      </w:pPr>
      <w:r>
        <w:rPr/>
        <w:t> </w:t>
      </w:r>
    </w:p>
    <w:p>
      <w:pPr>
        <w:pStyle w:val="TextBody"/>
        <w:spacing w:before="0" w:after="0"/>
        <w:ind w:left="0" w:right="0" w:hanging="0"/>
        <w:jc w:val="both"/>
        <w:rPr/>
      </w:pPr>
      <w:bookmarkStart w:id="11" w:name="i8"/>
      <w:bookmarkEnd w:id="11"/>
      <w:r>
        <w:rPr>
          <w:rStyle w:val="StrongEmphasis"/>
          <w:rFonts w:ascii="times new roman" w:hAnsi="times new roman"/>
          <w:sz w:val="20"/>
          <w:u w:val="single"/>
        </w:rPr>
        <w:t>ITEM 8.</w:t>
      </w:r>
      <w:r>
        <w:rPr>
          <w:rStyle w:val="StrongEmphasis"/>
          <w:rFonts w:ascii="times new roman" w:hAnsi="times new roman"/>
          <w:sz w:val="20"/>
        </w:rPr>
        <w:t xml:space="preserve"> </w:t>
      </w:r>
      <w:r>
        <w:rPr>
          <w:rStyle w:val="StrongEmphasis"/>
          <w:rFonts w:ascii="times new roman" w:hAnsi="times new roman"/>
          <w:sz w:val="20"/>
          <w:u w:val="single"/>
        </w:rPr>
        <w:t>FINANCIAL STATEMENTS AND SUPPLEMENTARY DATA</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financial statements required by this Item 8 are included in this Annual Report following Item 16 hereof. As a smaller reporting company, we are not required to provide supplementary financial information.</w:t>
      </w:r>
    </w:p>
    <w:p>
      <w:pPr>
        <w:pStyle w:val="TextBody"/>
        <w:spacing w:before="0" w:after="0"/>
        <w:ind w:left="0" w:right="0" w:hanging="0"/>
        <w:jc w:val="both"/>
        <w:rPr/>
      </w:pPr>
      <w:r>
        <w:rPr/>
        <w:t> </w:t>
      </w:r>
    </w:p>
    <w:p>
      <w:pPr>
        <w:pStyle w:val="TextBody"/>
        <w:spacing w:before="0" w:after="0"/>
        <w:ind w:left="0" w:right="0" w:hanging="0"/>
        <w:jc w:val="both"/>
        <w:rPr/>
      </w:pPr>
      <w:bookmarkStart w:id="12" w:name="i9"/>
      <w:bookmarkEnd w:id="12"/>
      <w:r>
        <w:rPr>
          <w:rStyle w:val="StrongEmphasis"/>
          <w:rFonts w:ascii="times new roman" w:hAnsi="times new roman"/>
          <w:sz w:val="20"/>
          <w:u w:val="single"/>
        </w:rPr>
        <w:t>ITEM 9.</w:t>
      </w:r>
      <w:r>
        <w:rPr>
          <w:rStyle w:val="StrongEmphasis"/>
          <w:rFonts w:ascii="times new roman" w:hAnsi="times new roman"/>
          <w:sz w:val="20"/>
        </w:rPr>
        <w:t xml:space="preserve"> </w:t>
      </w:r>
      <w:r>
        <w:rPr>
          <w:rStyle w:val="StrongEmphasis"/>
          <w:rFonts w:ascii="times new roman" w:hAnsi="times new roman"/>
          <w:sz w:val="20"/>
          <w:u w:val="single"/>
        </w:rPr>
        <w:t>CHANGES IN AND DISAGREEMENTS WITH ACCOUNTANTS ON</w:t>
      </w:r>
      <w:r>
        <w:rPr>
          <w:rStyle w:val="StrongEmphasis"/>
          <w:rFonts w:ascii="times new roman" w:hAnsi="times new roman"/>
          <w:sz w:val="20"/>
        </w:rPr>
        <w:t xml:space="preserve"> </w:t>
      </w:r>
      <w:r>
        <w:rPr>
          <w:rStyle w:val="StrongEmphasis"/>
          <w:rFonts w:ascii="times new roman" w:hAnsi="times new roman"/>
          <w:sz w:val="20"/>
          <w:u w:val="single"/>
        </w:rPr>
        <w:t>ACCOUNTING AND FINANCIAL DISCLOSURE</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None.</w:t>
      </w:r>
    </w:p>
    <w:p>
      <w:pPr>
        <w:pStyle w:val="TextBody"/>
        <w:spacing w:before="0" w:after="0"/>
        <w:ind w:left="0" w:right="0" w:hanging="0"/>
        <w:jc w:val="both"/>
        <w:rPr/>
      </w:pPr>
      <w:r>
        <w:rPr/>
        <w:t> </w:t>
      </w:r>
    </w:p>
    <w:p>
      <w:pPr>
        <w:pStyle w:val="TextBody"/>
        <w:spacing w:before="0" w:after="0"/>
        <w:ind w:left="0" w:right="0" w:hanging="0"/>
        <w:jc w:val="both"/>
        <w:rPr/>
      </w:pPr>
      <w:bookmarkStart w:id="13" w:name="i9a"/>
      <w:bookmarkEnd w:id="13"/>
      <w:r>
        <w:rPr>
          <w:rStyle w:val="StrongEmphasis"/>
          <w:rFonts w:ascii="times new roman" w:hAnsi="times new roman"/>
          <w:sz w:val="20"/>
          <w:u w:val="single"/>
        </w:rPr>
        <w:t>ITEM 9A.</w:t>
      </w:r>
      <w:r>
        <w:rPr>
          <w:rFonts w:ascii="times new roman" w:hAnsi="times new roman"/>
          <w:sz w:val="20"/>
        </w:rPr>
        <w:t xml:space="preserve"> </w:t>
      </w:r>
      <w:r>
        <w:rPr>
          <w:rStyle w:val="StrongEmphasis"/>
          <w:rFonts w:ascii="times new roman" w:hAnsi="times new roman"/>
          <w:sz w:val="20"/>
          <w:u w:val="single"/>
        </w:rPr>
        <w:t>CONTROLS AND PROCEDURES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Evaluation of Disclosure Controls and Procedures</w:t>
      </w:r>
    </w:p>
    <w:p>
      <w:pPr>
        <w:pStyle w:val="TextBody"/>
        <w:spacing w:before="0" w:after="0"/>
        <w:ind w:left="0" w:right="0" w:hanging="0"/>
        <w:jc w:val="both"/>
        <w:rPr/>
      </w:pPr>
      <w:r>
        <w:rPr/>
        <w:t> </w:t>
      </w:r>
    </w:p>
    <w:p>
      <w:pPr>
        <w:pStyle w:val="TextBody"/>
        <w:spacing w:before="0" w:after="0"/>
        <w:ind w:left="0" w:right="0" w:firstLine="700"/>
        <w:jc w:val="both"/>
        <w:rPr/>
      </w:pPr>
      <w:r>
        <w:rPr>
          <w:rStyle w:val="Emphasis"/>
          <w:rFonts w:ascii="times new roman" w:hAnsi="times new roman"/>
          <w:sz w:val="20"/>
        </w:rPr>
        <w:t>Changes in Internal Control over Financial Reporting</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Except for the steps taken to remediate the material weakness identified below, there have not been any changes in our internal control over financial reporting (as such term is defined in Rules 13a-15(f) and 15d-15(f) under the Exchange Act) during the fourth fiscal quarter to which this report relates that materially affected, or are reasonably likely to materially affect, our internal control over financial reporting.</w:t>
      </w:r>
    </w:p>
    <w:p>
      <w:pPr>
        <w:pStyle w:val="TextBody"/>
        <w:spacing w:before="0" w:after="0"/>
        <w:ind w:left="0" w:right="0" w:hanging="0"/>
        <w:jc w:val="both"/>
        <w:rPr/>
      </w:pPr>
      <w:r>
        <w:rPr/>
        <w:t> </w:t>
      </w:r>
    </w:p>
    <w:p>
      <w:pPr>
        <w:pStyle w:val="TextBody"/>
        <w:spacing w:before="0" w:after="0"/>
        <w:ind w:left="0" w:right="0" w:firstLine="700"/>
        <w:jc w:val="both"/>
        <w:rPr/>
      </w:pPr>
      <w:r>
        <w:rPr>
          <w:rStyle w:val="Emphasis"/>
          <w:rFonts w:ascii="times new roman" w:hAnsi="times new roman"/>
          <w:sz w:val="20"/>
        </w:rPr>
        <w:t>Management’s Annual Report on Internal Control over Financial Reporting</w:t>
      </w:r>
    </w:p>
    <w:p>
      <w:pPr>
        <w:pStyle w:val="TextBody"/>
        <w:spacing w:before="0" w:after="0"/>
        <w:ind w:left="0" w:right="0" w:hanging="0"/>
        <w:jc w:val="both"/>
        <w:rPr/>
      </w:pPr>
      <w:r>
        <w:rPr/>
        <w:t> </w:t>
      </w:r>
    </w:p>
    <w:p>
      <w:pPr>
        <w:pStyle w:val="TextBody"/>
        <w:spacing w:before="0" w:after="0"/>
        <w:ind w:left="0" w:right="0" w:firstLine="700"/>
        <w:jc w:val="both"/>
        <w:rPr/>
      </w:pPr>
      <w:r>
        <w:rPr>
          <w:rFonts w:ascii="times new roman" w:hAnsi="times new roman"/>
          <w:sz w:val="20"/>
        </w:rPr>
        <w:t xml:space="preserve">Our management is responsible for establishing and maintaining adequate internal control over financial reporting as defined in Rule 13a-15(f) under the Exchange Act. Under the supervision and with the participation of management, including our Chief Executive Officer and Chief Financial Officer, we conducted an evaluation of the effectiveness of our internal control over financial reporting based on criteria established in </w:t>
      </w:r>
      <w:r>
        <w:rPr>
          <w:rStyle w:val="Emphasis"/>
          <w:rFonts w:ascii="times new roman" w:hAnsi="times new roman"/>
          <w:sz w:val="20"/>
        </w:rPr>
        <w:t>Internal Control — Integrated Framework</w:t>
      </w:r>
      <w:r>
        <w:rPr>
          <w:rFonts w:ascii="times new roman" w:hAnsi="times new roman"/>
          <w:sz w:val="20"/>
        </w:rPr>
        <w:t xml:space="preserve"> </w:t>
      </w:r>
      <w:r>
        <w:rPr>
          <w:rStyle w:val="Emphasis"/>
          <w:rFonts w:ascii="times new roman" w:hAnsi="times new roman"/>
          <w:sz w:val="20"/>
        </w:rPr>
        <w:t>(2013)</w:t>
      </w:r>
      <w:r>
        <w:rPr>
          <w:rFonts w:ascii="times new roman" w:hAnsi="times new roman"/>
          <w:sz w:val="20"/>
        </w:rPr>
        <w:t xml:space="preserve"> issued by the Committee of Sponsoring Organizations of the Treadway Commission. Based on our evaluation, our management concluded that our internal control over financial reporting was effective as of December 31, 2020.</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 “material weakness” is a deficiency, or a combination of deficiencies, in internal control over financial reporting, such that there is a reasonable possibility that a material misstatement of our annual or interim financial statements would not be prevented or detected on a timely basis.</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60</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firstLine="675"/>
        <w:jc w:val="both"/>
        <w:rPr/>
      </w:pPr>
      <w:r>
        <w:rPr>
          <w:rFonts w:ascii="times new roman" w:hAnsi="times new roman"/>
          <w:sz w:val="20"/>
        </w:rPr>
        <w:t xml:space="preserve">Our management assessed the effectiveness of our internal control over financial reporting as of December 31, 2019 using criteria set forth in </w:t>
      </w:r>
      <w:r>
        <w:rPr>
          <w:rStyle w:val="Emphasis"/>
          <w:rFonts w:ascii="times new roman" w:hAnsi="times new roman"/>
          <w:sz w:val="20"/>
        </w:rPr>
        <w:t>Internal Control – Integrated Framework (2013)</w:t>
      </w:r>
      <w:r>
        <w:rPr>
          <w:rFonts w:ascii="times new roman" w:hAnsi="times new roman"/>
          <w:sz w:val="20"/>
        </w:rPr>
        <w:t xml:space="preserve"> issued by the Committee of Sponsoring Organizations of the Treadway Commission. Based on this assessment, our management concluded there was a material weakness in internal control over financial reporting as December 31, 2019 related to the operation of controls related to the establishment and ongoing monitoring of case reserves for losses and loss adjustment expenses.</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 xml:space="preserve">Remediation </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Management implemented additional controls and continues to monitor the control environment to ensure that the control deficiency contributing to the material weakness was remediated. The remediation actions outlined below are what provided management the ability to deem the material weakness as remediated and they are as follows:</w:t>
      </w:r>
    </w:p>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105"/>
        <w:gridCol w:w="155"/>
        <w:gridCol w:w="9945"/>
      </w:tblGrid>
      <w:tr>
        <w:trPr/>
        <w:tc>
          <w:tcPr>
            <w:tcW w:w="105" w:type="dxa"/>
            <w:tcBorders/>
            <w:shd w:fill="auto" w:val="clear"/>
            <w:vAlign w:val="center"/>
          </w:tcPr>
          <w:p>
            <w:pPr>
              <w:pStyle w:val="TableContents"/>
              <w:spacing w:before="0" w:after="0"/>
              <w:ind w:left="0" w:right="0" w:hanging="0"/>
              <w:rPr/>
            </w:pPr>
            <w:r>
              <w:rPr/>
              <w:t> </w:t>
            </w:r>
          </w:p>
        </w:tc>
        <w:tc>
          <w:tcPr>
            <w:tcW w:w="155" w:type="dxa"/>
            <w:tcBorders/>
            <w:shd w:fill="auto" w:val="clear"/>
            <w:vAlign w:val="center"/>
          </w:tcPr>
          <w:p>
            <w:pPr>
              <w:pStyle w:val="TableContents"/>
              <w:spacing w:before="0" w:after="0"/>
              <w:ind w:left="0" w:right="0" w:hanging="0"/>
              <w:rPr>
                <w:rFonts w:ascii="symbol" w:hAnsi="symbol"/>
              </w:rPr>
            </w:pPr>
            <w:r>
              <w:rPr>
                <w:rFonts w:ascii="symbol" w:hAnsi="symbol"/>
              </w:rPr>
              <w:t>·</w:t>
            </w:r>
          </w:p>
        </w:tc>
        <w:tc>
          <w:tcPr>
            <w:tcW w:w="9945" w:type="dxa"/>
            <w:tcBorders/>
            <w:shd w:fill="auto" w:val="clear"/>
            <w:vAlign w:val="center"/>
          </w:tcPr>
          <w:p>
            <w:pPr>
              <w:pStyle w:val="TableContents"/>
              <w:spacing w:before="0" w:after="283"/>
              <w:rPr/>
            </w:pPr>
            <w:r>
              <w:rPr/>
              <w:t>Engaged external resources to perform a comprehensive review of our claims operations surrounding the establishment and monitoring of liability case reserves;</w:t>
            </w:r>
          </w:p>
        </w:tc>
      </w:tr>
      <w:tr>
        <w:trPr/>
        <w:tc>
          <w:tcPr>
            <w:tcW w:w="105" w:type="dxa"/>
            <w:tcBorders/>
            <w:shd w:fill="auto" w:val="clear"/>
            <w:vAlign w:val="center"/>
          </w:tcPr>
          <w:p>
            <w:pPr>
              <w:pStyle w:val="TableContents"/>
              <w:spacing w:before="0" w:after="0"/>
              <w:ind w:left="0" w:right="0" w:hanging="0"/>
              <w:rPr/>
            </w:pPr>
            <w:r>
              <w:rPr/>
              <w:t> </w:t>
            </w:r>
          </w:p>
        </w:tc>
        <w:tc>
          <w:tcPr>
            <w:tcW w:w="155" w:type="dxa"/>
            <w:tcBorders/>
            <w:shd w:fill="auto" w:val="clear"/>
            <w:vAlign w:val="center"/>
          </w:tcPr>
          <w:p>
            <w:pPr>
              <w:pStyle w:val="TableContents"/>
              <w:spacing w:before="0" w:after="0"/>
              <w:ind w:left="0" w:right="0" w:hanging="0"/>
              <w:rPr>
                <w:rFonts w:ascii="symbol" w:hAnsi="symbol"/>
              </w:rPr>
            </w:pPr>
            <w:r>
              <w:rPr>
                <w:rFonts w:ascii="symbol" w:hAnsi="symbol"/>
              </w:rPr>
              <w:t>·</w:t>
            </w:r>
          </w:p>
        </w:tc>
        <w:tc>
          <w:tcPr>
            <w:tcW w:w="9945" w:type="dxa"/>
            <w:tcBorders/>
            <w:shd w:fill="auto" w:val="clear"/>
            <w:vAlign w:val="center"/>
          </w:tcPr>
          <w:p>
            <w:pPr>
              <w:pStyle w:val="TableContents"/>
              <w:spacing w:before="0" w:after="283"/>
              <w:rPr/>
            </w:pPr>
            <w:r>
              <w:rPr/>
              <w:t>Hired a new Chief Claims Officer whose role includes a review of the entire population of case reserves to the policy level to ensure proper valuation, existence, and completeness;</w:t>
            </w:r>
          </w:p>
        </w:tc>
      </w:tr>
      <w:tr>
        <w:trPr/>
        <w:tc>
          <w:tcPr>
            <w:tcW w:w="105" w:type="dxa"/>
            <w:tcBorders/>
            <w:shd w:fill="auto" w:val="clear"/>
            <w:vAlign w:val="center"/>
          </w:tcPr>
          <w:p>
            <w:pPr>
              <w:pStyle w:val="TableContents"/>
              <w:spacing w:before="0" w:after="0"/>
              <w:ind w:left="0" w:right="0" w:hanging="0"/>
              <w:rPr/>
            </w:pPr>
            <w:r>
              <w:rPr/>
              <w:t> </w:t>
            </w:r>
          </w:p>
        </w:tc>
        <w:tc>
          <w:tcPr>
            <w:tcW w:w="155" w:type="dxa"/>
            <w:tcBorders/>
            <w:shd w:fill="auto" w:val="clear"/>
            <w:vAlign w:val="center"/>
          </w:tcPr>
          <w:p>
            <w:pPr>
              <w:pStyle w:val="TableContents"/>
              <w:spacing w:before="0" w:after="0"/>
              <w:ind w:left="0" w:right="0" w:hanging="0"/>
              <w:rPr>
                <w:rFonts w:ascii="symbol" w:hAnsi="symbol"/>
              </w:rPr>
            </w:pPr>
            <w:r>
              <w:rPr>
                <w:rFonts w:ascii="symbol" w:hAnsi="symbol"/>
              </w:rPr>
              <w:t>·</w:t>
            </w:r>
          </w:p>
        </w:tc>
        <w:tc>
          <w:tcPr>
            <w:tcW w:w="9945" w:type="dxa"/>
            <w:tcBorders/>
            <w:shd w:fill="auto" w:val="clear"/>
            <w:vAlign w:val="center"/>
          </w:tcPr>
          <w:p>
            <w:pPr>
              <w:pStyle w:val="TableContents"/>
              <w:spacing w:before="0" w:after="283"/>
              <w:rPr/>
            </w:pPr>
            <w:r>
              <w:rPr/>
              <w:t>Increased the number, experience level and skill of the personnel involved in our claims function through hiring and improved training;</w:t>
            </w:r>
          </w:p>
        </w:tc>
      </w:tr>
      <w:tr>
        <w:trPr/>
        <w:tc>
          <w:tcPr>
            <w:tcW w:w="105" w:type="dxa"/>
            <w:tcBorders/>
            <w:shd w:fill="auto" w:val="clear"/>
            <w:vAlign w:val="center"/>
          </w:tcPr>
          <w:p>
            <w:pPr>
              <w:pStyle w:val="TableContents"/>
              <w:spacing w:before="0" w:after="0"/>
              <w:ind w:left="0" w:right="0" w:hanging="0"/>
              <w:rPr/>
            </w:pPr>
            <w:r>
              <w:rPr/>
              <w:t> </w:t>
            </w:r>
          </w:p>
        </w:tc>
        <w:tc>
          <w:tcPr>
            <w:tcW w:w="155" w:type="dxa"/>
            <w:tcBorders/>
            <w:shd w:fill="auto" w:val="clear"/>
            <w:vAlign w:val="center"/>
          </w:tcPr>
          <w:p>
            <w:pPr>
              <w:pStyle w:val="TableContents"/>
              <w:spacing w:before="0" w:after="0"/>
              <w:ind w:left="0" w:right="0" w:hanging="0"/>
              <w:rPr>
                <w:rFonts w:ascii="symbol" w:hAnsi="symbol"/>
              </w:rPr>
            </w:pPr>
            <w:r>
              <w:rPr>
                <w:rFonts w:ascii="symbol" w:hAnsi="symbol"/>
              </w:rPr>
              <w:t>·</w:t>
            </w:r>
          </w:p>
        </w:tc>
        <w:tc>
          <w:tcPr>
            <w:tcW w:w="9945" w:type="dxa"/>
            <w:tcBorders/>
            <w:shd w:fill="auto" w:val="clear"/>
            <w:vAlign w:val="center"/>
          </w:tcPr>
          <w:p>
            <w:pPr>
              <w:pStyle w:val="TableContents"/>
              <w:spacing w:before="0" w:after="283"/>
              <w:rPr/>
            </w:pPr>
            <w:r>
              <w:rPr/>
              <w:t>Performed a thorough review of existing policies and procedures in place to facilitate the development and documentation of controls over financial reporting regarding liability case reserves. This review led to the addition of multiple controls including a quality assurance process as well as enhanced documentation of our existing controls in place;</w:t>
            </w:r>
          </w:p>
        </w:tc>
      </w:tr>
      <w:tr>
        <w:trPr/>
        <w:tc>
          <w:tcPr>
            <w:tcW w:w="105" w:type="dxa"/>
            <w:tcBorders/>
            <w:shd w:fill="auto" w:val="clear"/>
            <w:vAlign w:val="center"/>
          </w:tcPr>
          <w:p>
            <w:pPr>
              <w:pStyle w:val="TableContents"/>
              <w:spacing w:before="0" w:after="0"/>
              <w:ind w:left="0" w:right="0" w:hanging="0"/>
              <w:rPr/>
            </w:pPr>
            <w:r>
              <w:rPr/>
              <w:t> </w:t>
            </w:r>
          </w:p>
        </w:tc>
        <w:tc>
          <w:tcPr>
            <w:tcW w:w="155" w:type="dxa"/>
            <w:tcBorders/>
            <w:shd w:fill="auto" w:val="clear"/>
            <w:vAlign w:val="center"/>
          </w:tcPr>
          <w:p>
            <w:pPr>
              <w:pStyle w:val="TableContents"/>
              <w:spacing w:before="0" w:after="0"/>
              <w:ind w:left="0" w:right="0" w:hanging="0"/>
              <w:rPr>
                <w:rFonts w:ascii="symbol" w:hAnsi="symbol"/>
              </w:rPr>
            </w:pPr>
            <w:r>
              <w:rPr>
                <w:rFonts w:ascii="symbol" w:hAnsi="symbol"/>
              </w:rPr>
              <w:t>·</w:t>
            </w:r>
          </w:p>
        </w:tc>
        <w:tc>
          <w:tcPr>
            <w:tcW w:w="9945" w:type="dxa"/>
            <w:tcBorders/>
            <w:shd w:fill="auto" w:val="clear"/>
            <w:vAlign w:val="center"/>
          </w:tcPr>
          <w:p>
            <w:pPr>
              <w:pStyle w:val="TableContents"/>
              <w:spacing w:before="0" w:after="283"/>
              <w:rPr/>
            </w:pPr>
            <w:r>
              <w:rPr/>
              <w:t>Enhanced testing procedures performed by our outsourced internal audit to ensure adequate design and operating effectiveness of new and existing internal controls.</w:t>
            </w:r>
          </w:p>
        </w:tc>
      </w:tr>
    </w:tbl>
    <w:p>
      <w:pPr>
        <w:pStyle w:val="TextBody"/>
        <w:spacing w:before="0" w:after="0"/>
        <w:ind w:left="0" w:right="0" w:hanging="0"/>
        <w:jc w:val="both"/>
        <w:rPr/>
      </w:pPr>
      <w:r>
        <w:rPr/>
        <w:t>  </w:t>
      </w:r>
    </w:p>
    <w:p>
      <w:pPr>
        <w:pStyle w:val="TextBody"/>
        <w:spacing w:before="0" w:after="0"/>
        <w:ind w:left="0" w:right="0" w:hanging="0"/>
        <w:jc w:val="both"/>
        <w:rPr/>
      </w:pPr>
      <w:r>
        <w:rPr>
          <w:rStyle w:val="Emphasis"/>
          <w:rFonts w:ascii="times new roman" w:hAnsi="times new roman"/>
          <w:sz w:val="20"/>
        </w:rPr>
        <w:t>Inherent Limitation on Effectiveness of Controls</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 xml:space="preserve">Internal control over financial reporting is a process designed by, or under the supervision of, our Chief Executive Officer and Chief Financial Officer, and effected by the board of directors, management, and other personnel, to provide reasonable assurance regarding the reliability of financial reporting and the preparation of financial statements for external purposes in accordance with GAAP including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 </w:t>
      </w:r>
    </w:p>
    <w:p>
      <w:pPr>
        <w:pStyle w:val="TextBody"/>
        <w:spacing w:before="0" w:after="0"/>
        <w:ind w:left="0" w:right="0" w:firstLine="675"/>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and procedures may deteriorate. </w:t>
      </w:r>
    </w:p>
    <w:p>
      <w:pPr>
        <w:pStyle w:val="TextBody"/>
        <w:spacing w:before="0" w:after="0"/>
        <w:ind w:left="0" w:right="0" w:hanging="0"/>
        <w:jc w:val="both"/>
        <w:rPr/>
      </w:pPr>
      <w:r>
        <w:rPr/>
        <w:t> </w:t>
      </w:r>
    </w:p>
    <w:p>
      <w:pPr>
        <w:pStyle w:val="TextBody"/>
        <w:spacing w:before="0" w:after="0"/>
        <w:ind w:left="0" w:right="0" w:hanging="0"/>
        <w:jc w:val="both"/>
        <w:rPr/>
      </w:pPr>
      <w:bookmarkStart w:id="14" w:name="i9b"/>
      <w:bookmarkEnd w:id="14"/>
      <w:r>
        <w:rPr>
          <w:rStyle w:val="StrongEmphasis"/>
          <w:rFonts w:ascii="times new roman" w:hAnsi="times new roman"/>
          <w:sz w:val="20"/>
          <w:u w:val="single"/>
        </w:rPr>
        <w:t>ITEM 9B.</w:t>
      </w:r>
      <w:r>
        <w:rPr>
          <w:rStyle w:val="StrongEmphasis"/>
          <w:rFonts w:ascii="times new roman" w:hAnsi="times new roman"/>
          <w:sz w:val="20"/>
        </w:rPr>
        <w:t xml:space="preserve"> </w:t>
      </w:r>
      <w:r>
        <w:rPr>
          <w:rStyle w:val="StrongEmphasis"/>
          <w:rFonts w:ascii="times new roman" w:hAnsi="times new roman"/>
          <w:sz w:val="20"/>
          <w:u w:val="single"/>
        </w:rPr>
        <w:t>OTHER INFORMATION</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 xml:space="preserve">None.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61</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u w:val="single"/>
        </w:rPr>
        <w:t>PART III</w:t>
      </w:r>
    </w:p>
    <w:p>
      <w:pPr>
        <w:pStyle w:val="TextBody"/>
        <w:spacing w:before="0" w:after="0"/>
        <w:ind w:left="0" w:right="0" w:hanging="0"/>
        <w:jc w:val="both"/>
        <w:rPr/>
      </w:pPr>
      <w:r>
        <w:rPr/>
        <w:t> </w:t>
      </w:r>
    </w:p>
    <w:p>
      <w:pPr>
        <w:pStyle w:val="TextBody"/>
        <w:spacing w:before="0" w:after="0"/>
        <w:ind w:left="0" w:right="0" w:hanging="0"/>
        <w:jc w:val="both"/>
        <w:rPr/>
      </w:pPr>
      <w:bookmarkStart w:id="15" w:name="i10"/>
      <w:bookmarkEnd w:id="15"/>
      <w:r>
        <w:rPr>
          <w:rStyle w:val="StrongEmphasis"/>
          <w:rFonts w:ascii="times new roman" w:hAnsi="times new roman"/>
          <w:sz w:val="20"/>
          <w:u w:val="single"/>
        </w:rPr>
        <w:t>ITEM 10.</w:t>
      </w:r>
      <w:r>
        <w:rPr>
          <w:rStyle w:val="StrongEmphasis"/>
          <w:rFonts w:ascii="times new roman" w:hAnsi="times new roman"/>
          <w:sz w:val="20"/>
        </w:rPr>
        <w:t xml:space="preserve"> </w:t>
      </w:r>
      <w:r>
        <w:rPr>
          <w:rStyle w:val="StrongEmphasis"/>
          <w:rFonts w:ascii="times new roman" w:hAnsi="times new roman"/>
          <w:sz w:val="20"/>
          <w:u w:val="single"/>
        </w:rPr>
        <w:t>DIRECTORS, EXECUTIVE OFFICERS AND CORPORATE GOVERNANCE</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Executive Officers and Directors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sets forth the positions and offices presently held by each of our current directors and executive officers and their ages:</w:t>
      </w:r>
    </w:p>
    <w:p>
      <w:pPr>
        <w:pStyle w:val="TextBody"/>
        <w:spacing w:before="0" w:after="0"/>
        <w:ind w:left="0" w:right="0" w:hanging="0"/>
        <w:jc w:val="both"/>
        <w:rPr/>
      </w:pPr>
      <w:r>
        <w:rPr/>
        <w:t> </w:t>
      </w:r>
    </w:p>
    <w:tbl>
      <w:tblPr>
        <w:tblW w:w="10205" w:type="dxa"/>
        <w:jc w:val="left"/>
        <w:tblInd w:w="0" w:type="dxa"/>
        <w:tblCellMar>
          <w:top w:w="0" w:type="dxa"/>
          <w:left w:w="0" w:type="dxa"/>
          <w:bottom w:w="28" w:type="dxa"/>
          <w:right w:w="0" w:type="dxa"/>
        </w:tblCellMar>
      </w:tblPr>
      <w:tblGrid>
        <w:gridCol w:w="2159"/>
        <w:gridCol w:w="455"/>
        <w:gridCol w:w="7591"/>
      </w:tblGrid>
      <w:tr>
        <w:trPr/>
        <w:tc>
          <w:tcPr>
            <w:tcW w:w="2159" w:type="dxa"/>
            <w:tcBorders>
              <w:bottom w:val="single" w:sz="2" w:space="0" w:color="000000"/>
            </w:tcBorders>
            <w:shd w:fill="auto" w:val="clear"/>
            <w:vAlign w:val="center"/>
          </w:tcPr>
          <w:p>
            <w:pPr>
              <w:pStyle w:val="TableContents"/>
              <w:spacing w:before="0" w:after="0"/>
              <w:ind w:left="0" w:right="0" w:hanging="0"/>
              <w:rPr/>
            </w:pPr>
            <w:r>
              <w:rPr>
                <w:rStyle w:val="StrongEmphasis"/>
              </w:rPr>
              <w:t>Name</w:t>
            </w:r>
          </w:p>
        </w:tc>
        <w:tc>
          <w:tcPr>
            <w:tcW w:w="455" w:type="dxa"/>
            <w:tcBorders>
              <w:bottom w:val="single" w:sz="2" w:space="0" w:color="000000"/>
            </w:tcBorders>
            <w:shd w:fill="auto" w:val="clear"/>
            <w:vAlign w:val="center"/>
          </w:tcPr>
          <w:p>
            <w:pPr>
              <w:pStyle w:val="TableContents"/>
              <w:spacing w:before="0" w:after="0"/>
              <w:ind w:left="0" w:right="0" w:hanging="0"/>
              <w:jc w:val="center"/>
              <w:rPr/>
            </w:pPr>
            <w:r>
              <w:rPr>
                <w:rStyle w:val="StrongEmphasis"/>
              </w:rPr>
              <w:t>Age</w:t>
            </w:r>
          </w:p>
        </w:tc>
        <w:tc>
          <w:tcPr>
            <w:tcW w:w="7591" w:type="dxa"/>
            <w:tcBorders>
              <w:bottom w:val="single" w:sz="2" w:space="0" w:color="000000"/>
            </w:tcBorders>
            <w:shd w:fill="auto" w:val="clear"/>
            <w:vAlign w:val="center"/>
          </w:tcPr>
          <w:p>
            <w:pPr>
              <w:pStyle w:val="TableContents"/>
              <w:spacing w:before="0" w:after="0"/>
              <w:ind w:left="0" w:right="0" w:hanging="0"/>
              <w:jc w:val="center"/>
              <w:rPr/>
            </w:pPr>
            <w:r>
              <w:rPr>
                <w:rStyle w:val="StrongEmphasis"/>
              </w:rPr>
              <w:t>Positions and Offices Held</w:t>
            </w:r>
          </w:p>
        </w:tc>
      </w:tr>
      <w:tr>
        <w:trPr/>
        <w:tc>
          <w:tcPr>
            <w:tcW w:w="2159" w:type="dxa"/>
            <w:tcBorders/>
            <w:shd w:fill="auto" w:val="clear"/>
            <w:tcMar>
              <w:bottom w:w="0" w:type="dxa"/>
            </w:tcMar>
            <w:vAlign w:val="center"/>
          </w:tcPr>
          <w:p>
            <w:pPr>
              <w:pStyle w:val="TableContents"/>
              <w:spacing w:before="0" w:after="0"/>
              <w:ind w:left="0" w:right="0" w:hanging="0"/>
              <w:rPr/>
            </w:pPr>
            <w:r>
              <w:rPr/>
              <w:t> </w:t>
            </w:r>
          </w:p>
        </w:tc>
        <w:tc>
          <w:tcPr>
            <w:tcW w:w="455" w:type="dxa"/>
            <w:tcBorders/>
            <w:shd w:fill="auto" w:val="clear"/>
            <w:tcMar>
              <w:bottom w:w="0" w:type="dxa"/>
            </w:tcMar>
            <w:vAlign w:val="center"/>
          </w:tcPr>
          <w:p>
            <w:pPr>
              <w:pStyle w:val="TableContents"/>
              <w:spacing w:before="0" w:after="0"/>
              <w:ind w:left="0" w:right="0" w:hanging="0"/>
              <w:rPr/>
            </w:pPr>
            <w:r>
              <w:rPr/>
              <w:t> </w:t>
            </w:r>
          </w:p>
        </w:tc>
        <w:tc>
          <w:tcPr>
            <w:tcW w:w="7591" w:type="dxa"/>
            <w:tcBorders/>
            <w:shd w:fill="auto" w:val="clear"/>
            <w:tcMar>
              <w:bottom w:w="0" w:type="dxa"/>
            </w:tcMar>
            <w:vAlign w:val="center"/>
          </w:tcPr>
          <w:p>
            <w:pPr>
              <w:pStyle w:val="TableContents"/>
              <w:spacing w:before="0" w:after="0"/>
              <w:ind w:left="0" w:right="0" w:hanging="0"/>
              <w:rPr/>
            </w:pPr>
            <w:r>
              <w:rPr/>
              <w:t> </w:t>
            </w:r>
          </w:p>
        </w:tc>
      </w:tr>
      <w:tr>
        <w:trPr/>
        <w:tc>
          <w:tcPr>
            <w:tcW w:w="2159" w:type="dxa"/>
            <w:tcBorders/>
            <w:shd w:fill="CCEEFF" w:val="clear"/>
            <w:tcMar>
              <w:bottom w:w="0" w:type="dxa"/>
            </w:tcMar>
            <w:vAlign w:val="center"/>
          </w:tcPr>
          <w:p>
            <w:pPr>
              <w:pStyle w:val="TableContents"/>
              <w:spacing w:before="0" w:after="0"/>
              <w:ind w:left="0" w:right="0" w:hanging="0"/>
              <w:jc w:val="both"/>
              <w:rPr/>
            </w:pPr>
            <w:r>
              <w:rPr/>
              <w:t>Barry B. Goldstein</w:t>
            </w:r>
          </w:p>
        </w:tc>
        <w:tc>
          <w:tcPr>
            <w:tcW w:w="455" w:type="dxa"/>
            <w:tcBorders/>
            <w:shd w:fill="CCEEFF" w:val="clear"/>
            <w:tcMar>
              <w:bottom w:w="0" w:type="dxa"/>
            </w:tcMar>
            <w:vAlign w:val="center"/>
          </w:tcPr>
          <w:p>
            <w:pPr>
              <w:pStyle w:val="TableContents"/>
              <w:spacing w:before="0" w:after="0"/>
              <w:ind w:left="0" w:right="0" w:hanging="0"/>
              <w:jc w:val="center"/>
              <w:rPr/>
            </w:pPr>
            <w:r>
              <w:rPr/>
              <w:t>67</w:t>
            </w:r>
          </w:p>
        </w:tc>
        <w:tc>
          <w:tcPr>
            <w:tcW w:w="7591" w:type="dxa"/>
            <w:tcBorders/>
            <w:shd w:fill="CCEEFF" w:val="clear"/>
            <w:tcMar>
              <w:bottom w:w="0" w:type="dxa"/>
            </w:tcMar>
            <w:vAlign w:val="center"/>
          </w:tcPr>
          <w:p>
            <w:pPr>
              <w:pStyle w:val="TableContents"/>
              <w:spacing w:before="0" w:after="0"/>
              <w:ind w:left="0" w:right="0" w:hanging="0"/>
              <w:jc w:val="both"/>
              <w:rPr/>
            </w:pPr>
            <w:r>
              <w:rPr/>
              <w:t>Chief Executive Officer, President, Executive Chairman of the Board and Director</w:t>
            </w:r>
          </w:p>
        </w:tc>
      </w:tr>
      <w:tr>
        <w:trPr/>
        <w:tc>
          <w:tcPr>
            <w:tcW w:w="2159" w:type="dxa"/>
            <w:tcBorders/>
            <w:shd w:fill="FFFFFF" w:val="clear"/>
            <w:tcMar>
              <w:bottom w:w="0" w:type="dxa"/>
            </w:tcMar>
            <w:vAlign w:val="center"/>
          </w:tcPr>
          <w:p>
            <w:pPr>
              <w:pStyle w:val="TableContents"/>
              <w:spacing w:before="0" w:after="0"/>
              <w:ind w:left="0" w:right="0" w:hanging="0"/>
              <w:jc w:val="both"/>
              <w:rPr/>
            </w:pPr>
            <w:r>
              <w:rPr/>
              <w:t>Meryl S. Golden</w:t>
            </w:r>
          </w:p>
        </w:tc>
        <w:tc>
          <w:tcPr>
            <w:tcW w:w="455" w:type="dxa"/>
            <w:tcBorders/>
            <w:shd w:fill="FFFFFF" w:val="clear"/>
            <w:tcMar>
              <w:bottom w:w="0" w:type="dxa"/>
            </w:tcMar>
            <w:vAlign w:val="center"/>
          </w:tcPr>
          <w:p>
            <w:pPr>
              <w:pStyle w:val="TableContents"/>
              <w:spacing w:before="0" w:after="0"/>
              <w:ind w:left="0" w:right="0" w:hanging="0"/>
              <w:jc w:val="center"/>
              <w:rPr/>
            </w:pPr>
            <w:r>
              <w:rPr/>
              <w:t>61</w:t>
            </w:r>
          </w:p>
        </w:tc>
        <w:tc>
          <w:tcPr>
            <w:tcW w:w="7591" w:type="dxa"/>
            <w:tcBorders/>
            <w:shd w:fill="FFFFFF" w:val="clear"/>
            <w:tcMar>
              <w:bottom w:w="0" w:type="dxa"/>
            </w:tcMar>
            <w:vAlign w:val="center"/>
          </w:tcPr>
          <w:p>
            <w:pPr>
              <w:pStyle w:val="TableContents"/>
              <w:spacing w:before="0" w:after="0"/>
              <w:ind w:left="0" w:right="0" w:hanging="0"/>
              <w:jc w:val="both"/>
              <w:rPr/>
            </w:pPr>
            <w:r>
              <w:rPr/>
              <w:t>Chief Operating Officer and Director</w:t>
            </w:r>
          </w:p>
        </w:tc>
      </w:tr>
      <w:tr>
        <w:trPr/>
        <w:tc>
          <w:tcPr>
            <w:tcW w:w="2159" w:type="dxa"/>
            <w:tcBorders/>
            <w:shd w:fill="CCEEFF" w:val="clear"/>
            <w:tcMar>
              <w:bottom w:w="0" w:type="dxa"/>
            </w:tcMar>
            <w:vAlign w:val="center"/>
          </w:tcPr>
          <w:p>
            <w:pPr>
              <w:pStyle w:val="TableContents"/>
              <w:spacing w:before="0" w:after="0"/>
              <w:ind w:left="0" w:right="0" w:hanging="0"/>
              <w:jc w:val="both"/>
              <w:rPr/>
            </w:pPr>
            <w:r>
              <w:rPr/>
              <w:t>Scott Van Pelt</w:t>
            </w:r>
          </w:p>
        </w:tc>
        <w:tc>
          <w:tcPr>
            <w:tcW w:w="455" w:type="dxa"/>
            <w:tcBorders/>
            <w:shd w:fill="CCEEFF" w:val="clear"/>
            <w:tcMar>
              <w:bottom w:w="0" w:type="dxa"/>
            </w:tcMar>
            <w:vAlign w:val="center"/>
          </w:tcPr>
          <w:p>
            <w:pPr>
              <w:pStyle w:val="TableContents"/>
              <w:spacing w:before="0" w:after="0"/>
              <w:ind w:left="0" w:right="0" w:hanging="0"/>
              <w:jc w:val="center"/>
              <w:rPr/>
            </w:pPr>
            <w:r>
              <w:rPr/>
              <w:t>55</w:t>
            </w:r>
          </w:p>
        </w:tc>
        <w:tc>
          <w:tcPr>
            <w:tcW w:w="7591" w:type="dxa"/>
            <w:tcBorders/>
            <w:shd w:fill="CCEEFF" w:val="clear"/>
            <w:tcMar>
              <w:bottom w:w="0" w:type="dxa"/>
            </w:tcMar>
            <w:vAlign w:val="center"/>
          </w:tcPr>
          <w:p>
            <w:pPr>
              <w:pStyle w:val="TableContents"/>
              <w:spacing w:before="0" w:after="0"/>
              <w:ind w:left="0" w:right="0" w:hanging="0"/>
              <w:jc w:val="both"/>
              <w:rPr/>
            </w:pPr>
            <w:r>
              <w:rPr/>
              <w:t>Chief Financial Officer and Treasurer</w:t>
            </w:r>
          </w:p>
        </w:tc>
      </w:tr>
      <w:tr>
        <w:trPr/>
        <w:tc>
          <w:tcPr>
            <w:tcW w:w="2159" w:type="dxa"/>
            <w:tcBorders/>
            <w:shd w:fill="FFFFFF" w:val="clear"/>
            <w:tcMar>
              <w:bottom w:w="0" w:type="dxa"/>
            </w:tcMar>
            <w:vAlign w:val="center"/>
          </w:tcPr>
          <w:p>
            <w:pPr>
              <w:pStyle w:val="TableContents"/>
              <w:spacing w:before="0" w:after="0"/>
              <w:ind w:left="0" w:right="0" w:hanging="0"/>
              <w:jc w:val="both"/>
              <w:rPr/>
            </w:pPr>
            <w:r>
              <w:rPr/>
              <w:t>Sarah (Minlei) Chen</w:t>
            </w:r>
          </w:p>
        </w:tc>
        <w:tc>
          <w:tcPr>
            <w:tcW w:w="455" w:type="dxa"/>
            <w:tcBorders/>
            <w:shd w:fill="FFFFFF" w:val="clear"/>
            <w:tcMar>
              <w:bottom w:w="0" w:type="dxa"/>
            </w:tcMar>
            <w:vAlign w:val="center"/>
          </w:tcPr>
          <w:p>
            <w:pPr>
              <w:pStyle w:val="TableContents"/>
              <w:spacing w:before="0" w:after="0"/>
              <w:ind w:left="0" w:right="0" w:hanging="0"/>
              <w:jc w:val="center"/>
              <w:rPr/>
            </w:pPr>
            <w:r>
              <w:rPr/>
              <w:t>38</w:t>
            </w:r>
          </w:p>
        </w:tc>
        <w:tc>
          <w:tcPr>
            <w:tcW w:w="7591" w:type="dxa"/>
            <w:tcBorders/>
            <w:shd w:fill="FFFFFF" w:val="clear"/>
            <w:tcMar>
              <w:bottom w:w="0" w:type="dxa"/>
            </w:tcMar>
            <w:vAlign w:val="center"/>
          </w:tcPr>
          <w:p>
            <w:pPr>
              <w:pStyle w:val="TableContents"/>
              <w:spacing w:before="0" w:after="0"/>
              <w:ind w:left="0" w:right="0" w:hanging="0"/>
              <w:jc w:val="both"/>
              <w:rPr/>
            </w:pPr>
            <w:r>
              <w:rPr/>
              <w:t>Chief Actuary, Kingstone Insurance Company</w:t>
            </w:r>
          </w:p>
        </w:tc>
      </w:tr>
      <w:tr>
        <w:trPr/>
        <w:tc>
          <w:tcPr>
            <w:tcW w:w="2159" w:type="dxa"/>
            <w:tcBorders/>
            <w:shd w:fill="CCEEFF" w:val="clear"/>
            <w:tcMar>
              <w:bottom w:w="0" w:type="dxa"/>
            </w:tcMar>
            <w:vAlign w:val="center"/>
          </w:tcPr>
          <w:p>
            <w:pPr>
              <w:pStyle w:val="TableContents"/>
              <w:spacing w:before="0" w:after="0"/>
              <w:ind w:left="0" w:right="0" w:hanging="0"/>
              <w:jc w:val="both"/>
              <w:rPr/>
            </w:pPr>
            <w:r>
              <w:rPr/>
              <w:t>Floyd R. Tupper</w:t>
            </w:r>
          </w:p>
        </w:tc>
        <w:tc>
          <w:tcPr>
            <w:tcW w:w="455" w:type="dxa"/>
            <w:tcBorders/>
            <w:shd w:fill="CCEEFF" w:val="clear"/>
            <w:tcMar>
              <w:bottom w:w="0" w:type="dxa"/>
            </w:tcMar>
            <w:vAlign w:val="center"/>
          </w:tcPr>
          <w:p>
            <w:pPr>
              <w:pStyle w:val="TableContents"/>
              <w:spacing w:before="0" w:after="0"/>
              <w:ind w:left="0" w:right="0" w:hanging="0"/>
              <w:jc w:val="center"/>
              <w:rPr/>
            </w:pPr>
            <w:r>
              <w:rPr/>
              <w:t>66</w:t>
            </w:r>
          </w:p>
        </w:tc>
        <w:tc>
          <w:tcPr>
            <w:tcW w:w="7591" w:type="dxa"/>
            <w:tcBorders/>
            <w:shd w:fill="CCEEFF" w:val="clear"/>
            <w:tcMar>
              <w:bottom w:w="0" w:type="dxa"/>
            </w:tcMar>
            <w:vAlign w:val="center"/>
          </w:tcPr>
          <w:p>
            <w:pPr>
              <w:pStyle w:val="TableContents"/>
              <w:spacing w:before="0" w:after="0"/>
              <w:ind w:left="0" w:right="0" w:hanging="0"/>
              <w:jc w:val="both"/>
              <w:rPr/>
            </w:pPr>
            <w:r>
              <w:rPr/>
              <w:t>Secretary and Director</w:t>
            </w:r>
          </w:p>
        </w:tc>
      </w:tr>
      <w:tr>
        <w:trPr/>
        <w:tc>
          <w:tcPr>
            <w:tcW w:w="2159" w:type="dxa"/>
            <w:tcBorders/>
            <w:shd w:fill="FFFFFF" w:val="clear"/>
            <w:tcMar>
              <w:bottom w:w="0" w:type="dxa"/>
            </w:tcMar>
            <w:vAlign w:val="center"/>
          </w:tcPr>
          <w:p>
            <w:pPr>
              <w:pStyle w:val="TableContents"/>
              <w:spacing w:before="0" w:after="0"/>
              <w:ind w:left="0" w:right="0" w:hanging="0"/>
              <w:jc w:val="both"/>
              <w:rPr/>
            </w:pPr>
            <w:r>
              <w:rPr/>
              <w:t>William L. Yankus</w:t>
            </w:r>
          </w:p>
        </w:tc>
        <w:tc>
          <w:tcPr>
            <w:tcW w:w="455" w:type="dxa"/>
            <w:tcBorders/>
            <w:shd w:fill="FFFFFF" w:val="clear"/>
            <w:tcMar>
              <w:bottom w:w="0" w:type="dxa"/>
            </w:tcMar>
            <w:vAlign w:val="center"/>
          </w:tcPr>
          <w:p>
            <w:pPr>
              <w:pStyle w:val="TableContents"/>
              <w:spacing w:before="0" w:after="0"/>
              <w:ind w:left="0" w:right="0" w:hanging="0"/>
              <w:jc w:val="center"/>
              <w:rPr/>
            </w:pPr>
            <w:r>
              <w:rPr/>
              <w:t>61</w:t>
            </w:r>
          </w:p>
        </w:tc>
        <w:tc>
          <w:tcPr>
            <w:tcW w:w="7591" w:type="dxa"/>
            <w:tcBorders/>
            <w:shd w:fill="FFFFFF" w:val="clear"/>
            <w:tcMar>
              <w:bottom w:w="0" w:type="dxa"/>
            </w:tcMar>
            <w:vAlign w:val="center"/>
          </w:tcPr>
          <w:p>
            <w:pPr>
              <w:pStyle w:val="TableContents"/>
              <w:spacing w:before="0" w:after="0"/>
              <w:ind w:left="0" w:right="0" w:hanging="0"/>
              <w:jc w:val="both"/>
              <w:rPr/>
            </w:pPr>
            <w:r>
              <w:rPr/>
              <w:t>Director</w:t>
            </w:r>
          </w:p>
        </w:tc>
      </w:tr>
      <w:tr>
        <w:trPr/>
        <w:tc>
          <w:tcPr>
            <w:tcW w:w="2159" w:type="dxa"/>
            <w:tcBorders/>
            <w:shd w:fill="CCEEFF" w:val="clear"/>
            <w:tcMar>
              <w:bottom w:w="0" w:type="dxa"/>
            </w:tcMar>
            <w:vAlign w:val="center"/>
          </w:tcPr>
          <w:p>
            <w:pPr>
              <w:pStyle w:val="TableContents"/>
              <w:spacing w:before="0" w:after="0"/>
              <w:ind w:left="0" w:right="0" w:hanging="0"/>
              <w:jc w:val="both"/>
              <w:rPr/>
            </w:pPr>
            <w:r>
              <w:rPr/>
              <w:t xml:space="preserve">Carla A. D’Andre </w:t>
            </w:r>
          </w:p>
        </w:tc>
        <w:tc>
          <w:tcPr>
            <w:tcW w:w="455" w:type="dxa"/>
            <w:tcBorders/>
            <w:shd w:fill="CCEEFF" w:val="clear"/>
            <w:tcMar>
              <w:bottom w:w="0" w:type="dxa"/>
            </w:tcMar>
            <w:vAlign w:val="center"/>
          </w:tcPr>
          <w:p>
            <w:pPr>
              <w:pStyle w:val="TableContents"/>
              <w:spacing w:before="0" w:after="0"/>
              <w:ind w:left="0" w:right="0" w:hanging="0"/>
              <w:jc w:val="center"/>
              <w:rPr/>
            </w:pPr>
            <w:r>
              <w:rPr/>
              <w:t>65</w:t>
            </w:r>
          </w:p>
        </w:tc>
        <w:tc>
          <w:tcPr>
            <w:tcW w:w="7591" w:type="dxa"/>
            <w:tcBorders/>
            <w:shd w:fill="CCEEFF" w:val="clear"/>
            <w:tcMar>
              <w:bottom w:w="0" w:type="dxa"/>
            </w:tcMar>
            <w:vAlign w:val="center"/>
          </w:tcPr>
          <w:p>
            <w:pPr>
              <w:pStyle w:val="TableContents"/>
              <w:spacing w:before="0" w:after="0"/>
              <w:ind w:left="0" w:right="0" w:hanging="0"/>
              <w:jc w:val="both"/>
              <w:rPr/>
            </w:pPr>
            <w:r>
              <w:rPr/>
              <w:t>Director</w:t>
            </w:r>
          </w:p>
        </w:tc>
      </w:tr>
      <w:tr>
        <w:trPr/>
        <w:tc>
          <w:tcPr>
            <w:tcW w:w="2159" w:type="dxa"/>
            <w:tcBorders/>
            <w:shd w:fill="FFFFFF" w:val="clear"/>
            <w:tcMar>
              <w:bottom w:w="0" w:type="dxa"/>
            </w:tcMar>
            <w:vAlign w:val="center"/>
          </w:tcPr>
          <w:p>
            <w:pPr>
              <w:pStyle w:val="TableContents"/>
              <w:spacing w:before="0" w:after="0"/>
              <w:ind w:left="0" w:right="0" w:hanging="0"/>
              <w:jc w:val="both"/>
              <w:rPr/>
            </w:pPr>
            <w:r>
              <w:rPr/>
              <w:t>Timothy P. McFadden</w:t>
            </w:r>
          </w:p>
        </w:tc>
        <w:tc>
          <w:tcPr>
            <w:tcW w:w="455" w:type="dxa"/>
            <w:tcBorders/>
            <w:shd w:fill="FFFFFF" w:val="clear"/>
            <w:tcMar>
              <w:bottom w:w="0" w:type="dxa"/>
            </w:tcMar>
            <w:vAlign w:val="center"/>
          </w:tcPr>
          <w:p>
            <w:pPr>
              <w:pStyle w:val="TableContents"/>
              <w:spacing w:before="0" w:after="0"/>
              <w:ind w:left="0" w:right="0" w:hanging="0"/>
              <w:jc w:val="center"/>
              <w:rPr/>
            </w:pPr>
            <w:r>
              <w:rPr/>
              <w:t>58</w:t>
            </w:r>
          </w:p>
        </w:tc>
        <w:tc>
          <w:tcPr>
            <w:tcW w:w="7591" w:type="dxa"/>
            <w:tcBorders/>
            <w:shd w:fill="FFFFFF" w:val="clear"/>
            <w:tcMar>
              <w:bottom w:w="0" w:type="dxa"/>
            </w:tcMar>
            <w:vAlign w:val="center"/>
          </w:tcPr>
          <w:p>
            <w:pPr>
              <w:pStyle w:val="TableContents"/>
              <w:spacing w:before="0" w:after="0"/>
              <w:ind w:left="0" w:right="0" w:hanging="0"/>
              <w:jc w:val="both"/>
              <w:rPr/>
            </w:pPr>
            <w:r>
              <w:rPr/>
              <w:t>Director</w:t>
            </w:r>
          </w:p>
        </w:tc>
      </w:tr>
    </w:tbl>
    <w:p>
      <w:pPr>
        <w:pStyle w:val="TextBody"/>
        <w:spacing w:before="0" w:after="0"/>
        <w:ind w:left="0" w:right="0" w:hanging="0"/>
        <w:jc w:val="both"/>
        <w:rPr/>
      </w:pPr>
      <w:r>
        <w:rPr/>
        <w:t> </w:t>
      </w:r>
    </w:p>
    <w:p>
      <w:pPr>
        <w:pStyle w:val="TextBody"/>
        <w:spacing w:before="0" w:after="0"/>
        <w:ind w:left="0" w:right="0" w:hanging="0"/>
        <w:jc w:val="both"/>
        <w:rPr/>
      </w:pPr>
      <w:r>
        <w:rPr>
          <w:rStyle w:val="Emphasis"/>
          <w:rFonts w:ascii="times new roman" w:hAnsi="times new roman"/>
          <w:sz w:val="20"/>
        </w:rPr>
        <w:t>Barry B. Goldstein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Mr. Goldstein has served as our Chief Executive Officer and President, as well as Chief Executive Officer and President of Kingstone Insurance Company, our wholly-owned New York property and casualty insurer (“KICO”), since July 19, 2019. He previously served as our Chief Executive Officer, President and Chairman of the Board from March 2001 through December 31, 2018 and as Chief Executive Officer and President of KICO from January 2012 through December 31, 2018. Mr. Goldstein has served as our Executive Chairman of the Board since January 1, 2019 and as one of our directors since March 2001. He served as our Chief Financial Officer from March 2001 to November 2007 and as our Treasurer from May 2001 to August 2013. Since January 2006, Mr. Goldstein has served as Chairman of the Board of KICO. He has served as Chairman of its Executive Committee since October 2019 (having previously served in such capacity from 2006 to 2018). Mr. Goldstein has served as Chief Investment Officer of KICO since August 2008. He was Treasurer of KICO from March 2010 through September 2010. Effective July 1, 2009, we acquired a 100% equity interest in KICO. Mr. Goldstein is a certified public accountant (inactive). Mr. Goldstein received his B.A. degree and M.B.A. from State University of New York at Buffalo. We believe that Mr. Goldstein’s extensive experience in the insurance industry, including his executive-level service with KICO since 2006, give him the qualifications and skills to serve as one of our directors.</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62</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both"/>
        <w:rPr/>
      </w:pPr>
      <w:r>
        <w:rPr>
          <w:rStyle w:val="Emphasis"/>
          <w:rFonts w:ascii="times new roman" w:hAnsi="times new roman"/>
          <w:sz w:val="20"/>
        </w:rPr>
        <w:t xml:space="preserve">Meryl S. Golden </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 xml:space="preserve">Ms. Golden has served as our Chief Operating Officer since September 2019 and as one of our directors since March 2020. She has also served as Chief Operating Officer, a director and a member of the Executive Committee of KICO since September 2019. Ms. Golden has over 25 years of experience in the insurance industry. She served as Northeast General Manager of Progressive Insurance from 2000 to 2004 (having served as Connecticut General Manager at Progressive from 1996 to 2000). Ms. Golden was Senior Vice President/General Manager at Liberty Mutual from 2005 to 2007. From 2007 to 2009, she was a Management Committee advisor to Bridgewater Associates, a hedge fund. Ms. Golden served as General Manager of North America for Earnix, a banking and insurance software company, from 2010 to 2018 and was Sales Manager, Insurance Solutions for Arity, a mobility and data analytics company founded by Allstate, from 2018 until September 2019. Ms. Golden received her B.S. degree in Accounting from the Wharton School of the University of Pennsylvania and her M.B.A. in Marketing and Finance from the University of Chicago. We believe that Ms. Golden’s executive level experience in the insurance industry gives her the qualifications and skills to serve as one of our directors. </w:t>
      </w:r>
    </w:p>
    <w:p>
      <w:pPr>
        <w:pStyle w:val="TextBody"/>
        <w:spacing w:before="0" w:after="0"/>
        <w:ind w:left="0" w:right="0" w:hanging="0"/>
        <w:jc w:val="both"/>
        <w:rPr/>
      </w:pPr>
      <w:r>
        <w:rPr/>
        <w:t> </w:t>
      </w:r>
    </w:p>
    <w:p>
      <w:pPr>
        <w:pStyle w:val="TextBody"/>
        <w:spacing w:before="0" w:after="0"/>
        <w:ind w:left="0" w:right="0" w:hanging="0"/>
        <w:jc w:val="both"/>
        <w:rPr/>
      </w:pPr>
      <w:r>
        <w:rPr/>
        <w:t> </w:t>
      </w:r>
      <w:r>
        <w:rPr>
          <w:rStyle w:val="Emphasis"/>
          <w:rFonts w:ascii="times new roman" w:hAnsi="times new roman"/>
          <w:sz w:val="20"/>
        </w:rPr>
        <w:t>Scott Van Pelt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Mr. Van Pelt has served as our Chief Financial Officer and Treasurer since February 1, 2021. From February 2019 to February 2021, he was Chief Financial Officer of CHW Group, a home warranty provider. Mr. Van Pelt served as Chief Financial Officer of Citi bank’s Life Reinsurance Companies from June 2015 to September 2018. He was Chief Financial Officer of Star and Shield Insurance, a reciprocal insurance company, from January 2013 to April 2014. Mr. Van Pelt received a B.B.A. degree in Accounting from the University of Notre Dame and an M.B.A. in Corporate Finance from Fairleigh Dickinson University.</w:t>
      </w:r>
    </w:p>
    <w:p>
      <w:pPr>
        <w:pStyle w:val="TextBody"/>
        <w:spacing w:before="0" w:after="0"/>
        <w:ind w:left="0" w:right="0" w:hanging="0"/>
        <w:jc w:val="both"/>
        <w:rPr/>
      </w:pPr>
      <w:r>
        <w:rPr/>
        <w:t> </w:t>
      </w:r>
    </w:p>
    <w:p>
      <w:pPr>
        <w:pStyle w:val="TextBody"/>
        <w:spacing w:before="0" w:after="0"/>
        <w:ind w:left="0" w:right="0" w:hanging="0"/>
        <w:jc w:val="both"/>
        <w:rPr/>
      </w:pPr>
      <w:r>
        <w:rPr>
          <w:rStyle w:val="Emphasis"/>
          <w:rFonts w:ascii="times new roman" w:hAnsi="times new roman"/>
          <w:sz w:val="20"/>
        </w:rPr>
        <w:t>Sarah (Minlei) Chen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Ms. Chen has served as KICO’s Chief Actuary since November 2020. From January 2018 to October 2020, she was Actuarial Manager/Senior Pricing Manager and Actuary for Homesite Insurance, a property and casualty insurance company. Ms. Chen served as Actuarial Manager of Plymouth Rock Assurance, an auto and home insurer, from November 2013 to January 2018. Ms. Chen received a B.S. degree in Mathematics from Tsinghua University and an M.S. degree in Applied Mathematics from Brown University.</w:t>
      </w:r>
    </w:p>
    <w:p>
      <w:pPr>
        <w:pStyle w:val="TextBody"/>
        <w:spacing w:before="0" w:after="0"/>
        <w:ind w:left="0" w:right="0" w:hanging="0"/>
        <w:jc w:val="both"/>
        <w:rPr/>
      </w:pPr>
      <w:r>
        <w:rPr/>
        <w:t> </w:t>
      </w:r>
    </w:p>
    <w:p>
      <w:pPr>
        <w:pStyle w:val="TextBody"/>
        <w:spacing w:before="0" w:after="0"/>
        <w:ind w:left="0" w:right="0" w:hanging="0"/>
        <w:jc w:val="both"/>
        <w:rPr/>
      </w:pPr>
      <w:r>
        <w:rPr/>
        <w:t> </w:t>
      </w:r>
      <w:r>
        <w:rPr>
          <w:rStyle w:val="Emphasis"/>
          <w:rFonts w:ascii="times new roman" w:hAnsi="times new roman"/>
          <w:sz w:val="20"/>
        </w:rPr>
        <w:t>Floyd R. Tupper</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Mr. Tupper is a certified public accountant in New York City. For over 30 years, Mr. Tupper has counseled high-net worth individuals by creating tax planning strategies to achieve their goals as well as those of their families. He has also helped small businesses by developing business strategies to meet their current and future needs. He began his career in public accounting with Ernst &amp; Young LLP prior to becoming self-employed. Mr. Tupper holds an M.B.A. in Taxation from the New York University Stern School of Business and a B.S. degree from New York University. Mr. Tupper served as a director of KICO from 2006 to 2018 and has served as Chairman of its Audit Committee since 2006. From 1990 until 2010, Mr. Tupper served as a Trustee of The Acorn School in New York City. He was also a member of the school’s Executive Committee and served as its Treasurer from 1990 to 2010. Mr. Tupper is a member of the American Institute of Certified Public Accountants and the New York State Society of Certified Public Accountants. He has served as one of our directors and Chairman of our Audit Committee since June 2014 and as our Secretary since June 2015. We believe that Mr. Tupper’s accounting experience, as well as his service on the Board of KICO (including his service as Chairman of its Audit Committee), give him the qualifications and skills to serve as one of our directors.</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63</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both"/>
        <w:rPr/>
      </w:pPr>
      <w:r>
        <w:rPr>
          <w:rStyle w:val="Emphasis"/>
          <w:rFonts w:ascii="times new roman" w:hAnsi="times new roman"/>
          <w:sz w:val="20"/>
        </w:rPr>
        <w:t>William L. Yankus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Mr. Yankus brings to the Board over 30 years’ experience in the insurance industry. Since September 2015, Mr. Yankus has provided insurance-related consulting services through Pheasant Hill Advisors, LLC. From 2011 to 2015, he was Managing Director – Investment Banking at Stern Agee where he focused on small and mid-sized insurers. Mr. Yankus served as Managing Director-Insurance Research at Fox-Pitt, Kelton from 1993 to 2009 and then as Head of Insurance Research at its successor, Macquerie, from 2009 to 2010. Mr. Yankus served as Vice President, Insurance Research at Conning &amp; Company from 1985 to 1993. He completed the CFA program in 1989 and passed the CT uniform CPA exam in 1984. Mr. Yankus has served as one of our directors since March 2016, Chairman of our Compensation Committee since April 2017 and Chairman of our Investment Committee since February 2020. He received his B.A. degree in Economics and Accounting from The College of the Holy Cross. We believe that Mr. Yankus’ executive level experience in the insurance industry gives him the qualifications and skills to serve as one of our directors.</w:t>
      </w:r>
    </w:p>
    <w:p>
      <w:pPr>
        <w:pStyle w:val="TextBody"/>
        <w:spacing w:before="0" w:after="0"/>
        <w:ind w:left="0" w:right="0" w:hanging="0"/>
        <w:jc w:val="both"/>
        <w:rPr/>
      </w:pPr>
      <w:r>
        <w:rPr/>
        <w:t> </w:t>
      </w:r>
    </w:p>
    <w:p>
      <w:pPr>
        <w:pStyle w:val="TextBody"/>
        <w:spacing w:before="0" w:after="0"/>
        <w:ind w:left="0" w:right="0" w:hanging="0"/>
        <w:jc w:val="both"/>
        <w:rPr/>
      </w:pPr>
      <w:r>
        <w:rPr/>
        <w:t> </w:t>
      </w:r>
      <w:r>
        <w:rPr>
          <w:rStyle w:val="Emphasis"/>
          <w:rFonts w:ascii="times new roman" w:hAnsi="times new roman"/>
          <w:sz w:val="20"/>
        </w:rPr>
        <w:t>Carla A. D’Andre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Ms. D’Andre has more than 40 years of experience in the insurance industry. Since 2009, Ms. D’Andre has been Chairman, CEO and President of D’Andre Insurance Group, Inc., which she co-founded. D’Andre Insurance Group, Inc. is the parent of two independent insurance agencies. Prior to co-founding D’Andre Insurance Group, Ms. D’Andre held executive-level roles at several companies in the insurance industry, including Executive Vice President, Head – Global Corporate Practice and Member – Partner’s Council at Willis Group Holdings plc, a multinational risk advisor, insurance brokerage and reinsurance brokerage company; Managing Director and Strategic Account Manager at AON Risk Services, a global provider of risk management solutions; Chief Operating Officer at XL Capital’s insurance and technology start-up firm, Inquis Logic Inc.; Member of Senior Management and Managing Director of Swiss Re New Markets and Director of Alternative Markets at Swiss ReAmerica, affiliates of Swiss Reinsurance Company Ltd, a global reinsurance company; Senior Vice President of Sedgwick North America, an insurance brokerage firm; and Vice President of Johnson &amp; Higgins, an insurance brokerage firm. Ms. D’Andre serves in senior capacities in several insurance industry groups. In January 2019 she was elected by her peers to a three-year term as a member of The Institutes’ CPCU Society Leadership Council. She also serves as a member of the Executive Advisory Council of St. John’s University School of Risk Management, Insurance and Actuarial Science. She has served as one of our directors since May 2017 and currently serves as Chair of our Finance Committee. Ms. D’Andre has an M.B.A. from Pace University’s Lubin School of Business and a B.B.A. degree from St. John’s University’s School of Risk Management, Insurance and Actuarial Science. We believe that Ms. D’Andre’s extensive experience in multiple capacities in the insurance industry gives her the qualifications and skills to serve as one of our directors.</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64</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both"/>
        <w:rPr/>
      </w:pPr>
      <w:r>
        <w:rPr>
          <w:rStyle w:val="Emphasis"/>
          <w:rFonts w:ascii="times new roman" w:hAnsi="times new roman"/>
          <w:sz w:val="20"/>
        </w:rPr>
        <w:t>Timothy P. McFadden</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Mr. McFadden has more than 29 years of experience in the insurance industry. Since 2012, Mr. McFadden has served as CEO and President of State Farm Indemnity Auto Insurance Company and Senior Vice President of State Farm Insurance, Eastern Market Area. Since 2015, he has also served as CEO and President of State Farm Florida Fire Company. Mr. McFadden served as Senior Vice President of State Farm Insurance Companies, Southern Zone from 2008 to 2011 and Senior Vice President of State Farm Insurance Companies, Southern &amp; Mid Atlantic Zones from 2011 to 2013. Prior to joining the insurance industry, he was a Captain in the United States Army. Mr. McFadden is a member of Stetson University’s College of Law Board of Overseers. He formerly served as a member of the Board of State Farm Indemnity Auto Insurance Company, Local Initiatives Support Corporation, American College Ethics Board, State Farm Florida Fire Company, Top Layer Reinsurance and Florida Council of 100. Mr. McFadden received his B.S. degree from the United States Military Academy at West Point and his J.D. from Stetson College of Law. He also completed the General Management Program at Harvard Business School and received his Chartered Life Underwriter Designation from The American College of Financial Services. Mr. McFadden has served as one of our directors and Chair of our Nominating and Corporate Governance Committee since August 2018. We believe that Mr. McFadden's executive level experience in the insurance industry gives him the qualifications and skills to serve as one of our directors.</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 xml:space="preserve">Family Relationships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There are no family relationships among any of our executive officers and directors; however, see Item 13 (“Certain Relationships and Related Transactions, and Director Independence - Other”) of this Annual Report.</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Term of Office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Each director will hold office until the next annual meeting of stockholders and until his or her successor is elected and qualified or until his or her earlier resignation or removal. Each executive officer will hold office until the initial meeting of the Board of Directors following the next annual meeting of stockholders and until his or her successor is elected and qualified or until his or her earlier resignation or removal.</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Audit Committee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Audit Committee of the Board of Directors is responsible for overseeing our accounting and financial reporting processes and the audits of our financial statements. The members of the Audit Committee are Messrs. Tupper, Yankus and McFadden.</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Audit Committee Financial Expert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Board of Directors has determined that Mr. Tupper qualifies as an “audit committee financial expert,” as that term is defined in Item 407(d)(5) of Regulation S-K. Mr. Tupper is an “independent director” based on the definition of independence in Listing Rule 5605(a)(2) of The Nasdaq Stock Market.</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65</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Delinquent Section 16(a) Reports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Section 16 of the Exchange Act requires that reports of beneficial ownership of common stock and changes in such ownership be filed with the SEC by Section 16 “reporting persons,” including directors, certain officers, holders of more than 10% of the outstanding common stock and certain trusts of which reporting persons are trustees. We are required to disclose in this Annual Report each reporting person whom we know to have failed to file any required reports under Section 16 on a timely basis during the fiscal year ended December 31, 2020. To our knowledge, based solely on a review of copies of Forms 3, 4 and 5 filed with the SEC and written representations that no other reports were required, during the fiscal year ended December 31, 2020, our officers, directors and 10% stockholders complied with all Section 16(a) filing requirements applicable to them, except that Victor Brodsky, formerly our Chief Financial Officer and Treasurer, filed one Form 4 late, reporting two transactions, Richard Swartz, our Chief Accounting Officer, filed his Form 3 late and filed two Forms 4 late, reporting a total of three transactions, and Mr. Goldstein filed a Form 5 late, reporting one gift transaction.</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Code of Ethics; Officer and Director Trading Restrictions Policy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Board of Directors has adopted a Code of Ethics for our principal executive officer, principal financial officer, principal accounting officer or controller, or persons performing similar functions. Our Board of Directors has also adopted an Officer and Director Trading Restrictions Policy for our officers and directors as well as the officers and directors of KICO. Copies of the Code of Ethics and Officer and Director Trading Restrictions Policy are posted on our website, www.kingstonecompanies.com. We intend to satisfy the disclosure requirement under Item 5.05(c) of Form 8-K regarding an amendment to, or a waiver from, our Code of Ethics or Officer and Director Trading Restrictions Policy by posting such information on our website, www.kingstonecompanies.com.</w:t>
      </w:r>
    </w:p>
    <w:p>
      <w:pPr>
        <w:pStyle w:val="TextBody"/>
        <w:spacing w:before="0" w:after="0"/>
        <w:ind w:left="0" w:right="0" w:hanging="0"/>
        <w:jc w:val="both"/>
        <w:rPr/>
      </w:pPr>
      <w:r>
        <w:rPr/>
        <w:t> </w:t>
      </w:r>
    </w:p>
    <w:p>
      <w:pPr>
        <w:pStyle w:val="TextBody"/>
        <w:spacing w:before="0" w:after="0"/>
        <w:ind w:left="0" w:right="0" w:hanging="0"/>
        <w:jc w:val="both"/>
        <w:rPr/>
      </w:pPr>
      <w:bookmarkStart w:id="16" w:name="i11"/>
      <w:bookmarkEnd w:id="16"/>
      <w:r>
        <w:rPr>
          <w:rStyle w:val="StrongEmphasis"/>
          <w:rFonts w:ascii="times new roman" w:hAnsi="times new roman"/>
          <w:sz w:val="20"/>
          <w:u w:val="single"/>
        </w:rPr>
        <w:t>ITEM 11.</w:t>
      </w:r>
      <w:r>
        <w:rPr>
          <w:rStyle w:val="StrongEmphasis"/>
          <w:rFonts w:ascii="times new roman" w:hAnsi="times new roman"/>
          <w:sz w:val="20"/>
        </w:rPr>
        <w:t xml:space="preserve"> </w:t>
      </w:r>
      <w:r>
        <w:rPr>
          <w:rStyle w:val="StrongEmphasis"/>
          <w:rFonts w:ascii="times new roman" w:hAnsi="times new roman"/>
          <w:sz w:val="20"/>
          <w:u w:val="single"/>
        </w:rPr>
        <w:t>EXECUTIVE COMPENSATION</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both"/>
        <w:rPr/>
      </w:pPr>
      <w:r>
        <w:rPr>
          <w:rStyle w:val="StrongEmphasis"/>
          <w:rFonts w:ascii="times new roman" w:hAnsi="times new roman"/>
          <w:sz w:val="20"/>
        </w:rPr>
        <w:t>Summary Compensation Table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sets forth certain information concerning the compensation for the fiscal years ended December 31, 2020 and 2019 for certain executive officers, including our Chief Executive Officer: </w:t>
      </w:r>
    </w:p>
    <w:p>
      <w:pPr>
        <w:pStyle w:val="TextBody"/>
        <w:spacing w:before="0" w:after="0"/>
        <w:ind w:left="0" w:right="0" w:hanging="0"/>
        <w:jc w:val="both"/>
        <w:rPr/>
      </w:pPr>
      <w:r>
        <w:rPr/>
        <w:t> </w:t>
      </w:r>
    </w:p>
    <w:tbl>
      <w:tblPr>
        <w:tblW w:w="11840" w:type="dxa"/>
        <w:jc w:val="left"/>
        <w:tblInd w:w="0" w:type="dxa"/>
        <w:tblCellMar>
          <w:top w:w="0" w:type="dxa"/>
          <w:left w:w="0" w:type="dxa"/>
          <w:bottom w:w="28" w:type="dxa"/>
          <w:right w:w="0" w:type="dxa"/>
        </w:tblCellMar>
      </w:tblPr>
      <w:tblGrid>
        <w:gridCol w:w="1010"/>
        <w:gridCol w:w="90"/>
        <w:gridCol w:w="560"/>
        <w:gridCol w:w="90"/>
        <w:gridCol w:w="170"/>
        <w:gridCol w:w="830"/>
        <w:gridCol w:w="90"/>
        <w:gridCol w:w="90"/>
        <w:gridCol w:w="170"/>
        <w:gridCol w:w="710"/>
        <w:gridCol w:w="90"/>
        <w:gridCol w:w="90"/>
        <w:gridCol w:w="170"/>
        <w:gridCol w:w="1010"/>
        <w:gridCol w:w="245"/>
        <w:gridCol w:w="90"/>
        <w:gridCol w:w="180"/>
        <w:gridCol w:w="755"/>
        <w:gridCol w:w="245"/>
        <w:gridCol w:w="90"/>
        <w:gridCol w:w="308"/>
        <w:gridCol w:w="1287"/>
        <w:gridCol w:w="90"/>
        <w:gridCol w:w="90"/>
        <w:gridCol w:w="258"/>
        <w:gridCol w:w="1262"/>
        <w:gridCol w:w="365"/>
        <w:gridCol w:w="90"/>
        <w:gridCol w:w="170"/>
        <w:gridCol w:w="1010"/>
        <w:gridCol w:w="135"/>
      </w:tblGrid>
      <w:tr>
        <w:trPr/>
        <w:tc>
          <w:tcPr>
            <w:tcW w:w="1010" w:type="dxa"/>
            <w:tcBorders>
              <w:bottom w:val="single" w:sz="2" w:space="0" w:color="000000"/>
            </w:tcBorders>
            <w:shd w:fill="auto" w:val="clear"/>
            <w:vAlign w:val="center"/>
          </w:tcPr>
          <w:p>
            <w:pPr>
              <w:pStyle w:val="TableContents"/>
              <w:spacing w:before="0" w:after="0"/>
              <w:ind w:left="0" w:right="0" w:hanging="0"/>
              <w:jc w:val="center"/>
              <w:rPr/>
            </w:pPr>
            <w:r>
              <w:rPr>
                <w:rStyle w:val="StrongEmphasis"/>
              </w:rPr>
              <w:t>Name and Principal Position</w:t>
            </w:r>
          </w:p>
        </w:tc>
        <w:tc>
          <w:tcPr>
            <w:tcW w:w="90" w:type="dxa"/>
            <w:tcBorders/>
            <w:shd w:fill="auto" w:val="clear"/>
            <w:tcMar>
              <w:bottom w:w="0" w:type="dxa"/>
            </w:tcMar>
            <w:vAlign w:val="center"/>
          </w:tcPr>
          <w:p>
            <w:pPr>
              <w:pStyle w:val="TableContents"/>
              <w:spacing w:before="0" w:after="0"/>
              <w:ind w:left="0" w:right="0" w:hanging="0"/>
              <w:rPr/>
            </w:pPr>
            <w:r>
              <w:rPr/>
              <w:t> </w:t>
            </w:r>
          </w:p>
        </w:tc>
        <w:tc>
          <w:tcPr>
            <w:tcW w:w="560" w:type="dxa"/>
            <w:tcBorders>
              <w:bottom w:val="single" w:sz="2" w:space="0" w:color="000000"/>
            </w:tcBorders>
            <w:shd w:fill="auto" w:val="clear"/>
            <w:vAlign w:val="center"/>
          </w:tcPr>
          <w:p>
            <w:pPr>
              <w:pStyle w:val="TableContents"/>
              <w:spacing w:before="0" w:after="0"/>
              <w:ind w:left="0" w:right="0" w:hanging="0"/>
              <w:jc w:val="center"/>
              <w:rPr/>
            </w:pPr>
            <w:r>
              <w:rPr>
                <w:rStyle w:val="StrongEmphasis"/>
              </w:rPr>
              <w:t>Year</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000"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Pr>
              <w:t>Salary</w:t>
            </w:r>
          </w:p>
        </w:tc>
        <w:tc>
          <w:tcPr>
            <w:tcW w:w="90"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880"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Pr>
              <w:t>Bonus</w:t>
            </w:r>
          </w:p>
        </w:tc>
        <w:tc>
          <w:tcPr>
            <w:tcW w:w="90"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180"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Pr>
              <w:t>Stock Awards(5)</w:t>
            </w:r>
          </w:p>
        </w:tc>
        <w:tc>
          <w:tcPr>
            <w:tcW w:w="24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935"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Pr>
              <w:t>Option Awards(5)</w:t>
            </w:r>
          </w:p>
        </w:tc>
        <w:tc>
          <w:tcPr>
            <w:tcW w:w="24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595"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Pr>
              <w:t>Non-Equity</w:t>
            </w:r>
          </w:p>
          <w:p>
            <w:pPr>
              <w:pStyle w:val="TableContents"/>
              <w:spacing w:before="0" w:after="0"/>
              <w:ind w:left="0" w:right="0" w:hanging="0"/>
              <w:jc w:val="center"/>
              <w:rPr/>
            </w:pPr>
            <w:r>
              <w:rPr>
                <w:rStyle w:val="StrongEmphasis"/>
              </w:rPr>
              <w:t>Incentive Plan</w:t>
            </w:r>
          </w:p>
          <w:p>
            <w:pPr>
              <w:pStyle w:val="TableContents"/>
              <w:spacing w:before="0" w:after="0"/>
              <w:ind w:left="0" w:right="0" w:hanging="0"/>
              <w:jc w:val="center"/>
              <w:rPr/>
            </w:pPr>
            <w:r>
              <w:rPr>
                <w:rStyle w:val="StrongEmphasis"/>
              </w:rPr>
              <w:t>Compensation(8)</w:t>
            </w:r>
          </w:p>
        </w:tc>
        <w:tc>
          <w:tcPr>
            <w:tcW w:w="90"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520"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Pr>
              <w:t>All Other</w:t>
            </w:r>
          </w:p>
          <w:p>
            <w:pPr>
              <w:pStyle w:val="TableContents"/>
              <w:spacing w:before="0" w:after="0"/>
              <w:ind w:left="0" w:right="0" w:hanging="0"/>
              <w:jc w:val="center"/>
              <w:rPr/>
            </w:pPr>
            <w:r>
              <w:rPr>
                <w:rStyle w:val="StrongEmphasis"/>
              </w:rPr>
              <w:t>Compensation</w:t>
            </w:r>
          </w:p>
        </w:tc>
        <w:tc>
          <w:tcPr>
            <w:tcW w:w="36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180"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Pr>
              <w:t>Total</w:t>
            </w:r>
          </w:p>
        </w:tc>
        <w:tc>
          <w:tcPr>
            <w:tcW w:w="135" w:type="dxa"/>
            <w:tcBorders/>
            <w:shd w:fill="auto" w:val="clear"/>
            <w:tcMar>
              <w:bottom w:w="0" w:type="dxa"/>
            </w:tcMar>
            <w:vAlign w:val="center"/>
          </w:tcPr>
          <w:p>
            <w:pPr>
              <w:pStyle w:val="TableContents"/>
              <w:spacing w:before="0" w:after="0"/>
              <w:ind w:left="0" w:right="0" w:hanging="0"/>
              <w:rPr/>
            </w:pPr>
            <w:r>
              <w:rPr/>
              <w:t> </w:t>
            </w:r>
          </w:p>
        </w:tc>
      </w:tr>
      <w:tr>
        <w:trPr/>
        <w:tc>
          <w:tcPr>
            <w:tcW w:w="1010" w:type="dxa"/>
            <w:tcBorders/>
            <w:shd w:fill="CCEEFF" w:val="clear"/>
            <w:tcMar>
              <w:bottom w:w="0" w:type="dxa"/>
            </w:tcMar>
            <w:vAlign w:val="center"/>
          </w:tcPr>
          <w:p>
            <w:pPr>
              <w:pStyle w:val="TableContents"/>
              <w:spacing w:before="0" w:after="0"/>
              <w:ind w:left="0" w:right="0" w:hanging="0"/>
              <w:rPr/>
            </w:pPr>
            <w:r>
              <w:rPr/>
              <w:t>Barry B. Goldstein (1)</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560" w:type="dxa"/>
            <w:tcBorders/>
            <w:shd w:fill="CCEEFF" w:val="clear"/>
            <w:tcMar>
              <w:bottom w:w="0" w:type="dxa"/>
            </w:tcMar>
            <w:vAlign w:val="center"/>
          </w:tcPr>
          <w:p>
            <w:pPr>
              <w:pStyle w:val="TableContents"/>
              <w:spacing w:before="0" w:after="0"/>
              <w:ind w:left="0" w:right="0" w:hanging="0"/>
              <w:jc w:val="center"/>
              <w:rPr/>
            </w:pPr>
            <w:r>
              <w:rPr/>
              <w:t>2020</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283"/>
              <w:rPr/>
            </w:pPr>
            <w:r>
              <w:rPr/>
              <w:t>$</w:t>
            </w:r>
          </w:p>
        </w:tc>
        <w:tc>
          <w:tcPr>
            <w:tcW w:w="830" w:type="dxa"/>
            <w:tcBorders/>
            <w:shd w:fill="CCEEFF" w:val="clear"/>
            <w:tcMar>
              <w:bottom w:w="0" w:type="dxa"/>
            </w:tcMar>
            <w:vAlign w:val="center"/>
          </w:tcPr>
          <w:p>
            <w:pPr>
              <w:pStyle w:val="TableContents"/>
              <w:spacing w:before="0" w:after="283"/>
              <w:jc w:val="right"/>
              <w:rPr/>
            </w:pPr>
            <w:r>
              <w:rPr/>
              <w:t>500,000</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283"/>
              <w:rPr/>
            </w:pPr>
            <w:r>
              <w:rPr/>
              <w:t>$</w:t>
            </w:r>
          </w:p>
        </w:tc>
        <w:tc>
          <w:tcPr>
            <w:tcW w:w="710" w:type="dxa"/>
            <w:tcBorders/>
            <w:shd w:fill="CCEEFF" w:val="clear"/>
            <w:tcMar>
              <w:bottom w:w="0" w:type="dxa"/>
            </w:tcMar>
            <w:vAlign w:val="center"/>
          </w:tcPr>
          <w:p>
            <w:pPr>
              <w:pStyle w:val="TableContents"/>
              <w:spacing w:before="0" w:after="283"/>
              <w:jc w:val="right"/>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283"/>
              <w:rPr/>
            </w:pPr>
            <w:r>
              <w:rPr/>
              <w:t>$</w:t>
            </w:r>
          </w:p>
        </w:tc>
        <w:tc>
          <w:tcPr>
            <w:tcW w:w="1010" w:type="dxa"/>
            <w:tcBorders/>
            <w:shd w:fill="CCEEFF" w:val="clear"/>
            <w:tcMar>
              <w:bottom w:w="0" w:type="dxa"/>
            </w:tcMar>
            <w:vAlign w:val="center"/>
          </w:tcPr>
          <w:p>
            <w:pPr>
              <w:pStyle w:val="TableContents"/>
              <w:spacing w:before="0" w:after="283"/>
              <w:jc w:val="right"/>
              <w:rPr/>
            </w:pPr>
            <w:r>
              <w:rPr/>
              <w:t>1,386,500</w:t>
            </w:r>
          </w:p>
        </w:tc>
        <w:tc>
          <w:tcPr>
            <w:tcW w:w="245" w:type="dxa"/>
            <w:tcBorders/>
            <w:shd w:fill="CCEEFF" w:val="clear"/>
            <w:tcMar>
              <w:bottom w:w="0" w:type="dxa"/>
            </w:tcMar>
            <w:vAlign w:val="center"/>
          </w:tcPr>
          <w:p>
            <w:pPr>
              <w:pStyle w:val="TableContents"/>
              <w:spacing w:before="0" w:after="283"/>
              <w:rPr/>
            </w:pPr>
            <w:r>
              <w:rPr/>
              <w:t>(6)</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80" w:type="dxa"/>
            <w:tcBorders/>
            <w:shd w:fill="CCEEFF" w:val="clear"/>
            <w:tcMar>
              <w:bottom w:w="0" w:type="dxa"/>
            </w:tcMar>
            <w:vAlign w:val="center"/>
          </w:tcPr>
          <w:p>
            <w:pPr>
              <w:pStyle w:val="TableContents"/>
              <w:spacing w:before="0" w:after="283"/>
              <w:rPr/>
            </w:pPr>
            <w:r>
              <w:rPr/>
              <w:t>$</w:t>
            </w:r>
          </w:p>
        </w:tc>
        <w:tc>
          <w:tcPr>
            <w:tcW w:w="755" w:type="dxa"/>
            <w:tcBorders/>
            <w:shd w:fill="CCEEFF" w:val="clear"/>
            <w:tcMar>
              <w:bottom w:w="0" w:type="dxa"/>
            </w:tcMar>
            <w:vAlign w:val="center"/>
          </w:tcPr>
          <w:p>
            <w:pPr>
              <w:pStyle w:val="TableContents"/>
              <w:spacing w:before="0" w:after="283"/>
              <w:jc w:val="right"/>
              <w:rPr/>
            </w:pPr>
            <w:r>
              <w:rPr/>
              <w:t>-</w:t>
            </w:r>
          </w:p>
        </w:tc>
        <w:tc>
          <w:tcPr>
            <w:tcW w:w="24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308" w:type="dxa"/>
            <w:tcBorders/>
            <w:shd w:fill="CCEEFF" w:val="clear"/>
            <w:tcMar>
              <w:bottom w:w="0" w:type="dxa"/>
            </w:tcMar>
            <w:vAlign w:val="center"/>
          </w:tcPr>
          <w:p>
            <w:pPr>
              <w:pStyle w:val="TableContents"/>
              <w:spacing w:before="0" w:after="283"/>
              <w:rPr/>
            </w:pPr>
            <w:r>
              <w:rPr/>
              <w:t>$</w:t>
            </w:r>
          </w:p>
        </w:tc>
        <w:tc>
          <w:tcPr>
            <w:tcW w:w="1287" w:type="dxa"/>
            <w:tcBorders/>
            <w:shd w:fill="CCEEFF" w:val="clear"/>
            <w:tcMar>
              <w:bottom w:w="0" w:type="dxa"/>
            </w:tcMar>
            <w:vAlign w:val="center"/>
          </w:tcPr>
          <w:p>
            <w:pPr>
              <w:pStyle w:val="TableContents"/>
              <w:spacing w:before="0" w:after="283"/>
              <w:jc w:val="right"/>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258" w:type="dxa"/>
            <w:tcBorders/>
            <w:shd w:fill="CCEEFF" w:val="clear"/>
            <w:tcMar>
              <w:bottom w:w="0" w:type="dxa"/>
            </w:tcMar>
            <w:vAlign w:val="center"/>
          </w:tcPr>
          <w:p>
            <w:pPr>
              <w:pStyle w:val="TableContents"/>
              <w:spacing w:before="0" w:after="283"/>
              <w:rPr/>
            </w:pPr>
            <w:r>
              <w:rPr/>
              <w:t>$</w:t>
            </w:r>
          </w:p>
        </w:tc>
        <w:tc>
          <w:tcPr>
            <w:tcW w:w="1262" w:type="dxa"/>
            <w:tcBorders/>
            <w:shd w:fill="CCEEFF" w:val="clear"/>
            <w:tcMar>
              <w:bottom w:w="0" w:type="dxa"/>
            </w:tcMar>
            <w:vAlign w:val="center"/>
          </w:tcPr>
          <w:p>
            <w:pPr>
              <w:pStyle w:val="TableContents"/>
              <w:spacing w:before="0" w:after="283"/>
              <w:jc w:val="right"/>
              <w:rPr/>
            </w:pPr>
            <w:r>
              <w:rPr/>
              <w:t>32,609</w:t>
            </w:r>
          </w:p>
        </w:tc>
        <w:tc>
          <w:tcPr>
            <w:tcW w:w="365" w:type="dxa"/>
            <w:tcBorders/>
            <w:shd w:fill="CCEEFF" w:val="clear"/>
            <w:tcMar>
              <w:bottom w:w="0" w:type="dxa"/>
            </w:tcMar>
            <w:vAlign w:val="center"/>
          </w:tcPr>
          <w:p>
            <w:pPr>
              <w:pStyle w:val="TableContents"/>
              <w:spacing w:before="0" w:after="283"/>
              <w:rPr/>
            </w:pPr>
            <w:r>
              <w:rPr/>
              <w:t>(9)</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283"/>
              <w:rPr/>
            </w:pPr>
            <w:r>
              <w:rPr/>
              <w:t>$</w:t>
            </w:r>
          </w:p>
        </w:tc>
        <w:tc>
          <w:tcPr>
            <w:tcW w:w="1010" w:type="dxa"/>
            <w:tcBorders/>
            <w:shd w:fill="CCEEFF" w:val="clear"/>
            <w:tcMar>
              <w:bottom w:w="0" w:type="dxa"/>
            </w:tcMar>
            <w:vAlign w:val="center"/>
          </w:tcPr>
          <w:p>
            <w:pPr>
              <w:pStyle w:val="TableContents"/>
              <w:spacing w:before="0" w:after="283"/>
              <w:jc w:val="right"/>
              <w:rPr/>
            </w:pPr>
            <w:r>
              <w:rPr/>
              <w:t>1,919,109</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1010" w:type="dxa"/>
            <w:tcBorders/>
            <w:shd w:fill="CCEEFF" w:val="clear"/>
            <w:tcMar>
              <w:bottom w:w="0" w:type="dxa"/>
            </w:tcMar>
            <w:vAlign w:val="center"/>
          </w:tcPr>
          <w:p>
            <w:pPr>
              <w:pStyle w:val="TableContents"/>
              <w:spacing w:before="0" w:after="0"/>
              <w:ind w:left="225" w:right="0" w:hanging="0"/>
              <w:rPr/>
            </w:pPr>
            <w:r>
              <w:rPr/>
              <w:t>Chief Executive Officer; Executive Chairman of the Board</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560" w:type="dxa"/>
            <w:tcBorders/>
            <w:shd w:fill="CCEEFF" w:val="clear"/>
            <w:tcMar>
              <w:bottom w:w="0" w:type="dxa"/>
            </w:tcMar>
            <w:vAlign w:val="center"/>
          </w:tcPr>
          <w:p>
            <w:pPr>
              <w:pStyle w:val="TableContents"/>
              <w:spacing w:before="0" w:after="0"/>
              <w:ind w:left="0" w:right="0" w:hanging="0"/>
              <w:jc w:val="center"/>
              <w:rPr/>
            </w:pPr>
            <w:r>
              <w:rPr/>
              <w:t>2019</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283"/>
              <w:rPr/>
            </w:pPr>
            <w:r>
              <w:rPr/>
              <w:t>$</w:t>
            </w:r>
          </w:p>
        </w:tc>
        <w:tc>
          <w:tcPr>
            <w:tcW w:w="830" w:type="dxa"/>
            <w:tcBorders/>
            <w:shd w:fill="CCEEFF" w:val="clear"/>
            <w:tcMar>
              <w:bottom w:w="0" w:type="dxa"/>
            </w:tcMar>
            <w:vAlign w:val="center"/>
          </w:tcPr>
          <w:p>
            <w:pPr>
              <w:pStyle w:val="TableContents"/>
              <w:spacing w:before="0" w:after="283"/>
              <w:jc w:val="right"/>
              <w:rPr/>
            </w:pPr>
            <w:r>
              <w:rPr/>
              <w:t>636,500</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283"/>
              <w:rPr/>
            </w:pPr>
            <w:r>
              <w:rPr/>
              <w:t>$</w:t>
            </w:r>
          </w:p>
        </w:tc>
        <w:tc>
          <w:tcPr>
            <w:tcW w:w="710" w:type="dxa"/>
            <w:tcBorders/>
            <w:shd w:fill="CCEEFF" w:val="clear"/>
            <w:tcMar>
              <w:bottom w:w="0" w:type="dxa"/>
            </w:tcMar>
            <w:vAlign w:val="center"/>
          </w:tcPr>
          <w:p>
            <w:pPr>
              <w:pStyle w:val="TableContents"/>
              <w:spacing w:before="0" w:after="283"/>
              <w:jc w:val="right"/>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283"/>
              <w:rPr/>
            </w:pPr>
            <w:r>
              <w:rPr/>
              <w:t>$</w:t>
            </w:r>
          </w:p>
        </w:tc>
        <w:tc>
          <w:tcPr>
            <w:tcW w:w="1010" w:type="dxa"/>
            <w:tcBorders/>
            <w:shd w:fill="CCEEFF" w:val="clear"/>
            <w:tcMar>
              <w:bottom w:w="0" w:type="dxa"/>
            </w:tcMar>
            <w:vAlign w:val="center"/>
          </w:tcPr>
          <w:p>
            <w:pPr>
              <w:pStyle w:val="TableContents"/>
              <w:spacing w:before="0" w:after="283"/>
              <w:jc w:val="right"/>
              <w:rPr/>
            </w:pPr>
            <w:r>
              <w:rPr/>
              <w:t>-</w:t>
            </w:r>
          </w:p>
        </w:tc>
        <w:tc>
          <w:tcPr>
            <w:tcW w:w="24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80" w:type="dxa"/>
            <w:tcBorders/>
            <w:shd w:fill="CCEEFF" w:val="clear"/>
            <w:tcMar>
              <w:bottom w:w="0" w:type="dxa"/>
            </w:tcMar>
            <w:vAlign w:val="center"/>
          </w:tcPr>
          <w:p>
            <w:pPr>
              <w:pStyle w:val="TableContents"/>
              <w:spacing w:before="0" w:after="283"/>
              <w:rPr/>
            </w:pPr>
            <w:r>
              <w:rPr/>
              <w:t>$</w:t>
            </w:r>
          </w:p>
        </w:tc>
        <w:tc>
          <w:tcPr>
            <w:tcW w:w="755" w:type="dxa"/>
            <w:tcBorders/>
            <w:shd w:fill="CCEEFF" w:val="clear"/>
            <w:tcMar>
              <w:bottom w:w="0" w:type="dxa"/>
            </w:tcMar>
            <w:vAlign w:val="center"/>
          </w:tcPr>
          <w:p>
            <w:pPr>
              <w:pStyle w:val="TableContents"/>
              <w:spacing w:before="0" w:after="283"/>
              <w:jc w:val="right"/>
              <w:rPr/>
            </w:pPr>
            <w:r>
              <w:rPr/>
              <w:t>-</w:t>
            </w:r>
          </w:p>
        </w:tc>
        <w:tc>
          <w:tcPr>
            <w:tcW w:w="24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308" w:type="dxa"/>
            <w:tcBorders/>
            <w:shd w:fill="CCEEFF" w:val="clear"/>
            <w:tcMar>
              <w:bottom w:w="0" w:type="dxa"/>
            </w:tcMar>
            <w:vAlign w:val="center"/>
          </w:tcPr>
          <w:p>
            <w:pPr>
              <w:pStyle w:val="TableContents"/>
              <w:spacing w:before="0" w:after="283"/>
              <w:rPr/>
            </w:pPr>
            <w:r>
              <w:rPr/>
              <w:t>$</w:t>
            </w:r>
          </w:p>
        </w:tc>
        <w:tc>
          <w:tcPr>
            <w:tcW w:w="1287" w:type="dxa"/>
            <w:tcBorders/>
            <w:shd w:fill="CCEEFF" w:val="clear"/>
            <w:tcMar>
              <w:bottom w:w="0" w:type="dxa"/>
            </w:tcMar>
            <w:vAlign w:val="center"/>
          </w:tcPr>
          <w:p>
            <w:pPr>
              <w:pStyle w:val="TableContents"/>
              <w:spacing w:before="0" w:after="283"/>
              <w:jc w:val="right"/>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258" w:type="dxa"/>
            <w:tcBorders/>
            <w:shd w:fill="CCEEFF" w:val="clear"/>
            <w:tcMar>
              <w:bottom w:w="0" w:type="dxa"/>
            </w:tcMar>
            <w:vAlign w:val="center"/>
          </w:tcPr>
          <w:p>
            <w:pPr>
              <w:pStyle w:val="TableContents"/>
              <w:spacing w:before="0" w:after="283"/>
              <w:rPr/>
            </w:pPr>
            <w:r>
              <w:rPr/>
              <w:t>$</w:t>
            </w:r>
          </w:p>
        </w:tc>
        <w:tc>
          <w:tcPr>
            <w:tcW w:w="1262" w:type="dxa"/>
            <w:tcBorders/>
            <w:shd w:fill="CCEEFF" w:val="clear"/>
            <w:tcMar>
              <w:bottom w:w="0" w:type="dxa"/>
            </w:tcMar>
            <w:vAlign w:val="center"/>
          </w:tcPr>
          <w:p>
            <w:pPr>
              <w:pStyle w:val="TableContents"/>
              <w:spacing w:before="0" w:after="283"/>
              <w:jc w:val="right"/>
              <w:rPr/>
            </w:pPr>
            <w:r>
              <w:rPr/>
              <w:t>37,520</w:t>
            </w:r>
          </w:p>
        </w:tc>
        <w:tc>
          <w:tcPr>
            <w:tcW w:w="365" w:type="dxa"/>
            <w:tcBorders/>
            <w:shd w:fill="CCEEFF" w:val="clear"/>
            <w:tcMar>
              <w:bottom w:w="0" w:type="dxa"/>
            </w:tcMar>
            <w:vAlign w:val="center"/>
          </w:tcPr>
          <w:p>
            <w:pPr>
              <w:pStyle w:val="TableContents"/>
              <w:spacing w:before="0" w:after="283"/>
              <w:rPr/>
            </w:pPr>
            <w:r>
              <w:rPr/>
              <w:t>(10)</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283"/>
              <w:rPr/>
            </w:pPr>
            <w:r>
              <w:rPr/>
              <w:t>$</w:t>
            </w:r>
          </w:p>
        </w:tc>
        <w:tc>
          <w:tcPr>
            <w:tcW w:w="1010" w:type="dxa"/>
            <w:tcBorders/>
            <w:shd w:fill="CCEEFF" w:val="clear"/>
            <w:tcMar>
              <w:bottom w:w="0" w:type="dxa"/>
            </w:tcMar>
            <w:vAlign w:val="center"/>
          </w:tcPr>
          <w:p>
            <w:pPr>
              <w:pStyle w:val="TableContents"/>
              <w:spacing w:before="0" w:after="283"/>
              <w:jc w:val="right"/>
              <w:rPr/>
            </w:pPr>
            <w:r>
              <w:rPr/>
              <w:t>674,020</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101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56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83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1010" w:type="dxa"/>
            <w:tcBorders/>
            <w:shd w:fill="FFFFFF" w:val="clear"/>
            <w:tcMar>
              <w:bottom w:w="0" w:type="dxa"/>
            </w:tcMar>
            <w:vAlign w:val="center"/>
          </w:tcPr>
          <w:p>
            <w:pPr>
              <w:pStyle w:val="TableContents"/>
              <w:spacing w:before="0" w:after="0"/>
              <w:ind w:left="0" w:right="0" w:hanging="0"/>
              <w:rPr/>
            </w:pPr>
            <w:r>
              <w:rPr/>
              <w:t> </w:t>
            </w:r>
          </w:p>
        </w:tc>
        <w:tc>
          <w:tcPr>
            <w:tcW w:w="24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80" w:type="dxa"/>
            <w:tcBorders/>
            <w:shd w:fill="FFFFFF" w:val="clear"/>
            <w:tcMar>
              <w:bottom w:w="0" w:type="dxa"/>
            </w:tcMar>
            <w:vAlign w:val="center"/>
          </w:tcPr>
          <w:p>
            <w:pPr>
              <w:pStyle w:val="TableContents"/>
              <w:spacing w:before="0" w:after="0"/>
              <w:ind w:left="0" w:right="0" w:hanging="0"/>
              <w:rPr/>
            </w:pPr>
            <w:r>
              <w:rPr/>
              <w:t> </w:t>
            </w:r>
          </w:p>
        </w:tc>
        <w:tc>
          <w:tcPr>
            <w:tcW w:w="755" w:type="dxa"/>
            <w:tcBorders/>
            <w:shd w:fill="FFFFFF" w:val="clear"/>
            <w:tcMar>
              <w:bottom w:w="0" w:type="dxa"/>
            </w:tcMar>
            <w:vAlign w:val="center"/>
          </w:tcPr>
          <w:p>
            <w:pPr>
              <w:pStyle w:val="TableContents"/>
              <w:spacing w:before="0" w:after="0"/>
              <w:ind w:left="0" w:right="0" w:hanging="0"/>
              <w:rPr/>
            </w:pPr>
            <w:r>
              <w:rPr/>
              <w:t> </w:t>
            </w:r>
          </w:p>
        </w:tc>
        <w:tc>
          <w:tcPr>
            <w:tcW w:w="24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308" w:type="dxa"/>
            <w:tcBorders/>
            <w:shd w:fill="FFFFFF" w:val="clear"/>
            <w:tcMar>
              <w:bottom w:w="0" w:type="dxa"/>
            </w:tcMar>
            <w:vAlign w:val="center"/>
          </w:tcPr>
          <w:p>
            <w:pPr>
              <w:pStyle w:val="TableContents"/>
              <w:spacing w:before="0" w:after="0"/>
              <w:ind w:left="0" w:right="0" w:hanging="0"/>
              <w:rPr/>
            </w:pPr>
            <w:r>
              <w:rPr/>
              <w:t> </w:t>
            </w:r>
          </w:p>
        </w:tc>
        <w:tc>
          <w:tcPr>
            <w:tcW w:w="1287"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258" w:type="dxa"/>
            <w:tcBorders/>
            <w:shd w:fill="FFFFFF" w:val="clear"/>
            <w:tcMar>
              <w:bottom w:w="0" w:type="dxa"/>
            </w:tcMar>
            <w:vAlign w:val="center"/>
          </w:tcPr>
          <w:p>
            <w:pPr>
              <w:pStyle w:val="TableContents"/>
              <w:spacing w:before="0" w:after="0"/>
              <w:ind w:left="0" w:right="0" w:hanging="0"/>
              <w:rPr/>
            </w:pPr>
            <w:r>
              <w:rPr/>
              <w:t> </w:t>
            </w:r>
          </w:p>
        </w:tc>
        <w:tc>
          <w:tcPr>
            <w:tcW w:w="1262" w:type="dxa"/>
            <w:tcBorders/>
            <w:shd w:fill="FFFFFF" w:val="clear"/>
            <w:tcMar>
              <w:bottom w:w="0" w:type="dxa"/>
            </w:tcMar>
            <w:vAlign w:val="center"/>
          </w:tcPr>
          <w:p>
            <w:pPr>
              <w:pStyle w:val="TableContents"/>
              <w:spacing w:before="0" w:after="0"/>
              <w:ind w:left="0" w:right="0" w:hanging="0"/>
              <w:rPr/>
            </w:pPr>
            <w:r>
              <w:rPr/>
              <w:t> </w:t>
            </w:r>
          </w:p>
        </w:tc>
        <w:tc>
          <w:tcPr>
            <w:tcW w:w="36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1010" w:type="dxa"/>
            <w:tcBorders/>
            <w:shd w:fill="FFFFFF" w:val="clear"/>
            <w:tcMar>
              <w:bottom w:w="0" w:type="dxa"/>
            </w:tcMar>
            <w:vAlign w:val="center"/>
          </w:tcPr>
          <w:p>
            <w:pPr>
              <w:pStyle w:val="TableContents"/>
              <w:spacing w:before="0" w:after="0"/>
              <w:ind w:left="0" w:right="0" w:hanging="0"/>
              <w:rPr/>
            </w:pPr>
            <w:r>
              <w:rPr/>
              <w:t> </w:t>
            </w:r>
          </w:p>
        </w:tc>
        <w:tc>
          <w:tcPr>
            <w:tcW w:w="135" w:type="dxa"/>
            <w:tcBorders/>
            <w:shd w:fill="FFFFFF" w:val="clear"/>
            <w:tcMar>
              <w:bottom w:w="0" w:type="dxa"/>
            </w:tcMar>
            <w:vAlign w:val="center"/>
          </w:tcPr>
          <w:p>
            <w:pPr>
              <w:pStyle w:val="TableContents"/>
              <w:spacing w:before="0" w:after="0"/>
              <w:ind w:left="0" w:right="0" w:hanging="0"/>
              <w:rPr/>
            </w:pPr>
            <w:r>
              <w:rPr/>
              <w:t> </w:t>
            </w:r>
          </w:p>
        </w:tc>
      </w:tr>
      <w:tr>
        <w:trPr/>
        <w:tc>
          <w:tcPr>
            <w:tcW w:w="1010" w:type="dxa"/>
            <w:tcBorders/>
            <w:shd w:fill="CCEEFF" w:val="clear"/>
            <w:tcMar>
              <w:bottom w:w="0" w:type="dxa"/>
            </w:tcMar>
            <w:vAlign w:val="center"/>
          </w:tcPr>
          <w:p>
            <w:pPr>
              <w:pStyle w:val="TableContents"/>
              <w:spacing w:before="0" w:after="0"/>
              <w:ind w:left="0" w:right="0" w:hanging="0"/>
              <w:rPr/>
            </w:pPr>
            <w:r>
              <w:rPr/>
              <w:t>Meryl S. Golden (2)</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560" w:type="dxa"/>
            <w:tcBorders/>
            <w:shd w:fill="CCEEFF" w:val="clear"/>
            <w:tcMar>
              <w:bottom w:w="0" w:type="dxa"/>
            </w:tcMar>
            <w:vAlign w:val="center"/>
          </w:tcPr>
          <w:p>
            <w:pPr>
              <w:pStyle w:val="TableContents"/>
              <w:spacing w:before="0" w:after="0"/>
              <w:ind w:left="0" w:right="0" w:hanging="0"/>
              <w:jc w:val="center"/>
              <w:rPr/>
            </w:pPr>
            <w:r>
              <w:rPr/>
              <w:t>2020</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283"/>
              <w:rPr/>
            </w:pPr>
            <w:r>
              <w:rPr/>
              <w:t>$</w:t>
            </w:r>
          </w:p>
        </w:tc>
        <w:tc>
          <w:tcPr>
            <w:tcW w:w="830" w:type="dxa"/>
            <w:tcBorders/>
            <w:shd w:fill="CCEEFF" w:val="clear"/>
            <w:tcMar>
              <w:bottom w:w="0" w:type="dxa"/>
            </w:tcMar>
            <w:vAlign w:val="center"/>
          </w:tcPr>
          <w:p>
            <w:pPr>
              <w:pStyle w:val="TableContents"/>
              <w:spacing w:before="0" w:after="283"/>
              <w:jc w:val="right"/>
              <w:rPr/>
            </w:pPr>
            <w:r>
              <w:rPr/>
              <w:t>500,000</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283"/>
              <w:rPr/>
            </w:pPr>
            <w:r>
              <w:rPr/>
              <w:t>$</w:t>
            </w:r>
          </w:p>
        </w:tc>
        <w:tc>
          <w:tcPr>
            <w:tcW w:w="710" w:type="dxa"/>
            <w:tcBorders/>
            <w:shd w:fill="CCEEFF" w:val="clear"/>
            <w:tcMar>
              <w:bottom w:w="0" w:type="dxa"/>
            </w:tcMar>
            <w:vAlign w:val="center"/>
          </w:tcPr>
          <w:p>
            <w:pPr>
              <w:pStyle w:val="TableContents"/>
              <w:spacing w:before="0" w:after="283"/>
              <w:jc w:val="right"/>
              <w:rPr/>
            </w:pPr>
            <w:r>
              <w:rPr/>
              <w:t>73,646</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283"/>
              <w:rPr/>
            </w:pPr>
            <w:r>
              <w:rPr/>
              <w:t>$</w:t>
            </w:r>
          </w:p>
        </w:tc>
        <w:tc>
          <w:tcPr>
            <w:tcW w:w="1010" w:type="dxa"/>
            <w:tcBorders/>
            <w:shd w:fill="CCEEFF" w:val="clear"/>
            <w:tcMar>
              <w:bottom w:w="0" w:type="dxa"/>
            </w:tcMar>
            <w:vAlign w:val="center"/>
          </w:tcPr>
          <w:p>
            <w:pPr>
              <w:pStyle w:val="TableContents"/>
              <w:spacing w:before="0" w:after="283"/>
              <w:jc w:val="right"/>
              <w:rPr/>
            </w:pPr>
            <w:r>
              <w:rPr/>
              <w:t>-</w:t>
            </w:r>
          </w:p>
        </w:tc>
        <w:tc>
          <w:tcPr>
            <w:tcW w:w="24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80" w:type="dxa"/>
            <w:tcBorders/>
            <w:shd w:fill="CCEEFF" w:val="clear"/>
            <w:tcMar>
              <w:bottom w:w="0" w:type="dxa"/>
            </w:tcMar>
            <w:vAlign w:val="center"/>
          </w:tcPr>
          <w:p>
            <w:pPr>
              <w:pStyle w:val="TableContents"/>
              <w:spacing w:before="0" w:after="283"/>
              <w:rPr/>
            </w:pPr>
            <w:r>
              <w:rPr/>
              <w:t>$</w:t>
            </w:r>
          </w:p>
        </w:tc>
        <w:tc>
          <w:tcPr>
            <w:tcW w:w="755" w:type="dxa"/>
            <w:tcBorders/>
            <w:shd w:fill="CCEEFF" w:val="clear"/>
            <w:tcMar>
              <w:bottom w:w="0" w:type="dxa"/>
            </w:tcMar>
            <w:vAlign w:val="center"/>
          </w:tcPr>
          <w:p>
            <w:pPr>
              <w:pStyle w:val="TableContents"/>
              <w:spacing w:before="0" w:after="283"/>
              <w:jc w:val="right"/>
              <w:rPr/>
            </w:pPr>
            <w:r>
              <w:rPr/>
              <w:t>-</w:t>
            </w:r>
          </w:p>
        </w:tc>
        <w:tc>
          <w:tcPr>
            <w:tcW w:w="24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308" w:type="dxa"/>
            <w:tcBorders/>
            <w:shd w:fill="CCEEFF" w:val="clear"/>
            <w:tcMar>
              <w:bottom w:w="0" w:type="dxa"/>
            </w:tcMar>
            <w:vAlign w:val="center"/>
          </w:tcPr>
          <w:p>
            <w:pPr>
              <w:pStyle w:val="TableContents"/>
              <w:spacing w:before="0" w:after="283"/>
              <w:rPr/>
            </w:pPr>
            <w:r>
              <w:rPr/>
              <w:t>$</w:t>
            </w:r>
          </w:p>
        </w:tc>
        <w:tc>
          <w:tcPr>
            <w:tcW w:w="1287" w:type="dxa"/>
            <w:tcBorders/>
            <w:shd w:fill="CCEEFF" w:val="clear"/>
            <w:tcMar>
              <w:bottom w:w="0" w:type="dxa"/>
            </w:tcMar>
            <w:vAlign w:val="center"/>
          </w:tcPr>
          <w:p>
            <w:pPr>
              <w:pStyle w:val="TableContents"/>
              <w:spacing w:before="0" w:after="283"/>
              <w:jc w:val="right"/>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258" w:type="dxa"/>
            <w:tcBorders/>
            <w:shd w:fill="CCEEFF" w:val="clear"/>
            <w:tcMar>
              <w:bottom w:w="0" w:type="dxa"/>
            </w:tcMar>
            <w:vAlign w:val="center"/>
          </w:tcPr>
          <w:p>
            <w:pPr>
              <w:pStyle w:val="TableContents"/>
              <w:spacing w:before="0" w:after="283"/>
              <w:rPr/>
            </w:pPr>
            <w:r>
              <w:rPr/>
              <w:t>$</w:t>
            </w:r>
          </w:p>
        </w:tc>
        <w:tc>
          <w:tcPr>
            <w:tcW w:w="1262" w:type="dxa"/>
            <w:tcBorders/>
            <w:shd w:fill="CCEEFF" w:val="clear"/>
            <w:tcMar>
              <w:bottom w:w="0" w:type="dxa"/>
            </w:tcMar>
            <w:vAlign w:val="center"/>
          </w:tcPr>
          <w:p>
            <w:pPr>
              <w:pStyle w:val="TableContents"/>
              <w:spacing w:before="0" w:after="283"/>
              <w:jc w:val="right"/>
              <w:rPr/>
            </w:pPr>
            <w:r>
              <w:rPr/>
              <w:t>23,400</w:t>
            </w:r>
          </w:p>
        </w:tc>
        <w:tc>
          <w:tcPr>
            <w:tcW w:w="365" w:type="dxa"/>
            <w:tcBorders/>
            <w:shd w:fill="CCEEFF" w:val="clear"/>
            <w:tcMar>
              <w:bottom w:w="0" w:type="dxa"/>
            </w:tcMar>
            <w:vAlign w:val="center"/>
          </w:tcPr>
          <w:p>
            <w:pPr>
              <w:pStyle w:val="TableContents"/>
              <w:spacing w:before="0" w:after="283"/>
              <w:rPr/>
            </w:pPr>
            <w:r>
              <w:rPr/>
              <w:t>(11)</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283"/>
              <w:rPr/>
            </w:pPr>
            <w:r>
              <w:rPr/>
              <w:t>$</w:t>
            </w:r>
          </w:p>
        </w:tc>
        <w:tc>
          <w:tcPr>
            <w:tcW w:w="1010" w:type="dxa"/>
            <w:tcBorders/>
            <w:shd w:fill="CCEEFF" w:val="clear"/>
            <w:tcMar>
              <w:bottom w:w="0" w:type="dxa"/>
            </w:tcMar>
            <w:vAlign w:val="center"/>
          </w:tcPr>
          <w:p>
            <w:pPr>
              <w:pStyle w:val="TableContents"/>
              <w:spacing w:before="0" w:after="283"/>
              <w:jc w:val="right"/>
              <w:rPr/>
            </w:pPr>
            <w:r>
              <w:rPr/>
              <w:t>597,046</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1010" w:type="dxa"/>
            <w:tcBorders/>
            <w:shd w:fill="CCEEFF" w:val="clear"/>
            <w:tcMar>
              <w:bottom w:w="0" w:type="dxa"/>
            </w:tcMar>
            <w:vAlign w:val="center"/>
          </w:tcPr>
          <w:p>
            <w:pPr>
              <w:pStyle w:val="TableContents"/>
              <w:spacing w:before="0" w:after="0"/>
              <w:ind w:left="225" w:right="0" w:hanging="0"/>
              <w:rPr/>
            </w:pPr>
            <w:r>
              <w:rPr/>
              <w:t>Chief Operating Officer</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560" w:type="dxa"/>
            <w:tcBorders/>
            <w:shd w:fill="CCEEFF" w:val="clear"/>
            <w:tcMar>
              <w:bottom w:w="0" w:type="dxa"/>
            </w:tcMar>
            <w:vAlign w:val="center"/>
          </w:tcPr>
          <w:p>
            <w:pPr>
              <w:pStyle w:val="TableContents"/>
              <w:spacing w:before="0" w:after="0"/>
              <w:ind w:left="0" w:right="0" w:hanging="0"/>
              <w:jc w:val="center"/>
              <w:rPr/>
            </w:pPr>
            <w:r>
              <w:rPr/>
              <w:t>2019</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283"/>
              <w:rPr/>
            </w:pPr>
            <w:r>
              <w:rPr/>
              <w:t>$</w:t>
            </w:r>
          </w:p>
        </w:tc>
        <w:tc>
          <w:tcPr>
            <w:tcW w:w="830" w:type="dxa"/>
            <w:tcBorders/>
            <w:shd w:fill="CCEEFF" w:val="clear"/>
            <w:tcMar>
              <w:bottom w:w="0" w:type="dxa"/>
            </w:tcMar>
            <w:vAlign w:val="center"/>
          </w:tcPr>
          <w:p>
            <w:pPr>
              <w:pStyle w:val="TableContents"/>
              <w:spacing w:before="0" w:after="283"/>
              <w:jc w:val="right"/>
              <w:rPr/>
            </w:pPr>
            <w:r>
              <w:rPr/>
              <w:t>134,247</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283"/>
              <w:rPr/>
            </w:pPr>
            <w:r>
              <w:rPr/>
              <w:t>$</w:t>
            </w:r>
          </w:p>
        </w:tc>
        <w:tc>
          <w:tcPr>
            <w:tcW w:w="710" w:type="dxa"/>
            <w:tcBorders/>
            <w:shd w:fill="CCEEFF" w:val="clear"/>
            <w:tcMar>
              <w:bottom w:w="0" w:type="dxa"/>
            </w:tcMar>
            <w:vAlign w:val="center"/>
          </w:tcPr>
          <w:p>
            <w:pPr>
              <w:pStyle w:val="TableContents"/>
              <w:spacing w:before="0" w:after="283"/>
              <w:jc w:val="right"/>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283"/>
              <w:rPr/>
            </w:pPr>
            <w:r>
              <w:rPr/>
              <w:t>$</w:t>
            </w:r>
          </w:p>
        </w:tc>
        <w:tc>
          <w:tcPr>
            <w:tcW w:w="1010" w:type="dxa"/>
            <w:tcBorders/>
            <w:shd w:fill="CCEEFF" w:val="clear"/>
            <w:tcMar>
              <w:bottom w:w="0" w:type="dxa"/>
            </w:tcMar>
            <w:vAlign w:val="center"/>
          </w:tcPr>
          <w:p>
            <w:pPr>
              <w:pStyle w:val="TableContents"/>
              <w:spacing w:before="0" w:after="283"/>
              <w:jc w:val="right"/>
              <w:rPr/>
            </w:pPr>
            <w:r>
              <w:rPr/>
              <w:t>-</w:t>
            </w:r>
          </w:p>
        </w:tc>
        <w:tc>
          <w:tcPr>
            <w:tcW w:w="24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80" w:type="dxa"/>
            <w:tcBorders/>
            <w:shd w:fill="CCEEFF" w:val="clear"/>
            <w:tcMar>
              <w:bottom w:w="0" w:type="dxa"/>
            </w:tcMar>
            <w:vAlign w:val="center"/>
          </w:tcPr>
          <w:p>
            <w:pPr>
              <w:pStyle w:val="TableContents"/>
              <w:spacing w:before="0" w:after="283"/>
              <w:rPr/>
            </w:pPr>
            <w:r>
              <w:rPr/>
              <w:t>$</w:t>
            </w:r>
          </w:p>
        </w:tc>
        <w:tc>
          <w:tcPr>
            <w:tcW w:w="755" w:type="dxa"/>
            <w:tcBorders/>
            <w:shd w:fill="CCEEFF" w:val="clear"/>
            <w:tcMar>
              <w:bottom w:w="0" w:type="dxa"/>
            </w:tcMar>
            <w:vAlign w:val="center"/>
          </w:tcPr>
          <w:p>
            <w:pPr>
              <w:pStyle w:val="TableContents"/>
              <w:spacing w:before="0" w:after="283"/>
              <w:jc w:val="right"/>
              <w:rPr/>
            </w:pPr>
            <w:r>
              <w:rPr/>
              <w:t>95,450</w:t>
            </w:r>
          </w:p>
        </w:tc>
        <w:tc>
          <w:tcPr>
            <w:tcW w:w="245" w:type="dxa"/>
            <w:tcBorders/>
            <w:shd w:fill="CCEEFF" w:val="clear"/>
            <w:tcMar>
              <w:bottom w:w="0" w:type="dxa"/>
            </w:tcMar>
            <w:vAlign w:val="center"/>
          </w:tcPr>
          <w:p>
            <w:pPr>
              <w:pStyle w:val="TableContents"/>
              <w:spacing w:before="0" w:after="283"/>
              <w:rPr/>
            </w:pPr>
            <w:r>
              <w:rPr/>
              <w:t>(7)</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308" w:type="dxa"/>
            <w:tcBorders/>
            <w:shd w:fill="CCEEFF" w:val="clear"/>
            <w:tcMar>
              <w:bottom w:w="0" w:type="dxa"/>
            </w:tcMar>
            <w:vAlign w:val="center"/>
          </w:tcPr>
          <w:p>
            <w:pPr>
              <w:pStyle w:val="TableContents"/>
              <w:spacing w:before="0" w:after="283"/>
              <w:rPr/>
            </w:pPr>
            <w:r>
              <w:rPr/>
              <w:t>$</w:t>
            </w:r>
          </w:p>
        </w:tc>
        <w:tc>
          <w:tcPr>
            <w:tcW w:w="1287" w:type="dxa"/>
            <w:tcBorders/>
            <w:shd w:fill="CCEEFF" w:val="clear"/>
            <w:tcMar>
              <w:bottom w:w="0" w:type="dxa"/>
            </w:tcMar>
            <w:vAlign w:val="center"/>
          </w:tcPr>
          <w:p>
            <w:pPr>
              <w:pStyle w:val="TableContents"/>
              <w:spacing w:before="0" w:after="283"/>
              <w:jc w:val="right"/>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258" w:type="dxa"/>
            <w:tcBorders/>
            <w:shd w:fill="CCEEFF" w:val="clear"/>
            <w:tcMar>
              <w:bottom w:w="0" w:type="dxa"/>
            </w:tcMar>
            <w:vAlign w:val="center"/>
          </w:tcPr>
          <w:p>
            <w:pPr>
              <w:pStyle w:val="TableContents"/>
              <w:spacing w:before="0" w:after="283"/>
              <w:rPr/>
            </w:pPr>
            <w:r>
              <w:rPr/>
              <w:t>$</w:t>
            </w:r>
          </w:p>
        </w:tc>
        <w:tc>
          <w:tcPr>
            <w:tcW w:w="1262" w:type="dxa"/>
            <w:tcBorders/>
            <w:shd w:fill="CCEEFF" w:val="clear"/>
            <w:tcMar>
              <w:bottom w:w="0" w:type="dxa"/>
            </w:tcMar>
            <w:vAlign w:val="center"/>
          </w:tcPr>
          <w:p>
            <w:pPr>
              <w:pStyle w:val="TableContents"/>
              <w:spacing w:before="0" w:after="283"/>
              <w:jc w:val="right"/>
              <w:rPr/>
            </w:pPr>
            <w:r>
              <w:rPr/>
              <w:t>6,277</w:t>
            </w:r>
          </w:p>
        </w:tc>
        <w:tc>
          <w:tcPr>
            <w:tcW w:w="365" w:type="dxa"/>
            <w:tcBorders/>
            <w:shd w:fill="CCEEFF" w:val="clear"/>
            <w:tcMar>
              <w:bottom w:w="0" w:type="dxa"/>
            </w:tcMar>
            <w:vAlign w:val="center"/>
          </w:tcPr>
          <w:p>
            <w:pPr>
              <w:pStyle w:val="TableContents"/>
              <w:spacing w:before="0" w:after="283"/>
              <w:rPr/>
            </w:pPr>
            <w:r>
              <w:rPr/>
              <w:t>(12)</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283"/>
              <w:rPr/>
            </w:pPr>
            <w:r>
              <w:rPr/>
              <w:t>$</w:t>
            </w:r>
          </w:p>
        </w:tc>
        <w:tc>
          <w:tcPr>
            <w:tcW w:w="1010" w:type="dxa"/>
            <w:tcBorders/>
            <w:shd w:fill="CCEEFF" w:val="clear"/>
            <w:tcMar>
              <w:bottom w:w="0" w:type="dxa"/>
            </w:tcMar>
            <w:vAlign w:val="center"/>
          </w:tcPr>
          <w:p>
            <w:pPr>
              <w:pStyle w:val="TableContents"/>
              <w:spacing w:before="0" w:after="283"/>
              <w:jc w:val="right"/>
              <w:rPr/>
            </w:pPr>
            <w:r>
              <w:rPr/>
              <w:t>235,974</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101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56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83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1010" w:type="dxa"/>
            <w:tcBorders/>
            <w:shd w:fill="FFFFFF" w:val="clear"/>
            <w:tcMar>
              <w:bottom w:w="0" w:type="dxa"/>
            </w:tcMar>
            <w:vAlign w:val="center"/>
          </w:tcPr>
          <w:p>
            <w:pPr>
              <w:pStyle w:val="TableContents"/>
              <w:spacing w:before="0" w:after="0"/>
              <w:ind w:left="0" w:right="0" w:hanging="0"/>
              <w:rPr/>
            </w:pPr>
            <w:r>
              <w:rPr/>
              <w:t> </w:t>
            </w:r>
          </w:p>
        </w:tc>
        <w:tc>
          <w:tcPr>
            <w:tcW w:w="24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80" w:type="dxa"/>
            <w:tcBorders/>
            <w:shd w:fill="FFFFFF" w:val="clear"/>
            <w:tcMar>
              <w:bottom w:w="0" w:type="dxa"/>
            </w:tcMar>
            <w:vAlign w:val="center"/>
          </w:tcPr>
          <w:p>
            <w:pPr>
              <w:pStyle w:val="TableContents"/>
              <w:spacing w:before="0" w:after="0"/>
              <w:ind w:left="0" w:right="0" w:hanging="0"/>
              <w:rPr/>
            </w:pPr>
            <w:r>
              <w:rPr/>
              <w:t> </w:t>
            </w:r>
          </w:p>
        </w:tc>
        <w:tc>
          <w:tcPr>
            <w:tcW w:w="755" w:type="dxa"/>
            <w:tcBorders/>
            <w:shd w:fill="FFFFFF" w:val="clear"/>
            <w:tcMar>
              <w:bottom w:w="0" w:type="dxa"/>
            </w:tcMar>
            <w:vAlign w:val="center"/>
          </w:tcPr>
          <w:p>
            <w:pPr>
              <w:pStyle w:val="TableContents"/>
              <w:spacing w:before="0" w:after="0"/>
              <w:ind w:left="0" w:right="0" w:hanging="0"/>
              <w:rPr/>
            </w:pPr>
            <w:r>
              <w:rPr/>
              <w:t> </w:t>
            </w:r>
          </w:p>
        </w:tc>
        <w:tc>
          <w:tcPr>
            <w:tcW w:w="24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308" w:type="dxa"/>
            <w:tcBorders/>
            <w:shd w:fill="FFFFFF" w:val="clear"/>
            <w:tcMar>
              <w:bottom w:w="0" w:type="dxa"/>
            </w:tcMar>
            <w:vAlign w:val="center"/>
          </w:tcPr>
          <w:p>
            <w:pPr>
              <w:pStyle w:val="TableContents"/>
              <w:spacing w:before="0" w:after="0"/>
              <w:ind w:left="0" w:right="0" w:hanging="0"/>
              <w:rPr/>
            </w:pPr>
            <w:r>
              <w:rPr/>
              <w:t> </w:t>
            </w:r>
          </w:p>
        </w:tc>
        <w:tc>
          <w:tcPr>
            <w:tcW w:w="1287"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258" w:type="dxa"/>
            <w:tcBorders/>
            <w:shd w:fill="FFFFFF" w:val="clear"/>
            <w:tcMar>
              <w:bottom w:w="0" w:type="dxa"/>
            </w:tcMar>
            <w:vAlign w:val="center"/>
          </w:tcPr>
          <w:p>
            <w:pPr>
              <w:pStyle w:val="TableContents"/>
              <w:spacing w:before="0" w:after="0"/>
              <w:ind w:left="0" w:right="0" w:hanging="0"/>
              <w:rPr/>
            </w:pPr>
            <w:r>
              <w:rPr/>
              <w:t> </w:t>
            </w:r>
          </w:p>
        </w:tc>
        <w:tc>
          <w:tcPr>
            <w:tcW w:w="1262" w:type="dxa"/>
            <w:tcBorders/>
            <w:shd w:fill="FFFFFF" w:val="clear"/>
            <w:tcMar>
              <w:bottom w:w="0" w:type="dxa"/>
            </w:tcMar>
            <w:vAlign w:val="center"/>
          </w:tcPr>
          <w:p>
            <w:pPr>
              <w:pStyle w:val="TableContents"/>
              <w:spacing w:before="0" w:after="0"/>
              <w:ind w:left="0" w:right="0" w:hanging="0"/>
              <w:rPr/>
            </w:pPr>
            <w:r>
              <w:rPr/>
              <w:t> </w:t>
            </w:r>
          </w:p>
        </w:tc>
        <w:tc>
          <w:tcPr>
            <w:tcW w:w="36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1010" w:type="dxa"/>
            <w:tcBorders/>
            <w:shd w:fill="FFFFFF" w:val="clear"/>
            <w:tcMar>
              <w:bottom w:w="0" w:type="dxa"/>
            </w:tcMar>
            <w:vAlign w:val="center"/>
          </w:tcPr>
          <w:p>
            <w:pPr>
              <w:pStyle w:val="TableContents"/>
              <w:spacing w:before="0" w:after="0"/>
              <w:ind w:left="0" w:right="0" w:hanging="0"/>
              <w:rPr/>
            </w:pPr>
            <w:r>
              <w:rPr/>
              <w:t> </w:t>
            </w:r>
          </w:p>
        </w:tc>
        <w:tc>
          <w:tcPr>
            <w:tcW w:w="135" w:type="dxa"/>
            <w:tcBorders/>
            <w:shd w:fill="FFFFFF" w:val="clear"/>
            <w:tcMar>
              <w:bottom w:w="0" w:type="dxa"/>
            </w:tcMar>
            <w:vAlign w:val="center"/>
          </w:tcPr>
          <w:p>
            <w:pPr>
              <w:pStyle w:val="TableContents"/>
              <w:spacing w:before="0" w:after="0"/>
              <w:ind w:left="0" w:right="0" w:hanging="0"/>
              <w:rPr/>
            </w:pPr>
            <w:r>
              <w:rPr/>
              <w:t> </w:t>
            </w:r>
          </w:p>
        </w:tc>
      </w:tr>
      <w:tr>
        <w:trPr/>
        <w:tc>
          <w:tcPr>
            <w:tcW w:w="1010" w:type="dxa"/>
            <w:tcBorders/>
            <w:shd w:fill="CCEEFF" w:val="clear"/>
            <w:tcMar>
              <w:bottom w:w="0" w:type="dxa"/>
            </w:tcMar>
            <w:vAlign w:val="center"/>
          </w:tcPr>
          <w:p>
            <w:pPr>
              <w:pStyle w:val="TableContents"/>
              <w:spacing w:before="0" w:after="0"/>
              <w:ind w:left="0" w:right="0" w:hanging="0"/>
              <w:rPr/>
            </w:pPr>
            <w:r>
              <w:rPr/>
              <w:t>Victor J. Brodsky (3)</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560" w:type="dxa"/>
            <w:tcBorders/>
            <w:shd w:fill="CCEEFF" w:val="clear"/>
            <w:tcMar>
              <w:bottom w:w="0" w:type="dxa"/>
            </w:tcMar>
            <w:vAlign w:val="center"/>
          </w:tcPr>
          <w:p>
            <w:pPr>
              <w:pStyle w:val="TableContents"/>
              <w:spacing w:before="0" w:after="0"/>
              <w:ind w:left="0" w:right="0" w:hanging="0"/>
              <w:jc w:val="center"/>
              <w:rPr/>
            </w:pPr>
            <w:r>
              <w:rPr/>
              <w:t>2020</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283"/>
              <w:rPr/>
            </w:pPr>
            <w:r>
              <w:rPr/>
              <w:t>$</w:t>
            </w:r>
          </w:p>
        </w:tc>
        <w:tc>
          <w:tcPr>
            <w:tcW w:w="830" w:type="dxa"/>
            <w:tcBorders/>
            <w:shd w:fill="CCEEFF" w:val="clear"/>
            <w:tcMar>
              <w:bottom w:w="0" w:type="dxa"/>
            </w:tcMar>
            <w:vAlign w:val="center"/>
          </w:tcPr>
          <w:p>
            <w:pPr>
              <w:pStyle w:val="TableContents"/>
              <w:spacing w:before="0" w:after="283"/>
              <w:jc w:val="right"/>
              <w:rPr/>
            </w:pPr>
            <w:r>
              <w:rPr/>
              <w:t>279,975</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283"/>
              <w:rPr/>
            </w:pPr>
            <w:r>
              <w:rPr/>
              <w:t>$</w:t>
            </w:r>
          </w:p>
        </w:tc>
        <w:tc>
          <w:tcPr>
            <w:tcW w:w="710" w:type="dxa"/>
            <w:tcBorders/>
            <w:shd w:fill="CCEEFF" w:val="clear"/>
            <w:tcMar>
              <w:bottom w:w="0" w:type="dxa"/>
            </w:tcMar>
            <w:vAlign w:val="center"/>
          </w:tcPr>
          <w:p>
            <w:pPr>
              <w:pStyle w:val="TableContents"/>
              <w:spacing w:before="0" w:after="283"/>
              <w:jc w:val="right"/>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283"/>
              <w:rPr/>
            </w:pPr>
            <w:r>
              <w:rPr/>
              <w:t>$</w:t>
            </w:r>
          </w:p>
        </w:tc>
        <w:tc>
          <w:tcPr>
            <w:tcW w:w="1010" w:type="dxa"/>
            <w:tcBorders/>
            <w:shd w:fill="CCEEFF" w:val="clear"/>
            <w:tcMar>
              <w:bottom w:w="0" w:type="dxa"/>
            </w:tcMar>
            <w:vAlign w:val="center"/>
          </w:tcPr>
          <w:p>
            <w:pPr>
              <w:pStyle w:val="TableContents"/>
              <w:spacing w:before="0" w:after="283"/>
              <w:jc w:val="right"/>
              <w:rPr/>
            </w:pPr>
            <w:r>
              <w:rPr/>
              <w:t>-</w:t>
            </w:r>
          </w:p>
        </w:tc>
        <w:tc>
          <w:tcPr>
            <w:tcW w:w="24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80" w:type="dxa"/>
            <w:tcBorders/>
            <w:shd w:fill="CCEEFF" w:val="clear"/>
            <w:tcMar>
              <w:bottom w:w="0" w:type="dxa"/>
            </w:tcMar>
            <w:vAlign w:val="center"/>
          </w:tcPr>
          <w:p>
            <w:pPr>
              <w:pStyle w:val="TableContents"/>
              <w:spacing w:before="0" w:after="283"/>
              <w:rPr/>
            </w:pPr>
            <w:r>
              <w:rPr/>
              <w:t>$</w:t>
            </w:r>
          </w:p>
        </w:tc>
        <w:tc>
          <w:tcPr>
            <w:tcW w:w="755" w:type="dxa"/>
            <w:tcBorders/>
            <w:shd w:fill="CCEEFF" w:val="clear"/>
            <w:tcMar>
              <w:bottom w:w="0" w:type="dxa"/>
            </w:tcMar>
            <w:vAlign w:val="center"/>
          </w:tcPr>
          <w:p>
            <w:pPr>
              <w:pStyle w:val="TableContents"/>
              <w:spacing w:before="0" w:after="283"/>
              <w:jc w:val="right"/>
              <w:rPr/>
            </w:pPr>
            <w:r>
              <w:rPr/>
              <w:t>43,451</w:t>
            </w:r>
          </w:p>
        </w:tc>
        <w:tc>
          <w:tcPr>
            <w:tcW w:w="24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308" w:type="dxa"/>
            <w:tcBorders/>
            <w:shd w:fill="CCEEFF" w:val="clear"/>
            <w:tcMar>
              <w:bottom w:w="0" w:type="dxa"/>
            </w:tcMar>
            <w:vAlign w:val="center"/>
          </w:tcPr>
          <w:p>
            <w:pPr>
              <w:pStyle w:val="TableContents"/>
              <w:spacing w:before="0" w:after="283"/>
              <w:rPr/>
            </w:pPr>
            <w:r>
              <w:rPr/>
              <w:t>$</w:t>
            </w:r>
          </w:p>
        </w:tc>
        <w:tc>
          <w:tcPr>
            <w:tcW w:w="1287" w:type="dxa"/>
            <w:tcBorders/>
            <w:shd w:fill="CCEEFF" w:val="clear"/>
            <w:tcMar>
              <w:bottom w:w="0" w:type="dxa"/>
            </w:tcMar>
            <w:vAlign w:val="center"/>
          </w:tcPr>
          <w:p>
            <w:pPr>
              <w:pStyle w:val="TableContents"/>
              <w:spacing w:before="0" w:after="283"/>
              <w:jc w:val="right"/>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258" w:type="dxa"/>
            <w:tcBorders/>
            <w:shd w:fill="CCEEFF" w:val="clear"/>
            <w:tcMar>
              <w:bottom w:w="0" w:type="dxa"/>
            </w:tcMar>
            <w:vAlign w:val="center"/>
          </w:tcPr>
          <w:p>
            <w:pPr>
              <w:pStyle w:val="TableContents"/>
              <w:spacing w:before="0" w:after="283"/>
              <w:rPr/>
            </w:pPr>
            <w:r>
              <w:rPr/>
              <w:t>$</w:t>
            </w:r>
          </w:p>
        </w:tc>
        <w:tc>
          <w:tcPr>
            <w:tcW w:w="1262" w:type="dxa"/>
            <w:tcBorders/>
            <w:shd w:fill="CCEEFF" w:val="clear"/>
            <w:tcMar>
              <w:bottom w:w="0" w:type="dxa"/>
            </w:tcMar>
            <w:vAlign w:val="center"/>
          </w:tcPr>
          <w:p>
            <w:pPr>
              <w:pStyle w:val="TableContents"/>
              <w:spacing w:before="0" w:after="283"/>
              <w:jc w:val="right"/>
              <w:rPr/>
            </w:pPr>
            <w:r>
              <w:rPr/>
              <w:t>269,269</w:t>
            </w:r>
          </w:p>
        </w:tc>
        <w:tc>
          <w:tcPr>
            <w:tcW w:w="365" w:type="dxa"/>
            <w:tcBorders/>
            <w:shd w:fill="CCEEFF" w:val="clear"/>
            <w:tcMar>
              <w:bottom w:w="0" w:type="dxa"/>
            </w:tcMar>
            <w:vAlign w:val="center"/>
          </w:tcPr>
          <w:p>
            <w:pPr>
              <w:pStyle w:val="TableContents"/>
              <w:spacing w:before="0" w:after="283"/>
              <w:rPr/>
            </w:pPr>
            <w:r>
              <w:rPr/>
              <w:t>(13)</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283"/>
              <w:rPr/>
            </w:pPr>
            <w:r>
              <w:rPr/>
              <w:t>$</w:t>
            </w:r>
          </w:p>
        </w:tc>
        <w:tc>
          <w:tcPr>
            <w:tcW w:w="1010" w:type="dxa"/>
            <w:tcBorders/>
            <w:shd w:fill="CCEEFF" w:val="clear"/>
            <w:tcMar>
              <w:bottom w:w="0" w:type="dxa"/>
            </w:tcMar>
            <w:vAlign w:val="center"/>
          </w:tcPr>
          <w:p>
            <w:pPr>
              <w:pStyle w:val="TableContents"/>
              <w:spacing w:before="0" w:after="283"/>
              <w:jc w:val="right"/>
              <w:rPr/>
            </w:pPr>
            <w:r>
              <w:rPr/>
              <w:t>592,785</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1010" w:type="dxa"/>
            <w:tcBorders/>
            <w:shd w:fill="CCEEFF" w:val="clear"/>
            <w:tcMar>
              <w:bottom w:w="0" w:type="dxa"/>
            </w:tcMar>
            <w:vAlign w:val="center"/>
          </w:tcPr>
          <w:p>
            <w:pPr>
              <w:pStyle w:val="TableContents"/>
              <w:spacing w:before="0" w:after="0"/>
              <w:ind w:left="225" w:right="0" w:hanging="0"/>
              <w:rPr/>
            </w:pPr>
            <w:r>
              <w:rPr/>
              <w:t>Chief Financial Officer</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560" w:type="dxa"/>
            <w:tcBorders/>
            <w:shd w:fill="CCEEFF" w:val="clear"/>
            <w:tcMar>
              <w:bottom w:w="0" w:type="dxa"/>
            </w:tcMar>
            <w:vAlign w:val="center"/>
          </w:tcPr>
          <w:p>
            <w:pPr>
              <w:pStyle w:val="TableContents"/>
              <w:spacing w:before="0" w:after="0"/>
              <w:ind w:left="0" w:right="0" w:hanging="0"/>
              <w:jc w:val="center"/>
              <w:rPr/>
            </w:pPr>
            <w:r>
              <w:rPr/>
              <w:t>2019</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283"/>
              <w:rPr/>
            </w:pPr>
            <w:r>
              <w:rPr/>
              <w:t>$</w:t>
            </w:r>
          </w:p>
        </w:tc>
        <w:tc>
          <w:tcPr>
            <w:tcW w:w="830" w:type="dxa"/>
            <w:tcBorders/>
            <w:shd w:fill="CCEEFF" w:val="clear"/>
            <w:tcMar>
              <w:bottom w:w="0" w:type="dxa"/>
            </w:tcMar>
            <w:vAlign w:val="center"/>
          </w:tcPr>
          <w:p>
            <w:pPr>
              <w:pStyle w:val="TableContents"/>
              <w:spacing w:before="0" w:after="283"/>
              <w:jc w:val="right"/>
              <w:rPr/>
            </w:pPr>
            <w:r>
              <w:rPr/>
              <w:t>369,666</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283"/>
              <w:rPr/>
            </w:pPr>
            <w:r>
              <w:rPr/>
              <w:t>$</w:t>
            </w:r>
          </w:p>
        </w:tc>
        <w:tc>
          <w:tcPr>
            <w:tcW w:w="710" w:type="dxa"/>
            <w:tcBorders/>
            <w:shd w:fill="CCEEFF" w:val="clear"/>
            <w:tcMar>
              <w:bottom w:w="0" w:type="dxa"/>
            </w:tcMar>
            <w:vAlign w:val="center"/>
          </w:tcPr>
          <w:p>
            <w:pPr>
              <w:pStyle w:val="TableContents"/>
              <w:spacing w:before="0" w:after="283"/>
              <w:jc w:val="right"/>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283"/>
              <w:rPr/>
            </w:pPr>
            <w:r>
              <w:rPr/>
              <w:t>$</w:t>
            </w:r>
          </w:p>
        </w:tc>
        <w:tc>
          <w:tcPr>
            <w:tcW w:w="1010" w:type="dxa"/>
            <w:tcBorders/>
            <w:shd w:fill="CCEEFF" w:val="clear"/>
            <w:tcMar>
              <w:bottom w:w="0" w:type="dxa"/>
            </w:tcMar>
            <w:vAlign w:val="center"/>
          </w:tcPr>
          <w:p>
            <w:pPr>
              <w:pStyle w:val="TableContents"/>
              <w:spacing w:before="0" w:after="283"/>
              <w:jc w:val="right"/>
              <w:rPr/>
            </w:pPr>
            <w:r>
              <w:rPr/>
              <w:t>150,000</w:t>
            </w:r>
          </w:p>
        </w:tc>
        <w:tc>
          <w:tcPr>
            <w:tcW w:w="24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80" w:type="dxa"/>
            <w:tcBorders/>
            <w:shd w:fill="CCEEFF" w:val="clear"/>
            <w:tcMar>
              <w:bottom w:w="0" w:type="dxa"/>
            </w:tcMar>
            <w:vAlign w:val="center"/>
          </w:tcPr>
          <w:p>
            <w:pPr>
              <w:pStyle w:val="TableContents"/>
              <w:spacing w:before="0" w:after="283"/>
              <w:rPr/>
            </w:pPr>
            <w:r>
              <w:rPr/>
              <w:t>$</w:t>
            </w:r>
          </w:p>
        </w:tc>
        <w:tc>
          <w:tcPr>
            <w:tcW w:w="755" w:type="dxa"/>
            <w:tcBorders/>
            <w:shd w:fill="CCEEFF" w:val="clear"/>
            <w:tcMar>
              <w:bottom w:w="0" w:type="dxa"/>
            </w:tcMar>
            <w:vAlign w:val="center"/>
          </w:tcPr>
          <w:p>
            <w:pPr>
              <w:pStyle w:val="TableContents"/>
              <w:spacing w:before="0" w:after="283"/>
              <w:jc w:val="right"/>
              <w:rPr/>
            </w:pPr>
            <w:r>
              <w:rPr/>
              <w:t>-</w:t>
            </w:r>
          </w:p>
        </w:tc>
        <w:tc>
          <w:tcPr>
            <w:tcW w:w="24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308" w:type="dxa"/>
            <w:tcBorders/>
            <w:shd w:fill="CCEEFF" w:val="clear"/>
            <w:tcMar>
              <w:bottom w:w="0" w:type="dxa"/>
            </w:tcMar>
            <w:vAlign w:val="center"/>
          </w:tcPr>
          <w:p>
            <w:pPr>
              <w:pStyle w:val="TableContents"/>
              <w:spacing w:before="0" w:after="283"/>
              <w:rPr/>
            </w:pPr>
            <w:r>
              <w:rPr/>
              <w:t>$</w:t>
            </w:r>
          </w:p>
        </w:tc>
        <w:tc>
          <w:tcPr>
            <w:tcW w:w="1287" w:type="dxa"/>
            <w:tcBorders/>
            <w:shd w:fill="CCEEFF" w:val="clear"/>
            <w:tcMar>
              <w:bottom w:w="0" w:type="dxa"/>
            </w:tcMar>
            <w:vAlign w:val="center"/>
          </w:tcPr>
          <w:p>
            <w:pPr>
              <w:pStyle w:val="TableContents"/>
              <w:spacing w:before="0" w:after="283"/>
              <w:jc w:val="right"/>
              <w:rPr/>
            </w:pPr>
            <w:r>
              <w:rPr/>
              <w:t>34,508</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258" w:type="dxa"/>
            <w:tcBorders/>
            <w:shd w:fill="CCEEFF" w:val="clear"/>
            <w:tcMar>
              <w:bottom w:w="0" w:type="dxa"/>
            </w:tcMar>
            <w:vAlign w:val="center"/>
          </w:tcPr>
          <w:p>
            <w:pPr>
              <w:pStyle w:val="TableContents"/>
              <w:spacing w:before="0" w:after="283"/>
              <w:rPr/>
            </w:pPr>
            <w:r>
              <w:rPr/>
              <w:t>$</w:t>
            </w:r>
          </w:p>
        </w:tc>
        <w:tc>
          <w:tcPr>
            <w:tcW w:w="1262" w:type="dxa"/>
            <w:tcBorders/>
            <w:shd w:fill="CCEEFF" w:val="clear"/>
            <w:tcMar>
              <w:bottom w:w="0" w:type="dxa"/>
            </w:tcMar>
            <w:vAlign w:val="center"/>
          </w:tcPr>
          <w:p>
            <w:pPr>
              <w:pStyle w:val="TableContents"/>
              <w:spacing w:before="0" w:after="283"/>
              <w:jc w:val="right"/>
              <w:rPr/>
            </w:pPr>
            <w:r>
              <w:rPr/>
              <w:t>22,042</w:t>
            </w:r>
          </w:p>
        </w:tc>
        <w:tc>
          <w:tcPr>
            <w:tcW w:w="365" w:type="dxa"/>
            <w:tcBorders/>
            <w:shd w:fill="CCEEFF" w:val="clear"/>
            <w:tcMar>
              <w:bottom w:w="0" w:type="dxa"/>
            </w:tcMar>
            <w:vAlign w:val="center"/>
          </w:tcPr>
          <w:p>
            <w:pPr>
              <w:pStyle w:val="TableContents"/>
              <w:spacing w:before="0" w:after="283"/>
              <w:rPr/>
            </w:pPr>
            <w:r>
              <w:rPr/>
              <w:t>(14)</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283"/>
              <w:rPr/>
            </w:pPr>
            <w:r>
              <w:rPr/>
              <w:t>$</w:t>
            </w:r>
          </w:p>
        </w:tc>
        <w:tc>
          <w:tcPr>
            <w:tcW w:w="1010" w:type="dxa"/>
            <w:tcBorders/>
            <w:shd w:fill="CCEEFF" w:val="clear"/>
            <w:tcMar>
              <w:bottom w:w="0" w:type="dxa"/>
            </w:tcMar>
            <w:vAlign w:val="center"/>
          </w:tcPr>
          <w:p>
            <w:pPr>
              <w:pStyle w:val="TableContents"/>
              <w:spacing w:before="0" w:after="283"/>
              <w:jc w:val="right"/>
              <w:rPr/>
            </w:pPr>
            <w:r>
              <w:rPr/>
              <w:t>576,217</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101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56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83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1010" w:type="dxa"/>
            <w:tcBorders/>
            <w:shd w:fill="FFFFFF" w:val="clear"/>
            <w:tcMar>
              <w:bottom w:w="0" w:type="dxa"/>
            </w:tcMar>
            <w:vAlign w:val="center"/>
          </w:tcPr>
          <w:p>
            <w:pPr>
              <w:pStyle w:val="TableContents"/>
              <w:spacing w:before="0" w:after="0"/>
              <w:ind w:left="0" w:right="0" w:hanging="0"/>
              <w:rPr/>
            </w:pPr>
            <w:r>
              <w:rPr/>
              <w:t> </w:t>
            </w:r>
          </w:p>
        </w:tc>
        <w:tc>
          <w:tcPr>
            <w:tcW w:w="24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80" w:type="dxa"/>
            <w:tcBorders/>
            <w:shd w:fill="FFFFFF" w:val="clear"/>
            <w:tcMar>
              <w:bottom w:w="0" w:type="dxa"/>
            </w:tcMar>
            <w:vAlign w:val="center"/>
          </w:tcPr>
          <w:p>
            <w:pPr>
              <w:pStyle w:val="TableContents"/>
              <w:spacing w:before="0" w:after="0"/>
              <w:ind w:left="0" w:right="0" w:hanging="0"/>
              <w:rPr/>
            </w:pPr>
            <w:r>
              <w:rPr/>
              <w:t> </w:t>
            </w:r>
          </w:p>
        </w:tc>
        <w:tc>
          <w:tcPr>
            <w:tcW w:w="755" w:type="dxa"/>
            <w:tcBorders/>
            <w:shd w:fill="FFFFFF" w:val="clear"/>
            <w:tcMar>
              <w:bottom w:w="0" w:type="dxa"/>
            </w:tcMar>
            <w:vAlign w:val="center"/>
          </w:tcPr>
          <w:p>
            <w:pPr>
              <w:pStyle w:val="TableContents"/>
              <w:spacing w:before="0" w:after="0"/>
              <w:ind w:left="0" w:right="0" w:hanging="0"/>
              <w:rPr/>
            </w:pPr>
            <w:r>
              <w:rPr/>
              <w:t> </w:t>
            </w:r>
          </w:p>
        </w:tc>
        <w:tc>
          <w:tcPr>
            <w:tcW w:w="24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308" w:type="dxa"/>
            <w:tcBorders/>
            <w:shd w:fill="FFFFFF" w:val="clear"/>
            <w:tcMar>
              <w:bottom w:w="0" w:type="dxa"/>
            </w:tcMar>
            <w:vAlign w:val="center"/>
          </w:tcPr>
          <w:p>
            <w:pPr>
              <w:pStyle w:val="TableContents"/>
              <w:spacing w:before="0" w:after="0"/>
              <w:ind w:left="0" w:right="0" w:hanging="0"/>
              <w:rPr/>
            </w:pPr>
            <w:r>
              <w:rPr/>
              <w:t> </w:t>
            </w:r>
          </w:p>
        </w:tc>
        <w:tc>
          <w:tcPr>
            <w:tcW w:w="1287"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258" w:type="dxa"/>
            <w:tcBorders/>
            <w:shd w:fill="FFFFFF" w:val="clear"/>
            <w:tcMar>
              <w:bottom w:w="0" w:type="dxa"/>
            </w:tcMar>
            <w:vAlign w:val="center"/>
          </w:tcPr>
          <w:p>
            <w:pPr>
              <w:pStyle w:val="TableContents"/>
              <w:spacing w:before="0" w:after="0"/>
              <w:ind w:left="0" w:right="0" w:hanging="0"/>
              <w:rPr/>
            </w:pPr>
            <w:r>
              <w:rPr/>
              <w:t> </w:t>
            </w:r>
          </w:p>
        </w:tc>
        <w:tc>
          <w:tcPr>
            <w:tcW w:w="1262" w:type="dxa"/>
            <w:tcBorders/>
            <w:shd w:fill="FFFFFF" w:val="clear"/>
            <w:tcMar>
              <w:bottom w:w="0" w:type="dxa"/>
            </w:tcMar>
            <w:vAlign w:val="center"/>
          </w:tcPr>
          <w:p>
            <w:pPr>
              <w:pStyle w:val="TableContents"/>
              <w:spacing w:before="0" w:after="0"/>
              <w:ind w:left="0" w:right="0" w:hanging="0"/>
              <w:rPr/>
            </w:pPr>
            <w:r>
              <w:rPr/>
              <w:t> </w:t>
            </w:r>
          </w:p>
        </w:tc>
        <w:tc>
          <w:tcPr>
            <w:tcW w:w="36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1010" w:type="dxa"/>
            <w:tcBorders/>
            <w:shd w:fill="FFFFFF" w:val="clear"/>
            <w:tcMar>
              <w:bottom w:w="0" w:type="dxa"/>
            </w:tcMar>
            <w:vAlign w:val="center"/>
          </w:tcPr>
          <w:p>
            <w:pPr>
              <w:pStyle w:val="TableContents"/>
              <w:spacing w:before="0" w:after="0"/>
              <w:ind w:left="0" w:right="0" w:hanging="0"/>
              <w:rPr/>
            </w:pPr>
            <w:r>
              <w:rPr/>
              <w:t> </w:t>
            </w:r>
          </w:p>
        </w:tc>
        <w:tc>
          <w:tcPr>
            <w:tcW w:w="135" w:type="dxa"/>
            <w:tcBorders/>
            <w:shd w:fill="FFFFFF" w:val="clear"/>
            <w:tcMar>
              <w:bottom w:w="0" w:type="dxa"/>
            </w:tcMar>
            <w:vAlign w:val="center"/>
          </w:tcPr>
          <w:p>
            <w:pPr>
              <w:pStyle w:val="TableContents"/>
              <w:spacing w:before="0" w:after="0"/>
              <w:ind w:left="0" w:right="0" w:hanging="0"/>
              <w:rPr/>
            </w:pPr>
            <w:r>
              <w:rPr/>
              <w:t> </w:t>
            </w:r>
          </w:p>
        </w:tc>
      </w:tr>
      <w:tr>
        <w:trPr/>
        <w:tc>
          <w:tcPr>
            <w:tcW w:w="1010" w:type="dxa"/>
            <w:tcBorders/>
            <w:shd w:fill="CCEEFF" w:val="clear"/>
            <w:tcMar>
              <w:bottom w:w="0" w:type="dxa"/>
            </w:tcMar>
            <w:vAlign w:val="center"/>
          </w:tcPr>
          <w:p>
            <w:pPr>
              <w:pStyle w:val="TableContents"/>
              <w:spacing w:before="0" w:after="0"/>
              <w:ind w:left="0" w:right="0" w:hanging="0"/>
              <w:rPr/>
            </w:pPr>
            <w:r>
              <w:rPr/>
              <w:t>Benjamin Walden (4)</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560" w:type="dxa"/>
            <w:tcBorders/>
            <w:shd w:fill="CCEEFF" w:val="clear"/>
            <w:tcMar>
              <w:bottom w:w="0" w:type="dxa"/>
            </w:tcMar>
            <w:vAlign w:val="center"/>
          </w:tcPr>
          <w:p>
            <w:pPr>
              <w:pStyle w:val="TableContents"/>
              <w:spacing w:before="0" w:after="0"/>
              <w:ind w:left="0" w:right="0" w:hanging="0"/>
              <w:jc w:val="center"/>
              <w:rPr/>
            </w:pPr>
            <w:r>
              <w:rPr/>
              <w:t>2020</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283"/>
              <w:rPr/>
            </w:pPr>
            <w:r>
              <w:rPr/>
              <w:t>$</w:t>
            </w:r>
          </w:p>
        </w:tc>
        <w:tc>
          <w:tcPr>
            <w:tcW w:w="830" w:type="dxa"/>
            <w:tcBorders/>
            <w:shd w:fill="CCEEFF" w:val="clear"/>
            <w:tcMar>
              <w:bottom w:w="0" w:type="dxa"/>
            </w:tcMar>
            <w:vAlign w:val="center"/>
          </w:tcPr>
          <w:p>
            <w:pPr>
              <w:pStyle w:val="TableContents"/>
              <w:spacing w:before="0" w:after="283"/>
              <w:jc w:val="right"/>
              <w:rPr/>
            </w:pPr>
            <w:r>
              <w:rPr/>
              <w:t>258,490</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283"/>
              <w:rPr/>
            </w:pPr>
            <w:r>
              <w:rPr/>
              <w:t>$</w:t>
            </w:r>
          </w:p>
        </w:tc>
        <w:tc>
          <w:tcPr>
            <w:tcW w:w="710" w:type="dxa"/>
            <w:tcBorders/>
            <w:shd w:fill="CCEEFF" w:val="clear"/>
            <w:tcMar>
              <w:bottom w:w="0" w:type="dxa"/>
            </w:tcMar>
            <w:vAlign w:val="center"/>
          </w:tcPr>
          <w:p>
            <w:pPr>
              <w:pStyle w:val="TableContents"/>
              <w:spacing w:before="0" w:after="283"/>
              <w:jc w:val="right"/>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283"/>
              <w:rPr/>
            </w:pPr>
            <w:r>
              <w:rPr/>
              <w:t>$</w:t>
            </w:r>
          </w:p>
        </w:tc>
        <w:tc>
          <w:tcPr>
            <w:tcW w:w="1010" w:type="dxa"/>
            <w:tcBorders/>
            <w:shd w:fill="CCEEFF" w:val="clear"/>
            <w:tcMar>
              <w:bottom w:w="0" w:type="dxa"/>
            </w:tcMar>
            <w:vAlign w:val="center"/>
          </w:tcPr>
          <w:p>
            <w:pPr>
              <w:pStyle w:val="TableContents"/>
              <w:spacing w:before="0" w:after="283"/>
              <w:jc w:val="right"/>
              <w:rPr/>
            </w:pPr>
            <w:r>
              <w:rPr/>
              <w:t>-</w:t>
            </w:r>
          </w:p>
        </w:tc>
        <w:tc>
          <w:tcPr>
            <w:tcW w:w="24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80" w:type="dxa"/>
            <w:tcBorders/>
            <w:shd w:fill="CCEEFF" w:val="clear"/>
            <w:tcMar>
              <w:bottom w:w="0" w:type="dxa"/>
            </w:tcMar>
            <w:vAlign w:val="center"/>
          </w:tcPr>
          <w:p>
            <w:pPr>
              <w:pStyle w:val="TableContents"/>
              <w:spacing w:before="0" w:after="283"/>
              <w:rPr/>
            </w:pPr>
            <w:r>
              <w:rPr/>
              <w:t>$</w:t>
            </w:r>
          </w:p>
        </w:tc>
        <w:tc>
          <w:tcPr>
            <w:tcW w:w="755" w:type="dxa"/>
            <w:tcBorders/>
            <w:shd w:fill="CCEEFF" w:val="clear"/>
            <w:tcMar>
              <w:bottom w:w="0" w:type="dxa"/>
            </w:tcMar>
            <w:vAlign w:val="center"/>
          </w:tcPr>
          <w:p>
            <w:pPr>
              <w:pStyle w:val="TableContents"/>
              <w:spacing w:before="0" w:after="283"/>
              <w:jc w:val="right"/>
              <w:rPr/>
            </w:pPr>
            <w:r>
              <w:rPr/>
              <w:t>31,560</w:t>
            </w:r>
          </w:p>
        </w:tc>
        <w:tc>
          <w:tcPr>
            <w:tcW w:w="24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308" w:type="dxa"/>
            <w:tcBorders/>
            <w:shd w:fill="CCEEFF" w:val="clear"/>
            <w:tcMar>
              <w:bottom w:w="0" w:type="dxa"/>
            </w:tcMar>
            <w:vAlign w:val="center"/>
          </w:tcPr>
          <w:p>
            <w:pPr>
              <w:pStyle w:val="TableContents"/>
              <w:spacing w:before="0" w:after="283"/>
              <w:rPr/>
            </w:pPr>
            <w:r>
              <w:rPr/>
              <w:t>$</w:t>
            </w:r>
          </w:p>
        </w:tc>
        <w:tc>
          <w:tcPr>
            <w:tcW w:w="1287" w:type="dxa"/>
            <w:tcBorders/>
            <w:shd w:fill="CCEEFF" w:val="clear"/>
            <w:tcMar>
              <w:bottom w:w="0" w:type="dxa"/>
            </w:tcMar>
            <w:vAlign w:val="center"/>
          </w:tcPr>
          <w:p>
            <w:pPr>
              <w:pStyle w:val="TableContents"/>
              <w:spacing w:before="0" w:after="283"/>
              <w:jc w:val="right"/>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258" w:type="dxa"/>
            <w:tcBorders/>
            <w:shd w:fill="CCEEFF" w:val="clear"/>
            <w:tcMar>
              <w:bottom w:w="0" w:type="dxa"/>
            </w:tcMar>
            <w:vAlign w:val="center"/>
          </w:tcPr>
          <w:p>
            <w:pPr>
              <w:pStyle w:val="TableContents"/>
              <w:spacing w:before="0" w:after="283"/>
              <w:rPr/>
            </w:pPr>
            <w:r>
              <w:rPr/>
              <w:t>$</w:t>
            </w:r>
          </w:p>
        </w:tc>
        <w:tc>
          <w:tcPr>
            <w:tcW w:w="1262" w:type="dxa"/>
            <w:tcBorders/>
            <w:shd w:fill="CCEEFF" w:val="clear"/>
            <w:tcMar>
              <w:bottom w:w="0" w:type="dxa"/>
            </w:tcMar>
            <w:vAlign w:val="center"/>
          </w:tcPr>
          <w:p>
            <w:pPr>
              <w:pStyle w:val="TableContents"/>
              <w:spacing w:before="0" w:after="283"/>
              <w:jc w:val="right"/>
              <w:rPr/>
            </w:pPr>
            <w:r>
              <w:rPr/>
              <w:t>108,847</w:t>
            </w:r>
          </w:p>
        </w:tc>
        <w:tc>
          <w:tcPr>
            <w:tcW w:w="365" w:type="dxa"/>
            <w:tcBorders/>
            <w:shd w:fill="CCEEFF" w:val="clear"/>
            <w:tcMar>
              <w:bottom w:w="0" w:type="dxa"/>
            </w:tcMar>
            <w:vAlign w:val="center"/>
          </w:tcPr>
          <w:p>
            <w:pPr>
              <w:pStyle w:val="TableContents"/>
              <w:spacing w:before="0" w:after="283"/>
              <w:rPr/>
            </w:pPr>
            <w:r>
              <w:rPr/>
              <w:t>(15)</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283"/>
              <w:rPr/>
            </w:pPr>
            <w:r>
              <w:rPr/>
              <w:t>$</w:t>
            </w:r>
          </w:p>
        </w:tc>
        <w:tc>
          <w:tcPr>
            <w:tcW w:w="1010" w:type="dxa"/>
            <w:tcBorders/>
            <w:shd w:fill="CCEEFF" w:val="clear"/>
            <w:tcMar>
              <w:bottom w:w="0" w:type="dxa"/>
            </w:tcMar>
            <w:vAlign w:val="center"/>
          </w:tcPr>
          <w:p>
            <w:pPr>
              <w:pStyle w:val="TableContents"/>
              <w:spacing w:before="0" w:after="283"/>
              <w:jc w:val="right"/>
              <w:rPr/>
            </w:pPr>
            <w:r>
              <w:rPr/>
              <w:t>398,897</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1010" w:type="dxa"/>
            <w:tcBorders/>
            <w:shd w:fill="CCEEFF" w:val="clear"/>
            <w:tcMar>
              <w:bottom w:w="0" w:type="dxa"/>
            </w:tcMar>
            <w:vAlign w:val="center"/>
          </w:tcPr>
          <w:p>
            <w:pPr>
              <w:pStyle w:val="TableContents"/>
              <w:spacing w:before="0" w:after="0"/>
              <w:ind w:left="225" w:right="0" w:hanging="0"/>
              <w:rPr/>
            </w:pPr>
            <w:r>
              <w:rPr/>
              <w:t xml:space="preserve">Executive Vice President and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560" w:type="dxa"/>
            <w:tcBorders/>
            <w:shd w:fill="CCEEFF" w:val="clear"/>
            <w:tcMar>
              <w:bottom w:w="0" w:type="dxa"/>
            </w:tcMar>
            <w:vAlign w:val="center"/>
          </w:tcPr>
          <w:p>
            <w:pPr>
              <w:pStyle w:val="TableContents"/>
              <w:spacing w:before="0" w:after="0"/>
              <w:ind w:left="0" w:right="0" w:hanging="0"/>
              <w:jc w:val="center"/>
              <w:rPr/>
            </w:pPr>
            <w:r>
              <w:rPr/>
              <w:t>2019</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283"/>
              <w:rPr/>
            </w:pPr>
            <w:r>
              <w:rPr/>
              <w:t>$</w:t>
            </w:r>
          </w:p>
        </w:tc>
        <w:tc>
          <w:tcPr>
            <w:tcW w:w="830" w:type="dxa"/>
            <w:tcBorders/>
            <w:shd w:fill="CCEEFF" w:val="clear"/>
            <w:tcMar>
              <w:bottom w:w="0" w:type="dxa"/>
            </w:tcMar>
            <w:vAlign w:val="center"/>
          </w:tcPr>
          <w:p>
            <w:pPr>
              <w:pStyle w:val="TableContents"/>
              <w:spacing w:before="0" w:after="283"/>
              <w:jc w:val="right"/>
              <w:rPr/>
            </w:pPr>
            <w:r>
              <w:rPr/>
              <w:t>339,025</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283"/>
              <w:rPr/>
            </w:pPr>
            <w:r>
              <w:rPr/>
              <w:t>$</w:t>
            </w:r>
          </w:p>
        </w:tc>
        <w:tc>
          <w:tcPr>
            <w:tcW w:w="710" w:type="dxa"/>
            <w:tcBorders/>
            <w:shd w:fill="CCEEFF" w:val="clear"/>
            <w:tcMar>
              <w:bottom w:w="0" w:type="dxa"/>
            </w:tcMar>
            <w:vAlign w:val="center"/>
          </w:tcPr>
          <w:p>
            <w:pPr>
              <w:pStyle w:val="TableContents"/>
              <w:spacing w:before="0" w:after="283"/>
              <w:jc w:val="right"/>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283"/>
              <w:rPr/>
            </w:pPr>
            <w:r>
              <w:rPr/>
              <w:t>$</w:t>
            </w:r>
          </w:p>
        </w:tc>
        <w:tc>
          <w:tcPr>
            <w:tcW w:w="1010" w:type="dxa"/>
            <w:tcBorders/>
            <w:shd w:fill="CCEEFF" w:val="clear"/>
            <w:tcMar>
              <w:bottom w:w="0" w:type="dxa"/>
            </w:tcMar>
            <w:vAlign w:val="center"/>
          </w:tcPr>
          <w:p>
            <w:pPr>
              <w:pStyle w:val="TableContents"/>
              <w:spacing w:before="0" w:after="283"/>
              <w:jc w:val="right"/>
              <w:rPr/>
            </w:pPr>
            <w:r>
              <w:rPr/>
              <w:t>135,000</w:t>
            </w:r>
          </w:p>
        </w:tc>
        <w:tc>
          <w:tcPr>
            <w:tcW w:w="24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80" w:type="dxa"/>
            <w:tcBorders/>
            <w:shd w:fill="CCEEFF" w:val="clear"/>
            <w:tcMar>
              <w:bottom w:w="0" w:type="dxa"/>
            </w:tcMar>
            <w:vAlign w:val="center"/>
          </w:tcPr>
          <w:p>
            <w:pPr>
              <w:pStyle w:val="TableContents"/>
              <w:spacing w:before="0" w:after="283"/>
              <w:rPr/>
            </w:pPr>
            <w:r>
              <w:rPr/>
              <w:t>$</w:t>
            </w:r>
          </w:p>
        </w:tc>
        <w:tc>
          <w:tcPr>
            <w:tcW w:w="755" w:type="dxa"/>
            <w:tcBorders/>
            <w:shd w:fill="CCEEFF" w:val="clear"/>
            <w:tcMar>
              <w:bottom w:w="0" w:type="dxa"/>
            </w:tcMar>
            <w:vAlign w:val="center"/>
          </w:tcPr>
          <w:p>
            <w:pPr>
              <w:pStyle w:val="TableContents"/>
              <w:spacing w:before="0" w:after="283"/>
              <w:jc w:val="right"/>
              <w:rPr/>
            </w:pPr>
            <w:r>
              <w:rPr/>
              <w:t>-</w:t>
            </w:r>
          </w:p>
        </w:tc>
        <w:tc>
          <w:tcPr>
            <w:tcW w:w="24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308" w:type="dxa"/>
            <w:tcBorders/>
            <w:shd w:fill="CCEEFF" w:val="clear"/>
            <w:tcMar>
              <w:bottom w:w="0" w:type="dxa"/>
            </w:tcMar>
            <w:vAlign w:val="center"/>
          </w:tcPr>
          <w:p>
            <w:pPr>
              <w:pStyle w:val="TableContents"/>
              <w:spacing w:before="0" w:after="283"/>
              <w:rPr/>
            </w:pPr>
            <w:r>
              <w:rPr/>
              <w:t>$</w:t>
            </w:r>
          </w:p>
        </w:tc>
        <w:tc>
          <w:tcPr>
            <w:tcW w:w="1287" w:type="dxa"/>
            <w:tcBorders/>
            <w:shd w:fill="CCEEFF" w:val="clear"/>
            <w:tcMar>
              <w:bottom w:w="0" w:type="dxa"/>
            </w:tcMar>
            <w:vAlign w:val="center"/>
          </w:tcPr>
          <w:p>
            <w:pPr>
              <w:pStyle w:val="TableContents"/>
              <w:spacing w:before="0" w:after="283"/>
              <w:jc w:val="right"/>
              <w:rPr/>
            </w:pPr>
            <w:r>
              <w:rPr/>
              <w:t>31,601</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258" w:type="dxa"/>
            <w:tcBorders/>
            <w:shd w:fill="CCEEFF" w:val="clear"/>
            <w:tcMar>
              <w:bottom w:w="0" w:type="dxa"/>
            </w:tcMar>
            <w:vAlign w:val="center"/>
          </w:tcPr>
          <w:p>
            <w:pPr>
              <w:pStyle w:val="TableContents"/>
              <w:spacing w:before="0" w:after="283"/>
              <w:rPr/>
            </w:pPr>
            <w:r>
              <w:rPr/>
              <w:t>$</w:t>
            </w:r>
          </w:p>
        </w:tc>
        <w:tc>
          <w:tcPr>
            <w:tcW w:w="1262" w:type="dxa"/>
            <w:tcBorders/>
            <w:shd w:fill="CCEEFF" w:val="clear"/>
            <w:tcMar>
              <w:bottom w:w="0" w:type="dxa"/>
            </w:tcMar>
            <w:vAlign w:val="center"/>
          </w:tcPr>
          <w:p>
            <w:pPr>
              <w:pStyle w:val="TableContents"/>
              <w:spacing w:before="0" w:after="283"/>
              <w:jc w:val="right"/>
              <w:rPr/>
            </w:pPr>
            <w:r>
              <w:rPr/>
              <w:t>11,200</w:t>
            </w:r>
          </w:p>
        </w:tc>
        <w:tc>
          <w:tcPr>
            <w:tcW w:w="365" w:type="dxa"/>
            <w:tcBorders/>
            <w:shd w:fill="CCEEFF" w:val="clear"/>
            <w:tcMar>
              <w:bottom w:w="0" w:type="dxa"/>
            </w:tcMar>
            <w:vAlign w:val="center"/>
          </w:tcPr>
          <w:p>
            <w:pPr>
              <w:pStyle w:val="TableContents"/>
              <w:spacing w:before="0" w:after="283"/>
              <w:rPr/>
            </w:pPr>
            <w:r>
              <w:rPr/>
              <w:t>(16)</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283"/>
              <w:rPr/>
            </w:pPr>
            <w:r>
              <w:rPr/>
              <w:t>$</w:t>
            </w:r>
          </w:p>
        </w:tc>
        <w:tc>
          <w:tcPr>
            <w:tcW w:w="1010" w:type="dxa"/>
            <w:tcBorders/>
            <w:shd w:fill="CCEEFF" w:val="clear"/>
            <w:tcMar>
              <w:bottom w:w="0" w:type="dxa"/>
            </w:tcMar>
            <w:vAlign w:val="center"/>
          </w:tcPr>
          <w:p>
            <w:pPr>
              <w:pStyle w:val="TableContents"/>
              <w:spacing w:before="0" w:after="283"/>
              <w:jc w:val="right"/>
              <w:rPr/>
            </w:pPr>
            <w:r>
              <w:rPr/>
              <w:t>516,825</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1010" w:type="dxa"/>
            <w:tcBorders/>
            <w:shd w:fill="CCEEFF" w:val="clear"/>
            <w:tcMar>
              <w:bottom w:w="0" w:type="dxa"/>
            </w:tcMar>
            <w:vAlign w:val="center"/>
          </w:tcPr>
          <w:p>
            <w:pPr>
              <w:pStyle w:val="TableContents"/>
              <w:spacing w:before="0" w:after="0"/>
              <w:ind w:left="225" w:right="0" w:hanging="0"/>
              <w:rPr/>
            </w:pPr>
            <w:r>
              <w:rPr/>
              <w:t>Chief Actuary, Kingstone Insurance Company</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56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0"/>
              <w:ind w:left="0" w:right="0" w:hanging="0"/>
              <w:rPr/>
            </w:pPr>
            <w:r>
              <w:rPr/>
              <w:t> </w:t>
            </w:r>
          </w:p>
        </w:tc>
        <w:tc>
          <w:tcPr>
            <w:tcW w:w="83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0"/>
              <w:ind w:left="0" w:right="0" w:hanging="0"/>
              <w:rPr/>
            </w:pPr>
            <w:r>
              <w:rPr/>
              <w:t> </w:t>
            </w:r>
          </w:p>
        </w:tc>
        <w:tc>
          <w:tcPr>
            <w:tcW w:w="1010" w:type="dxa"/>
            <w:tcBorders/>
            <w:shd w:fill="CCEEFF" w:val="clear"/>
            <w:tcMar>
              <w:bottom w:w="0" w:type="dxa"/>
            </w:tcMar>
            <w:vAlign w:val="center"/>
          </w:tcPr>
          <w:p>
            <w:pPr>
              <w:pStyle w:val="TableContents"/>
              <w:spacing w:before="0" w:after="0"/>
              <w:ind w:left="0" w:right="0" w:hanging="0"/>
              <w:rPr/>
            </w:pPr>
            <w:r>
              <w:rPr/>
              <w:t> </w:t>
            </w:r>
          </w:p>
        </w:tc>
        <w:tc>
          <w:tcPr>
            <w:tcW w:w="24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80" w:type="dxa"/>
            <w:tcBorders/>
            <w:shd w:fill="CCEEFF" w:val="clear"/>
            <w:tcMar>
              <w:bottom w:w="0" w:type="dxa"/>
            </w:tcMar>
            <w:vAlign w:val="center"/>
          </w:tcPr>
          <w:p>
            <w:pPr>
              <w:pStyle w:val="TableContents"/>
              <w:spacing w:before="0" w:after="0"/>
              <w:ind w:left="0" w:right="0" w:hanging="0"/>
              <w:rPr/>
            </w:pPr>
            <w:r>
              <w:rPr/>
              <w:t> </w:t>
            </w:r>
          </w:p>
        </w:tc>
        <w:tc>
          <w:tcPr>
            <w:tcW w:w="755" w:type="dxa"/>
            <w:tcBorders/>
            <w:shd w:fill="CCEEFF" w:val="clear"/>
            <w:tcMar>
              <w:bottom w:w="0" w:type="dxa"/>
            </w:tcMar>
            <w:vAlign w:val="center"/>
          </w:tcPr>
          <w:p>
            <w:pPr>
              <w:pStyle w:val="TableContents"/>
              <w:spacing w:before="0" w:after="0"/>
              <w:ind w:left="0" w:right="0" w:hanging="0"/>
              <w:rPr/>
            </w:pPr>
            <w:r>
              <w:rPr/>
              <w:t> </w:t>
            </w:r>
          </w:p>
        </w:tc>
        <w:tc>
          <w:tcPr>
            <w:tcW w:w="24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308" w:type="dxa"/>
            <w:tcBorders/>
            <w:shd w:fill="CCEEFF" w:val="clear"/>
            <w:tcMar>
              <w:bottom w:w="0" w:type="dxa"/>
            </w:tcMar>
            <w:vAlign w:val="center"/>
          </w:tcPr>
          <w:p>
            <w:pPr>
              <w:pStyle w:val="TableContents"/>
              <w:spacing w:before="0" w:after="0"/>
              <w:ind w:left="0" w:right="0" w:hanging="0"/>
              <w:rPr/>
            </w:pPr>
            <w:r>
              <w:rPr/>
              <w:t> </w:t>
            </w:r>
          </w:p>
        </w:tc>
        <w:tc>
          <w:tcPr>
            <w:tcW w:w="1287"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258" w:type="dxa"/>
            <w:tcBorders/>
            <w:shd w:fill="CCEEFF" w:val="clear"/>
            <w:tcMar>
              <w:bottom w:w="0" w:type="dxa"/>
            </w:tcMar>
            <w:vAlign w:val="center"/>
          </w:tcPr>
          <w:p>
            <w:pPr>
              <w:pStyle w:val="TableContents"/>
              <w:spacing w:before="0" w:after="0"/>
              <w:ind w:left="0" w:right="0" w:hanging="0"/>
              <w:rPr/>
            </w:pPr>
            <w:r>
              <w:rPr/>
              <w:t> </w:t>
            </w:r>
          </w:p>
        </w:tc>
        <w:tc>
          <w:tcPr>
            <w:tcW w:w="1262" w:type="dxa"/>
            <w:tcBorders/>
            <w:shd w:fill="CCEEFF" w:val="clear"/>
            <w:tcMar>
              <w:bottom w:w="0" w:type="dxa"/>
            </w:tcMar>
            <w:vAlign w:val="center"/>
          </w:tcPr>
          <w:p>
            <w:pPr>
              <w:pStyle w:val="TableContents"/>
              <w:spacing w:before="0" w:after="0"/>
              <w:ind w:left="0" w:right="0" w:hanging="0"/>
              <w:rPr/>
            </w:pPr>
            <w:r>
              <w:rPr/>
              <w:t> </w:t>
            </w:r>
          </w:p>
        </w:tc>
        <w:tc>
          <w:tcPr>
            <w:tcW w:w="36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0"/>
              <w:ind w:left="0" w:right="0" w:hanging="0"/>
              <w:rPr/>
            </w:pPr>
            <w:r>
              <w:rPr/>
              <w:t> </w:t>
            </w:r>
          </w:p>
        </w:tc>
        <w:tc>
          <w:tcPr>
            <w:tcW w:w="1010" w:type="dxa"/>
            <w:tcBorders/>
            <w:shd w:fill="CCEEFF" w:val="clear"/>
            <w:tcMar>
              <w:bottom w:w="0" w:type="dxa"/>
            </w:tcMar>
            <w:vAlign w:val="center"/>
          </w:tcPr>
          <w:p>
            <w:pPr>
              <w:pStyle w:val="TableContents"/>
              <w:spacing w:before="0" w:after="0"/>
              <w:ind w:left="0" w:right="0" w:hanging="0"/>
              <w:rPr/>
            </w:pPr>
            <w:r>
              <w:rPr/>
              <w:t> </w:t>
            </w:r>
          </w:p>
        </w:tc>
        <w:tc>
          <w:tcPr>
            <w:tcW w:w="135" w:type="dxa"/>
            <w:tcBorders/>
            <w:shd w:fill="CCEEFF" w:val="clear"/>
            <w:tcMar>
              <w:bottom w:w="0" w:type="dxa"/>
            </w:tcM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66</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555"/>
        <w:gridCol w:w="9650"/>
      </w:tblGrid>
      <w:tr>
        <w:trPr/>
        <w:tc>
          <w:tcPr>
            <w:tcW w:w="555" w:type="dxa"/>
            <w:tcBorders/>
            <w:shd w:fill="auto" w:val="clear"/>
            <w:vAlign w:val="center"/>
          </w:tcPr>
          <w:p>
            <w:pPr>
              <w:pStyle w:val="TableContents"/>
              <w:spacing w:before="0" w:after="0"/>
              <w:ind w:left="0" w:right="0" w:hanging="0"/>
              <w:rPr/>
            </w:pPr>
            <w:r>
              <w:rPr/>
              <w:t xml:space="preserve">(1) </w:t>
            </w:r>
          </w:p>
        </w:tc>
        <w:tc>
          <w:tcPr>
            <w:tcW w:w="9650" w:type="dxa"/>
            <w:tcBorders/>
            <w:shd w:fill="auto" w:val="clear"/>
            <w:vAlign w:val="center"/>
          </w:tcPr>
          <w:p>
            <w:pPr>
              <w:pStyle w:val="TableContents"/>
              <w:spacing w:before="0" w:after="283"/>
              <w:rPr/>
            </w:pPr>
            <w:r>
              <w:rPr/>
              <w:t>Mr. Goldstein has served as our Chief Executive Officer since July 19, 2019 and Executive Chairman of the Board since January 1, 2019. He previously served as Chief Executive Officer from March 2001 through December 31, 2018.</w:t>
            </w:r>
          </w:p>
        </w:tc>
      </w:tr>
      <w:tr>
        <w:trPr/>
        <w:tc>
          <w:tcPr>
            <w:tcW w:w="555" w:type="dxa"/>
            <w:tcBorders/>
            <w:shd w:fill="auto" w:val="clear"/>
            <w:vAlign w:val="center"/>
          </w:tcPr>
          <w:p>
            <w:pPr>
              <w:pStyle w:val="TableContents"/>
              <w:spacing w:before="0" w:after="0"/>
              <w:ind w:left="0" w:right="0" w:firstLine="450"/>
              <w:rPr/>
            </w:pPr>
            <w:r>
              <w:rPr/>
              <w:t> </w:t>
            </w:r>
          </w:p>
        </w:tc>
        <w:tc>
          <w:tcPr>
            <w:tcW w:w="9650" w:type="dxa"/>
            <w:tcBorders/>
            <w:shd w:fill="auto" w:val="clear"/>
            <w:vAlign w:val="center"/>
          </w:tcPr>
          <w:p>
            <w:pPr>
              <w:pStyle w:val="TableContents"/>
              <w:spacing w:before="0" w:after="0"/>
              <w:ind w:left="0" w:right="0" w:hanging="0"/>
              <w:rPr/>
            </w:pPr>
            <w:r>
              <w:rPr/>
              <w:t> </w:t>
            </w:r>
          </w:p>
        </w:tc>
      </w:tr>
      <w:tr>
        <w:trPr/>
        <w:tc>
          <w:tcPr>
            <w:tcW w:w="555" w:type="dxa"/>
            <w:tcBorders/>
            <w:shd w:fill="auto" w:val="clear"/>
            <w:vAlign w:val="center"/>
          </w:tcPr>
          <w:p>
            <w:pPr>
              <w:pStyle w:val="TableContents"/>
              <w:spacing w:before="0" w:after="0"/>
              <w:ind w:left="0" w:right="0" w:hanging="0"/>
              <w:rPr/>
            </w:pPr>
            <w:r>
              <w:rPr/>
              <w:t xml:space="preserve">(2) </w:t>
            </w:r>
          </w:p>
        </w:tc>
        <w:tc>
          <w:tcPr>
            <w:tcW w:w="9650" w:type="dxa"/>
            <w:tcBorders/>
            <w:shd w:fill="auto" w:val="clear"/>
            <w:vAlign w:val="center"/>
          </w:tcPr>
          <w:p>
            <w:pPr>
              <w:pStyle w:val="TableContents"/>
              <w:spacing w:before="0" w:after="283"/>
              <w:rPr/>
            </w:pPr>
            <w:r>
              <w:rPr/>
              <w:t xml:space="preserve">Ms. Golden has served as our Chief Operating Officer since September 2019. </w:t>
            </w:r>
          </w:p>
        </w:tc>
      </w:tr>
      <w:tr>
        <w:trPr/>
        <w:tc>
          <w:tcPr>
            <w:tcW w:w="555" w:type="dxa"/>
            <w:tcBorders/>
            <w:shd w:fill="auto" w:val="clear"/>
            <w:vAlign w:val="center"/>
          </w:tcPr>
          <w:p>
            <w:pPr>
              <w:pStyle w:val="TableContents"/>
              <w:spacing w:before="0" w:after="0"/>
              <w:ind w:left="0" w:right="0" w:firstLine="450"/>
              <w:rPr/>
            </w:pPr>
            <w:r>
              <w:rPr/>
              <w:t> </w:t>
            </w:r>
          </w:p>
        </w:tc>
        <w:tc>
          <w:tcPr>
            <w:tcW w:w="9650" w:type="dxa"/>
            <w:tcBorders/>
            <w:shd w:fill="auto" w:val="clear"/>
            <w:vAlign w:val="center"/>
          </w:tcPr>
          <w:p>
            <w:pPr>
              <w:pStyle w:val="TableContents"/>
              <w:spacing w:before="0" w:after="0"/>
              <w:ind w:left="0" w:right="0" w:hanging="0"/>
              <w:rPr/>
            </w:pPr>
            <w:r>
              <w:rPr/>
              <w:t> </w:t>
            </w:r>
          </w:p>
        </w:tc>
      </w:tr>
      <w:tr>
        <w:trPr/>
        <w:tc>
          <w:tcPr>
            <w:tcW w:w="555" w:type="dxa"/>
            <w:tcBorders/>
            <w:shd w:fill="auto" w:val="clear"/>
            <w:vAlign w:val="center"/>
          </w:tcPr>
          <w:p>
            <w:pPr>
              <w:pStyle w:val="TableContents"/>
              <w:spacing w:before="0" w:after="0"/>
              <w:ind w:left="0" w:right="0" w:hanging="0"/>
              <w:rPr/>
            </w:pPr>
            <w:r>
              <w:rPr/>
              <w:t xml:space="preserve">(3) </w:t>
            </w:r>
          </w:p>
        </w:tc>
        <w:tc>
          <w:tcPr>
            <w:tcW w:w="9650" w:type="dxa"/>
            <w:tcBorders/>
            <w:shd w:fill="auto" w:val="clear"/>
            <w:vAlign w:val="center"/>
          </w:tcPr>
          <w:p>
            <w:pPr>
              <w:pStyle w:val="TableContents"/>
              <w:spacing w:before="0" w:after="283"/>
              <w:rPr/>
            </w:pPr>
            <w:r>
              <w:rPr/>
              <w:t>Mr. Brodsky served as our Chief Financial officer until September 30, 2020.</w:t>
            </w:r>
          </w:p>
        </w:tc>
      </w:tr>
      <w:tr>
        <w:trPr/>
        <w:tc>
          <w:tcPr>
            <w:tcW w:w="555" w:type="dxa"/>
            <w:tcBorders/>
            <w:shd w:fill="auto" w:val="clear"/>
            <w:vAlign w:val="center"/>
          </w:tcPr>
          <w:p>
            <w:pPr>
              <w:pStyle w:val="TableContents"/>
              <w:spacing w:before="0" w:after="0"/>
              <w:ind w:left="0" w:right="0" w:firstLine="450"/>
              <w:rPr/>
            </w:pPr>
            <w:r>
              <w:rPr/>
              <w:t> </w:t>
            </w:r>
          </w:p>
        </w:tc>
        <w:tc>
          <w:tcPr>
            <w:tcW w:w="9650" w:type="dxa"/>
            <w:tcBorders/>
            <w:shd w:fill="auto" w:val="clear"/>
            <w:vAlign w:val="center"/>
          </w:tcPr>
          <w:p>
            <w:pPr>
              <w:pStyle w:val="TableContents"/>
              <w:spacing w:before="0" w:after="0"/>
              <w:ind w:left="0" w:right="0" w:hanging="0"/>
              <w:rPr/>
            </w:pPr>
            <w:r>
              <w:rPr/>
              <w:t> </w:t>
            </w:r>
          </w:p>
        </w:tc>
      </w:tr>
      <w:tr>
        <w:trPr/>
        <w:tc>
          <w:tcPr>
            <w:tcW w:w="555" w:type="dxa"/>
            <w:tcBorders/>
            <w:shd w:fill="auto" w:val="clear"/>
            <w:vAlign w:val="center"/>
          </w:tcPr>
          <w:p>
            <w:pPr>
              <w:pStyle w:val="TableContents"/>
              <w:spacing w:before="0" w:after="0"/>
              <w:ind w:left="0" w:right="0" w:hanging="0"/>
              <w:rPr/>
            </w:pPr>
            <w:r>
              <w:rPr/>
              <w:t xml:space="preserve">(4) </w:t>
            </w:r>
          </w:p>
        </w:tc>
        <w:tc>
          <w:tcPr>
            <w:tcW w:w="9650" w:type="dxa"/>
            <w:tcBorders/>
            <w:shd w:fill="auto" w:val="clear"/>
            <w:vAlign w:val="center"/>
          </w:tcPr>
          <w:p>
            <w:pPr>
              <w:pStyle w:val="TableContents"/>
              <w:spacing w:before="0" w:after="283"/>
              <w:rPr/>
            </w:pPr>
            <w:r>
              <w:rPr/>
              <w:t>Mr. Walden served as Executive Vice President and Chief Actuary of KICO until September 30, 2020.</w:t>
            </w:r>
          </w:p>
        </w:tc>
      </w:tr>
      <w:tr>
        <w:trPr/>
        <w:tc>
          <w:tcPr>
            <w:tcW w:w="555" w:type="dxa"/>
            <w:tcBorders/>
            <w:shd w:fill="auto" w:val="clear"/>
            <w:vAlign w:val="center"/>
          </w:tcPr>
          <w:p>
            <w:pPr>
              <w:pStyle w:val="TableContents"/>
              <w:spacing w:before="0" w:after="0"/>
              <w:ind w:left="0" w:right="0" w:firstLine="450"/>
              <w:rPr/>
            </w:pPr>
            <w:r>
              <w:rPr/>
              <w:t> </w:t>
            </w:r>
          </w:p>
        </w:tc>
        <w:tc>
          <w:tcPr>
            <w:tcW w:w="9650" w:type="dxa"/>
            <w:tcBorders/>
            <w:shd w:fill="auto" w:val="clear"/>
            <w:vAlign w:val="center"/>
          </w:tcPr>
          <w:p>
            <w:pPr>
              <w:pStyle w:val="TableContents"/>
              <w:spacing w:before="0" w:after="0"/>
              <w:ind w:left="0" w:right="0" w:hanging="0"/>
              <w:rPr/>
            </w:pPr>
            <w:r>
              <w:rPr/>
              <w:t> </w:t>
            </w:r>
          </w:p>
        </w:tc>
      </w:tr>
      <w:tr>
        <w:trPr/>
        <w:tc>
          <w:tcPr>
            <w:tcW w:w="555" w:type="dxa"/>
            <w:tcBorders/>
            <w:shd w:fill="auto" w:val="clear"/>
            <w:vAlign w:val="center"/>
          </w:tcPr>
          <w:p>
            <w:pPr>
              <w:pStyle w:val="TableContents"/>
              <w:spacing w:before="0" w:after="0"/>
              <w:ind w:left="0" w:right="0" w:hanging="0"/>
              <w:rPr/>
            </w:pPr>
            <w:r>
              <w:rPr/>
              <w:t xml:space="preserve">(5) </w:t>
            </w:r>
          </w:p>
        </w:tc>
        <w:tc>
          <w:tcPr>
            <w:tcW w:w="9650" w:type="dxa"/>
            <w:tcBorders/>
            <w:shd w:fill="auto" w:val="clear"/>
            <w:vAlign w:val="center"/>
          </w:tcPr>
          <w:p>
            <w:pPr>
              <w:pStyle w:val="TableContents"/>
              <w:spacing w:before="0" w:after="283"/>
              <w:rPr/>
            </w:pPr>
            <w:r>
              <w:rPr/>
              <w:t>Amounts reflect the aggregate grant date fair value of grants made in each respective fiscal year computed in accordance with stock-based accounting rules (FASB ASC Topic 718-Stock Compensation), excluding the effect of estimated forfeitures. Assumptions used in the calculations of these amounts are included in Note 12 to our Consolidated Financial Statements included in this Annual Report.</w:t>
            </w:r>
          </w:p>
        </w:tc>
      </w:tr>
      <w:tr>
        <w:trPr/>
        <w:tc>
          <w:tcPr>
            <w:tcW w:w="555" w:type="dxa"/>
            <w:tcBorders/>
            <w:shd w:fill="auto" w:val="clear"/>
            <w:vAlign w:val="center"/>
          </w:tcPr>
          <w:p>
            <w:pPr>
              <w:pStyle w:val="TableContents"/>
              <w:spacing w:before="0" w:after="0"/>
              <w:ind w:left="0" w:right="0" w:firstLine="450"/>
              <w:rPr/>
            </w:pPr>
            <w:r>
              <w:rPr/>
              <w:t> </w:t>
            </w:r>
          </w:p>
        </w:tc>
        <w:tc>
          <w:tcPr>
            <w:tcW w:w="9650" w:type="dxa"/>
            <w:tcBorders/>
            <w:shd w:fill="auto" w:val="clear"/>
            <w:vAlign w:val="center"/>
          </w:tcPr>
          <w:p>
            <w:pPr>
              <w:pStyle w:val="TableContents"/>
              <w:spacing w:before="0" w:after="0"/>
              <w:ind w:left="0" w:right="0" w:hanging="0"/>
              <w:rPr/>
            </w:pPr>
            <w:r>
              <w:rPr/>
              <w:t> </w:t>
            </w:r>
          </w:p>
        </w:tc>
      </w:tr>
      <w:tr>
        <w:trPr/>
        <w:tc>
          <w:tcPr>
            <w:tcW w:w="555" w:type="dxa"/>
            <w:tcBorders/>
            <w:shd w:fill="auto" w:val="clear"/>
            <w:vAlign w:val="center"/>
          </w:tcPr>
          <w:p>
            <w:pPr>
              <w:pStyle w:val="TableContents"/>
              <w:spacing w:before="0" w:after="0"/>
              <w:ind w:left="0" w:right="0" w:hanging="0"/>
              <w:rPr/>
            </w:pPr>
            <w:r>
              <w:rPr/>
              <w:t xml:space="preserve">(6) </w:t>
            </w:r>
          </w:p>
        </w:tc>
        <w:tc>
          <w:tcPr>
            <w:tcW w:w="9650" w:type="dxa"/>
            <w:tcBorders/>
            <w:shd w:fill="auto" w:val="clear"/>
            <w:vAlign w:val="center"/>
          </w:tcPr>
          <w:p>
            <w:pPr>
              <w:pStyle w:val="TableContents"/>
              <w:spacing w:before="0" w:after="283"/>
              <w:rPr/>
            </w:pPr>
            <w:r>
              <w:rPr/>
              <w:t>In January 2020, Mr. Goldstein was granted an aggregate of 174,622 shares of restricted common stock under the 2014 Plan. Such grant vested to the extent of 58,208 shares as of the first anniversary of the date of grant and vests to the extent of 58,207 shares as of each of the second anniversary of the date of grant and December 31, 2022. See “Termination of Employment and Change-in-Control Arrangements – Barry B. Goldstein” below for a discussion of certain provisions relating to the restricted stock granted to Mr. Goldstein.</w:t>
            </w:r>
          </w:p>
        </w:tc>
      </w:tr>
      <w:tr>
        <w:trPr/>
        <w:tc>
          <w:tcPr>
            <w:tcW w:w="555" w:type="dxa"/>
            <w:tcBorders/>
            <w:shd w:fill="auto" w:val="clear"/>
            <w:vAlign w:val="center"/>
          </w:tcPr>
          <w:p>
            <w:pPr>
              <w:pStyle w:val="TableContents"/>
              <w:spacing w:before="0" w:after="0"/>
              <w:ind w:left="0" w:right="0" w:firstLine="450"/>
              <w:rPr/>
            </w:pPr>
            <w:r>
              <w:rPr/>
              <w:t> </w:t>
            </w:r>
          </w:p>
        </w:tc>
        <w:tc>
          <w:tcPr>
            <w:tcW w:w="9650" w:type="dxa"/>
            <w:tcBorders/>
            <w:shd w:fill="auto" w:val="clear"/>
            <w:vAlign w:val="center"/>
          </w:tcPr>
          <w:p>
            <w:pPr>
              <w:pStyle w:val="TableContents"/>
              <w:spacing w:before="0" w:after="0"/>
              <w:ind w:left="0" w:right="0" w:hanging="0"/>
              <w:rPr/>
            </w:pPr>
            <w:r>
              <w:rPr/>
              <w:t> </w:t>
            </w:r>
          </w:p>
        </w:tc>
      </w:tr>
      <w:tr>
        <w:trPr/>
        <w:tc>
          <w:tcPr>
            <w:tcW w:w="555" w:type="dxa"/>
            <w:tcBorders/>
            <w:shd w:fill="auto" w:val="clear"/>
            <w:vAlign w:val="center"/>
          </w:tcPr>
          <w:p>
            <w:pPr>
              <w:pStyle w:val="TableContents"/>
              <w:spacing w:before="0" w:after="0"/>
              <w:ind w:left="0" w:right="0" w:hanging="0"/>
              <w:rPr/>
            </w:pPr>
            <w:r>
              <w:rPr/>
              <w:t xml:space="preserve">(7) </w:t>
            </w:r>
          </w:p>
        </w:tc>
        <w:tc>
          <w:tcPr>
            <w:tcW w:w="9650" w:type="dxa"/>
            <w:tcBorders/>
            <w:shd w:fill="auto" w:val="clear"/>
            <w:vAlign w:val="center"/>
          </w:tcPr>
          <w:p>
            <w:pPr>
              <w:pStyle w:val="TableContents"/>
              <w:spacing w:before="0" w:after="283"/>
              <w:rPr/>
            </w:pPr>
            <w:r>
              <w:rPr/>
              <w:t>In September 2019, Ms. Golden was granted a five-year option under the 2014 Plan for the purchase of 50,000 shares of common stock at an exercise price of $8.72 per share. Such option became exercisable to the extent of 12,500 shares as of each of the date of grant and the first anniversary of the date of grant and will become exercisable to the extent of 12,500 shares as of each of the second and third anniversaries of the date of grant. See “Termination of Employment and Change-in-Control Arrangements – Meryl S. Golden” below for a discussion of certain provisions relating to the options granted to Ms. Golden.</w:t>
            </w:r>
          </w:p>
        </w:tc>
      </w:tr>
      <w:tr>
        <w:trPr/>
        <w:tc>
          <w:tcPr>
            <w:tcW w:w="555" w:type="dxa"/>
            <w:tcBorders/>
            <w:shd w:fill="auto" w:val="clear"/>
            <w:vAlign w:val="center"/>
          </w:tcPr>
          <w:p>
            <w:pPr>
              <w:pStyle w:val="TableContents"/>
              <w:spacing w:before="0" w:after="0"/>
              <w:ind w:left="0" w:right="0" w:firstLine="450"/>
              <w:rPr/>
            </w:pPr>
            <w:r>
              <w:rPr/>
              <w:t> </w:t>
            </w:r>
          </w:p>
        </w:tc>
        <w:tc>
          <w:tcPr>
            <w:tcW w:w="9650" w:type="dxa"/>
            <w:tcBorders/>
            <w:shd w:fill="auto" w:val="clear"/>
            <w:vAlign w:val="center"/>
          </w:tcPr>
          <w:p>
            <w:pPr>
              <w:pStyle w:val="TableContents"/>
              <w:spacing w:before="0" w:after="0"/>
              <w:ind w:left="0" w:right="0" w:hanging="0"/>
              <w:rPr/>
            </w:pPr>
            <w:r>
              <w:rPr/>
              <w:t> </w:t>
            </w:r>
          </w:p>
        </w:tc>
      </w:tr>
      <w:tr>
        <w:trPr/>
        <w:tc>
          <w:tcPr>
            <w:tcW w:w="555" w:type="dxa"/>
            <w:tcBorders/>
            <w:shd w:fill="auto" w:val="clear"/>
            <w:vAlign w:val="center"/>
          </w:tcPr>
          <w:p>
            <w:pPr>
              <w:pStyle w:val="TableContents"/>
              <w:spacing w:before="0" w:after="0"/>
              <w:ind w:left="0" w:right="0" w:hanging="0"/>
              <w:rPr/>
            </w:pPr>
            <w:r>
              <w:rPr/>
              <w:t xml:space="preserve">(8) </w:t>
            </w:r>
          </w:p>
        </w:tc>
        <w:tc>
          <w:tcPr>
            <w:tcW w:w="9650" w:type="dxa"/>
            <w:tcBorders/>
            <w:shd w:fill="auto" w:val="clear"/>
            <w:vAlign w:val="center"/>
          </w:tcPr>
          <w:p>
            <w:pPr>
              <w:pStyle w:val="TableContents"/>
              <w:spacing w:before="0" w:after="283"/>
              <w:rPr/>
            </w:pPr>
            <w:r>
              <w:rPr/>
              <w:t>Represents amounts earned pursuant to the KICO employee bonus plan for 2020 and 2019.</w:t>
            </w:r>
          </w:p>
        </w:tc>
      </w:tr>
      <w:tr>
        <w:trPr/>
        <w:tc>
          <w:tcPr>
            <w:tcW w:w="555" w:type="dxa"/>
            <w:tcBorders/>
            <w:shd w:fill="auto" w:val="clear"/>
            <w:vAlign w:val="center"/>
          </w:tcPr>
          <w:p>
            <w:pPr>
              <w:pStyle w:val="TableContents"/>
              <w:spacing w:before="0" w:after="0"/>
              <w:ind w:left="0" w:right="0" w:firstLine="450"/>
              <w:rPr/>
            </w:pPr>
            <w:r>
              <w:rPr/>
              <w:t> </w:t>
            </w:r>
          </w:p>
        </w:tc>
        <w:tc>
          <w:tcPr>
            <w:tcW w:w="9650" w:type="dxa"/>
            <w:tcBorders/>
            <w:shd w:fill="auto" w:val="clear"/>
            <w:vAlign w:val="center"/>
          </w:tcPr>
          <w:p>
            <w:pPr>
              <w:pStyle w:val="TableContents"/>
              <w:spacing w:before="0" w:after="0"/>
              <w:ind w:left="0" w:right="0" w:hanging="0"/>
              <w:rPr/>
            </w:pPr>
            <w:r>
              <w:rPr/>
              <w:t> </w:t>
            </w:r>
          </w:p>
        </w:tc>
      </w:tr>
      <w:tr>
        <w:trPr/>
        <w:tc>
          <w:tcPr>
            <w:tcW w:w="555" w:type="dxa"/>
            <w:tcBorders/>
            <w:shd w:fill="auto" w:val="clear"/>
            <w:vAlign w:val="center"/>
          </w:tcPr>
          <w:p>
            <w:pPr>
              <w:pStyle w:val="TableContents"/>
              <w:spacing w:before="0" w:after="0"/>
              <w:ind w:left="0" w:right="0" w:hanging="0"/>
              <w:rPr/>
            </w:pPr>
            <w:r>
              <w:rPr/>
              <w:t xml:space="preserve">(9) </w:t>
            </w:r>
          </w:p>
        </w:tc>
        <w:tc>
          <w:tcPr>
            <w:tcW w:w="9650" w:type="dxa"/>
            <w:tcBorders/>
            <w:shd w:fill="auto" w:val="clear"/>
            <w:vAlign w:val="center"/>
          </w:tcPr>
          <w:p>
            <w:pPr>
              <w:pStyle w:val="TableContents"/>
              <w:spacing w:before="0" w:after="283"/>
              <w:rPr/>
            </w:pPr>
            <w:r>
              <w:rPr/>
              <w:t>Represents employer matching contributions under our deferred compensation plan of $11,909, employer matching contributions under our defined contribution plan of $8,700 and a car allowance of $12,000.</w:t>
            </w:r>
          </w:p>
        </w:tc>
      </w:tr>
      <w:tr>
        <w:trPr/>
        <w:tc>
          <w:tcPr>
            <w:tcW w:w="555" w:type="dxa"/>
            <w:tcBorders/>
            <w:shd w:fill="auto" w:val="clear"/>
            <w:vAlign w:val="center"/>
          </w:tcPr>
          <w:p>
            <w:pPr>
              <w:pStyle w:val="TableContents"/>
              <w:spacing w:before="0" w:after="0"/>
              <w:ind w:left="0" w:right="0" w:firstLine="450"/>
              <w:rPr/>
            </w:pPr>
            <w:r>
              <w:rPr/>
              <w:t> </w:t>
            </w:r>
          </w:p>
        </w:tc>
        <w:tc>
          <w:tcPr>
            <w:tcW w:w="9650" w:type="dxa"/>
            <w:tcBorders/>
            <w:shd w:fill="auto" w:val="clear"/>
            <w:vAlign w:val="center"/>
          </w:tcPr>
          <w:p>
            <w:pPr>
              <w:pStyle w:val="TableContents"/>
              <w:spacing w:before="0" w:after="0"/>
              <w:ind w:left="0" w:right="0" w:hanging="0"/>
              <w:rPr/>
            </w:pPr>
            <w:r>
              <w:rPr/>
              <w:t> </w:t>
            </w:r>
          </w:p>
        </w:tc>
      </w:tr>
      <w:tr>
        <w:trPr/>
        <w:tc>
          <w:tcPr>
            <w:tcW w:w="555" w:type="dxa"/>
            <w:tcBorders/>
            <w:shd w:fill="auto" w:val="clear"/>
            <w:vAlign w:val="center"/>
          </w:tcPr>
          <w:p>
            <w:pPr>
              <w:pStyle w:val="TableContents"/>
              <w:spacing w:before="0" w:after="0"/>
              <w:ind w:left="0" w:right="0" w:hanging="0"/>
              <w:rPr/>
            </w:pPr>
            <w:r>
              <w:rPr/>
              <w:t xml:space="preserve">(10) </w:t>
            </w:r>
          </w:p>
        </w:tc>
        <w:tc>
          <w:tcPr>
            <w:tcW w:w="9650" w:type="dxa"/>
            <w:tcBorders/>
            <w:shd w:fill="auto" w:val="clear"/>
            <w:vAlign w:val="center"/>
          </w:tcPr>
          <w:p>
            <w:pPr>
              <w:pStyle w:val="TableContents"/>
              <w:spacing w:before="0" w:after="283"/>
              <w:rPr/>
            </w:pPr>
            <w:r>
              <w:rPr/>
              <w:t>Represents employer matching contributions under our deferred compensation plan of $17,025, employer matching contributions under our defined contribution plan of $8,495 and a car allowance of $12,000.</w:t>
            </w:r>
          </w:p>
        </w:tc>
      </w:tr>
      <w:tr>
        <w:trPr/>
        <w:tc>
          <w:tcPr>
            <w:tcW w:w="555" w:type="dxa"/>
            <w:tcBorders/>
            <w:shd w:fill="auto" w:val="clear"/>
            <w:vAlign w:val="center"/>
          </w:tcPr>
          <w:p>
            <w:pPr>
              <w:pStyle w:val="TableContents"/>
              <w:spacing w:before="0" w:after="0"/>
              <w:ind w:left="0" w:right="0" w:firstLine="450"/>
              <w:rPr/>
            </w:pPr>
            <w:r>
              <w:rPr/>
              <w:t> </w:t>
            </w:r>
          </w:p>
        </w:tc>
        <w:tc>
          <w:tcPr>
            <w:tcW w:w="9650" w:type="dxa"/>
            <w:tcBorders/>
            <w:shd w:fill="auto" w:val="clear"/>
            <w:vAlign w:val="center"/>
          </w:tcPr>
          <w:p>
            <w:pPr>
              <w:pStyle w:val="TableContents"/>
              <w:spacing w:before="0" w:after="0"/>
              <w:ind w:left="0" w:right="0" w:hanging="0"/>
              <w:rPr/>
            </w:pPr>
            <w:r>
              <w:rPr/>
              <w:t> </w:t>
            </w:r>
          </w:p>
        </w:tc>
      </w:tr>
      <w:tr>
        <w:trPr/>
        <w:tc>
          <w:tcPr>
            <w:tcW w:w="555" w:type="dxa"/>
            <w:tcBorders/>
            <w:shd w:fill="auto" w:val="clear"/>
            <w:vAlign w:val="center"/>
          </w:tcPr>
          <w:p>
            <w:pPr>
              <w:pStyle w:val="TableContents"/>
              <w:spacing w:before="0" w:after="0"/>
              <w:ind w:left="0" w:right="0" w:hanging="0"/>
              <w:rPr/>
            </w:pPr>
            <w:r>
              <w:rPr/>
              <w:t xml:space="preserve">(11) </w:t>
            </w:r>
          </w:p>
        </w:tc>
        <w:tc>
          <w:tcPr>
            <w:tcW w:w="9650" w:type="dxa"/>
            <w:tcBorders/>
            <w:shd w:fill="auto" w:val="clear"/>
            <w:vAlign w:val="center"/>
          </w:tcPr>
          <w:p>
            <w:pPr>
              <w:pStyle w:val="TableContents"/>
              <w:spacing w:before="0" w:after="283"/>
              <w:rPr/>
            </w:pPr>
            <w:r>
              <w:rPr/>
              <w:t>Represents employer matching contributions under our defined contribution plan of $11,400 and a car allowance of $12,000.</w:t>
            </w:r>
          </w:p>
        </w:tc>
      </w:tr>
      <w:tr>
        <w:trPr/>
        <w:tc>
          <w:tcPr>
            <w:tcW w:w="555" w:type="dxa"/>
            <w:tcBorders/>
            <w:shd w:fill="auto" w:val="clear"/>
            <w:vAlign w:val="center"/>
          </w:tcPr>
          <w:p>
            <w:pPr>
              <w:pStyle w:val="TableContents"/>
              <w:spacing w:before="0" w:after="0"/>
              <w:ind w:left="0" w:right="0" w:firstLine="450"/>
              <w:rPr/>
            </w:pPr>
            <w:r>
              <w:rPr/>
              <w:t> </w:t>
            </w:r>
          </w:p>
        </w:tc>
        <w:tc>
          <w:tcPr>
            <w:tcW w:w="9650" w:type="dxa"/>
            <w:tcBorders/>
            <w:shd w:fill="auto" w:val="clear"/>
            <w:vAlign w:val="center"/>
          </w:tcPr>
          <w:p>
            <w:pPr>
              <w:pStyle w:val="TableContents"/>
              <w:spacing w:before="0" w:after="0"/>
              <w:ind w:left="0" w:right="0" w:hanging="0"/>
              <w:rPr/>
            </w:pPr>
            <w:r>
              <w:rPr/>
              <w:t> </w:t>
            </w:r>
          </w:p>
        </w:tc>
      </w:tr>
      <w:tr>
        <w:trPr/>
        <w:tc>
          <w:tcPr>
            <w:tcW w:w="555" w:type="dxa"/>
            <w:tcBorders/>
            <w:shd w:fill="auto" w:val="clear"/>
            <w:vAlign w:val="center"/>
          </w:tcPr>
          <w:p>
            <w:pPr>
              <w:pStyle w:val="TableContents"/>
              <w:spacing w:before="0" w:after="0"/>
              <w:ind w:left="0" w:right="0" w:hanging="0"/>
              <w:rPr/>
            </w:pPr>
            <w:r>
              <w:rPr/>
              <w:t xml:space="preserve">(12) </w:t>
            </w:r>
          </w:p>
        </w:tc>
        <w:tc>
          <w:tcPr>
            <w:tcW w:w="9650" w:type="dxa"/>
            <w:tcBorders/>
            <w:shd w:fill="auto" w:val="clear"/>
            <w:vAlign w:val="center"/>
          </w:tcPr>
          <w:p>
            <w:pPr>
              <w:pStyle w:val="TableContents"/>
              <w:spacing w:before="0" w:after="283"/>
              <w:rPr/>
            </w:pPr>
            <w:r>
              <w:rPr/>
              <w:t>Represents employer matching contributions under our defined contribution plan of $3,077 and a car allowance of $3,200.</w:t>
            </w:r>
          </w:p>
        </w:tc>
      </w:tr>
    </w:tbl>
    <w:p>
      <w:pPr>
        <w:pStyle w:val="TextBody"/>
        <w:spacing w:before="0" w:after="0"/>
        <w:ind w:left="0" w:right="0" w:hanging="0"/>
        <w:jc w:val="both"/>
        <w:rPr/>
      </w:pPr>
      <w:r>
        <w:rPr/>
        <w:t xml:space="preserve">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67</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555"/>
        <w:gridCol w:w="9650"/>
      </w:tblGrid>
      <w:tr>
        <w:trPr/>
        <w:tc>
          <w:tcPr>
            <w:tcW w:w="555" w:type="dxa"/>
            <w:tcBorders/>
            <w:shd w:fill="auto" w:val="clear"/>
            <w:vAlign w:val="center"/>
          </w:tcPr>
          <w:p>
            <w:pPr>
              <w:pStyle w:val="TableContents"/>
              <w:spacing w:before="0" w:after="0"/>
              <w:ind w:left="0" w:right="0" w:hanging="0"/>
              <w:rPr/>
            </w:pPr>
            <w:r>
              <w:rPr/>
              <w:t xml:space="preserve">(13) </w:t>
            </w:r>
          </w:p>
        </w:tc>
        <w:tc>
          <w:tcPr>
            <w:tcW w:w="9650" w:type="dxa"/>
            <w:tcBorders/>
            <w:shd w:fill="auto" w:val="clear"/>
            <w:vAlign w:val="center"/>
          </w:tcPr>
          <w:p>
            <w:pPr>
              <w:pStyle w:val="TableContents"/>
              <w:spacing w:before="0" w:after="283"/>
              <w:rPr/>
            </w:pPr>
            <w:r>
              <w:rPr/>
              <w:t>Represents employer payments pursuant to agreement and general release totaling $155,969, consulting fees pursuant to agreement totaling $96,500, matching contributions under our deferred compensation plan of $1,722, employer matching contributions under our defined compensation plan of $9,628 and a car allowance of $5,400.</w:t>
            </w:r>
          </w:p>
        </w:tc>
      </w:tr>
      <w:tr>
        <w:trPr/>
        <w:tc>
          <w:tcPr>
            <w:tcW w:w="555" w:type="dxa"/>
            <w:tcBorders/>
            <w:shd w:fill="auto" w:val="clear"/>
            <w:vAlign w:val="center"/>
          </w:tcPr>
          <w:p>
            <w:pPr>
              <w:pStyle w:val="TableContents"/>
              <w:spacing w:before="0" w:after="0"/>
              <w:ind w:left="0" w:right="0" w:firstLine="450"/>
              <w:rPr/>
            </w:pPr>
            <w:r>
              <w:rPr/>
              <w:t> </w:t>
            </w:r>
          </w:p>
        </w:tc>
        <w:tc>
          <w:tcPr>
            <w:tcW w:w="9650" w:type="dxa"/>
            <w:tcBorders/>
            <w:shd w:fill="auto" w:val="clear"/>
            <w:vAlign w:val="center"/>
          </w:tcPr>
          <w:p>
            <w:pPr>
              <w:pStyle w:val="TableContents"/>
              <w:spacing w:before="0" w:after="0"/>
              <w:ind w:left="0" w:right="0" w:hanging="0"/>
              <w:rPr/>
            </w:pPr>
            <w:r>
              <w:rPr/>
              <w:t> </w:t>
            </w:r>
          </w:p>
        </w:tc>
      </w:tr>
      <w:tr>
        <w:trPr/>
        <w:tc>
          <w:tcPr>
            <w:tcW w:w="555" w:type="dxa"/>
            <w:tcBorders/>
            <w:shd w:fill="auto" w:val="clear"/>
            <w:vAlign w:val="center"/>
          </w:tcPr>
          <w:p>
            <w:pPr>
              <w:pStyle w:val="TableContents"/>
              <w:spacing w:before="0" w:after="0"/>
              <w:ind w:left="0" w:right="0" w:hanging="0"/>
              <w:rPr/>
            </w:pPr>
            <w:r>
              <w:rPr/>
              <w:t xml:space="preserve">(14) </w:t>
            </w:r>
          </w:p>
        </w:tc>
        <w:tc>
          <w:tcPr>
            <w:tcW w:w="9650" w:type="dxa"/>
            <w:tcBorders/>
            <w:shd w:fill="auto" w:val="clear"/>
            <w:vAlign w:val="center"/>
          </w:tcPr>
          <w:p>
            <w:pPr>
              <w:pStyle w:val="TableContents"/>
              <w:spacing w:before="0" w:after="283"/>
              <w:rPr/>
            </w:pPr>
            <w:r>
              <w:rPr/>
              <w:t>Represents employer matching contributions under our deferred compensation plan of $4,090, employer matching contributions under our defined compensation plan of $10,752 and a car allowance of $7,200.</w:t>
            </w:r>
          </w:p>
        </w:tc>
      </w:tr>
      <w:tr>
        <w:trPr/>
        <w:tc>
          <w:tcPr>
            <w:tcW w:w="555" w:type="dxa"/>
            <w:tcBorders/>
            <w:shd w:fill="auto" w:val="clear"/>
            <w:vAlign w:val="center"/>
          </w:tcPr>
          <w:p>
            <w:pPr>
              <w:pStyle w:val="TableContents"/>
              <w:spacing w:before="0" w:after="0"/>
              <w:ind w:left="0" w:right="0" w:firstLine="450"/>
              <w:rPr/>
            </w:pPr>
            <w:r>
              <w:rPr/>
              <w:t> </w:t>
            </w:r>
          </w:p>
        </w:tc>
        <w:tc>
          <w:tcPr>
            <w:tcW w:w="9650" w:type="dxa"/>
            <w:tcBorders/>
            <w:shd w:fill="auto" w:val="clear"/>
            <w:vAlign w:val="center"/>
          </w:tcPr>
          <w:p>
            <w:pPr>
              <w:pStyle w:val="TableContents"/>
              <w:spacing w:before="0" w:after="0"/>
              <w:ind w:left="0" w:right="0" w:hanging="0"/>
              <w:rPr/>
            </w:pPr>
            <w:r>
              <w:rPr/>
              <w:t> </w:t>
            </w:r>
          </w:p>
        </w:tc>
      </w:tr>
      <w:tr>
        <w:trPr/>
        <w:tc>
          <w:tcPr>
            <w:tcW w:w="555" w:type="dxa"/>
            <w:tcBorders/>
            <w:shd w:fill="auto" w:val="clear"/>
            <w:vAlign w:val="center"/>
          </w:tcPr>
          <w:p>
            <w:pPr>
              <w:pStyle w:val="TableContents"/>
              <w:spacing w:before="0" w:after="0"/>
              <w:ind w:left="0" w:right="0" w:hanging="0"/>
              <w:rPr/>
            </w:pPr>
            <w:r>
              <w:rPr/>
              <w:t xml:space="preserve">(15) </w:t>
            </w:r>
          </w:p>
        </w:tc>
        <w:tc>
          <w:tcPr>
            <w:tcW w:w="9650" w:type="dxa"/>
            <w:tcBorders/>
            <w:shd w:fill="auto" w:val="clear"/>
            <w:vAlign w:val="center"/>
          </w:tcPr>
          <w:p>
            <w:pPr>
              <w:pStyle w:val="TableContents"/>
              <w:spacing w:before="0" w:after="283"/>
              <w:rPr/>
            </w:pPr>
            <w:r>
              <w:rPr/>
              <w:t>Represents employer payments pursuant to agreement and general release totaling $87,729, consulting fees pursuant to agreement totaling $10,058, and employer matching contributions under our defined compensation plan of $11,060.</w:t>
            </w:r>
          </w:p>
        </w:tc>
      </w:tr>
      <w:tr>
        <w:trPr/>
        <w:tc>
          <w:tcPr>
            <w:tcW w:w="555" w:type="dxa"/>
            <w:tcBorders/>
            <w:shd w:fill="auto" w:val="clear"/>
            <w:vAlign w:val="center"/>
          </w:tcPr>
          <w:p>
            <w:pPr>
              <w:pStyle w:val="TableContents"/>
              <w:spacing w:before="0" w:after="0"/>
              <w:ind w:left="0" w:right="0" w:firstLine="450"/>
              <w:rPr/>
            </w:pPr>
            <w:r>
              <w:rPr/>
              <w:t> </w:t>
            </w:r>
          </w:p>
        </w:tc>
        <w:tc>
          <w:tcPr>
            <w:tcW w:w="9650" w:type="dxa"/>
            <w:tcBorders/>
            <w:shd w:fill="auto" w:val="clear"/>
            <w:vAlign w:val="center"/>
          </w:tcPr>
          <w:p>
            <w:pPr>
              <w:pStyle w:val="TableContents"/>
              <w:spacing w:before="0" w:after="0"/>
              <w:ind w:left="0" w:right="0" w:hanging="0"/>
              <w:rPr/>
            </w:pPr>
            <w:r>
              <w:rPr/>
              <w:t> </w:t>
            </w:r>
          </w:p>
        </w:tc>
      </w:tr>
      <w:tr>
        <w:trPr/>
        <w:tc>
          <w:tcPr>
            <w:tcW w:w="555" w:type="dxa"/>
            <w:tcBorders/>
            <w:shd w:fill="auto" w:val="clear"/>
            <w:vAlign w:val="center"/>
          </w:tcPr>
          <w:p>
            <w:pPr>
              <w:pStyle w:val="TableContents"/>
              <w:spacing w:before="0" w:after="0"/>
              <w:ind w:left="0" w:right="0" w:hanging="0"/>
              <w:rPr/>
            </w:pPr>
            <w:r>
              <w:rPr/>
              <w:t xml:space="preserve">(16) </w:t>
            </w:r>
          </w:p>
        </w:tc>
        <w:tc>
          <w:tcPr>
            <w:tcW w:w="9650" w:type="dxa"/>
            <w:tcBorders/>
            <w:shd w:fill="auto" w:val="clear"/>
            <w:vAlign w:val="center"/>
          </w:tcPr>
          <w:p>
            <w:pPr>
              <w:pStyle w:val="TableContents"/>
              <w:spacing w:before="0" w:after="283"/>
              <w:rPr/>
            </w:pPr>
            <w:r>
              <w:rPr/>
              <w:t>Represents employer matching contributions under our defined contribution plan.</w:t>
            </w:r>
          </w:p>
        </w:tc>
      </w:tr>
    </w:tbl>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Employment Contracts</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Barry B. Goldstein</w:t>
      </w:r>
    </w:p>
    <w:p>
      <w:pPr>
        <w:pStyle w:val="TextBody"/>
        <w:spacing w:before="0" w:after="0"/>
        <w:ind w:left="0" w:right="0" w:hanging="0"/>
        <w:jc w:val="both"/>
        <w:rPr/>
      </w:pPr>
      <w:r>
        <w:rPr/>
        <w:t> </w:t>
      </w:r>
    </w:p>
    <w:tbl>
      <w:tblPr>
        <w:tblW w:w="5935" w:type="dxa"/>
        <w:jc w:val="left"/>
        <w:tblInd w:w="0" w:type="dxa"/>
        <w:tblCellMar>
          <w:top w:w="0" w:type="dxa"/>
          <w:left w:w="0" w:type="dxa"/>
          <w:bottom w:w="0" w:type="dxa"/>
          <w:right w:w="0" w:type="dxa"/>
        </w:tblCellMar>
      </w:tblPr>
      <w:tblGrid>
        <w:gridCol w:w="105"/>
        <w:gridCol w:w="155"/>
        <w:gridCol w:w="5675"/>
      </w:tblGrid>
      <w:tr>
        <w:trPr/>
        <w:tc>
          <w:tcPr>
            <w:tcW w:w="105" w:type="dxa"/>
            <w:tcBorders/>
            <w:shd w:fill="auto" w:val="clear"/>
            <w:vAlign w:val="center"/>
          </w:tcPr>
          <w:p>
            <w:pPr>
              <w:pStyle w:val="TableContents"/>
              <w:spacing w:before="0" w:after="0"/>
              <w:ind w:left="0" w:right="0" w:hanging="0"/>
              <w:rPr/>
            </w:pPr>
            <w:r>
              <w:rPr/>
              <w:t> </w:t>
            </w:r>
          </w:p>
        </w:tc>
        <w:tc>
          <w:tcPr>
            <w:tcW w:w="155" w:type="dxa"/>
            <w:tcBorders/>
            <w:shd w:fill="auto" w:val="clear"/>
            <w:vAlign w:val="center"/>
          </w:tcPr>
          <w:p>
            <w:pPr>
              <w:pStyle w:val="TableContents"/>
              <w:spacing w:before="0" w:after="0"/>
              <w:ind w:left="0" w:right="0" w:hanging="0"/>
              <w:rPr>
                <w:rFonts w:ascii="symbol" w:hAnsi="symbol"/>
              </w:rPr>
            </w:pPr>
            <w:r>
              <w:rPr>
                <w:rFonts w:ascii="symbol" w:hAnsi="symbol"/>
              </w:rPr>
              <w:t>·</w:t>
            </w:r>
          </w:p>
        </w:tc>
        <w:tc>
          <w:tcPr>
            <w:tcW w:w="5675" w:type="dxa"/>
            <w:tcBorders/>
            <w:shd w:fill="auto" w:val="clear"/>
            <w:vAlign w:val="center"/>
          </w:tcPr>
          <w:p>
            <w:pPr>
              <w:pStyle w:val="TableContents"/>
              <w:spacing w:before="0" w:after="283"/>
              <w:rPr/>
            </w:pPr>
            <w:r>
              <w:rPr/>
              <w:t>Agreement in effect for the year ended December 31, 2019</w:t>
            </w:r>
          </w:p>
        </w:tc>
      </w:tr>
    </w:tbl>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On October 16, 2018, we entered into an amended and restated employment agreement with Mr. Goldstein which took effect as of January 1, 2019 and which was scheduled to expire on December 31, 2021 (the “Amended and Restated Goldstein Employment Agreement”). Pursuant to the Amended and Restated Goldstein Employment Agreement, Mr. Goldstein stepped down as our Chief Executive Officer on January 1, 2019 and was named Executive Chairman of the Board.</w:t>
      </w:r>
    </w:p>
    <w:p>
      <w:pPr>
        <w:pStyle w:val="TextBody"/>
        <w:spacing w:before="0" w:after="0"/>
        <w:ind w:left="0" w:right="0" w:firstLine="675"/>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Pursuant to the Amended and Restated Goldstein Employment Agreement, Mr. Goldstein was entitled to receive an annual base salary of $636,500 for the calendar year 2019. In addition, Mr. Goldstein was eligible to receive an annual performance bonus equal to 3% of our consolidated income from operations before taxes, exclusive of our consolidated net investment income (loss) and net realized gains (losses) on investments. In addition, pursuant to the Amended and Restated Goldstein Employment Agreement, Mr. Goldstein was entitled to a long-term compensation (“LTC”) payment (which was a continuation of the previous terms under Mr. Goldstein’s 2017 employment agreement with us) of between $945,000 and $2,835,000 based on a specified minimum increase in our adjusted book value per share (as defined in the Amended and Restated Goldstein Employment Agreement) as of December 31, 2019 as compared to December 31, 2016 (with the maximum LTC payment being due if the average per annum increase was at least 14%). Pursuant to the Amended and Restated Goldstein Employment Agreement, Mr. Goldstein was entitled to receive a grant, under the terms of our 2014 Equity Participation Plan (the “2014 Plan”), during the first 30 days of January 2020, with respect to a number of shares of restricted stock determined by dividing $436,500 by the fair market value of our common stock on the date of grant. The January 2020 grant was to vest with respect to 50% of the award on each of December 31, 2020 and December 31, 2021 based on the continued provision of services through the applicable vesting date. Also, pursuant to the Amended and Restated Goldstein Employment Agreement, Mr. Goldstein was entitled to receive a grant, under the 2014 Plan, during the first 30 days of 2021, with respect to a number of shares of restricted stock determined by dividing $236,500 by the fair market value of our common stock on the date of grant. The January 2021 grant was to vest on December 31, 2021 based on the continued provision of services through such date. The above stock grant provisions were superseded by the provisions of the Second Amended and Restated Goldstein Employment Agreement as discussed below.</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68</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tbl>
      <w:tblPr>
        <w:tblW w:w="4315" w:type="dxa"/>
        <w:jc w:val="left"/>
        <w:tblInd w:w="0" w:type="dxa"/>
        <w:tblCellMar>
          <w:top w:w="0" w:type="dxa"/>
          <w:left w:w="0" w:type="dxa"/>
          <w:bottom w:w="0" w:type="dxa"/>
          <w:right w:w="0" w:type="dxa"/>
        </w:tblCellMar>
      </w:tblPr>
      <w:tblGrid>
        <w:gridCol w:w="105"/>
        <w:gridCol w:w="155"/>
        <w:gridCol w:w="4055"/>
      </w:tblGrid>
      <w:tr>
        <w:trPr/>
        <w:tc>
          <w:tcPr>
            <w:tcW w:w="105" w:type="dxa"/>
            <w:tcBorders/>
            <w:shd w:fill="auto" w:val="clear"/>
            <w:vAlign w:val="center"/>
          </w:tcPr>
          <w:p>
            <w:pPr>
              <w:pStyle w:val="TableContents"/>
              <w:spacing w:before="0" w:after="0"/>
              <w:ind w:left="0" w:right="0" w:hanging="0"/>
              <w:rPr/>
            </w:pPr>
            <w:r>
              <w:rPr/>
              <w:t> </w:t>
            </w:r>
          </w:p>
        </w:tc>
        <w:tc>
          <w:tcPr>
            <w:tcW w:w="155" w:type="dxa"/>
            <w:tcBorders/>
            <w:shd w:fill="auto" w:val="clear"/>
            <w:vAlign w:val="center"/>
          </w:tcPr>
          <w:p>
            <w:pPr>
              <w:pStyle w:val="TableContents"/>
              <w:spacing w:before="0" w:after="0"/>
              <w:ind w:left="0" w:right="0" w:hanging="0"/>
              <w:rPr>
                <w:rFonts w:ascii="symbol" w:hAnsi="symbol"/>
              </w:rPr>
            </w:pPr>
            <w:r>
              <w:rPr>
                <w:rFonts w:ascii="symbol" w:hAnsi="symbol"/>
              </w:rPr>
              <w:t>·</w:t>
            </w:r>
          </w:p>
        </w:tc>
        <w:tc>
          <w:tcPr>
            <w:tcW w:w="4055" w:type="dxa"/>
            <w:tcBorders/>
            <w:shd w:fill="auto" w:val="clear"/>
            <w:vAlign w:val="center"/>
          </w:tcPr>
          <w:p>
            <w:pPr>
              <w:pStyle w:val="TableContents"/>
              <w:spacing w:before="0" w:after="283"/>
              <w:rPr/>
            </w:pPr>
            <w:r>
              <w:rPr/>
              <w:t>Agreement in effect as of January 1, 2020</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On October 14, 2019, we entered into a second amended and restated employment agreement with Mr. Goldstein which took effect as of January 1, 2020 and expires on December 31, 2022 (the “Second Amended and Restated Goldstein Employment Agreement”).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Pursuant to the Second Amended and Restated Goldstein Employment Agreement, Mr. Goldstein is entitled to receive an annual base salary of $500,000 and an annual bonus equal to 6% of our consolidated income from operations before taxes, exclusive of our consolidated net investment income (loss), net unrealized gains (losses) on equity securities and net realized gains (losses) on investments, up to a maximum of 2.5 times his base salary. In addition, pursuant to the Second Amended and Restated Goldstein Employment Agreement, Mr. Goldstein is entitled to receive an LTC payment of between $945,000 and $2,835,000 based on a specified minimum increase in our adjusted book value per share (as defined in the Second Amended and Restated Goldstein Employment Agreement) as of December 31, 2022 as compared to December 31, 2019 (with the maximum LTC payment being due if the average per annum increase is at least 14%).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Pursuant to the Second Amended and Restated Goldstein Employment Agreement, Mr. Goldstein received a grant, under the terms of the 2014 Plan, during January 2020, of a number of shares of restricted stock determined by dividing $1,250,000 by the fair market value of our common stock on the date of grant. The January 2020 grant vested with respect to one-third of the award on the first anniversary of the grant date and will vest with respect to one-third of the award on each of the second anniversary of the grant date and on December 31, 2022 based on the continued provision of services through the applicable vesting date. Also pursuant to the Second Amended and Restated Goldstein Employment Agreement, Mr. Goldstein received a grant, under the terms of the 2014 Plan, during January 2021, of a number of shares of restricted stock determined by dividing $1,500,000 by the fair market value of our common stock on the date of grant. The January 2021 grant will vest with respect to one-half of the award on each of the first anniversary of the grant date and on December 31, 2022 based on the continued provision of services through the applicable vesting date. Further, pursuant to the Second Amended and Restated Goldstein Employment Agreement, Mr. Goldstein received in 2020 and 2021, and will be entitled to receive in 2022 a grant, under the terms of the 2014 Plan, of a number of shares of restricted stock determined by dividing $136,500 by the fair market value of our common stock on the date of grant. The 2020 grant vested with respect to one-third of the award on the first anniversary of the grant date and will vest with respect to one-third of the award on each of the second anniversary of the grant date and on December 31, 2022 based on the continued provision of services through the applicable vesting date. The 2021 grant will vest with respect to one-half of the award on each of the first anniversary of the grant date and on December 31, 2022 based on the continued provision of services through the applicable vesting date. The 2022 grant will vest on December 31, 2022 based on the continued provision of services through such date.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See “Termination of Employment and Change-in-Control Arrangements – Barry B. Goldstein” below for a discussion of the provisions of the Second Amended and Restated Goldstein Employment Agreement with regard to payments due in the event of the termination of Mr. Goldstein’s employment.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69</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Meryl S. Golden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and Ms. Golden are parties to an employment agreement dated as of August 27, 2019 (as amended, the “Golden Employment Agreement”). Pursuant to the Golden Employment Agreement, which expires on December 31, 2022, Ms. Golden serves as our Chief Operating Officer and is entitled to receive an annual base salary of $500,000. In addition, pursuant to the Golden Employment Agreement and the 2014 Plan, in September 2019, Ms. Golden was granted an option to purchase 50,000 shares of common stock which vest to the extent of 12,500 shares on each of the date of grant and each of the first, second and third anniversaries of the date of grant. Further, pursuant to the Golden Employment Agreement and the 2014 Plan, in January 2021, Ms. Golden was granted 30,000 shares of restricted stock and is entitled to receive in January 2022 30,000 shares of restricted stock. Each such grant vests to the extent of 10,000 shares on each of the first, second and third anniversaries of the date of grant.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See “Termination of Employment and Change-in-Control Arrangements – Meryl S. Golden” below for a discussion of the provisions of the Golden Employment Agreement with regard to payments due in the event of the termination of Ms. Golden’s employment.</w:t>
      </w:r>
    </w:p>
    <w:p>
      <w:pPr>
        <w:pStyle w:val="TextBody"/>
        <w:spacing w:before="0" w:after="0"/>
        <w:ind w:left="0" w:right="0" w:hanging="0"/>
        <w:jc w:val="center"/>
        <w:rPr/>
      </w:pPr>
      <w:r>
        <w:rPr/>
        <w:t> </w:t>
      </w:r>
    </w:p>
    <w:p>
      <w:pPr>
        <w:pStyle w:val="TextBody"/>
        <w:spacing w:before="0" w:after="0"/>
        <w:ind w:left="0" w:right="0" w:hanging="0"/>
        <w:jc w:val="center"/>
        <w:rPr/>
      </w:pPr>
      <w:r>
        <w:rPr>
          <w:rStyle w:val="StrongEmphasis"/>
          <w:rFonts w:ascii="times new roman" w:hAnsi="times new roman"/>
          <w:sz w:val="20"/>
        </w:rPr>
        <w:t>OUTSTANDING EQUITY AWARDS AT FISCAL YEAR-END</w:t>
      </w:r>
    </w:p>
    <w:p>
      <w:pPr>
        <w:pStyle w:val="TextBody"/>
        <w:spacing w:before="0" w:after="0"/>
        <w:ind w:left="0" w:right="0" w:hanging="0"/>
        <w:jc w:val="both"/>
        <w:rPr/>
      </w:pPr>
      <w:r>
        <w:rPr/>
        <w:t> </w:t>
      </w:r>
    </w:p>
    <w:p>
      <w:pPr>
        <w:pStyle w:val="TextBody"/>
        <w:spacing w:before="0" w:after="0"/>
        <w:ind w:left="0" w:right="0" w:firstLine="720"/>
        <w:jc w:val="both"/>
        <w:rPr/>
      </w:pPr>
      <w:r>
        <w:rPr/>
        <w:t xml:space="preserve">            </w:t>
      </w:r>
      <w:r>
        <w:rPr>
          <w:rFonts w:ascii="times new roman" w:hAnsi="times new roman"/>
          <w:sz w:val="20"/>
        </w:rPr>
        <w:t>The following table sets forth certain information concerning exercisable and unexercisable stock options and unvested stock grants held by the above Named Executive Officers as of December 31, 2020:</w:t>
      </w:r>
    </w:p>
    <w:p>
      <w:pPr>
        <w:pStyle w:val="TextBody"/>
        <w:spacing w:before="0" w:after="0"/>
        <w:ind w:left="0" w:right="0" w:hanging="0"/>
        <w:jc w:val="both"/>
        <w:rPr/>
      </w:pPr>
      <w:r>
        <w:rPr/>
        <w:t> </w:t>
      </w:r>
    </w:p>
    <w:tbl>
      <w:tblPr>
        <w:tblW w:w="11835" w:type="dxa"/>
        <w:jc w:val="left"/>
        <w:tblInd w:w="0" w:type="dxa"/>
        <w:tblCellMar>
          <w:top w:w="0" w:type="dxa"/>
          <w:left w:w="0" w:type="dxa"/>
          <w:bottom w:w="0" w:type="dxa"/>
          <w:right w:w="0" w:type="dxa"/>
        </w:tblCellMar>
      </w:tblPr>
      <w:tblGrid>
        <w:gridCol w:w="980"/>
        <w:gridCol w:w="90"/>
        <w:gridCol w:w="145"/>
        <w:gridCol w:w="1150"/>
        <w:gridCol w:w="90"/>
        <w:gridCol w:w="90"/>
        <w:gridCol w:w="165"/>
        <w:gridCol w:w="1310"/>
        <w:gridCol w:w="245"/>
        <w:gridCol w:w="90"/>
        <w:gridCol w:w="240"/>
        <w:gridCol w:w="665"/>
        <w:gridCol w:w="90"/>
        <w:gridCol w:w="90"/>
        <w:gridCol w:w="479"/>
        <w:gridCol w:w="666"/>
        <w:gridCol w:w="90"/>
        <w:gridCol w:w="90"/>
        <w:gridCol w:w="90"/>
        <w:gridCol w:w="830"/>
        <w:gridCol w:w="245"/>
        <w:gridCol w:w="90"/>
        <w:gridCol w:w="170"/>
        <w:gridCol w:w="1010"/>
        <w:gridCol w:w="90"/>
        <w:gridCol w:w="90"/>
        <w:gridCol w:w="447"/>
        <w:gridCol w:w="623"/>
        <w:gridCol w:w="90"/>
        <w:gridCol w:w="90"/>
        <w:gridCol w:w="616"/>
        <w:gridCol w:w="454"/>
        <w:gridCol w:w="135"/>
      </w:tblGrid>
      <w:tr>
        <w:trPr/>
        <w:tc>
          <w:tcPr>
            <w:tcW w:w="98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5515" w:type="dxa"/>
            <w:gridSpan w:val="14"/>
            <w:tcBorders/>
            <w:shd w:fill="auto" w:val="clear"/>
            <w:vAlign w:val="center"/>
          </w:tcPr>
          <w:p>
            <w:pPr>
              <w:pStyle w:val="TableContents"/>
              <w:spacing w:before="0" w:after="0"/>
              <w:ind w:left="0" w:right="0" w:hanging="0"/>
              <w:jc w:val="center"/>
              <w:rPr/>
            </w:pPr>
            <w:r>
              <w:rPr>
                <w:rStyle w:val="StrongEmphasis"/>
              </w:rPr>
              <w:t>Option Awards</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4935" w:type="dxa"/>
            <w:gridSpan w:val="14"/>
            <w:tcBorders/>
            <w:shd w:fill="auto" w:val="clear"/>
            <w:vAlign w:val="center"/>
          </w:tcPr>
          <w:p>
            <w:pPr>
              <w:pStyle w:val="TableContents"/>
              <w:spacing w:before="0" w:after="0"/>
              <w:ind w:left="0" w:right="0" w:hanging="0"/>
              <w:jc w:val="center"/>
              <w:rPr/>
            </w:pPr>
            <w:r>
              <w:rPr>
                <w:rStyle w:val="StrongEmphasis"/>
              </w:rPr>
              <w:t>Stock Awards</w:t>
            </w:r>
          </w:p>
        </w:tc>
        <w:tc>
          <w:tcPr>
            <w:tcW w:w="135" w:type="dxa"/>
            <w:tcBorders/>
            <w:shd w:fill="auto" w:val="clear"/>
            <w:vAlign w:val="center"/>
          </w:tcPr>
          <w:p>
            <w:pPr>
              <w:pStyle w:val="TableContents"/>
              <w:spacing w:before="0" w:after="0"/>
              <w:ind w:left="0" w:right="0" w:hanging="0"/>
              <w:rPr/>
            </w:pPr>
            <w:r>
              <w:rPr>
                <w:rStyle w:val="StrongEmphasis"/>
              </w:rPr>
              <w:t> </w:t>
            </w:r>
          </w:p>
        </w:tc>
      </w:tr>
      <w:tr>
        <w:trPr/>
        <w:tc>
          <w:tcPr>
            <w:tcW w:w="980"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Pr>
              <w:t>Name</w:t>
            </w:r>
          </w:p>
        </w:tc>
        <w:tc>
          <w:tcPr>
            <w:tcW w:w="90" w:type="dxa"/>
            <w:tcBorders/>
            <w:shd w:fill="auto" w:val="clear"/>
            <w:vAlign w:val="center"/>
          </w:tcPr>
          <w:p>
            <w:pPr>
              <w:pStyle w:val="TableContents"/>
              <w:spacing w:before="0" w:after="0"/>
              <w:ind w:left="0" w:right="0" w:hanging="0"/>
              <w:rPr/>
            </w:pPr>
            <w:r>
              <w:rPr>
                <w:rStyle w:val="StrongEmphasis"/>
              </w:rPr>
              <w:t> </w:t>
            </w:r>
          </w:p>
        </w:tc>
        <w:tc>
          <w:tcPr>
            <w:tcW w:w="129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Number of Securities Underlying</w:t>
            </w:r>
          </w:p>
          <w:p>
            <w:pPr>
              <w:pStyle w:val="TableContents"/>
              <w:spacing w:before="0" w:after="0"/>
              <w:ind w:left="0" w:right="0" w:hanging="0"/>
              <w:jc w:val="center"/>
              <w:rPr/>
            </w:pPr>
            <w:r>
              <w:rPr>
                <w:rStyle w:val="StrongEmphasis"/>
              </w:rPr>
              <w:t>Unexercised</w:t>
            </w:r>
          </w:p>
          <w:p>
            <w:pPr>
              <w:pStyle w:val="TableContents"/>
              <w:spacing w:before="0" w:after="0"/>
              <w:ind w:left="0" w:right="0" w:hanging="0"/>
              <w:jc w:val="center"/>
              <w:rPr/>
            </w:pPr>
            <w:r>
              <w:rPr>
                <w:rStyle w:val="StrongEmphasis"/>
              </w:rPr>
              <w:t>Options</w:t>
            </w:r>
          </w:p>
          <w:p>
            <w:pPr>
              <w:pStyle w:val="TableContents"/>
              <w:spacing w:before="0" w:after="0"/>
              <w:ind w:left="0" w:right="0" w:hanging="0"/>
              <w:jc w:val="center"/>
              <w:rPr/>
            </w:pPr>
            <w:r>
              <w:rPr>
                <w:rStyle w:val="StrongEmphasis"/>
              </w:rPr>
              <w:t>Exercisable</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4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Number of Securities Underlying Unexercised Options Unexercisable </w:t>
            </w:r>
          </w:p>
        </w:tc>
        <w:tc>
          <w:tcPr>
            <w:tcW w:w="24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9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Option</w:t>
            </w:r>
          </w:p>
          <w:p>
            <w:pPr>
              <w:pStyle w:val="TableContents"/>
              <w:spacing w:before="0" w:after="0"/>
              <w:ind w:left="0" w:right="0" w:hanging="0"/>
              <w:jc w:val="center"/>
              <w:rPr/>
            </w:pPr>
            <w:r>
              <w:rPr>
                <w:rStyle w:val="StrongEmphasis"/>
              </w:rPr>
              <w:t>Exercise Price</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14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Option Expiration Date</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9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Number of Shares of</w:t>
            </w:r>
          </w:p>
          <w:p>
            <w:pPr>
              <w:pStyle w:val="TableContents"/>
              <w:spacing w:before="0" w:after="0"/>
              <w:ind w:left="0" w:right="0" w:hanging="0"/>
              <w:jc w:val="center"/>
              <w:rPr/>
            </w:pPr>
            <w:r>
              <w:rPr>
                <w:rStyle w:val="StrongEmphasis"/>
              </w:rPr>
              <w:t>Stock</w:t>
            </w:r>
          </w:p>
          <w:p>
            <w:pPr>
              <w:pStyle w:val="TableContents"/>
              <w:spacing w:before="0" w:after="0"/>
              <w:ind w:left="0" w:right="0" w:hanging="0"/>
              <w:jc w:val="center"/>
              <w:rPr/>
            </w:pPr>
            <w:r>
              <w:rPr>
                <w:rStyle w:val="StrongEmphasis"/>
              </w:rPr>
              <w:t>That Have Not Vested</w:t>
            </w:r>
          </w:p>
        </w:tc>
        <w:tc>
          <w:tcPr>
            <w:tcW w:w="24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Market</w:t>
            </w:r>
          </w:p>
          <w:p>
            <w:pPr>
              <w:pStyle w:val="TableContents"/>
              <w:spacing w:before="0" w:after="0"/>
              <w:ind w:left="0" w:right="0" w:hanging="0"/>
              <w:jc w:val="center"/>
              <w:rPr/>
            </w:pPr>
            <w:r>
              <w:rPr>
                <w:rStyle w:val="StrongEmphasis"/>
              </w:rPr>
              <w:t>Value of Shares of Stock That Have Not Vested</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07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Equity Incentive Plan Awards: Number of Unearned Shares That Have Not Vested</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07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Equity Incentive Plan Awards: Market or Payout Value of Unearned Shares That Have Not Vested</w:t>
            </w:r>
          </w:p>
        </w:tc>
        <w:tc>
          <w:tcPr>
            <w:tcW w:w="135" w:type="dxa"/>
            <w:tcBorders/>
            <w:shd w:fill="auto" w:val="clear"/>
            <w:vAlign w:val="center"/>
          </w:tcPr>
          <w:p>
            <w:pPr>
              <w:pStyle w:val="TableContents"/>
              <w:spacing w:before="0" w:after="0"/>
              <w:ind w:left="0" w:right="0" w:hanging="0"/>
              <w:rPr/>
            </w:pPr>
            <w:r>
              <w:rPr/>
              <w:t> </w:t>
            </w:r>
          </w:p>
        </w:tc>
      </w:tr>
      <w:tr>
        <w:trPr/>
        <w:tc>
          <w:tcPr>
            <w:tcW w:w="980" w:type="dxa"/>
            <w:tcBorders/>
            <w:shd w:fill="CCEEFF" w:val="clear"/>
            <w:vAlign w:val="center"/>
          </w:tcPr>
          <w:p>
            <w:pPr>
              <w:pStyle w:val="TableContents"/>
              <w:spacing w:before="0" w:after="0"/>
              <w:ind w:left="0" w:right="0" w:hanging="0"/>
              <w:rPr/>
            </w:pPr>
            <w:r>
              <w:rPr/>
              <w:t>Barry B. Goldstein</w:t>
            </w:r>
          </w:p>
        </w:tc>
        <w:tc>
          <w:tcPr>
            <w:tcW w:w="90" w:type="dxa"/>
            <w:tcBorders/>
            <w:shd w:fill="CCEEFF" w:val="clear"/>
            <w:vAlign w:val="center"/>
          </w:tcPr>
          <w:p>
            <w:pPr>
              <w:pStyle w:val="TableContents"/>
              <w:spacing w:before="0" w:after="0"/>
              <w:ind w:left="0" w:right="0" w:hanging="0"/>
              <w:rPr/>
            </w:pPr>
            <w:r>
              <w:rPr/>
              <w:t> </w:t>
            </w:r>
          </w:p>
        </w:tc>
        <w:tc>
          <w:tcPr>
            <w:tcW w:w="145" w:type="dxa"/>
            <w:tcBorders/>
            <w:shd w:fill="CCEEFF" w:val="clear"/>
            <w:vAlign w:val="center"/>
          </w:tcPr>
          <w:p>
            <w:pPr>
              <w:pStyle w:val="TableContents"/>
              <w:spacing w:before="0" w:after="0"/>
              <w:ind w:left="0" w:right="0" w:hanging="0"/>
              <w:rPr/>
            </w:pPr>
            <w:r>
              <w:rPr/>
              <w:t> </w:t>
            </w:r>
          </w:p>
        </w:tc>
        <w:tc>
          <w:tcPr>
            <w:tcW w:w="115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65" w:type="dxa"/>
            <w:tcBorders/>
            <w:shd w:fill="CCEEFF" w:val="clear"/>
            <w:vAlign w:val="center"/>
          </w:tcPr>
          <w:p>
            <w:pPr>
              <w:pStyle w:val="TableContents"/>
              <w:spacing w:before="0" w:after="0"/>
              <w:ind w:left="0" w:right="0" w:hanging="0"/>
              <w:rPr/>
            </w:pPr>
            <w:r>
              <w:rPr/>
              <w:t> </w:t>
            </w:r>
          </w:p>
        </w:tc>
        <w:tc>
          <w:tcPr>
            <w:tcW w:w="1310" w:type="dxa"/>
            <w:tcBorders/>
            <w:shd w:fill="CCEEFF" w:val="clear"/>
            <w:vAlign w:val="center"/>
          </w:tcPr>
          <w:p>
            <w:pPr>
              <w:pStyle w:val="TableContents"/>
              <w:spacing w:before="0" w:after="283"/>
              <w:jc w:val="right"/>
              <w:rPr/>
            </w:pPr>
            <w:r>
              <w:rPr/>
              <w:t>-</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40" w:type="dxa"/>
            <w:tcBorders/>
            <w:shd w:fill="CCEEFF" w:val="clear"/>
            <w:vAlign w:val="center"/>
          </w:tcPr>
          <w:p>
            <w:pPr>
              <w:pStyle w:val="TableContents"/>
              <w:spacing w:before="0" w:after="0"/>
              <w:ind w:left="0" w:right="0" w:hanging="0"/>
              <w:rPr/>
            </w:pPr>
            <w:r>
              <w:rPr/>
              <w:t> </w:t>
            </w:r>
          </w:p>
        </w:tc>
        <w:tc>
          <w:tcPr>
            <w:tcW w:w="665"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479" w:type="dxa"/>
            <w:tcBorders/>
            <w:shd w:fill="CCEEFF" w:val="clear"/>
            <w:vAlign w:val="center"/>
          </w:tcPr>
          <w:p>
            <w:pPr>
              <w:pStyle w:val="TableContents"/>
              <w:spacing w:before="0" w:after="0"/>
              <w:ind w:left="0" w:right="0" w:hanging="0"/>
              <w:rPr/>
            </w:pPr>
            <w:r>
              <w:rPr/>
              <w:t> </w:t>
            </w:r>
          </w:p>
        </w:tc>
        <w:tc>
          <w:tcPr>
            <w:tcW w:w="666"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174,622</w:t>
            </w:r>
          </w:p>
        </w:tc>
        <w:tc>
          <w:tcPr>
            <w:tcW w:w="245" w:type="dxa"/>
            <w:tcBorders/>
            <w:shd w:fill="CCEEFF" w:val="clear"/>
            <w:vAlign w:val="center"/>
          </w:tcPr>
          <w:p>
            <w:pPr>
              <w:pStyle w:val="TableContents"/>
              <w:spacing w:before="0" w:after="283"/>
              <w:rPr/>
            </w:pPr>
            <w:r>
              <w:rPr/>
              <w:t>(1)</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1,161,236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447" w:type="dxa"/>
            <w:tcBorders/>
            <w:shd w:fill="CCEEFF" w:val="clear"/>
            <w:vAlign w:val="center"/>
          </w:tcPr>
          <w:p>
            <w:pPr>
              <w:pStyle w:val="TableContents"/>
              <w:spacing w:before="0" w:after="0"/>
              <w:ind w:left="0" w:right="0" w:hanging="0"/>
              <w:rPr/>
            </w:pPr>
            <w:r>
              <w:rPr/>
              <w:t> </w:t>
            </w:r>
          </w:p>
        </w:tc>
        <w:tc>
          <w:tcPr>
            <w:tcW w:w="623"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616" w:type="dxa"/>
            <w:tcBorders/>
            <w:shd w:fill="CCEEFF" w:val="clear"/>
            <w:vAlign w:val="center"/>
          </w:tcPr>
          <w:p>
            <w:pPr>
              <w:pStyle w:val="TableContents"/>
              <w:spacing w:before="0" w:after="283"/>
              <w:rPr/>
            </w:pPr>
            <w:r>
              <w:rPr/>
              <w:t>$</w:t>
            </w:r>
          </w:p>
        </w:tc>
        <w:tc>
          <w:tcPr>
            <w:tcW w:w="454" w:type="dxa"/>
            <w:tcBorders/>
            <w:shd w:fill="CCEEFF" w:val="clear"/>
            <w:vAlign w:val="center"/>
          </w:tcPr>
          <w:p>
            <w:pPr>
              <w:pStyle w:val="TableContents"/>
              <w:spacing w:before="0" w:after="283"/>
              <w:jc w:val="right"/>
              <w:rPr/>
            </w:pPr>
            <w:r>
              <w:rPr/>
              <w:t>-</w:t>
            </w:r>
          </w:p>
        </w:tc>
        <w:tc>
          <w:tcPr>
            <w:tcW w:w="135" w:type="dxa"/>
            <w:tcBorders/>
            <w:shd w:fill="CCEEFF" w:val="clear"/>
            <w:vAlign w:val="center"/>
          </w:tcPr>
          <w:p>
            <w:pPr>
              <w:pStyle w:val="TableContents"/>
              <w:spacing w:before="0" w:after="0"/>
              <w:ind w:left="0" w:right="0" w:hanging="0"/>
              <w:rPr/>
            </w:pPr>
            <w:r>
              <w:rPr/>
              <w:t> </w:t>
            </w:r>
          </w:p>
        </w:tc>
      </w:tr>
      <w:tr>
        <w:trPr/>
        <w:tc>
          <w:tcPr>
            <w:tcW w:w="98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5" w:type="dxa"/>
            <w:tcBorders/>
            <w:shd w:fill="FFFFFF" w:val="clear"/>
            <w:vAlign w:val="center"/>
          </w:tcPr>
          <w:p>
            <w:pPr>
              <w:pStyle w:val="TableContents"/>
              <w:spacing w:before="0" w:after="0"/>
              <w:ind w:left="0" w:right="0" w:hanging="0"/>
              <w:rPr/>
            </w:pPr>
            <w:r>
              <w:rPr/>
              <w:t> </w:t>
            </w:r>
          </w:p>
        </w:tc>
        <w:tc>
          <w:tcPr>
            <w:tcW w:w="11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65" w:type="dxa"/>
            <w:tcBorders/>
            <w:shd w:fill="FFFFFF" w:val="clear"/>
            <w:vAlign w:val="center"/>
          </w:tcPr>
          <w:p>
            <w:pPr>
              <w:pStyle w:val="TableContents"/>
              <w:spacing w:before="0" w:after="0"/>
              <w:ind w:left="0" w:right="0" w:hanging="0"/>
              <w:rPr/>
            </w:pPr>
            <w:r>
              <w:rPr/>
              <w:t> </w:t>
            </w:r>
          </w:p>
        </w:tc>
        <w:tc>
          <w:tcPr>
            <w:tcW w:w="131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40" w:type="dxa"/>
            <w:tcBorders/>
            <w:shd w:fill="FFFFFF" w:val="clear"/>
            <w:vAlign w:val="center"/>
          </w:tcPr>
          <w:p>
            <w:pPr>
              <w:pStyle w:val="TableContents"/>
              <w:spacing w:before="0" w:after="0"/>
              <w:ind w:left="0" w:right="0" w:hanging="0"/>
              <w:rPr/>
            </w:pPr>
            <w:r>
              <w:rPr/>
              <w:t> </w:t>
            </w:r>
          </w:p>
        </w:tc>
        <w:tc>
          <w:tcPr>
            <w:tcW w:w="66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479" w:type="dxa"/>
            <w:tcBorders/>
            <w:shd w:fill="FFFFFF" w:val="clear"/>
            <w:vAlign w:val="center"/>
          </w:tcPr>
          <w:p>
            <w:pPr>
              <w:pStyle w:val="TableContents"/>
              <w:spacing w:before="0" w:after="0"/>
              <w:ind w:left="0" w:right="0" w:hanging="0"/>
              <w:rPr/>
            </w:pPr>
            <w:r>
              <w:rPr/>
              <w:t> </w:t>
            </w:r>
          </w:p>
        </w:tc>
        <w:tc>
          <w:tcPr>
            <w:tcW w:w="666"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447" w:type="dxa"/>
            <w:tcBorders/>
            <w:shd w:fill="FFFFFF" w:val="clear"/>
            <w:vAlign w:val="center"/>
          </w:tcPr>
          <w:p>
            <w:pPr>
              <w:pStyle w:val="TableContents"/>
              <w:spacing w:before="0" w:after="0"/>
              <w:ind w:left="0" w:right="0" w:hanging="0"/>
              <w:rPr/>
            </w:pPr>
            <w:r>
              <w:rPr/>
              <w:t> </w:t>
            </w:r>
          </w:p>
        </w:tc>
        <w:tc>
          <w:tcPr>
            <w:tcW w:w="623"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616" w:type="dxa"/>
            <w:tcBorders/>
            <w:shd w:fill="FFFFFF" w:val="clear"/>
            <w:vAlign w:val="center"/>
          </w:tcPr>
          <w:p>
            <w:pPr>
              <w:pStyle w:val="TableContents"/>
              <w:spacing w:before="0" w:after="0"/>
              <w:ind w:left="0" w:right="0" w:hanging="0"/>
              <w:rPr/>
            </w:pPr>
            <w:r>
              <w:rPr/>
              <w:t> </w:t>
            </w:r>
          </w:p>
        </w:tc>
        <w:tc>
          <w:tcPr>
            <w:tcW w:w="454" w:type="dxa"/>
            <w:tcBorders/>
            <w:shd w:fill="FFFFFF" w:val="clear"/>
            <w:vAlign w:val="center"/>
          </w:tcPr>
          <w:p>
            <w:pPr>
              <w:pStyle w:val="TableContents"/>
              <w:spacing w:before="0" w:after="0"/>
              <w:ind w:left="0" w:right="0" w:hanging="0"/>
              <w:rPr/>
            </w:pPr>
            <w:r>
              <w:rPr/>
              <w:t> </w:t>
            </w:r>
          </w:p>
        </w:tc>
        <w:tc>
          <w:tcPr>
            <w:tcW w:w="135" w:type="dxa"/>
            <w:tcBorders/>
            <w:shd w:fill="FFFFFF" w:val="clear"/>
            <w:vAlign w:val="center"/>
          </w:tcPr>
          <w:p>
            <w:pPr>
              <w:pStyle w:val="TableContents"/>
              <w:spacing w:before="0" w:after="0"/>
              <w:ind w:left="0" w:right="0" w:hanging="0"/>
              <w:rPr/>
            </w:pPr>
            <w:r>
              <w:rPr/>
              <w:t> </w:t>
            </w:r>
          </w:p>
        </w:tc>
      </w:tr>
      <w:tr>
        <w:trPr/>
        <w:tc>
          <w:tcPr>
            <w:tcW w:w="980" w:type="dxa"/>
            <w:tcBorders/>
            <w:shd w:fill="CCEEFF" w:val="clear"/>
            <w:vAlign w:val="center"/>
          </w:tcPr>
          <w:p>
            <w:pPr>
              <w:pStyle w:val="TableContents"/>
              <w:spacing w:before="0" w:after="0"/>
              <w:ind w:left="0" w:right="0" w:hanging="0"/>
              <w:rPr/>
            </w:pPr>
            <w:r>
              <w:rPr/>
              <w:t>Meryl S. Golden</w:t>
            </w:r>
          </w:p>
        </w:tc>
        <w:tc>
          <w:tcPr>
            <w:tcW w:w="90" w:type="dxa"/>
            <w:tcBorders/>
            <w:shd w:fill="CCEEFF" w:val="clear"/>
            <w:vAlign w:val="center"/>
          </w:tcPr>
          <w:p>
            <w:pPr>
              <w:pStyle w:val="TableContents"/>
              <w:spacing w:before="0" w:after="0"/>
              <w:ind w:left="0" w:right="0" w:hanging="0"/>
              <w:rPr/>
            </w:pPr>
            <w:r>
              <w:rPr/>
              <w:t> </w:t>
            </w:r>
          </w:p>
        </w:tc>
        <w:tc>
          <w:tcPr>
            <w:tcW w:w="145" w:type="dxa"/>
            <w:tcBorders/>
            <w:shd w:fill="CCEEFF" w:val="clear"/>
            <w:vAlign w:val="center"/>
          </w:tcPr>
          <w:p>
            <w:pPr>
              <w:pStyle w:val="TableContents"/>
              <w:spacing w:before="0" w:after="0"/>
              <w:ind w:left="0" w:right="0" w:hanging="0"/>
              <w:rPr/>
            </w:pPr>
            <w:r>
              <w:rPr/>
              <w:t> </w:t>
            </w:r>
          </w:p>
        </w:tc>
        <w:tc>
          <w:tcPr>
            <w:tcW w:w="1150" w:type="dxa"/>
            <w:tcBorders/>
            <w:shd w:fill="CCEEFF" w:val="clear"/>
            <w:vAlign w:val="center"/>
          </w:tcPr>
          <w:p>
            <w:pPr>
              <w:pStyle w:val="TableContents"/>
              <w:spacing w:before="0" w:after="283"/>
              <w:jc w:val="right"/>
              <w:rPr/>
            </w:pPr>
            <w:r>
              <w:rPr/>
              <w:t>25,000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65" w:type="dxa"/>
            <w:tcBorders/>
            <w:shd w:fill="CCEEFF" w:val="clear"/>
            <w:vAlign w:val="center"/>
          </w:tcPr>
          <w:p>
            <w:pPr>
              <w:pStyle w:val="TableContents"/>
              <w:spacing w:before="0" w:after="0"/>
              <w:ind w:left="0" w:right="0" w:hanging="0"/>
              <w:rPr/>
            </w:pPr>
            <w:r>
              <w:rPr/>
              <w:t> </w:t>
            </w:r>
          </w:p>
        </w:tc>
        <w:tc>
          <w:tcPr>
            <w:tcW w:w="1310" w:type="dxa"/>
            <w:tcBorders/>
            <w:shd w:fill="CCEEFF" w:val="clear"/>
            <w:vAlign w:val="center"/>
          </w:tcPr>
          <w:p>
            <w:pPr>
              <w:pStyle w:val="TableContents"/>
              <w:spacing w:before="0" w:after="283"/>
              <w:jc w:val="right"/>
              <w:rPr/>
            </w:pPr>
            <w:r>
              <w:rPr/>
              <w:t>25,000</w:t>
            </w:r>
          </w:p>
        </w:tc>
        <w:tc>
          <w:tcPr>
            <w:tcW w:w="245" w:type="dxa"/>
            <w:tcBorders/>
            <w:shd w:fill="CCEEFF" w:val="clear"/>
            <w:vAlign w:val="center"/>
          </w:tcPr>
          <w:p>
            <w:pPr>
              <w:pStyle w:val="TableContents"/>
              <w:spacing w:before="0" w:after="283"/>
              <w:rPr/>
            </w:pPr>
            <w:r>
              <w:rPr/>
              <w:t>(2)</w:t>
            </w:r>
          </w:p>
        </w:tc>
        <w:tc>
          <w:tcPr>
            <w:tcW w:w="90" w:type="dxa"/>
            <w:tcBorders/>
            <w:shd w:fill="CCEEFF" w:val="clear"/>
            <w:vAlign w:val="center"/>
          </w:tcPr>
          <w:p>
            <w:pPr>
              <w:pStyle w:val="TableContents"/>
              <w:spacing w:before="0" w:after="0"/>
              <w:ind w:left="0" w:right="0" w:hanging="0"/>
              <w:rPr/>
            </w:pPr>
            <w:r>
              <w:rPr/>
              <w:t> </w:t>
            </w:r>
          </w:p>
        </w:tc>
        <w:tc>
          <w:tcPr>
            <w:tcW w:w="240"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jc w:val="right"/>
              <w:rPr/>
            </w:pPr>
            <w:r>
              <w:rPr/>
              <w:t>8.72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45" w:type="dxa"/>
            <w:gridSpan w:val="2"/>
            <w:tcBorders/>
            <w:shd w:fill="CCEEFF" w:val="clear"/>
            <w:vAlign w:val="center"/>
          </w:tcPr>
          <w:p>
            <w:pPr>
              <w:pStyle w:val="TableContents"/>
              <w:spacing w:before="0" w:after="0"/>
              <w:ind w:left="0" w:right="0" w:hanging="0"/>
              <w:jc w:val="center"/>
              <w:rPr/>
            </w:pPr>
            <w:r>
              <w:rPr/>
              <w:t>9/25/24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447" w:type="dxa"/>
            <w:tcBorders/>
            <w:shd w:fill="CCEEFF" w:val="clear"/>
            <w:vAlign w:val="center"/>
          </w:tcPr>
          <w:p>
            <w:pPr>
              <w:pStyle w:val="TableContents"/>
              <w:spacing w:before="0" w:after="0"/>
              <w:ind w:left="0" w:right="0" w:hanging="0"/>
              <w:rPr/>
            </w:pPr>
            <w:r>
              <w:rPr/>
              <w:t> </w:t>
            </w:r>
          </w:p>
        </w:tc>
        <w:tc>
          <w:tcPr>
            <w:tcW w:w="623"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616" w:type="dxa"/>
            <w:tcBorders/>
            <w:shd w:fill="CCEEFF" w:val="clear"/>
            <w:vAlign w:val="center"/>
          </w:tcPr>
          <w:p>
            <w:pPr>
              <w:pStyle w:val="TableContents"/>
              <w:spacing w:before="0" w:after="283"/>
              <w:rPr/>
            </w:pPr>
            <w:r>
              <w:rPr/>
              <w:t>$</w:t>
            </w:r>
          </w:p>
        </w:tc>
        <w:tc>
          <w:tcPr>
            <w:tcW w:w="454" w:type="dxa"/>
            <w:tcBorders/>
            <w:shd w:fill="CCEEFF" w:val="clear"/>
            <w:vAlign w:val="center"/>
          </w:tcPr>
          <w:p>
            <w:pPr>
              <w:pStyle w:val="TableContents"/>
              <w:spacing w:before="0" w:after="283"/>
              <w:jc w:val="right"/>
              <w:rPr/>
            </w:pPr>
            <w:r>
              <w:rPr/>
              <w:t>-</w:t>
            </w:r>
          </w:p>
        </w:tc>
        <w:tc>
          <w:tcPr>
            <w:tcW w:w="135" w:type="dxa"/>
            <w:tcBorders/>
            <w:shd w:fill="CCEEFF" w:val="clear"/>
            <w:vAlign w:val="center"/>
          </w:tcPr>
          <w:p>
            <w:pPr>
              <w:pStyle w:val="TableContents"/>
              <w:spacing w:before="0" w:after="0"/>
              <w:ind w:left="0" w:right="0" w:hanging="0"/>
              <w:rPr/>
            </w:pPr>
            <w:r>
              <w:rPr/>
              <w:t> </w:t>
            </w:r>
          </w:p>
        </w:tc>
      </w:tr>
      <w:tr>
        <w:trPr/>
        <w:tc>
          <w:tcPr>
            <w:tcW w:w="98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5" w:type="dxa"/>
            <w:tcBorders/>
            <w:shd w:fill="FFFFFF" w:val="clear"/>
            <w:vAlign w:val="center"/>
          </w:tcPr>
          <w:p>
            <w:pPr>
              <w:pStyle w:val="TableContents"/>
              <w:spacing w:before="0" w:after="0"/>
              <w:ind w:left="0" w:right="0" w:hanging="0"/>
              <w:rPr/>
            </w:pPr>
            <w:r>
              <w:rPr/>
              <w:t> </w:t>
            </w:r>
          </w:p>
        </w:tc>
        <w:tc>
          <w:tcPr>
            <w:tcW w:w="11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65" w:type="dxa"/>
            <w:tcBorders/>
            <w:shd w:fill="FFFFFF" w:val="clear"/>
            <w:vAlign w:val="center"/>
          </w:tcPr>
          <w:p>
            <w:pPr>
              <w:pStyle w:val="TableContents"/>
              <w:spacing w:before="0" w:after="0"/>
              <w:ind w:left="0" w:right="0" w:hanging="0"/>
              <w:rPr/>
            </w:pPr>
            <w:r>
              <w:rPr/>
              <w:t> </w:t>
            </w:r>
          </w:p>
        </w:tc>
        <w:tc>
          <w:tcPr>
            <w:tcW w:w="131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40" w:type="dxa"/>
            <w:tcBorders/>
            <w:shd w:fill="FFFFFF" w:val="clear"/>
            <w:vAlign w:val="center"/>
          </w:tcPr>
          <w:p>
            <w:pPr>
              <w:pStyle w:val="TableContents"/>
              <w:spacing w:before="0" w:after="0"/>
              <w:ind w:left="0" w:right="0" w:hanging="0"/>
              <w:rPr/>
            </w:pPr>
            <w:r>
              <w:rPr/>
              <w:t> </w:t>
            </w:r>
          </w:p>
        </w:tc>
        <w:tc>
          <w:tcPr>
            <w:tcW w:w="66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479" w:type="dxa"/>
            <w:tcBorders/>
            <w:shd w:fill="FFFFFF" w:val="clear"/>
            <w:vAlign w:val="center"/>
          </w:tcPr>
          <w:p>
            <w:pPr>
              <w:pStyle w:val="TableContents"/>
              <w:spacing w:before="0" w:after="0"/>
              <w:ind w:left="0" w:right="0" w:hanging="0"/>
              <w:rPr/>
            </w:pPr>
            <w:r>
              <w:rPr/>
              <w:t> </w:t>
            </w:r>
          </w:p>
        </w:tc>
        <w:tc>
          <w:tcPr>
            <w:tcW w:w="666"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447" w:type="dxa"/>
            <w:tcBorders/>
            <w:shd w:fill="FFFFFF" w:val="clear"/>
            <w:vAlign w:val="center"/>
          </w:tcPr>
          <w:p>
            <w:pPr>
              <w:pStyle w:val="TableContents"/>
              <w:spacing w:before="0" w:after="0"/>
              <w:ind w:left="0" w:right="0" w:hanging="0"/>
              <w:rPr/>
            </w:pPr>
            <w:r>
              <w:rPr/>
              <w:t> </w:t>
            </w:r>
          </w:p>
        </w:tc>
        <w:tc>
          <w:tcPr>
            <w:tcW w:w="623"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616" w:type="dxa"/>
            <w:tcBorders/>
            <w:shd w:fill="FFFFFF" w:val="clear"/>
            <w:vAlign w:val="center"/>
          </w:tcPr>
          <w:p>
            <w:pPr>
              <w:pStyle w:val="TableContents"/>
              <w:spacing w:before="0" w:after="0"/>
              <w:ind w:left="0" w:right="0" w:hanging="0"/>
              <w:rPr/>
            </w:pPr>
            <w:r>
              <w:rPr/>
              <w:t> </w:t>
            </w:r>
          </w:p>
        </w:tc>
        <w:tc>
          <w:tcPr>
            <w:tcW w:w="454" w:type="dxa"/>
            <w:tcBorders/>
            <w:shd w:fill="FFFFFF" w:val="clear"/>
            <w:vAlign w:val="center"/>
          </w:tcPr>
          <w:p>
            <w:pPr>
              <w:pStyle w:val="TableContents"/>
              <w:spacing w:before="0" w:after="0"/>
              <w:ind w:left="0" w:right="0" w:hanging="0"/>
              <w:rPr/>
            </w:pPr>
            <w:r>
              <w:rPr/>
              <w:t> </w:t>
            </w:r>
          </w:p>
        </w:tc>
        <w:tc>
          <w:tcPr>
            <w:tcW w:w="135" w:type="dxa"/>
            <w:tcBorders/>
            <w:shd w:fill="FFFFFF" w:val="clear"/>
            <w:vAlign w:val="center"/>
          </w:tcPr>
          <w:p>
            <w:pPr>
              <w:pStyle w:val="TableContents"/>
              <w:spacing w:before="0" w:after="0"/>
              <w:ind w:left="0" w:right="0" w:hanging="0"/>
              <w:rPr/>
            </w:pPr>
            <w:r>
              <w:rPr/>
              <w:t> </w:t>
            </w:r>
          </w:p>
        </w:tc>
      </w:tr>
      <w:tr>
        <w:trPr/>
        <w:tc>
          <w:tcPr>
            <w:tcW w:w="980" w:type="dxa"/>
            <w:tcBorders/>
            <w:shd w:fill="CCEEFF" w:val="clear"/>
            <w:vAlign w:val="center"/>
          </w:tcPr>
          <w:p>
            <w:pPr>
              <w:pStyle w:val="TableContents"/>
              <w:spacing w:before="0" w:after="0"/>
              <w:ind w:left="0" w:right="0" w:hanging="0"/>
              <w:rPr/>
            </w:pPr>
            <w:r>
              <w:rPr/>
              <w:t>Victor J. Brodsky</w:t>
            </w:r>
          </w:p>
        </w:tc>
        <w:tc>
          <w:tcPr>
            <w:tcW w:w="90" w:type="dxa"/>
            <w:tcBorders/>
            <w:shd w:fill="CCEEFF" w:val="clear"/>
            <w:vAlign w:val="center"/>
          </w:tcPr>
          <w:p>
            <w:pPr>
              <w:pStyle w:val="TableContents"/>
              <w:spacing w:before="0" w:after="0"/>
              <w:ind w:left="0" w:right="0" w:hanging="0"/>
              <w:rPr/>
            </w:pPr>
            <w:r>
              <w:rPr/>
              <w:t> </w:t>
            </w:r>
          </w:p>
        </w:tc>
        <w:tc>
          <w:tcPr>
            <w:tcW w:w="145" w:type="dxa"/>
            <w:tcBorders/>
            <w:shd w:fill="CCEEFF" w:val="clear"/>
            <w:vAlign w:val="center"/>
          </w:tcPr>
          <w:p>
            <w:pPr>
              <w:pStyle w:val="TableContents"/>
              <w:spacing w:before="0" w:after="0"/>
              <w:ind w:left="0" w:right="0" w:hanging="0"/>
              <w:rPr/>
            </w:pPr>
            <w:r>
              <w:rPr/>
              <w:t> </w:t>
            </w:r>
          </w:p>
        </w:tc>
        <w:tc>
          <w:tcPr>
            <w:tcW w:w="115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65" w:type="dxa"/>
            <w:tcBorders/>
            <w:shd w:fill="CCEEFF" w:val="clear"/>
            <w:vAlign w:val="center"/>
          </w:tcPr>
          <w:p>
            <w:pPr>
              <w:pStyle w:val="TableContents"/>
              <w:spacing w:before="0" w:after="0"/>
              <w:ind w:left="0" w:right="0" w:hanging="0"/>
              <w:rPr/>
            </w:pPr>
            <w:r>
              <w:rPr/>
              <w:t> </w:t>
            </w:r>
          </w:p>
        </w:tc>
        <w:tc>
          <w:tcPr>
            <w:tcW w:w="1310" w:type="dxa"/>
            <w:tcBorders/>
            <w:shd w:fill="CCEEFF" w:val="clear"/>
            <w:vAlign w:val="center"/>
          </w:tcPr>
          <w:p>
            <w:pPr>
              <w:pStyle w:val="TableContents"/>
              <w:spacing w:before="0" w:after="283"/>
              <w:jc w:val="right"/>
              <w:rPr/>
            </w:pPr>
            <w:r>
              <w:rPr/>
              <w:t>26,064</w:t>
            </w:r>
          </w:p>
        </w:tc>
        <w:tc>
          <w:tcPr>
            <w:tcW w:w="245" w:type="dxa"/>
            <w:tcBorders/>
            <w:shd w:fill="CCEEFF" w:val="clear"/>
            <w:vAlign w:val="center"/>
          </w:tcPr>
          <w:p>
            <w:pPr>
              <w:pStyle w:val="TableContents"/>
              <w:spacing w:before="0" w:after="283"/>
              <w:rPr/>
            </w:pPr>
            <w:r>
              <w:rPr/>
              <w:t>(3)</w:t>
            </w:r>
          </w:p>
        </w:tc>
        <w:tc>
          <w:tcPr>
            <w:tcW w:w="90" w:type="dxa"/>
            <w:tcBorders/>
            <w:shd w:fill="CCEEFF" w:val="clear"/>
            <w:vAlign w:val="center"/>
          </w:tcPr>
          <w:p>
            <w:pPr>
              <w:pStyle w:val="TableContents"/>
              <w:spacing w:before="0" w:after="0"/>
              <w:ind w:left="0" w:right="0" w:hanging="0"/>
              <w:rPr/>
            </w:pPr>
            <w:r>
              <w:rPr/>
              <w:t> </w:t>
            </w:r>
          </w:p>
        </w:tc>
        <w:tc>
          <w:tcPr>
            <w:tcW w:w="240"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jc w:val="right"/>
              <w:rPr/>
            </w:pPr>
            <w:r>
              <w:rPr/>
              <w:t>7.99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45" w:type="dxa"/>
            <w:gridSpan w:val="2"/>
            <w:tcBorders/>
            <w:shd w:fill="CCEEFF" w:val="clear"/>
            <w:vAlign w:val="center"/>
          </w:tcPr>
          <w:p>
            <w:pPr>
              <w:pStyle w:val="TableContents"/>
              <w:spacing w:before="0" w:after="0"/>
              <w:ind w:left="0" w:right="0" w:hanging="0"/>
              <w:jc w:val="center"/>
              <w:rPr/>
            </w:pPr>
            <w:r>
              <w:rPr/>
              <w:t>1/27/25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2,327</w:t>
            </w:r>
          </w:p>
        </w:tc>
        <w:tc>
          <w:tcPr>
            <w:tcW w:w="245" w:type="dxa"/>
            <w:tcBorders/>
            <w:shd w:fill="CCEEFF" w:val="clear"/>
            <w:vAlign w:val="center"/>
          </w:tcPr>
          <w:p>
            <w:pPr>
              <w:pStyle w:val="TableContents"/>
              <w:spacing w:before="0" w:after="283"/>
              <w:rPr/>
            </w:pPr>
            <w:r>
              <w:rPr/>
              <w:t>(4)</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15,475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447" w:type="dxa"/>
            <w:tcBorders/>
            <w:shd w:fill="CCEEFF" w:val="clear"/>
            <w:vAlign w:val="center"/>
          </w:tcPr>
          <w:p>
            <w:pPr>
              <w:pStyle w:val="TableContents"/>
              <w:spacing w:before="0" w:after="0"/>
              <w:ind w:left="0" w:right="0" w:hanging="0"/>
              <w:rPr/>
            </w:pPr>
            <w:r>
              <w:rPr/>
              <w:t> </w:t>
            </w:r>
          </w:p>
        </w:tc>
        <w:tc>
          <w:tcPr>
            <w:tcW w:w="623"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616" w:type="dxa"/>
            <w:tcBorders/>
            <w:shd w:fill="CCEEFF" w:val="clear"/>
            <w:vAlign w:val="center"/>
          </w:tcPr>
          <w:p>
            <w:pPr>
              <w:pStyle w:val="TableContents"/>
              <w:spacing w:before="0" w:after="283"/>
              <w:rPr/>
            </w:pPr>
            <w:r>
              <w:rPr/>
              <w:t>$</w:t>
            </w:r>
          </w:p>
        </w:tc>
        <w:tc>
          <w:tcPr>
            <w:tcW w:w="454" w:type="dxa"/>
            <w:tcBorders/>
            <w:shd w:fill="CCEEFF" w:val="clear"/>
            <w:vAlign w:val="center"/>
          </w:tcPr>
          <w:p>
            <w:pPr>
              <w:pStyle w:val="TableContents"/>
              <w:spacing w:before="0" w:after="283"/>
              <w:jc w:val="right"/>
              <w:rPr/>
            </w:pPr>
            <w:r>
              <w:rPr/>
              <w:t>-</w:t>
            </w:r>
          </w:p>
        </w:tc>
        <w:tc>
          <w:tcPr>
            <w:tcW w:w="135" w:type="dxa"/>
            <w:tcBorders/>
            <w:shd w:fill="CCEEFF" w:val="clear"/>
            <w:vAlign w:val="center"/>
          </w:tcPr>
          <w:p>
            <w:pPr>
              <w:pStyle w:val="TableContents"/>
              <w:spacing w:before="0" w:after="0"/>
              <w:ind w:left="0" w:right="0" w:hanging="0"/>
              <w:rPr/>
            </w:pPr>
            <w:r>
              <w:rPr/>
              <w:t> </w:t>
            </w:r>
          </w:p>
        </w:tc>
      </w:tr>
      <w:tr>
        <w:trPr/>
        <w:tc>
          <w:tcPr>
            <w:tcW w:w="98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5" w:type="dxa"/>
            <w:tcBorders/>
            <w:shd w:fill="FFFFFF" w:val="clear"/>
            <w:vAlign w:val="center"/>
          </w:tcPr>
          <w:p>
            <w:pPr>
              <w:pStyle w:val="TableContents"/>
              <w:spacing w:before="0" w:after="0"/>
              <w:ind w:left="0" w:right="0" w:hanging="0"/>
              <w:rPr/>
            </w:pPr>
            <w:r>
              <w:rPr/>
              <w:t> </w:t>
            </w:r>
          </w:p>
        </w:tc>
        <w:tc>
          <w:tcPr>
            <w:tcW w:w="11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65" w:type="dxa"/>
            <w:tcBorders/>
            <w:shd w:fill="FFFFFF" w:val="clear"/>
            <w:vAlign w:val="center"/>
          </w:tcPr>
          <w:p>
            <w:pPr>
              <w:pStyle w:val="TableContents"/>
              <w:spacing w:before="0" w:after="0"/>
              <w:ind w:left="0" w:right="0" w:hanging="0"/>
              <w:rPr/>
            </w:pPr>
            <w:r>
              <w:rPr/>
              <w:t> </w:t>
            </w:r>
          </w:p>
        </w:tc>
        <w:tc>
          <w:tcPr>
            <w:tcW w:w="131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40" w:type="dxa"/>
            <w:tcBorders/>
            <w:shd w:fill="FFFFFF" w:val="clear"/>
            <w:vAlign w:val="center"/>
          </w:tcPr>
          <w:p>
            <w:pPr>
              <w:pStyle w:val="TableContents"/>
              <w:spacing w:before="0" w:after="0"/>
              <w:ind w:left="0" w:right="0" w:hanging="0"/>
              <w:rPr/>
            </w:pPr>
            <w:r>
              <w:rPr/>
              <w:t> </w:t>
            </w:r>
          </w:p>
        </w:tc>
        <w:tc>
          <w:tcPr>
            <w:tcW w:w="66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479" w:type="dxa"/>
            <w:tcBorders/>
            <w:shd w:fill="FFFFFF" w:val="clear"/>
            <w:vAlign w:val="center"/>
          </w:tcPr>
          <w:p>
            <w:pPr>
              <w:pStyle w:val="TableContents"/>
              <w:spacing w:before="0" w:after="0"/>
              <w:ind w:left="0" w:right="0" w:hanging="0"/>
              <w:rPr/>
            </w:pPr>
            <w:r>
              <w:rPr/>
              <w:t> </w:t>
            </w:r>
          </w:p>
        </w:tc>
        <w:tc>
          <w:tcPr>
            <w:tcW w:w="666"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7,288</w:t>
            </w:r>
          </w:p>
        </w:tc>
        <w:tc>
          <w:tcPr>
            <w:tcW w:w="245" w:type="dxa"/>
            <w:tcBorders/>
            <w:shd w:fill="FFFFFF" w:val="clear"/>
            <w:vAlign w:val="center"/>
          </w:tcPr>
          <w:p>
            <w:pPr>
              <w:pStyle w:val="TableContents"/>
              <w:spacing w:before="0" w:after="283"/>
              <w:rPr/>
            </w:pPr>
            <w:r>
              <w:rPr/>
              <w:t>(5)</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010" w:type="dxa"/>
            <w:tcBorders/>
            <w:shd w:fill="FFFFFF" w:val="clear"/>
            <w:vAlign w:val="center"/>
          </w:tcPr>
          <w:p>
            <w:pPr>
              <w:pStyle w:val="TableContents"/>
              <w:spacing w:before="0" w:after="283"/>
              <w:jc w:val="right"/>
              <w:rPr/>
            </w:pPr>
            <w:r>
              <w:rPr/>
              <w:t>48,465</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447" w:type="dxa"/>
            <w:tcBorders/>
            <w:shd w:fill="FFFFFF" w:val="clear"/>
            <w:vAlign w:val="center"/>
          </w:tcPr>
          <w:p>
            <w:pPr>
              <w:pStyle w:val="TableContents"/>
              <w:spacing w:before="0" w:after="0"/>
              <w:ind w:left="0" w:right="0" w:hanging="0"/>
              <w:rPr/>
            </w:pPr>
            <w:r>
              <w:rPr/>
              <w:t> </w:t>
            </w:r>
          </w:p>
        </w:tc>
        <w:tc>
          <w:tcPr>
            <w:tcW w:w="623" w:type="dxa"/>
            <w:tcBorders/>
            <w:shd w:fill="FFFFFF" w:val="cle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616" w:type="dxa"/>
            <w:tcBorders/>
            <w:shd w:fill="FFFFFF" w:val="clear"/>
            <w:vAlign w:val="center"/>
          </w:tcPr>
          <w:p>
            <w:pPr>
              <w:pStyle w:val="TableContents"/>
              <w:spacing w:before="0" w:after="283"/>
              <w:rPr/>
            </w:pPr>
            <w:r>
              <w:rPr/>
              <w:t>$</w:t>
            </w:r>
          </w:p>
        </w:tc>
        <w:tc>
          <w:tcPr>
            <w:tcW w:w="454" w:type="dxa"/>
            <w:tcBorders/>
            <w:shd w:fill="FFFFFF" w:val="clear"/>
            <w:vAlign w:val="center"/>
          </w:tcPr>
          <w:p>
            <w:pPr>
              <w:pStyle w:val="TableContents"/>
              <w:spacing w:before="0" w:after="283"/>
              <w:jc w:val="right"/>
              <w:rPr/>
            </w:pPr>
            <w:r>
              <w:rPr/>
              <w:t>-</w:t>
            </w:r>
          </w:p>
        </w:tc>
        <w:tc>
          <w:tcPr>
            <w:tcW w:w="135" w:type="dxa"/>
            <w:tcBorders/>
            <w:shd w:fill="FFFFFF" w:val="clear"/>
            <w:vAlign w:val="center"/>
          </w:tcPr>
          <w:p>
            <w:pPr>
              <w:pStyle w:val="TableContents"/>
              <w:spacing w:before="0" w:after="0"/>
              <w:ind w:left="0" w:right="0" w:hanging="0"/>
              <w:rPr/>
            </w:pPr>
            <w:r>
              <w:rPr/>
              <w:t> </w:t>
            </w:r>
          </w:p>
        </w:tc>
      </w:tr>
      <w:tr>
        <w:trPr/>
        <w:tc>
          <w:tcPr>
            <w:tcW w:w="98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5" w:type="dxa"/>
            <w:tcBorders/>
            <w:shd w:fill="CCEEFF" w:val="clear"/>
            <w:vAlign w:val="center"/>
          </w:tcPr>
          <w:p>
            <w:pPr>
              <w:pStyle w:val="TableContents"/>
              <w:spacing w:before="0" w:after="0"/>
              <w:ind w:left="0" w:right="0" w:hanging="0"/>
              <w:rPr/>
            </w:pPr>
            <w:r>
              <w:rPr/>
              <w:t> </w:t>
            </w:r>
          </w:p>
        </w:tc>
        <w:tc>
          <w:tcPr>
            <w:tcW w:w="11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65" w:type="dxa"/>
            <w:tcBorders/>
            <w:shd w:fill="CCEEFF" w:val="clear"/>
            <w:vAlign w:val="center"/>
          </w:tcPr>
          <w:p>
            <w:pPr>
              <w:pStyle w:val="TableContents"/>
              <w:spacing w:before="0" w:after="0"/>
              <w:ind w:left="0" w:right="0" w:hanging="0"/>
              <w:rPr/>
            </w:pPr>
            <w:r>
              <w:rPr/>
              <w:t> </w:t>
            </w:r>
          </w:p>
        </w:tc>
        <w:tc>
          <w:tcPr>
            <w:tcW w:w="131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40" w:type="dxa"/>
            <w:tcBorders/>
            <w:shd w:fill="CCEEFF" w:val="clear"/>
            <w:vAlign w:val="center"/>
          </w:tcPr>
          <w:p>
            <w:pPr>
              <w:pStyle w:val="TableContents"/>
              <w:spacing w:before="0" w:after="0"/>
              <w:ind w:left="0" w:right="0" w:hanging="0"/>
              <w:rPr/>
            </w:pPr>
            <w:r>
              <w:rPr/>
              <w:t> </w:t>
            </w:r>
          </w:p>
        </w:tc>
        <w:tc>
          <w:tcPr>
            <w:tcW w:w="66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479" w:type="dxa"/>
            <w:tcBorders/>
            <w:shd w:fill="CCEEFF" w:val="clear"/>
            <w:vAlign w:val="center"/>
          </w:tcPr>
          <w:p>
            <w:pPr>
              <w:pStyle w:val="TableContents"/>
              <w:spacing w:before="0" w:after="0"/>
              <w:ind w:left="0" w:right="0" w:hanging="0"/>
              <w:rPr/>
            </w:pPr>
            <w:r>
              <w:rPr/>
              <w:t> </w:t>
            </w:r>
          </w:p>
        </w:tc>
        <w:tc>
          <w:tcPr>
            <w:tcW w:w="666"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20" w:type="dxa"/>
            <w:gridSpan w:val="2"/>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447" w:type="dxa"/>
            <w:tcBorders/>
            <w:shd w:fill="CCEEFF" w:val="clear"/>
            <w:vAlign w:val="center"/>
          </w:tcPr>
          <w:p>
            <w:pPr>
              <w:pStyle w:val="TableContents"/>
              <w:spacing w:before="0" w:after="0"/>
              <w:ind w:left="0" w:right="0" w:hanging="0"/>
              <w:rPr/>
            </w:pPr>
            <w:r>
              <w:rPr/>
              <w:t> </w:t>
            </w:r>
          </w:p>
        </w:tc>
        <w:tc>
          <w:tcPr>
            <w:tcW w:w="623"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616" w:type="dxa"/>
            <w:tcBorders/>
            <w:shd w:fill="CCEEFF" w:val="clear"/>
            <w:vAlign w:val="center"/>
          </w:tcPr>
          <w:p>
            <w:pPr>
              <w:pStyle w:val="TableContents"/>
              <w:spacing w:before="0" w:after="0"/>
              <w:ind w:left="0" w:right="0" w:hanging="0"/>
              <w:rPr/>
            </w:pPr>
            <w:r>
              <w:rPr/>
              <w:t> </w:t>
            </w:r>
          </w:p>
        </w:tc>
        <w:tc>
          <w:tcPr>
            <w:tcW w:w="454" w:type="dxa"/>
            <w:tcBorders/>
            <w:shd w:fill="CCEEFF" w:val="clear"/>
            <w:vAlign w:val="center"/>
          </w:tcPr>
          <w:p>
            <w:pPr>
              <w:pStyle w:val="TableContents"/>
              <w:spacing w:before="0" w:after="0"/>
              <w:ind w:left="0" w:right="0" w:hanging="0"/>
              <w:rPr/>
            </w:pPr>
            <w:r>
              <w:rPr/>
              <w:t> </w:t>
            </w:r>
          </w:p>
        </w:tc>
        <w:tc>
          <w:tcPr>
            <w:tcW w:w="135" w:type="dxa"/>
            <w:tcBorders/>
            <w:shd w:fill="CCEEFF" w:val="clear"/>
            <w:vAlign w:val="center"/>
          </w:tcPr>
          <w:p>
            <w:pPr>
              <w:pStyle w:val="TableContents"/>
              <w:spacing w:before="0" w:after="0"/>
              <w:ind w:left="0" w:right="0" w:hanging="0"/>
              <w:rPr/>
            </w:pPr>
            <w:r>
              <w:rPr/>
              <w:t> </w:t>
            </w:r>
          </w:p>
        </w:tc>
      </w:tr>
      <w:tr>
        <w:trPr/>
        <w:tc>
          <w:tcPr>
            <w:tcW w:w="980" w:type="dxa"/>
            <w:tcBorders/>
            <w:shd w:fill="FFFFFF" w:val="clear"/>
            <w:vAlign w:val="center"/>
          </w:tcPr>
          <w:p>
            <w:pPr>
              <w:pStyle w:val="TableContents"/>
              <w:spacing w:before="0" w:after="0"/>
              <w:ind w:left="0" w:right="0" w:hanging="0"/>
              <w:rPr/>
            </w:pPr>
            <w:r>
              <w:rPr/>
              <w:t>Benjamin Walden</w:t>
            </w:r>
          </w:p>
        </w:tc>
        <w:tc>
          <w:tcPr>
            <w:tcW w:w="90" w:type="dxa"/>
            <w:tcBorders/>
            <w:shd w:fill="FFFFFF" w:val="clear"/>
            <w:vAlign w:val="center"/>
          </w:tcPr>
          <w:p>
            <w:pPr>
              <w:pStyle w:val="TableContents"/>
              <w:spacing w:before="0" w:after="0"/>
              <w:ind w:left="0" w:right="0" w:hanging="0"/>
              <w:rPr/>
            </w:pPr>
            <w:r>
              <w:rPr/>
              <w:t> </w:t>
            </w:r>
          </w:p>
        </w:tc>
        <w:tc>
          <w:tcPr>
            <w:tcW w:w="145" w:type="dxa"/>
            <w:tcBorders/>
            <w:shd w:fill="FFFFFF" w:val="clear"/>
            <w:vAlign w:val="center"/>
          </w:tcPr>
          <w:p>
            <w:pPr>
              <w:pStyle w:val="TableContents"/>
              <w:spacing w:before="0" w:after="0"/>
              <w:ind w:left="0" w:right="0" w:hanging="0"/>
              <w:rPr/>
            </w:pPr>
            <w:r>
              <w:rPr/>
              <w:t> </w:t>
            </w:r>
          </w:p>
        </w:tc>
        <w:tc>
          <w:tcPr>
            <w:tcW w:w="1150" w:type="dxa"/>
            <w:tcBorders/>
            <w:shd w:fill="FFFFFF" w:val="clear"/>
            <w:vAlign w:val="center"/>
          </w:tcPr>
          <w:p>
            <w:pPr>
              <w:pStyle w:val="TableContents"/>
              <w:spacing w:before="0" w:after="283"/>
              <w:jc w:val="right"/>
              <w:rPr/>
            </w:pPr>
            <w:r>
              <w:rPr/>
              <w:t>7,000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65" w:type="dxa"/>
            <w:tcBorders/>
            <w:shd w:fill="FFFFFF" w:val="clear"/>
            <w:vAlign w:val="center"/>
          </w:tcPr>
          <w:p>
            <w:pPr>
              <w:pStyle w:val="TableContents"/>
              <w:spacing w:before="0" w:after="0"/>
              <w:ind w:left="0" w:right="0" w:hanging="0"/>
              <w:rPr/>
            </w:pPr>
            <w:r>
              <w:rPr/>
              <w:t> </w:t>
            </w:r>
          </w:p>
        </w:tc>
        <w:tc>
          <w:tcPr>
            <w:tcW w:w="1310" w:type="dxa"/>
            <w:tcBorders/>
            <w:shd w:fill="FFFFFF" w:val="clear"/>
            <w:vAlign w:val="center"/>
          </w:tcPr>
          <w:p>
            <w:pPr>
              <w:pStyle w:val="TableContents"/>
              <w:spacing w:before="0" w:after="283"/>
              <w:jc w:val="right"/>
              <w:rPr/>
            </w:pPr>
            <w:r>
              <w:rPr/>
              <w:t>-</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40" w:type="dxa"/>
            <w:tcBorders/>
            <w:shd w:fill="FFFFFF" w:val="clear"/>
            <w:vAlign w:val="center"/>
          </w:tcPr>
          <w:p>
            <w:pPr>
              <w:pStyle w:val="TableContents"/>
              <w:spacing w:before="0" w:after="283"/>
              <w:rPr/>
            </w:pPr>
            <w:r>
              <w:rPr/>
              <w:t>$</w:t>
            </w:r>
          </w:p>
        </w:tc>
        <w:tc>
          <w:tcPr>
            <w:tcW w:w="665" w:type="dxa"/>
            <w:tcBorders/>
            <w:shd w:fill="FFFFFF" w:val="clear"/>
            <w:vAlign w:val="center"/>
          </w:tcPr>
          <w:p>
            <w:pPr>
              <w:pStyle w:val="TableContents"/>
              <w:spacing w:before="0" w:after="283"/>
              <w:jc w:val="right"/>
              <w:rPr/>
            </w:pPr>
            <w:r>
              <w:rPr/>
              <w:t>7.85</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145" w:type="dxa"/>
            <w:gridSpan w:val="2"/>
            <w:tcBorders/>
            <w:shd w:fill="FFFFFF" w:val="clear"/>
            <w:vAlign w:val="center"/>
          </w:tcPr>
          <w:p>
            <w:pPr>
              <w:pStyle w:val="TableContents"/>
              <w:spacing w:before="0" w:after="0"/>
              <w:ind w:left="0" w:right="0" w:hanging="0"/>
              <w:jc w:val="center"/>
              <w:rPr/>
            </w:pPr>
            <w:r>
              <w:rPr/>
              <w:t xml:space="preserve">3/11/21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010" w:type="dxa"/>
            <w:tcBorders/>
            <w:shd w:fill="FFFFFF" w:val="cle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447" w:type="dxa"/>
            <w:tcBorders/>
            <w:shd w:fill="FFFFFF" w:val="clear"/>
            <w:vAlign w:val="center"/>
          </w:tcPr>
          <w:p>
            <w:pPr>
              <w:pStyle w:val="TableContents"/>
              <w:spacing w:before="0" w:after="0"/>
              <w:ind w:left="0" w:right="0" w:hanging="0"/>
              <w:rPr/>
            </w:pPr>
            <w:r>
              <w:rPr/>
              <w:t> </w:t>
            </w:r>
          </w:p>
        </w:tc>
        <w:tc>
          <w:tcPr>
            <w:tcW w:w="623" w:type="dxa"/>
            <w:tcBorders/>
            <w:shd w:fill="FFFFFF" w:val="cle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616" w:type="dxa"/>
            <w:tcBorders/>
            <w:shd w:fill="FFFFFF" w:val="clear"/>
            <w:vAlign w:val="center"/>
          </w:tcPr>
          <w:p>
            <w:pPr>
              <w:pStyle w:val="TableContents"/>
              <w:spacing w:before="0" w:after="283"/>
              <w:rPr/>
            </w:pPr>
            <w:r>
              <w:rPr/>
              <w:t>$</w:t>
            </w:r>
          </w:p>
        </w:tc>
        <w:tc>
          <w:tcPr>
            <w:tcW w:w="454" w:type="dxa"/>
            <w:tcBorders/>
            <w:shd w:fill="FFFFFF" w:val="clear"/>
            <w:vAlign w:val="center"/>
          </w:tcPr>
          <w:p>
            <w:pPr>
              <w:pStyle w:val="TableContents"/>
              <w:spacing w:before="0" w:after="283"/>
              <w:jc w:val="right"/>
              <w:rPr/>
            </w:pPr>
            <w:r>
              <w:rPr/>
              <w:t>-</w:t>
            </w:r>
          </w:p>
        </w:tc>
        <w:tc>
          <w:tcPr>
            <w:tcW w:w="135" w:type="dxa"/>
            <w:tcBorders/>
            <w:shd w:fill="FFFFFF" w:val="clear"/>
            <w:vAlign w:val="center"/>
          </w:tcPr>
          <w:p>
            <w:pPr>
              <w:pStyle w:val="TableContents"/>
              <w:spacing w:before="0" w:after="0"/>
              <w:ind w:left="0" w:right="0" w:hanging="0"/>
              <w:rPr/>
            </w:pPr>
            <w:r>
              <w:rPr/>
              <w:t> </w:t>
            </w:r>
          </w:p>
        </w:tc>
      </w:tr>
      <w:tr>
        <w:trPr/>
        <w:tc>
          <w:tcPr>
            <w:tcW w:w="98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5" w:type="dxa"/>
            <w:tcBorders/>
            <w:shd w:fill="CCEEFF" w:val="clear"/>
            <w:vAlign w:val="center"/>
          </w:tcPr>
          <w:p>
            <w:pPr>
              <w:pStyle w:val="TableContents"/>
              <w:spacing w:before="0" w:after="0"/>
              <w:ind w:left="0" w:right="0" w:hanging="0"/>
              <w:rPr/>
            </w:pPr>
            <w:r>
              <w:rPr/>
              <w:t> </w:t>
            </w:r>
          </w:p>
        </w:tc>
        <w:tc>
          <w:tcPr>
            <w:tcW w:w="115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65" w:type="dxa"/>
            <w:tcBorders/>
            <w:shd w:fill="CCEEFF" w:val="clear"/>
            <w:vAlign w:val="center"/>
          </w:tcPr>
          <w:p>
            <w:pPr>
              <w:pStyle w:val="TableContents"/>
              <w:spacing w:before="0" w:after="0"/>
              <w:ind w:left="0" w:right="0" w:hanging="0"/>
              <w:rPr/>
            </w:pPr>
            <w:r>
              <w:rPr/>
              <w:t> </w:t>
            </w:r>
          </w:p>
        </w:tc>
        <w:tc>
          <w:tcPr>
            <w:tcW w:w="1310" w:type="dxa"/>
            <w:tcBorders/>
            <w:shd w:fill="CCEEFF" w:val="clear"/>
            <w:vAlign w:val="center"/>
          </w:tcPr>
          <w:p>
            <w:pPr>
              <w:pStyle w:val="TableContents"/>
              <w:spacing w:before="0" w:after="283"/>
              <w:jc w:val="right"/>
              <w:rPr/>
            </w:pPr>
            <w:r>
              <w:rPr/>
              <w:t>19,207</w:t>
            </w:r>
          </w:p>
        </w:tc>
        <w:tc>
          <w:tcPr>
            <w:tcW w:w="245" w:type="dxa"/>
            <w:tcBorders/>
            <w:shd w:fill="CCEEFF" w:val="clear"/>
            <w:vAlign w:val="center"/>
          </w:tcPr>
          <w:p>
            <w:pPr>
              <w:pStyle w:val="TableContents"/>
              <w:spacing w:before="0" w:after="283"/>
              <w:rPr/>
            </w:pPr>
            <w:r>
              <w:rPr/>
              <w:t>(6)</w:t>
            </w:r>
          </w:p>
        </w:tc>
        <w:tc>
          <w:tcPr>
            <w:tcW w:w="90" w:type="dxa"/>
            <w:tcBorders/>
            <w:shd w:fill="CCEEFF" w:val="clear"/>
            <w:vAlign w:val="center"/>
          </w:tcPr>
          <w:p>
            <w:pPr>
              <w:pStyle w:val="TableContents"/>
              <w:spacing w:before="0" w:after="0"/>
              <w:ind w:left="0" w:right="0" w:hanging="0"/>
              <w:rPr/>
            </w:pPr>
            <w:r>
              <w:rPr/>
              <w:t> </w:t>
            </w:r>
          </w:p>
        </w:tc>
        <w:tc>
          <w:tcPr>
            <w:tcW w:w="240"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jc w:val="right"/>
              <w:rPr/>
            </w:pPr>
            <w:r>
              <w:rPr/>
              <w:t>7.88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45" w:type="dxa"/>
            <w:gridSpan w:val="2"/>
            <w:tcBorders/>
            <w:shd w:fill="CCEEFF" w:val="clear"/>
            <w:vAlign w:val="center"/>
          </w:tcPr>
          <w:p>
            <w:pPr>
              <w:pStyle w:val="TableContents"/>
              <w:spacing w:before="0" w:after="0"/>
              <w:ind w:left="0" w:right="0" w:hanging="0"/>
              <w:jc w:val="center"/>
              <w:rPr>
                <w:sz w:val="16"/>
              </w:rPr>
            </w:pPr>
            <w:r>
              <w:rPr>
                <w:sz w:val="16"/>
              </w:rPr>
              <w:t>2/7/25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447" w:type="dxa"/>
            <w:tcBorders/>
            <w:shd w:fill="CCEEFF" w:val="clear"/>
            <w:vAlign w:val="center"/>
          </w:tcPr>
          <w:p>
            <w:pPr>
              <w:pStyle w:val="TableContents"/>
              <w:spacing w:before="0" w:after="0"/>
              <w:ind w:left="0" w:right="0" w:hanging="0"/>
              <w:rPr/>
            </w:pPr>
            <w:r>
              <w:rPr/>
              <w:t> </w:t>
            </w:r>
          </w:p>
        </w:tc>
        <w:tc>
          <w:tcPr>
            <w:tcW w:w="623"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616" w:type="dxa"/>
            <w:tcBorders/>
            <w:shd w:fill="CCEEFF" w:val="clear"/>
            <w:vAlign w:val="center"/>
          </w:tcPr>
          <w:p>
            <w:pPr>
              <w:pStyle w:val="TableContents"/>
              <w:spacing w:before="0" w:after="0"/>
              <w:ind w:left="0" w:right="0" w:hanging="0"/>
              <w:rPr/>
            </w:pPr>
            <w:r>
              <w:rPr/>
              <w:t> </w:t>
            </w:r>
          </w:p>
        </w:tc>
        <w:tc>
          <w:tcPr>
            <w:tcW w:w="454" w:type="dxa"/>
            <w:tcBorders/>
            <w:shd w:fill="CCEEFF" w:val="clear"/>
            <w:vAlign w:val="center"/>
          </w:tcPr>
          <w:p>
            <w:pPr>
              <w:pStyle w:val="TableContents"/>
              <w:spacing w:before="0" w:after="0"/>
              <w:ind w:left="0" w:right="0" w:hanging="0"/>
              <w:rPr/>
            </w:pPr>
            <w:r>
              <w:rPr/>
              <w:t> </w:t>
            </w:r>
          </w:p>
        </w:tc>
        <w:tc>
          <w:tcPr>
            <w:tcW w:w="135"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555"/>
        <w:gridCol w:w="9650"/>
      </w:tblGrid>
      <w:tr>
        <w:trPr/>
        <w:tc>
          <w:tcPr>
            <w:tcW w:w="555" w:type="dxa"/>
            <w:tcBorders/>
            <w:shd w:fill="auto" w:val="clear"/>
            <w:vAlign w:val="center"/>
          </w:tcPr>
          <w:p>
            <w:pPr>
              <w:pStyle w:val="TableContents"/>
              <w:spacing w:before="0" w:after="0"/>
              <w:ind w:left="0" w:right="0" w:hanging="0"/>
              <w:rPr/>
            </w:pPr>
            <w:r>
              <w:rPr/>
              <w:t xml:space="preserve">(1) </w:t>
            </w:r>
          </w:p>
        </w:tc>
        <w:tc>
          <w:tcPr>
            <w:tcW w:w="9650" w:type="dxa"/>
            <w:tcBorders/>
            <w:shd w:fill="auto" w:val="clear"/>
            <w:vAlign w:val="center"/>
          </w:tcPr>
          <w:p>
            <w:pPr>
              <w:pStyle w:val="TableContents"/>
              <w:spacing w:before="0" w:after="283"/>
              <w:rPr/>
            </w:pPr>
            <w:r>
              <w:rPr/>
              <w:t>Such shares vested to the extent of 58,208 shares on January 3, 2021 and will vest to the extent of 58,207 shares on each of January 3, 2022 and 2023.</w:t>
            </w:r>
          </w:p>
        </w:tc>
      </w:tr>
      <w:tr>
        <w:trPr/>
        <w:tc>
          <w:tcPr>
            <w:tcW w:w="555" w:type="dxa"/>
            <w:tcBorders/>
            <w:shd w:fill="auto" w:val="clear"/>
            <w:vAlign w:val="center"/>
          </w:tcPr>
          <w:p>
            <w:pPr>
              <w:pStyle w:val="TableContents"/>
              <w:spacing w:before="0" w:after="0"/>
              <w:ind w:left="0" w:right="0" w:firstLine="450"/>
              <w:rPr/>
            </w:pPr>
            <w:r>
              <w:rPr/>
              <w:t> </w:t>
            </w:r>
          </w:p>
        </w:tc>
        <w:tc>
          <w:tcPr>
            <w:tcW w:w="9650" w:type="dxa"/>
            <w:tcBorders/>
            <w:shd w:fill="auto" w:val="clear"/>
            <w:vAlign w:val="center"/>
          </w:tcPr>
          <w:p>
            <w:pPr>
              <w:pStyle w:val="TableContents"/>
              <w:spacing w:before="0" w:after="0"/>
              <w:ind w:left="0" w:right="0" w:hanging="0"/>
              <w:rPr/>
            </w:pPr>
            <w:r>
              <w:rPr/>
              <w:t> </w:t>
            </w:r>
          </w:p>
        </w:tc>
      </w:tr>
      <w:tr>
        <w:trPr/>
        <w:tc>
          <w:tcPr>
            <w:tcW w:w="555" w:type="dxa"/>
            <w:tcBorders/>
            <w:shd w:fill="auto" w:val="clear"/>
            <w:vAlign w:val="center"/>
          </w:tcPr>
          <w:p>
            <w:pPr>
              <w:pStyle w:val="TableContents"/>
              <w:spacing w:before="0" w:after="0"/>
              <w:ind w:left="0" w:right="0" w:hanging="0"/>
              <w:rPr/>
            </w:pPr>
            <w:r>
              <w:rPr/>
              <w:t xml:space="preserve">(2) </w:t>
            </w:r>
          </w:p>
        </w:tc>
        <w:tc>
          <w:tcPr>
            <w:tcW w:w="9650" w:type="dxa"/>
            <w:tcBorders/>
            <w:shd w:fill="auto" w:val="clear"/>
            <w:vAlign w:val="center"/>
          </w:tcPr>
          <w:p>
            <w:pPr>
              <w:pStyle w:val="TableContents"/>
              <w:spacing w:before="0" w:after="283"/>
              <w:rPr/>
            </w:pPr>
            <w:r>
              <w:rPr/>
              <w:t>Such option is exercisable to the extent of 12,500 shares on each of September 25, 2021 and 2022.</w:t>
            </w:r>
          </w:p>
        </w:tc>
      </w:tr>
    </w:tbl>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70</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tbl>
      <w:tblPr>
        <w:tblW w:w="8855" w:type="dxa"/>
        <w:jc w:val="left"/>
        <w:tblInd w:w="0" w:type="dxa"/>
        <w:tblCellMar>
          <w:top w:w="0" w:type="dxa"/>
          <w:left w:w="0" w:type="dxa"/>
          <w:bottom w:w="0" w:type="dxa"/>
          <w:right w:w="0" w:type="dxa"/>
        </w:tblCellMar>
      </w:tblPr>
      <w:tblGrid>
        <w:gridCol w:w="555"/>
        <w:gridCol w:w="8300"/>
      </w:tblGrid>
      <w:tr>
        <w:trPr/>
        <w:tc>
          <w:tcPr>
            <w:tcW w:w="555" w:type="dxa"/>
            <w:tcBorders/>
            <w:shd w:fill="auto" w:val="clear"/>
            <w:vAlign w:val="center"/>
          </w:tcPr>
          <w:p>
            <w:pPr>
              <w:pStyle w:val="TableContents"/>
              <w:spacing w:before="0" w:after="0"/>
              <w:ind w:left="0" w:right="0" w:hanging="0"/>
              <w:rPr/>
            </w:pPr>
            <w:r>
              <w:rPr/>
              <w:t xml:space="preserve">(3) </w:t>
            </w:r>
          </w:p>
        </w:tc>
        <w:tc>
          <w:tcPr>
            <w:tcW w:w="8300" w:type="dxa"/>
            <w:tcBorders/>
            <w:shd w:fill="auto" w:val="clear"/>
            <w:vAlign w:val="center"/>
          </w:tcPr>
          <w:p>
            <w:pPr>
              <w:pStyle w:val="TableContents"/>
              <w:spacing w:before="0" w:after="283"/>
              <w:rPr/>
            </w:pPr>
            <w:r>
              <w:rPr/>
              <w:t>Such option is exercisable on January 27, 2022.</w:t>
            </w:r>
          </w:p>
        </w:tc>
      </w:tr>
      <w:tr>
        <w:trPr/>
        <w:tc>
          <w:tcPr>
            <w:tcW w:w="555" w:type="dxa"/>
            <w:tcBorders/>
            <w:shd w:fill="auto" w:val="clear"/>
            <w:vAlign w:val="center"/>
          </w:tcPr>
          <w:p>
            <w:pPr>
              <w:pStyle w:val="TableContents"/>
              <w:spacing w:before="0" w:after="0"/>
              <w:ind w:left="0" w:right="0" w:firstLine="450"/>
              <w:rPr/>
            </w:pPr>
            <w:r>
              <w:rPr/>
              <w:t> </w:t>
            </w:r>
          </w:p>
        </w:tc>
        <w:tc>
          <w:tcPr>
            <w:tcW w:w="8300" w:type="dxa"/>
            <w:tcBorders/>
            <w:shd w:fill="auto" w:val="clear"/>
            <w:vAlign w:val="center"/>
          </w:tcPr>
          <w:p>
            <w:pPr>
              <w:pStyle w:val="TableContents"/>
              <w:spacing w:before="0" w:after="0"/>
              <w:ind w:left="0" w:right="0" w:hanging="0"/>
              <w:rPr/>
            </w:pPr>
            <w:r>
              <w:rPr/>
              <w:t> </w:t>
            </w:r>
          </w:p>
        </w:tc>
      </w:tr>
      <w:tr>
        <w:trPr/>
        <w:tc>
          <w:tcPr>
            <w:tcW w:w="555" w:type="dxa"/>
            <w:tcBorders/>
            <w:shd w:fill="auto" w:val="clear"/>
            <w:vAlign w:val="center"/>
          </w:tcPr>
          <w:p>
            <w:pPr>
              <w:pStyle w:val="TableContents"/>
              <w:spacing w:before="0" w:after="0"/>
              <w:ind w:left="0" w:right="0" w:hanging="0"/>
              <w:rPr/>
            </w:pPr>
            <w:r>
              <w:rPr/>
              <w:t xml:space="preserve">(4) </w:t>
            </w:r>
          </w:p>
        </w:tc>
        <w:tc>
          <w:tcPr>
            <w:tcW w:w="8300" w:type="dxa"/>
            <w:tcBorders/>
            <w:shd w:fill="auto" w:val="clear"/>
            <w:vAlign w:val="center"/>
          </w:tcPr>
          <w:p>
            <w:pPr>
              <w:pStyle w:val="TableContents"/>
              <w:spacing w:before="0" w:after="283"/>
              <w:rPr/>
            </w:pPr>
            <w:r>
              <w:rPr/>
              <w:t>Such shares vested on February 22, 2021.</w:t>
            </w:r>
          </w:p>
        </w:tc>
      </w:tr>
      <w:tr>
        <w:trPr/>
        <w:tc>
          <w:tcPr>
            <w:tcW w:w="555" w:type="dxa"/>
            <w:tcBorders/>
            <w:shd w:fill="auto" w:val="clear"/>
            <w:vAlign w:val="center"/>
          </w:tcPr>
          <w:p>
            <w:pPr>
              <w:pStyle w:val="TableContents"/>
              <w:spacing w:before="0" w:after="0"/>
              <w:ind w:left="0" w:right="0" w:firstLine="450"/>
              <w:rPr/>
            </w:pPr>
            <w:r>
              <w:rPr/>
              <w:t> </w:t>
            </w:r>
          </w:p>
        </w:tc>
        <w:tc>
          <w:tcPr>
            <w:tcW w:w="8300" w:type="dxa"/>
            <w:tcBorders/>
            <w:shd w:fill="auto" w:val="clear"/>
            <w:vAlign w:val="center"/>
          </w:tcPr>
          <w:p>
            <w:pPr>
              <w:pStyle w:val="TableContents"/>
              <w:spacing w:before="0" w:after="0"/>
              <w:ind w:left="0" w:right="0" w:hanging="0"/>
              <w:rPr/>
            </w:pPr>
            <w:r>
              <w:rPr/>
              <w:t> </w:t>
            </w:r>
          </w:p>
        </w:tc>
      </w:tr>
      <w:tr>
        <w:trPr/>
        <w:tc>
          <w:tcPr>
            <w:tcW w:w="555" w:type="dxa"/>
            <w:tcBorders/>
            <w:shd w:fill="auto" w:val="clear"/>
            <w:vAlign w:val="center"/>
          </w:tcPr>
          <w:p>
            <w:pPr>
              <w:pStyle w:val="TableContents"/>
              <w:spacing w:before="0" w:after="0"/>
              <w:ind w:left="0" w:right="0" w:hanging="0"/>
              <w:rPr/>
            </w:pPr>
            <w:r>
              <w:rPr/>
              <w:t xml:space="preserve">(5) </w:t>
            </w:r>
          </w:p>
        </w:tc>
        <w:tc>
          <w:tcPr>
            <w:tcW w:w="8300" w:type="dxa"/>
            <w:tcBorders/>
            <w:shd w:fill="auto" w:val="clear"/>
            <w:vAlign w:val="center"/>
          </w:tcPr>
          <w:p>
            <w:pPr>
              <w:pStyle w:val="TableContents"/>
              <w:spacing w:before="0" w:after="283"/>
              <w:rPr/>
            </w:pPr>
            <w:r>
              <w:rPr/>
              <w:t>Such shares will vest to the extent of 3,644 shares on each of April 10, 2021 and 2022.</w:t>
            </w:r>
          </w:p>
        </w:tc>
      </w:tr>
      <w:tr>
        <w:trPr/>
        <w:tc>
          <w:tcPr>
            <w:tcW w:w="555" w:type="dxa"/>
            <w:tcBorders/>
            <w:shd w:fill="auto" w:val="clear"/>
            <w:vAlign w:val="center"/>
          </w:tcPr>
          <w:p>
            <w:pPr>
              <w:pStyle w:val="TableContents"/>
              <w:spacing w:before="0" w:after="0"/>
              <w:ind w:left="0" w:right="0" w:firstLine="450"/>
              <w:rPr/>
            </w:pPr>
            <w:r>
              <w:rPr/>
              <w:t> </w:t>
            </w:r>
          </w:p>
        </w:tc>
        <w:tc>
          <w:tcPr>
            <w:tcW w:w="8300" w:type="dxa"/>
            <w:tcBorders/>
            <w:shd w:fill="auto" w:val="clear"/>
            <w:vAlign w:val="center"/>
          </w:tcPr>
          <w:p>
            <w:pPr>
              <w:pStyle w:val="TableContents"/>
              <w:spacing w:before="0" w:after="0"/>
              <w:ind w:left="0" w:right="0" w:hanging="0"/>
              <w:rPr/>
            </w:pPr>
            <w:r>
              <w:rPr/>
              <w:t> </w:t>
            </w:r>
          </w:p>
        </w:tc>
      </w:tr>
      <w:tr>
        <w:trPr/>
        <w:tc>
          <w:tcPr>
            <w:tcW w:w="555" w:type="dxa"/>
            <w:tcBorders/>
            <w:shd w:fill="auto" w:val="clear"/>
            <w:vAlign w:val="center"/>
          </w:tcPr>
          <w:p>
            <w:pPr>
              <w:pStyle w:val="TableContents"/>
              <w:spacing w:before="0" w:after="0"/>
              <w:ind w:left="0" w:right="0" w:hanging="0"/>
              <w:rPr/>
            </w:pPr>
            <w:r>
              <w:rPr/>
              <w:t xml:space="preserve">(6) </w:t>
            </w:r>
          </w:p>
        </w:tc>
        <w:tc>
          <w:tcPr>
            <w:tcW w:w="8300" w:type="dxa"/>
            <w:tcBorders/>
            <w:shd w:fill="auto" w:val="clear"/>
            <w:vAlign w:val="center"/>
          </w:tcPr>
          <w:p>
            <w:pPr>
              <w:pStyle w:val="TableContents"/>
              <w:spacing w:before="0" w:after="283"/>
              <w:rPr/>
            </w:pPr>
            <w:r>
              <w:rPr/>
              <w:t>Such option is exercisable on February 7, 2022.</w:t>
            </w:r>
          </w:p>
        </w:tc>
      </w:tr>
    </w:tbl>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Termination of Employment and</w:t>
      </w:r>
      <w:r>
        <w:rPr>
          <w:rStyle w:val="StrongEmphasis"/>
          <w:rFonts w:ascii="times new roman" w:hAnsi="times new roman"/>
          <w:sz w:val="20"/>
        </w:rPr>
        <w:t> </w:t>
      </w:r>
      <w:r>
        <w:rPr>
          <w:rStyle w:val="Emphasis"/>
          <w:rFonts w:ascii="times new roman" w:hAnsi="times new roman"/>
          <w:sz w:val="20"/>
        </w:rPr>
        <w:t>Change-in-Control Arrangements</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Barry B. Goldstein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Pursuant to the Second Amended and Restated Goldstein Employment Agreement, in the event that Mr. Goldstein's employment is terminated by us without cause or he resigns for good reason (each as defined in the Second Amended and Restated Goldstein Employment Agreement), Mr. Goldstein would be entitled to receive his annual base salary, bonus and LTC payment for the remainder of the term. In addition, in the event of Mr. Goldstein’s death, his estate would be entitled to receive his annual base salary, accrued bonus and accrued LTC payment through the date of death. Further, in the event that Mr. Goldstein’s employment is terminated by us without cause or he resigns for good reason, or, in the event of the termination of Mr. Goldstein’s employment due to disability or death, Mr. Goldstein’s granted but unvested restricted stock awards will vest.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Mr. Goldstein would be entitled to receive, under certain circumstances, a payment equal to 3.82 times his then annual base salary, the target LTC payment of $1,890,000 and his accrued bonus in the event of the termination of his employment within eighteen months following a change of control of our company. </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Meryl S. Golden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Pursuant to the Golden Employment Agreement, in the event that Ms. Golden’s employment is terminated by us without cause or she resigns for good reason (each as defined in the Golden Employment Agreement), Ms. Golden would be entitled to receive her annual base salary for the remainder of the term or for twelve months, whichever is sooner. In addition, pursuant to the 2014 Plan, in the event of a termination of employment due to the death or disability of Ms. Golden or following a change of control of our company, the option and stock grants scheduled to vest on the next vesting date following such event shall vest under certain circumstance notwithstanding such event. Further, in the event that Ms. Golden’s employment is terminated by us without cause or she resigns for good reason, Ms. Golden’s granted but unvested restricted stock awards will vest.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Ms. Golden would be entitled to receive, under certain circumstances, a payment equal to 1.5 times her then annual base salary in the event of the termination of her employment within eighteen months following a change in control of our company.</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71</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Compensation of Directors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sets forth certain information concerning the compensation of our non-employee directors for the fiscal year ended December 31, 2020:</w:t>
      </w:r>
    </w:p>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DIRECTOR COMPENSATION</w:t>
      </w:r>
    </w:p>
    <w:p>
      <w:pPr>
        <w:pStyle w:val="TextBody"/>
        <w:spacing w:before="0" w:after="0"/>
        <w:ind w:left="0" w:right="0" w:hanging="0"/>
        <w:jc w:val="both"/>
        <w:rPr/>
      </w:pPr>
      <w:r>
        <w:rPr/>
        <w:t> </w:t>
      </w:r>
    </w:p>
    <w:tbl>
      <w:tblPr>
        <w:tblW w:w="8967" w:type="dxa"/>
        <w:jc w:val="left"/>
        <w:tblInd w:w="0" w:type="dxa"/>
        <w:tblCellMar>
          <w:top w:w="0" w:type="dxa"/>
          <w:left w:w="0" w:type="dxa"/>
          <w:bottom w:w="28" w:type="dxa"/>
          <w:right w:w="0" w:type="dxa"/>
        </w:tblCellMar>
      </w:tblPr>
      <w:tblGrid>
        <w:gridCol w:w="2210"/>
        <w:gridCol w:w="90"/>
        <w:gridCol w:w="311"/>
        <w:gridCol w:w="1298"/>
        <w:gridCol w:w="90"/>
        <w:gridCol w:w="90"/>
        <w:gridCol w:w="338"/>
        <w:gridCol w:w="1421"/>
        <w:gridCol w:w="90"/>
        <w:gridCol w:w="90"/>
        <w:gridCol w:w="935"/>
        <w:gridCol w:w="689"/>
        <w:gridCol w:w="90"/>
        <w:gridCol w:w="90"/>
        <w:gridCol w:w="170"/>
        <w:gridCol w:w="830"/>
        <w:gridCol w:w="135"/>
      </w:tblGrid>
      <w:tr>
        <w:trPr/>
        <w:tc>
          <w:tcPr>
            <w:tcW w:w="2210" w:type="dxa"/>
            <w:tcBorders>
              <w:bottom w:val="single" w:sz="2" w:space="0" w:color="000000"/>
            </w:tcBorders>
            <w:shd w:fill="auto" w:val="clear"/>
            <w:vAlign w:val="center"/>
          </w:tcPr>
          <w:p>
            <w:pPr>
              <w:pStyle w:val="TableContents"/>
              <w:spacing w:before="0" w:after="0"/>
              <w:ind w:left="0" w:right="0" w:hanging="0"/>
              <w:jc w:val="left"/>
              <w:rPr/>
            </w:pPr>
            <w:r>
              <w:rPr>
                <w:rStyle w:val="StrongEmphasis"/>
              </w:rPr>
              <w:t>Name</w:t>
            </w:r>
          </w:p>
        </w:tc>
        <w:tc>
          <w:tcPr>
            <w:tcW w:w="90" w:type="dxa"/>
            <w:tcBorders/>
            <w:shd w:fill="auto" w:val="clear"/>
            <w:tcMar>
              <w:bottom w:w="0" w:type="dxa"/>
            </w:tcMar>
            <w:vAlign w:val="center"/>
          </w:tcPr>
          <w:p>
            <w:pPr>
              <w:pStyle w:val="TableContents"/>
              <w:spacing w:before="0" w:after="0"/>
              <w:ind w:left="0" w:right="0" w:hanging="0"/>
              <w:jc w:val="center"/>
              <w:rPr/>
            </w:pPr>
            <w:r>
              <w:rPr/>
              <w:t> </w:t>
            </w:r>
          </w:p>
        </w:tc>
        <w:tc>
          <w:tcPr>
            <w:tcW w:w="1609"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Pr>
              <w:t>Fees Earned or</w:t>
            </w:r>
          </w:p>
          <w:p>
            <w:pPr>
              <w:pStyle w:val="TableContents"/>
              <w:spacing w:before="0" w:after="0"/>
              <w:ind w:left="0" w:right="0" w:hanging="0"/>
              <w:jc w:val="center"/>
              <w:rPr/>
            </w:pPr>
            <w:r>
              <w:rPr>
                <w:rStyle w:val="StrongEmphasis"/>
              </w:rPr>
              <w:t>Paid in Cash</w:t>
            </w:r>
          </w:p>
        </w:tc>
        <w:tc>
          <w:tcPr>
            <w:tcW w:w="90" w:type="dxa"/>
            <w:tcBorders/>
            <w:shd w:fill="auto" w:val="clear"/>
            <w:tcMar>
              <w:bottom w:w="0" w:type="dxa"/>
            </w:tcMar>
            <w:vAlign w:val="center"/>
          </w:tcPr>
          <w:p>
            <w:pPr>
              <w:pStyle w:val="TableContents"/>
              <w:spacing w:before="0" w:after="0"/>
              <w:ind w:left="0" w:right="0" w:hanging="0"/>
              <w:jc w:val="center"/>
              <w:rPr/>
            </w:pPr>
            <w:r>
              <w:rPr/>
              <w:t> </w:t>
            </w:r>
          </w:p>
        </w:tc>
        <w:tc>
          <w:tcPr>
            <w:tcW w:w="90" w:type="dxa"/>
            <w:tcBorders/>
            <w:shd w:fill="auto" w:val="clear"/>
            <w:tcMar>
              <w:bottom w:w="0" w:type="dxa"/>
            </w:tcMar>
            <w:vAlign w:val="center"/>
          </w:tcPr>
          <w:p>
            <w:pPr>
              <w:pStyle w:val="TableContents"/>
              <w:spacing w:before="0" w:after="0"/>
              <w:ind w:left="0" w:right="0" w:hanging="0"/>
              <w:jc w:val="center"/>
              <w:rPr/>
            </w:pPr>
            <w:r>
              <w:rPr/>
              <w:t> </w:t>
            </w:r>
          </w:p>
        </w:tc>
        <w:tc>
          <w:tcPr>
            <w:tcW w:w="1759"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Pr>
              <w:t>Stock Awards(1)</w:t>
            </w:r>
          </w:p>
        </w:tc>
        <w:tc>
          <w:tcPr>
            <w:tcW w:w="90" w:type="dxa"/>
            <w:tcBorders/>
            <w:shd w:fill="auto" w:val="clear"/>
            <w:tcMar>
              <w:bottom w:w="0" w:type="dxa"/>
            </w:tcMar>
            <w:vAlign w:val="center"/>
          </w:tcPr>
          <w:p>
            <w:pPr>
              <w:pStyle w:val="TableContents"/>
              <w:spacing w:before="0" w:after="0"/>
              <w:ind w:left="0" w:right="0" w:hanging="0"/>
              <w:jc w:val="center"/>
              <w:rPr/>
            </w:pPr>
            <w:r>
              <w:rPr/>
              <w:t> </w:t>
            </w:r>
          </w:p>
        </w:tc>
        <w:tc>
          <w:tcPr>
            <w:tcW w:w="90" w:type="dxa"/>
            <w:tcBorders/>
            <w:shd w:fill="auto" w:val="clear"/>
            <w:tcMar>
              <w:bottom w:w="0" w:type="dxa"/>
            </w:tcMar>
            <w:vAlign w:val="center"/>
          </w:tcPr>
          <w:p>
            <w:pPr>
              <w:pStyle w:val="TableContents"/>
              <w:spacing w:before="0" w:after="0"/>
              <w:ind w:left="0" w:right="0" w:hanging="0"/>
              <w:jc w:val="center"/>
              <w:rPr/>
            </w:pPr>
            <w:r>
              <w:rPr/>
              <w:t> </w:t>
            </w:r>
          </w:p>
        </w:tc>
        <w:tc>
          <w:tcPr>
            <w:tcW w:w="1624"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Pr>
              <w:t>Option Awards</w:t>
            </w:r>
          </w:p>
        </w:tc>
        <w:tc>
          <w:tcPr>
            <w:tcW w:w="90" w:type="dxa"/>
            <w:tcBorders/>
            <w:shd w:fill="auto" w:val="clear"/>
            <w:tcMar>
              <w:bottom w:w="0" w:type="dxa"/>
            </w:tcMar>
            <w:vAlign w:val="center"/>
          </w:tcPr>
          <w:p>
            <w:pPr>
              <w:pStyle w:val="TableContents"/>
              <w:spacing w:before="0" w:after="0"/>
              <w:ind w:left="0" w:right="0" w:hanging="0"/>
              <w:jc w:val="center"/>
              <w:rPr/>
            </w:pPr>
            <w:r>
              <w:rPr/>
              <w:t> </w:t>
            </w:r>
          </w:p>
        </w:tc>
        <w:tc>
          <w:tcPr>
            <w:tcW w:w="90" w:type="dxa"/>
            <w:tcBorders/>
            <w:shd w:fill="auto" w:val="clear"/>
            <w:tcMar>
              <w:bottom w:w="0" w:type="dxa"/>
            </w:tcMar>
            <w:vAlign w:val="center"/>
          </w:tcPr>
          <w:p>
            <w:pPr>
              <w:pStyle w:val="TableContents"/>
              <w:spacing w:before="0" w:after="0"/>
              <w:ind w:left="0" w:right="0" w:hanging="0"/>
              <w:jc w:val="center"/>
              <w:rPr/>
            </w:pPr>
            <w:r>
              <w:rPr/>
              <w:t> </w:t>
            </w:r>
          </w:p>
        </w:tc>
        <w:tc>
          <w:tcPr>
            <w:tcW w:w="1000"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Pr>
              <w:t>Total</w:t>
            </w:r>
          </w:p>
        </w:tc>
        <w:tc>
          <w:tcPr>
            <w:tcW w:w="135" w:type="dxa"/>
            <w:tcBorders/>
            <w:shd w:fill="auto" w:val="clear"/>
            <w:tcMar>
              <w:bottom w:w="0" w:type="dxa"/>
            </w:tcMar>
            <w:vAlign w:val="center"/>
          </w:tcPr>
          <w:p>
            <w:pPr>
              <w:pStyle w:val="TableContents"/>
              <w:spacing w:before="0" w:after="0"/>
              <w:ind w:left="0" w:right="0" w:hanging="0"/>
              <w:rPr/>
            </w:pPr>
            <w:r>
              <w:rPr/>
              <w:t> </w:t>
            </w:r>
          </w:p>
        </w:tc>
      </w:tr>
      <w:tr>
        <w:trPr/>
        <w:tc>
          <w:tcPr>
            <w:tcW w:w="2210"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609" w:type="dxa"/>
            <w:gridSpan w:val="2"/>
            <w:tcBorders/>
            <w:shd w:fill="auto" w:val="clear"/>
            <w:tcMar>
              <w:bottom w:w="0" w:type="dxa"/>
            </w:tcMar>
            <w:vAlign w:val="center"/>
          </w:tcPr>
          <w:p>
            <w:pPr>
              <w:pStyle w:val="TableContents"/>
              <w:spacing w:before="0" w:after="283"/>
              <w:rPr>
                <w:sz w:val="4"/>
                <w:szCs w:val="4"/>
              </w:rPr>
            </w:pPr>
            <w:r>
              <w:rPr>
                <w:sz w:val="4"/>
                <w:szCs w:val="4"/>
              </w:rPr>
            </w:r>
          </w:p>
        </w:tc>
        <w:tc>
          <w:tcPr>
            <w:tcW w:w="90"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759" w:type="dxa"/>
            <w:gridSpan w:val="2"/>
            <w:tcBorders/>
            <w:shd w:fill="auto" w:val="clear"/>
            <w:tcMar>
              <w:bottom w:w="0" w:type="dxa"/>
            </w:tcMar>
            <w:vAlign w:val="center"/>
          </w:tcPr>
          <w:p>
            <w:pPr>
              <w:pStyle w:val="TableContents"/>
              <w:spacing w:before="0" w:after="283"/>
              <w:rPr>
                <w:sz w:val="4"/>
                <w:szCs w:val="4"/>
              </w:rPr>
            </w:pPr>
            <w:r>
              <w:rPr>
                <w:sz w:val="4"/>
                <w:szCs w:val="4"/>
              </w:rPr>
            </w:r>
          </w:p>
        </w:tc>
        <w:tc>
          <w:tcPr>
            <w:tcW w:w="90"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624" w:type="dxa"/>
            <w:gridSpan w:val="2"/>
            <w:tcBorders/>
            <w:shd w:fill="auto" w:val="clear"/>
            <w:tcMar>
              <w:bottom w:w="0" w:type="dxa"/>
            </w:tcMar>
            <w:vAlign w:val="center"/>
          </w:tcPr>
          <w:p>
            <w:pPr>
              <w:pStyle w:val="TableContents"/>
              <w:spacing w:before="0" w:after="283"/>
              <w:rPr>
                <w:sz w:val="4"/>
                <w:szCs w:val="4"/>
              </w:rPr>
            </w:pPr>
            <w:r>
              <w:rPr>
                <w:sz w:val="4"/>
                <w:szCs w:val="4"/>
              </w:rPr>
            </w:r>
          </w:p>
        </w:tc>
        <w:tc>
          <w:tcPr>
            <w:tcW w:w="90"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000" w:type="dxa"/>
            <w:gridSpan w:val="2"/>
            <w:tcBorders/>
            <w:shd w:fill="auto" w:val="clear"/>
            <w:tcMar>
              <w:bottom w:w="0" w:type="dxa"/>
            </w:tcMar>
            <w:vAlign w:val="center"/>
          </w:tcPr>
          <w:p>
            <w:pPr>
              <w:pStyle w:val="TableContents"/>
              <w:spacing w:before="0" w:after="283"/>
              <w:rPr>
                <w:sz w:val="4"/>
                <w:szCs w:val="4"/>
              </w:rPr>
            </w:pPr>
            <w:r>
              <w:rPr>
                <w:sz w:val="4"/>
                <w:szCs w:val="4"/>
              </w:rPr>
            </w:r>
          </w:p>
        </w:tc>
        <w:tc>
          <w:tcPr>
            <w:tcW w:w="135" w:type="dxa"/>
            <w:tcBorders/>
            <w:shd w:fill="auto" w:val="clear"/>
            <w:tcMar>
              <w:bottom w:w="0" w:type="dxa"/>
            </w:tcMar>
            <w:vAlign w:val="center"/>
          </w:tcPr>
          <w:p>
            <w:pPr>
              <w:pStyle w:val="TableContents"/>
              <w:spacing w:before="0" w:after="0"/>
              <w:ind w:left="0" w:right="0" w:hanging="0"/>
              <w:rPr/>
            </w:pPr>
            <w:r>
              <w:rPr/>
              <w:t> </w:t>
            </w:r>
          </w:p>
        </w:tc>
      </w:tr>
      <w:tr>
        <w:trPr/>
        <w:tc>
          <w:tcPr>
            <w:tcW w:w="2210" w:type="dxa"/>
            <w:tcBorders/>
            <w:shd w:fill="CCEEFF" w:val="clear"/>
            <w:tcMar>
              <w:bottom w:w="0" w:type="dxa"/>
            </w:tcMar>
            <w:vAlign w:val="center"/>
          </w:tcPr>
          <w:p>
            <w:pPr>
              <w:pStyle w:val="TableContents"/>
              <w:spacing w:before="0" w:after="0"/>
              <w:ind w:left="0" w:right="0" w:hanging="0"/>
              <w:rPr/>
            </w:pPr>
            <w:r>
              <w:rPr/>
              <w:t>William L. Yankus</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311" w:type="dxa"/>
            <w:tcBorders/>
            <w:shd w:fill="CCEEFF" w:val="clear"/>
            <w:tcMar>
              <w:bottom w:w="0" w:type="dxa"/>
            </w:tcMar>
            <w:vAlign w:val="center"/>
          </w:tcPr>
          <w:p>
            <w:pPr>
              <w:pStyle w:val="TableContents"/>
              <w:spacing w:before="0" w:after="283"/>
              <w:rPr/>
            </w:pPr>
            <w:r>
              <w:rPr/>
              <w:t>$</w:t>
            </w:r>
          </w:p>
        </w:tc>
        <w:tc>
          <w:tcPr>
            <w:tcW w:w="1298" w:type="dxa"/>
            <w:tcBorders/>
            <w:shd w:fill="CCEEFF" w:val="clear"/>
            <w:tcMar>
              <w:bottom w:w="0" w:type="dxa"/>
            </w:tcMar>
            <w:vAlign w:val="center"/>
          </w:tcPr>
          <w:p>
            <w:pPr>
              <w:pStyle w:val="TableContents"/>
              <w:spacing w:before="0" w:after="283"/>
              <w:jc w:val="right"/>
              <w:rPr/>
            </w:pPr>
            <w:r>
              <w:rPr/>
              <w:t>90,000</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338" w:type="dxa"/>
            <w:tcBorders/>
            <w:shd w:fill="CCEEFF" w:val="clear"/>
            <w:tcMar>
              <w:bottom w:w="0" w:type="dxa"/>
            </w:tcMar>
            <w:vAlign w:val="center"/>
          </w:tcPr>
          <w:p>
            <w:pPr>
              <w:pStyle w:val="TableContents"/>
              <w:spacing w:before="0" w:after="283"/>
              <w:rPr/>
            </w:pPr>
            <w:r>
              <w:rPr/>
              <w:t>$</w:t>
            </w:r>
          </w:p>
        </w:tc>
        <w:tc>
          <w:tcPr>
            <w:tcW w:w="1421" w:type="dxa"/>
            <w:tcBorders/>
            <w:shd w:fill="CCEEFF" w:val="clear"/>
            <w:tcMar>
              <w:bottom w:w="0" w:type="dxa"/>
            </w:tcMar>
            <w:vAlign w:val="center"/>
          </w:tcPr>
          <w:p>
            <w:pPr>
              <w:pStyle w:val="TableContents"/>
              <w:spacing w:before="0" w:after="283"/>
              <w:jc w:val="right"/>
              <w:rPr/>
            </w:pPr>
            <w:r>
              <w:rPr/>
              <w:t>40,000</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35" w:type="dxa"/>
            <w:tcBorders/>
            <w:shd w:fill="CCEEFF" w:val="clear"/>
            <w:tcMar>
              <w:bottom w:w="0" w:type="dxa"/>
            </w:tcMar>
            <w:vAlign w:val="center"/>
          </w:tcPr>
          <w:p>
            <w:pPr>
              <w:pStyle w:val="TableContents"/>
              <w:spacing w:before="0" w:after="283"/>
              <w:rPr/>
            </w:pPr>
            <w:r>
              <w:rPr/>
              <w:t>$</w:t>
            </w:r>
          </w:p>
        </w:tc>
        <w:tc>
          <w:tcPr>
            <w:tcW w:w="689" w:type="dxa"/>
            <w:tcBorders/>
            <w:shd w:fill="CCEEFF" w:val="clear"/>
            <w:tcMar>
              <w:bottom w:w="0" w:type="dxa"/>
            </w:tcMar>
            <w:vAlign w:val="center"/>
          </w:tcPr>
          <w:p>
            <w:pPr>
              <w:pStyle w:val="TableContents"/>
              <w:spacing w:before="0" w:after="283"/>
              <w:jc w:val="right"/>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283"/>
              <w:rPr/>
            </w:pPr>
            <w:r>
              <w:rPr/>
              <w:t>$</w:t>
            </w:r>
          </w:p>
        </w:tc>
        <w:tc>
          <w:tcPr>
            <w:tcW w:w="830" w:type="dxa"/>
            <w:tcBorders/>
            <w:shd w:fill="CCEEFF" w:val="clear"/>
            <w:tcMar>
              <w:bottom w:w="0" w:type="dxa"/>
            </w:tcMar>
            <w:vAlign w:val="center"/>
          </w:tcPr>
          <w:p>
            <w:pPr>
              <w:pStyle w:val="TableContents"/>
              <w:spacing w:before="0" w:after="283"/>
              <w:jc w:val="right"/>
              <w:rPr/>
            </w:pPr>
            <w:r>
              <w:rPr/>
              <w:t>130,000</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2210" w:type="dxa"/>
            <w:tcBorders/>
            <w:shd w:fill="FFFFFF" w:val="clear"/>
            <w:tcMar>
              <w:bottom w:w="0" w:type="dxa"/>
            </w:tcMar>
            <w:vAlign w:val="center"/>
          </w:tcPr>
          <w:p>
            <w:pPr>
              <w:pStyle w:val="TableContents"/>
              <w:spacing w:before="0" w:after="0"/>
              <w:ind w:left="0" w:right="0" w:hanging="0"/>
              <w:rPr/>
            </w:pPr>
            <w:r>
              <w:rPr/>
              <w:t>Floyd R. Tupper</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311" w:type="dxa"/>
            <w:tcBorders/>
            <w:shd w:fill="FFFFFF" w:val="clear"/>
            <w:tcMar>
              <w:bottom w:w="0" w:type="dxa"/>
            </w:tcMar>
            <w:vAlign w:val="center"/>
          </w:tcPr>
          <w:p>
            <w:pPr>
              <w:pStyle w:val="TableContents"/>
              <w:spacing w:before="0" w:after="283"/>
              <w:rPr/>
            </w:pPr>
            <w:r>
              <w:rPr/>
              <w:t>$</w:t>
            </w:r>
          </w:p>
        </w:tc>
        <w:tc>
          <w:tcPr>
            <w:tcW w:w="1298" w:type="dxa"/>
            <w:tcBorders/>
            <w:shd w:fill="FFFFFF" w:val="clear"/>
            <w:tcMar>
              <w:bottom w:w="0" w:type="dxa"/>
            </w:tcMar>
            <w:vAlign w:val="center"/>
          </w:tcPr>
          <w:p>
            <w:pPr>
              <w:pStyle w:val="TableContents"/>
              <w:spacing w:before="0" w:after="283"/>
              <w:jc w:val="right"/>
              <w:rPr/>
            </w:pPr>
            <w:r>
              <w:rPr/>
              <w:t>85,000</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338" w:type="dxa"/>
            <w:tcBorders/>
            <w:shd w:fill="FFFFFF" w:val="clear"/>
            <w:tcMar>
              <w:bottom w:w="0" w:type="dxa"/>
            </w:tcMar>
            <w:vAlign w:val="center"/>
          </w:tcPr>
          <w:p>
            <w:pPr>
              <w:pStyle w:val="TableContents"/>
              <w:spacing w:before="0" w:after="283"/>
              <w:rPr/>
            </w:pPr>
            <w:r>
              <w:rPr/>
              <w:t>$</w:t>
            </w:r>
          </w:p>
        </w:tc>
        <w:tc>
          <w:tcPr>
            <w:tcW w:w="1421" w:type="dxa"/>
            <w:tcBorders/>
            <w:shd w:fill="FFFFFF" w:val="clear"/>
            <w:tcMar>
              <w:bottom w:w="0" w:type="dxa"/>
            </w:tcMar>
            <w:vAlign w:val="center"/>
          </w:tcPr>
          <w:p>
            <w:pPr>
              <w:pStyle w:val="TableContents"/>
              <w:spacing w:before="0" w:after="283"/>
              <w:jc w:val="right"/>
              <w:rPr/>
            </w:pPr>
            <w:r>
              <w:rPr/>
              <w:t>40,000</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35" w:type="dxa"/>
            <w:tcBorders/>
            <w:shd w:fill="FFFFFF" w:val="clear"/>
            <w:tcMar>
              <w:bottom w:w="0" w:type="dxa"/>
            </w:tcMar>
            <w:vAlign w:val="center"/>
          </w:tcPr>
          <w:p>
            <w:pPr>
              <w:pStyle w:val="TableContents"/>
              <w:spacing w:before="0" w:after="283"/>
              <w:rPr/>
            </w:pPr>
            <w:r>
              <w:rPr/>
              <w:t>$</w:t>
            </w:r>
          </w:p>
        </w:tc>
        <w:tc>
          <w:tcPr>
            <w:tcW w:w="689" w:type="dxa"/>
            <w:tcBorders/>
            <w:shd w:fill="FFFFFF" w:val="clear"/>
            <w:tcMar>
              <w:bottom w:w="0" w:type="dxa"/>
            </w:tcMar>
            <w:vAlign w:val="center"/>
          </w:tcPr>
          <w:p>
            <w:pPr>
              <w:pStyle w:val="TableContents"/>
              <w:spacing w:before="0" w:after="283"/>
              <w:jc w:val="right"/>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283"/>
              <w:rPr/>
            </w:pPr>
            <w:r>
              <w:rPr/>
              <w:t>$</w:t>
            </w:r>
          </w:p>
        </w:tc>
        <w:tc>
          <w:tcPr>
            <w:tcW w:w="830" w:type="dxa"/>
            <w:tcBorders/>
            <w:shd w:fill="FFFFFF" w:val="clear"/>
            <w:tcMar>
              <w:bottom w:w="0" w:type="dxa"/>
            </w:tcMar>
            <w:vAlign w:val="center"/>
          </w:tcPr>
          <w:p>
            <w:pPr>
              <w:pStyle w:val="TableContents"/>
              <w:spacing w:before="0" w:after="283"/>
              <w:jc w:val="right"/>
              <w:rPr/>
            </w:pPr>
            <w:r>
              <w:rPr/>
              <w:t>125,000</w:t>
            </w:r>
          </w:p>
        </w:tc>
        <w:tc>
          <w:tcPr>
            <w:tcW w:w="135" w:type="dxa"/>
            <w:tcBorders/>
            <w:shd w:fill="FFFFFF" w:val="clear"/>
            <w:tcMar>
              <w:bottom w:w="0" w:type="dxa"/>
            </w:tcMar>
            <w:vAlign w:val="center"/>
          </w:tcPr>
          <w:p>
            <w:pPr>
              <w:pStyle w:val="TableContents"/>
              <w:spacing w:before="0" w:after="0"/>
              <w:ind w:left="0" w:right="0" w:hanging="0"/>
              <w:rPr/>
            </w:pPr>
            <w:r>
              <w:rPr/>
              <w:t> </w:t>
            </w:r>
          </w:p>
        </w:tc>
      </w:tr>
      <w:tr>
        <w:trPr/>
        <w:tc>
          <w:tcPr>
            <w:tcW w:w="2210" w:type="dxa"/>
            <w:tcBorders/>
            <w:shd w:fill="CCEEFF" w:val="clear"/>
            <w:tcMar>
              <w:bottom w:w="0" w:type="dxa"/>
            </w:tcMar>
            <w:vAlign w:val="center"/>
          </w:tcPr>
          <w:p>
            <w:pPr>
              <w:pStyle w:val="TableContents"/>
              <w:spacing w:before="0" w:after="0"/>
              <w:ind w:left="0" w:right="0" w:hanging="0"/>
              <w:rPr/>
            </w:pPr>
            <w:r>
              <w:rPr/>
              <w:t>Carla A. D’Andre</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311" w:type="dxa"/>
            <w:tcBorders/>
            <w:shd w:fill="CCEEFF" w:val="clear"/>
            <w:tcMar>
              <w:bottom w:w="0" w:type="dxa"/>
            </w:tcMar>
            <w:vAlign w:val="center"/>
          </w:tcPr>
          <w:p>
            <w:pPr>
              <w:pStyle w:val="TableContents"/>
              <w:spacing w:before="0" w:after="283"/>
              <w:rPr/>
            </w:pPr>
            <w:r>
              <w:rPr/>
              <w:t>$</w:t>
            </w:r>
          </w:p>
        </w:tc>
        <w:tc>
          <w:tcPr>
            <w:tcW w:w="1298" w:type="dxa"/>
            <w:tcBorders/>
            <w:shd w:fill="CCEEFF" w:val="clear"/>
            <w:tcMar>
              <w:bottom w:w="0" w:type="dxa"/>
            </w:tcMar>
            <w:vAlign w:val="center"/>
          </w:tcPr>
          <w:p>
            <w:pPr>
              <w:pStyle w:val="TableContents"/>
              <w:spacing w:before="0" w:after="283"/>
              <w:jc w:val="right"/>
              <w:rPr/>
            </w:pPr>
            <w:r>
              <w:rPr/>
              <w:t>75,000</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338" w:type="dxa"/>
            <w:tcBorders/>
            <w:shd w:fill="CCEEFF" w:val="clear"/>
            <w:tcMar>
              <w:bottom w:w="0" w:type="dxa"/>
            </w:tcMar>
            <w:vAlign w:val="center"/>
          </w:tcPr>
          <w:p>
            <w:pPr>
              <w:pStyle w:val="TableContents"/>
              <w:spacing w:before="0" w:after="283"/>
              <w:rPr/>
            </w:pPr>
            <w:r>
              <w:rPr/>
              <w:t>$</w:t>
            </w:r>
          </w:p>
        </w:tc>
        <w:tc>
          <w:tcPr>
            <w:tcW w:w="1421" w:type="dxa"/>
            <w:tcBorders/>
            <w:shd w:fill="CCEEFF" w:val="clear"/>
            <w:tcMar>
              <w:bottom w:w="0" w:type="dxa"/>
            </w:tcMar>
            <w:vAlign w:val="center"/>
          </w:tcPr>
          <w:p>
            <w:pPr>
              <w:pStyle w:val="TableContents"/>
              <w:spacing w:before="0" w:after="283"/>
              <w:jc w:val="right"/>
              <w:rPr/>
            </w:pPr>
            <w:r>
              <w:rPr/>
              <w:t>40,000</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35" w:type="dxa"/>
            <w:tcBorders/>
            <w:shd w:fill="CCEEFF" w:val="clear"/>
            <w:tcMar>
              <w:bottom w:w="0" w:type="dxa"/>
            </w:tcMar>
            <w:vAlign w:val="center"/>
          </w:tcPr>
          <w:p>
            <w:pPr>
              <w:pStyle w:val="TableContents"/>
              <w:spacing w:before="0" w:after="283"/>
              <w:rPr/>
            </w:pPr>
            <w:r>
              <w:rPr/>
              <w:t>$</w:t>
            </w:r>
          </w:p>
        </w:tc>
        <w:tc>
          <w:tcPr>
            <w:tcW w:w="689" w:type="dxa"/>
            <w:tcBorders/>
            <w:shd w:fill="CCEEFF" w:val="clear"/>
            <w:tcMar>
              <w:bottom w:w="0" w:type="dxa"/>
            </w:tcMar>
            <w:vAlign w:val="center"/>
          </w:tcPr>
          <w:p>
            <w:pPr>
              <w:pStyle w:val="TableContents"/>
              <w:spacing w:before="0" w:after="283"/>
              <w:jc w:val="right"/>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283"/>
              <w:rPr/>
            </w:pPr>
            <w:r>
              <w:rPr/>
              <w:t>$</w:t>
            </w:r>
          </w:p>
        </w:tc>
        <w:tc>
          <w:tcPr>
            <w:tcW w:w="830" w:type="dxa"/>
            <w:tcBorders/>
            <w:shd w:fill="CCEEFF" w:val="clear"/>
            <w:tcMar>
              <w:bottom w:w="0" w:type="dxa"/>
            </w:tcMar>
            <w:vAlign w:val="center"/>
          </w:tcPr>
          <w:p>
            <w:pPr>
              <w:pStyle w:val="TableContents"/>
              <w:spacing w:before="0" w:after="283"/>
              <w:jc w:val="right"/>
              <w:rPr/>
            </w:pPr>
            <w:r>
              <w:rPr/>
              <w:t>115,000</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2210" w:type="dxa"/>
            <w:tcBorders/>
            <w:shd w:fill="FFFFFF" w:val="clear"/>
            <w:tcMar>
              <w:bottom w:w="0" w:type="dxa"/>
            </w:tcMar>
            <w:vAlign w:val="center"/>
          </w:tcPr>
          <w:p>
            <w:pPr>
              <w:pStyle w:val="TableContents"/>
              <w:spacing w:before="0" w:after="0"/>
              <w:ind w:left="0" w:right="0" w:hanging="0"/>
              <w:rPr/>
            </w:pPr>
            <w:r>
              <w:rPr/>
              <w:t>Timothy P. McFadden</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311" w:type="dxa"/>
            <w:tcBorders/>
            <w:shd w:fill="FFFFFF" w:val="clear"/>
            <w:tcMar>
              <w:bottom w:w="0" w:type="dxa"/>
            </w:tcMar>
            <w:vAlign w:val="center"/>
          </w:tcPr>
          <w:p>
            <w:pPr>
              <w:pStyle w:val="TableContents"/>
              <w:spacing w:before="0" w:after="283"/>
              <w:rPr/>
            </w:pPr>
            <w:r>
              <w:rPr/>
              <w:t>$</w:t>
            </w:r>
          </w:p>
        </w:tc>
        <w:tc>
          <w:tcPr>
            <w:tcW w:w="1298" w:type="dxa"/>
            <w:tcBorders/>
            <w:shd w:fill="FFFFFF" w:val="clear"/>
            <w:tcMar>
              <w:bottom w:w="0" w:type="dxa"/>
            </w:tcMar>
            <w:vAlign w:val="center"/>
          </w:tcPr>
          <w:p>
            <w:pPr>
              <w:pStyle w:val="TableContents"/>
              <w:spacing w:before="0" w:after="283"/>
              <w:jc w:val="right"/>
              <w:rPr/>
            </w:pPr>
            <w:r>
              <w:rPr/>
              <w:t>75,000</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338" w:type="dxa"/>
            <w:tcBorders/>
            <w:shd w:fill="FFFFFF" w:val="clear"/>
            <w:tcMar>
              <w:bottom w:w="0" w:type="dxa"/>
            </w:tcMar>
            <w:vAlign w:val="center"/>
          </w:tcPr>
          <w:p>
            <w:pPr>
              <w:pStyle w:val="TableContents"/>
              <w:spacing w:before="0" w:after="283"/>
              <w:rPr/>
            </w:pPr>
            <w:r>
              <w:rPr/>
              <w:t>$</w:t>
            </w:r>
          </w:p>
        </w:tc>
        <w:tc>
          <w:tcPr>
            <w:tcW w:w="1421" w:type="dxa"/>
            <w:tcBorders/>
            <w:shd w:fill="FFFFFF" w:val="clear"/>
            <w:tcMar>
              <w:bottom w:w="0" w:type="dxa"/>
            </w:tcMar>
            <w:vAlign w:val="center"/>
          </w:tcPr>
          <w:p>
            <w:pPr>
              <w:pStyle w:val="TableContents"/>
              <w:spacing w:before="0" w:after="283"/>
              <w:jc w:val="right"/>
              <w:rPr/>
            </w:pPr>
            <w:r>
              <w:rPr/>
              <w:t>40,000</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35" w:type="dxa"/>
            <w:tcBorders/>
            <w:shd w:fill="FFFFFF" w:val="clear"/>
            <w:tcMar>
              <w:bottom w:w="0" w:type="dxa"/>
            </w:tcMar>
            <w:vAlign w:val="center"/>
          </w:tcPr>
          <w:p>
            <w:pPr>
              <w:pStyle w:val="TableContents"/>
              <w:spacing w:before="0" w:after="283"/>
              <w:rPr/>
            </w:pPr>
            <w:r>
              <w:rPr/>
              <w:t>$</w:t>
            </w:r>
          </w:p>
        </w:tc>
        <w:tc>
          <w:tcPr>
            <w:tcW w:w="689" w:type="dxa"/>
            <w:tcBorders/>
            <w:shd w:fill="FFFFFF" w:val="clear"/>
            <w:tcMar>
              <w:bottom w:w="0" w:type="dxa"/>
            </w:tcMar>
            <w:vAlign w:val="center"/>
          </w:tcPr>
          <w:p>
            <w:pPr>
              <w:pStyle w:val="TableContents"/>
              <w:spacing w:before="0" w:after="283"/>
              <w:jc w:val="right"/>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283"/>
              <w:rPr/>
            </w:pPr>
            <w:r>
              <w:rPr/>
              <w:t>$</w:t>
            </w:r>
          </w:p>
        </w:tc>
        <w:tc>
          <w:tcPr>
            <w:tcW w:w="830" w:type="dxa"/>
            <w:tcBorders/>
            <w:shd w:fill="FFFFFF" w:val="clear"/>
            <w:tcMar>
              <w:bottom w:w="0" w:type="dxa"/>
            </w:tcMar>
            <w:vAlign w:val="center"/>
          </w:tcPr>
          <w:p>
            <w:pPr>
              <w:pStyle w:val="TableContents"/>
              <w:spacing w:before="0" w:after="283"/>
              <w:jc w:val="right"/>
              <w:rPr/>
            </w:pPr>
            <w:r>
              <w:rPr/>
              <w:t>115,000</w:t>
            </w:r>
          </w:p>
        </w:tc>
        <w:tc>
          <w:tcPr>
            <w:tcW w:w="135" w:type="dxa"/>
            <w:tcBorders/>
            <w:shd w:fill="FFFFFF" w:val="clear"/>
            <w:tcMar>
              <w:bottom w:w="0" w:type="dxa"/>
            </w:tcM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283"/>
        <w:gridCol w:w="9922"/>
      </w:tblGrid>
      <w:tr>
        <w:trPr/>
        <w:tc>
          <w:tcPr>
            <w:tcW w:w="283" w:type="dxa"/>
            <w:tcBorders/>
            <w:shd w:fill="auto" w:val="clear"/>
            <w:vAlign w:val="center"/>
          </w:tcPr>
          <w:p>
            <w:pPr>
              <w:pStyle w:val="TableContents"/>
              <w:spacing w:before="0" w:after="0"/>
              <w:ind w:left="0" w:right="0" w:hanging="0"/>
              <w:rPr/>
            </w:pPr>
            <w:r>
              <w:rPr/>
              <w:t xml:space="preserve">(1) </w:t>
            </w:r>
          </w:p>
        </w:tc>
        <w:tc>
          <w:tcPr>
            <w:tcW w:w="9922" w:type="dxa"/>
            <w:tcBorders/>
            <w:shd w:fill="auto" w:val="clear"/>
            <w:vAlign w:val="center"/>
          </w:tcPr>
          <w:p>
            <w:pPr>
              <w:pStyle w:val="TableContents"/>
              <w:spacing w:before="0" w:after="0"/>
              <w:ind w:left="0" w:right="0" w:hanging="0"/>
              <w:jc w:val="both"/>
              <w:rPr/>
            </w:pPr>
            <w:r>
              <w:rPr/>
              <w:t>Amounts reflect the aggregate grant date fair value of grants made in the fiscal year computed in accordance with stock-based accounting rules (FASB ASC Topic 718-Stock Compensation), excluding the effect of estimated forfeitures. Assumptions used in the calculations of these amounts are included in Note 12 to our consolidated financial statements included in this Annual Report. The aggregate number of unvested restricted stock awards outstanding as of fiscal year end for each non-employee director is as follows:</w:t>
            </w:r>
          </w:p>
        </w:tc>
      </w:tr>
    </w:tbl>
    <w:p>
      <w:pPr>
        <w:pStyle w:val="TextBody"/>
        <w:spacing w:before="0" w:after="0"/>
        <w:ind w:left="0" w:right="0" w:hanging="0"/>
        <w:jc w:val="both"/>
        <w:rPr/>
      </w:pPr>
      <w:r>
        <w:rPr/>
        <w:t>  </w:t>
      </w:r>
    </w:p>
    <w:tbl>
      <w:tblPr>
        <w:tblW w:w="6354" w:type="dxa"/>
        <w:jc w:val="left"/>
        <w:tblInd w:w="0" w:type="dxa"/>
        <w:tblCellMar>
          <w:top w:w="0" w:type="dxa"/>
          <w:left w:w="0" w:type="dxa"/>
          <w:bottom w:w="28" w:type="dxa"/>
          <w:right w:w="0" w:type="dxa"/>
        </w:tblCellMar>
      </w:tblPr>
      <w:tblGrid>
        <w:gridCol w:w="2210"/>
        <w:gridCol w:w="90"/>
        <w:gridCol w:w="516"/>
        <w:gridCol w:w="3403"/>
        <w:gridCol w:w="135"/>
      </w:tblGrid>
      <w:tr>
        <w:trPr/>
        <w:tc>
          <w:tcPr>
            <w:tcW w:w="2210" w:type="dxa"/>
            <w:tcBorders>
              <w:bottom w:val="single" w:sz="2" w:space="0" w:color="000000"/>
            </w:tcBorders>
            <w:shd w:fill="auto" w:val="clear"/>
            <w:vAlign w:val="center"/>
          </w:tcPr>
          <w:p>
            <w:pPr>
              <w:pStyle w:val="TableContents"/>
              <w:spacing w:before="0" w:after="0"/>
              <w:ind w:left="0" w:right="0" w:hanging="0"/>
              <w:rPr/>
            </w:pPr>
            <w:r>
              <w:rPr>
                <w:rStyle w:val="StrongEmphasis"/>
              </w:rPr>
              <w:t>Name</w:t>
            </w:r>
          </w:p>
        </w:tc>
        <w:tc>
          <w:tcPr>
            <w:tcW w:w="90" w:type="dxa"/>
            <w:tcBorders/>
            <w:shd w:fill="auto" w:val="clear"/>
            <w:tcMar>
              <w:bottom w:w="0" w:type="dxa"/>
            </w:tcMar>
            <w:vAlign w:val="center"/>
          </w:tcPr>
          <w:p>
            <w:pPr>
              <w:pStyle w:val="TableContents"/>
              <w:spacing w:before="0" w:after="0"/>
              <w:ind w:left="0" w:right="0" w:hanging="0"/>
              <w:rPr/>
            </w:pPr>
            <w:r>
              <w:rPr/>
              <w:t> </w:t>
            </w:r>
          </w:p>
        </w:tc>
        <w:tc>
          <w:tcPr>
            <w:tcW w:w="3919"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Pr>
              <w:t>Unvested Restricted Stock Awards (#)</w:t>
            </w:r>
          </w:p>
        </w:tc>
        <w:tc>
          <w:tcPr>
            <w:tcW w:w="135" w:type="dxa"/>
            <w:tcBorders/>
            <w:shd w:fill="auto" w:val="clear"/>
            <w:tcMar>
              <w:bottom w:w="0" w:type="dxa"/>
            </w:tcMar>
            <w:vAlign w:val="center"/>
          </w:tcPr>
          <w:p>
            <w:pPr>
              <w:pStyle w:val="TableContents"/>
              <w:spacing w:before="0" w:after="0"/>
              <w:ind w:left="0" w:right="0" w:hanging="0"/>
              <w:rPr/>
            </w:pPr>
            <w:r>
              <w:rPr/>
              <w:t> </w:t>
            </w:r>
          </w:p>
        </w:tc>
      </w:tr>
      <w:tr>
        <w:trPr/>
        <w:tc>
          <w:tcPr>
            <w:tcW w:w="2210"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3919" w:type="dxa"/>
            <w:gridSpan w:val="2"/>
            <w:tcBorders/>
            <w:shd w:fill="auto" w:val="clear"/>
            <w:tcMar>
              <w:bottom w:w="0" w:type="dxa"/>
            </w:tcMar>
            <w:vAlign w:val="center"/>
          </w:tcPr>
          <w:p>
            <w:pPr>
              <w:pStyle w:val="TableContents"/>
              <w:spacing w:before="0" w:after="0"/>
              <w:ind w:left="0" w:right="0" w:hanging="0"/>
              <w:rPr/>
            </w:pPr>
            <w:r>
              <w:rPr/>
              <w:t> </w:t>
            </w:r>
          </w:p>
        </w:tc>
        <w:tc>
          <w:tcPr>
            <w:tcW w:w="135" w:type="dxa"/>
            <w:tcBorders/>
            <w:shd w:fill="auto" w:val="clear"/>
            <w:tcMar>
              <w:bottom w:w="0" w:type="dxa"/>
            </w:tcMar>
            <w:vAlign w:val="center"/>
          </w:tcPr>
          <w:p>
            <w:pPr>
              <w:pStyle w:val="TableContents"/>
              <w:spacing w:before="0" w:after="0"/>
              <w:ind w:left="0" w:right="0" w:hanging="0"/>
              <w:rPr/>
            </w:pPr>
            <w:r>
              <w:rPr/>
              <w:t> </w:t>
            </w:r>
          </w:p>
        </w:tc>
      </w:tr>
      <w:tr>
        <w:trPr/>
        <w:tc>
          <w:tcPr>
            <w:tcW w:w="2210" w:type="dxa"/>
            <w:tcBorders/>
            <w:shd w:fill="CCEEFF" w:val="clear"/>
            <w:tcMar>
              <w:bottom w:w="0" w:type="dxa"/>
            </w:tcMar>
            <w:vAlign w:val="center"/>
          </w:tcPr>
          <w:p>
            <w:pPr>
              <w:pStyle w:val="TableContents"/>
              <w:spacing w:before="0" w:after="0"/>
              <w:ind w:left="0" w:right="0" w:hanging="0"/>
              <w:rPr/>
            </w:pPr>
            <w:r>
              <w:rPr/>
              <w:t>Floyd R. Tupper</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516" w:type="dxa"/>
            <w:tcBorders/>
            <w:shd w:fill="CCEEFF" w:val="clear"/>
            <w:tcMar>
              <w:bottom w:w="0" w:type="dxa"/>
            </w:tcMar>
            <w:vAlign w:val="center"/>
          </w:tcPr>
          <w:p>
            <w:pPr>
              <w:pStyle w:val="TableContents"/>
              <w:spacing w:before="0" w:after="0"/>
              <w:ind w:left="0" w:right="0" w:hanging="0"/>
              <w:rPr/>
            </w:pPr>
            <w:r>
              <w:rPr/>
              <w:t> </w:t>
            </w:r>
          </w:p>
        </w:tc>
        <w:tc>
          <w:tcPr>
            <w:tcW w:w="3403" w:type="dxa"/>
            <w:tcBorders/>
            <w:shd w:fill="CCEEFF" w:val="clear"/>
            <w:tcMar>
              <w:bottom w:w="0" w:type="dxa"/>
            </w:tcMar>
            <w:vAlign w:val="center"/>
          </w:tcPr>
          <w:p>
            <w:pPr>
              <w:pStyle w:val="TableContents"/>
              <w:spacing w:before="0" w:after="283"/>
              <w:jc w:val="right"/>
              <w:rPr/>
            </w:pPr>
            <w:r>
              <w:rPr/>
              <w:t>5,704</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2210" w:type="dxa"/>
            <w:tcBorders/>
            <w:shd w:fill="FFFFFF" w:val="clear"/>
            <w:tcMar>
              <w:bottom w:w="0" w:type="dxa"/>
            </w:tcMar>
            <w:vAlign w:val="center"/>
          </w:tcPr>
          <w:p>
            <w:pPr>
              <w:pStyle w:val="TableContents"/>
              <w:spacing w:before="0" w:after="0"/>
              <w:ind w:left="0" w:right="0" w:hanging="0"/>
              <w:rPr/>
            </w:pPr>
            <w:r>
              <w:rPr/>
              <w:t>William L. Yankus</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516" w:type="dxa"/>
            <w:tcBorders/>
            <w:shd w:fill="FFFFFF" w:val="clear"/>
            <w:tcMar>
              <w:bottom w:w="0" w:type="dxa"/>
            </w:tcMar>
            <w:vAlign w:val="center"/>
          </w:tcPr>
          <w:p>
            <w:pPr>
              <w:pStyle w:val="TableContents"/>
              <w:spacing w:before="0" w:after="0"/>
              <w:ind w:left="0" w:right="0" w:hanging="0"/>
              <w:rPr/>
            </w:pPr>
            <w:r>
              <w:rPr/>
              <w:t> </w:t>
            </w:r>
          </w:p>
        </w:tc>
        <w:tc>
          <w:tcPr>
            <w:tcW w:w="3403" w:type="dxa"/>
            <w:tcBorders/>
            <w:shd w:fill="FFFFFF" w:val="clear"/>
            <w:tcMar>
              <w:bottom w:w="0" w:type="dxa"/>
            </w:tcMar>
            <w:vAlign w:val="center"/>
          </w:tcPr>
          <w:p>
            <w:pPr>
              <w:pStyle w:val="TableContents"/>
              <w:spacing w:before="0" w:after="283"/>
              <w:jc w:val="right"/>
              <w:rPr/>
            </w:pPr>
            <w:r>
              <w:rPr/>
              <w:t>5,704</w:t>
            </w:r>
          </w:p>
        </w:tc>
        <w:tc>
          <w:tcPr>
            <w:tcW w:w="135" w:type="dxa"/>
            <w:tcBorders/>
            <w:shd w:fill="FFFFFF" w:val="clear"/>
            <w:tcMar>
              <w:bottom w:w="0" w:type="dxa"/>
            </w:tcMar>
            <w:vAlign w:val="center"/>
          </w:tcPr>
          <w:p>
            <w:pPr>
              <w:pStyle w:val="TableContents"/>
              <w:spacing w:before="0" w:after="0"/>
              <w:ind w:left="0" w:right="0" w:hanging="0"/>
              <w:rPr/>
            </w:pPr>
            <w:r>
              <w:rPr/>
              <w:t> </w:t>
            </w:r>
          </w:p>
        </w:tc>
      </w:tr>
      <w:tr>
        <w:trPr/>
        <w:tc>
          <w:tcPr>
            <w:tcW w:w="2210" w:type="dxa"/>
            <w:tcBorders/>
            <w:shd w:fill="CCEEFF" w:val="clear"/>
            <w:tcMar>
              <w:bottom w:w="0" w:type="dxa"/>
            </w:tcMar>
            <w:vAlign w:val="center"/>
          </w:tcPr>
          <w:p>
            <w:pPr>
              <w:pStyle w:val="TableContents"/>
              <w:spacing w:before="0" w:after="0"/>
              <w:ind w:left="0" w:right="0" w:hanging="0"/>
              <w:rPr/>
            </w:pPr>
            <w:r>
              <w:rPr/>
              <w:t>Carla A. D’Andre</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516" w:type="dxa"/>
            <w:tcBorders/>
            <w:shd w:fill="CCEEFF" w:val="clear"/>
            <w:tcMar>
              <w:bottom w:w="0" w:type="dxa"/>
            </w:tcMar>
            <w:vAlign w:val="center"/>
          </w:tcPr>
          <w:p>
            <w:pPr>
              <w:pStyle w:val="TableContents"/>
              <w:spacing w:before="0" w:after="0"/>
              <w:ind w:left="0" w:right="0" w:hanging="0"/>
              <w:rPr/>
            </w:pPr>
            <w:r>
              <w:rPr/>
              <w:t> </w:t>
            </w:r>
          </w:p>
        </w:tc>
        <w:tc>
          <w:tcPr>
            <w:tcW w:w="3403" w:type="dxa"/>
            <w:tcBorders/>
            <w:shd w:fill="CCEEFF" w:val="clear"/>
            <w:tcMar>
              <w:bottom w:w="0" w:type="dxa"/>
            </w:tcMar>
            <w:vAlign w:val="center"/>
          </w:tcPr>
          <w:p>
            <w:pPr>
              <w:pStyle w:val="TableContents"/>
              <w:spacing w:before="0" w:after="283"/>
              <w:jc w:val="right"/>
              <w:rPr/>
            </w:pPr>
            <w:r>
              <w:rPr/>
              <w:t>5,704</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2210" w:type="dxa"/>
            <w:tcBorders/>
            <w:shd w:fill="FFFFFF" w:val="clear"/>
            <w:tcMar>
              <w:bottom w:w="0" w:type="dxa"/>
            </w:tcMar>
            <w:vAlign w:val="center"/>
          </w:tcPr>
          <w:p>
            <w:pPr>
              <w:pStyle w:val="TableContents"/>
              <w:spacing w:before="0" w:after="0"/>
              <w:ind w:left="0" w:right="0" w:hanging="0"/>
              <w:rPr/>
            </w:pPr>
            <w:r>
              <w:rPr/>
              <w:t>Timothy P. McFadden</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516" w:type="dxa"/>
            <w:tcBorders/>
            <w:shd w:fill="FFFFFF" w:val="clear"/>
            <w:tcMar>
              <w:bottom w:w="0" w:type="dxa"/>
            </w:tcMar>
            <w:vAlign w:val="center"/>
          </w:tcPr>
          <w:p>
            <w:pPr>
              <w:pStyle w:val="TableContents"/>
              <w:spacing w:before="0" w:after="0"/>
              <w:ind w:left="0" w:right="0" w:hanging="0"/>
              <w:rPr/>
            </w:pPr>
            <w:r>
              <w:rPr/>
              <w:t> </w:t>
            </w:r>
          </w:p>
        </w:tc>
        <w:tc>
          <w:tcPr>
            <w:tcW w:w="3403" w:type="dxa"/>
            <w:tcBorders/>
            <w:shd w:fill="FFFFFF" w:val="clear"/>
            <w:tcMar>
              <w:bottom w:w="0" w:type="dxa"/>
            </w:tcMar>
            <w:vAlign w:val="center"/>
          </w:tcPr>
          <w:p>
            <w:pPr>
              <w:pStyle w:val="TableContents"/>
              <w:spacing w:before="0" w:after="283"/>
              <w:jc w:val="right"/>
              <w:rPr/>
            </w:pPr>
            <w:r>
              <w:rPr/>
              <w:t>5,303</w:t>
            </w:r>
          </w:p>
        </w:tc>
        <w:tc>
          <w:tcPr>
            <w:tcW w:w="135" w:type="dxa"/>
            <w:tcBorders/>
            <w:shd w:fill="FFFFFF" w:val="clear"/>
            <w:tcMar>
              <w:bottom w:w="0" w:type="dxa"/>
            </w:tcM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Effective January 1, 2021, our non-employee directors are entitled to receive annual compensation for their services as directors as follows:</w:t>
      </w:r>
    </w:p>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105"/>
        <w:gridCol w:w="155"/>
        <w:gridCol w:w="9945"/>
      </w:tblGrid>
      <w:tr>
        <w:trPr/>
        <w:tc>
          <w:tcPr>
            <w:tcW w:w="105" w:type="dxa"/>
            <w:tcBorders/>
            <w:shd w:fill="auto" w:val="clear"/>
            <w:vAlign w:val="center"/>
          </w:tcPr>
          <w:p>
            <w:pPr>
              <w:pStyle w:val="TableContents"/>
              <w:spacing w:before="0" w:after="0"/>
              <w:ind w:left="0" w:right="0" w:hanging="0"/>
              <w:rPr/>
            </w:pPr>
            <w:r>
              <w:rPr/>
              <w:t> </w:t>
            </w:r>
          </w:p>
        </w:tc>
        <w:tc>
          <w:tcPr>
            <w:tcW w:w="155" w:type="dxa"/>
            <w:tcBorders/>
            <w:shd w:fill="auto" w:val="clear"/>
            <w:vAlign w:val="center"/>
          </w:tcPr>
          <w:p>
            <w:pPr>
              <w:pStyle w:val="TableContents"/>
              <w:spacing w:before="0" w:after="0"/>
              <w:ind w:left="0" w:right="0" w:hanging="0"/>
              <w:rPr>
                <w:rFonts w:ascii="symbol" w:hAnsi="symbol"/>
              </w:rPr>
            </w:pPr>
            <w:r>
              <w:rPr>
                <w:rFonts w:ascii="symbol" w:hAnsi="symbol"/>
              </w:rPr>
              <w:t>·</w:t>
            </w:r>
          </w:p>
        </w:tc>
        <w:tc>
          <w:tcPr>
            <w:tcW w:w="9945" w:type="dxa"/>
            <w:tcBorders/>
            <w:shd w:fill="auto" w:val="clear"/>
            <w:vAlign w:val="center"/>
          </w:tcPr>
          <w:p>
            <w:pPr>
              <w:pStyle w:val="TableContents"/>
              <w:spacing w:before="0" w:after="283"/>
              <w:rPr/>
            </w:pPr>
            <w:r>
              <w:rPr/>
              <w:t>$63,000;</w:t>
            </w:r>
          </w:p>
        </w:tc>
      </w:tr>
      <w:tr>
        <w:trPr/>
        <w:tc>
          <w:tcPr>
            <w:tcW w:w="105" w:type="dxa"/>
            <w:tcBorders/>
            <w:shd w:fill="auto" w:val="clear"/>
            <w:vAlign w:val="center"/>
          </w:tcPr>
          <w:p>
            <w:pPr>
              <w:pStyle w:val="TableContents"/>
              <w:spacing w:before="0" w:after="0"/>
              <w:ind w:left="0" w:right="0" w:hanging="0"/>
              <w:rPr/>
            </w:pPr>
            <w:r>
              <w:rPr/>
              <w:t> </w:t>
            </w:r>
          </w:p>
        </w:tc>
        <w:tc>
          <w:tcPr>
            <w:tcW w:w="155" w:type="dxa"/>
            <w:tcBorders/>
            <w:shd w:fill="auto" w:val="clear"/>
            <w:vAlign w:val="center"/>
          </w:tcPr>
          <w:p>
            <w:pPr>
              <w:pStyle w:val="TableContents"/>
              <w:spacing w:before="0" w:after="0"/>
              <w:ind w:left="0" w:right="0" w:hanging="0"/>
              <w:rPr>
                <w:rFonts w:ascii="symbol" w:hAnsi="symbol"/>
              </w:rPr>
            </w:pPr>
            <w:r>
              <w:rPr>
                <w:rFonts w:ascii="symbol" w:hAnsi="symbol"/>
              </w:rPr>
              <w:t>·</w:t>
            </w:r>
          </w:p>
        </w:tc>
        <w:tc>
          <w:tcPr>
            <w:tcW w:w="9945" w:type="dxa"/>
            <w:tcBorders/>
            <w:shd w:fill="auto" w:val="clear"/>
            <w:vAlign w:val="center"/>
          </w:tcPr>
          <w:p>
            <w:pPr>
              <w:pStyle w:val="TableContents"/>
              <w:spacing w:before="0" w:after="0"/>
              <w:ind w:left="0" w:right="0" w:hanging="0"/>
              <w:jc w:val="both"/>
              <w:rPr/>
            </w:pPr>
            <w:r>
              <w:rPr/>
              <w:t>an additional $25,000 for service as audit committee chair, an additional $20,000 for service as compensation committee chair, an additional $10,000 for service as investment committee chair, and an additional $15,000 for service as chair of other committees; and</w:t>
            </w:r>
          </w:p>
        </w:tc>
      </w:tr>
      <w:tr>
        <w:trPr/>
        <w:tc>
          <w:tcPr>
            <w:tcW w:w="105" w:type="dxa"/>
            <w:tcBorders/>
            <w:shd w:fill="auto" w:val="clear"/>
            <w:vAlign w:val="center"/>
          </w:tcPr>
          <w:p>
            <w:pPr>
              <w:pStyle w:val="TableContents"/>
              <w:spacing w:before="0" w:after="0"/>
              <w:ind w:left="0" w:right="0" w:hanging="0"/>
              <w:rPr/>
            </w:pPr>
            <w:r>
              <w:rPr/>
              <w:t> </w:t>
            </w:r>
          </w:p>
        </w:tc>
        <w:tc>
          <w:tcPr>
            <w:tcW w:w="155" w:type="dxa"/>
            <w:tcBorders/>
            <w:shd w:fill="auto" w:val="clear"/>
            <w:vAlign w:val="center"/>
          </w:tcPr>
          <w:p>
            <w:pPr>
              <w:pStyle w:val="TableContents"/>
              <w:spacing w:before="0" w:after="0"/>
              <w:ind w:left="0" w:right="0" w:hanging="0"/>
              <w:rPr>
                <w:rFonts w:ascii="symbol" w:hAnsi="symbol"/>
              </w:rPr>
            </w:pPr>
            <w:r>
              <w:rPr>
                <w:rFonts w:ascii="symbol" w:hAnsi="symbol"/>
              </w:rPr>
              <w:t>·</w:t>
            </w:r>
          </w:p>
        </w:tc>
        <w:tc>
          <w:tcPr>
            <w:tcW w:w="9945" w:type="dxa"/>
            <w:tcBorders/>
            <w:shd w:fill="auto" w:val="clear"/>
            <w:vAlign w:val="center"/>
          </w:tcPr>
          <w:p>
            <w:pPr>
              <w:pStyle w:val="TableContents"/>
              <w:spacing w:before="0" w:after="283"/>
              <w:rPr/>
            </w:pPr>
            <w:r>
              <w:rPr/>
              <w:t>$40,000 of our common stock determined by the closing stock price on the first business day of the year, which vest on the first anniversary of the grant date.</w:t>
            </w:r>
          </w:p>
        </w:tc>
      </w:tr>
    </w:tbl>
    <w:p>
      <w:pPr>
        <w:pStyle w:val="TextBody"/>
        <w:spacing w:before="0" w:after="0"/>
        <w:ind w:left="0" w:right="0" w:hanging="0"/>
        <w:jc w:val="both"/>
        <w:rPr/>
      </w:pPr>
      <w:r>
        <w:rPr/>
        <w:t> </w:t>
      </w:r>
    </w:p>
    <w:p>
      <w:pPr>
        <w:pStyle w:val="TextBody"/>
        <w:spacing w:before="0" w:after="0"/>
        <w:ind w:left="0" w:right="0" w:hanging="0"/>
        <w:jc w:val="both"/>
        <w:rPr/>
      </w:pPr>
      <w:bookmarkStart w:id="17" w:name="i12"/>
      <w:bookmarkEnd w:id="17"/>
      <w:r>
        <w:rPr>
          <w:rStyle w:val="StrongEmphasis"/>
          <w:rFonts w:ascii="times new roman" w:hAnsi="times new roman"/>
          <w:sz w:val="20"/>
          <w:u w:val="single"/>
        </w:rPr>
        <w:t>ITEM 12.</w:t>
      </w:r>
      <w:r>
        <w:rPr>
          <w:rStyle w:val="StrongEmphasis"/>
          <w:rFonts w:ascii="times new roman" w:hAnsi="times new roman"/>
          <w:sz w:val="20"/>
        </w:rPr>
        <w:t xml:space="preserve"> </w:t>
      </w:r>
      <w:r>
        <w:rPr>
          <w:rStyle w:val="StrongEmphasis"/>
          <w:rFonts w:ascii="times new roman" w:hAnsi="times new roman"/>
          <w:sz w:val="20"/>
          <w:u w:val="single"/>
        </w:rPr>
        <w:t>SECURITY OWNERSHIP OF CERTAIN BENEFICIAL OWNERS AND</w:t>
      </w:r>
      <w:r>
        <w:rPr>
          <w:rStyle w:val="StrongEmphasis"/>
          <w:rFonts w:ascii="times new roman" w:hAnsi="times new roman"/>
          <w:sz w:val="20"/>
        </w:rPr>
        <w:t xml:space="preserve"> </w:t>
      </w:r>
      <w:r>
        <w:rPr>
          <w:rStyle w:val="StrongEmphasis"/>
          <w:rFonts w:ascii="times new roman" w:hAnsi="times new roman"/>
          <w:sz w:val="20"/>
          <w:u w:val="single"/>
        </w:rPr>
        <w:t>MANAGEMENT AND RELATED STOCKHOLDER MATTERS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Security Ownership</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sets forth certain information as of March 17, 2021 regarding the beneficial ownership of our shares of common stock by (i) each person who we believe to be the beneficial owner of more than 5% of our outstanding shares of common stock, (ii) each present director, (iii) each Named Executive Officer and (iv) all of our present executive officers and directors as a group.</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72</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tbl>
      <w:tblPr>
        <w:tblW w:w="8828" w:type="dxa"/>
        <w:jc w:val="left"/>
        <w:tblInd w:w="0" w:type="dxa"/>
        <w:tblCellMar>
          <w:top w:w="0" w:type="dxa"/>
          <w:left w:w="0" w:type="dxa"/>
          <w:bottom w:w="28" w:type="dxa"/>
          <w:right w:w="0" w:type="dxa"/>
        </w:tblCellMar>
      </w:tblPr>
      <w:tblGrid>
        <w:gridCol w:w="3530"/>
        <w:gridCol w:w="90"/>
        <w:gridCol w:w="196"/>
        <w:gridCol w:w="1818"/>
        <w:gridCol w:w="1130"/>
        <w:gridCol w:w="90"/>
        <w:gridCol w:w="344"/>
        <w:gridCol w:w="1340"/>
        <w:gridCol w:w="290"/>
      </w:tblGrid>
      <w:tr>
        <w:trPr/>
        <w:tc>
          <w:tcPr>
            <w:tcW w:w="3530" w:type="dxa"/>
            <w:tcBorders>
              <w:bottom w:val="single" w:sz="2" w:space="0" w:color="000000"/>
            </w:tcBorders>
            <w:shd w:fill="auto" w:val="clear"/>
            <w:vAlign w:val="center"/>
          </w:tcPr>
          <w:p>
            <w:pPr>
              <w:pStyle w:val="TableContents"/>
              <w:spacing w:before="0" w:after="0"/>
              <w:ind w:left="0" w:right="0" w:hanging="0"/>
              <w:rPr/>
            </w:pPr>
            <w:r>
              <w:rPr>
                <w:rStyle w:val="StrongEmphasis"/>
              </w:rPr>
              <w:t>Name and Address</w:t>
            </w:r>
          </w:p>
          <w:p>
            <w:pPr>
              <w:pStyle w:val="TableContents"/>
              <w:spacing w:before="0" w:after="0"/>
              <w:ind w:left="0" w:right="0" w:hanging="0"/>
              <w:rPr/>
            </w:pPr>
            <w:r>
              <w:rPr>
                <w:rStyle w:val="StrongEmphasis"/>
              </w:rPr>
              <w:t>of Beneficial Owner</w:t>
            </w:r>
          </w:p>
        </w:tc>
        <w:tc>
          <w:tcPr>
            <w:tcW w:w="90" w:type="dxa"/>
            <w:tcBorders/>
            <w:shd w:fill="auto" w:val="clear"/>
            <w:tcMar>
              <w:bottom w:w="0" w:type="dxa"/>
            </w:tcMar>
            <w:vAlign w:val="center"/>
          </w:tcPr>
          <w:p>
            <w:pPr>
              <w:pStyle w:val="TableContents"/>
              <w:spacing w:before="0" w:after="0"/>
              <w:ind w:left="0" w:right="0" w:hanging="0"/>
              <w:rPr/>
            </w:pPr>
            <w:r>
              <w:rPr/>
              <w:t> </w:t>
            </w:r>
          </w:p>
        </w:tc>
        <w:tc>
          <w:tcPr>
            <w:tcW w:w="2014"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Pr>
              <w:t>Number of Shares</w:t>
            </w:r>
          </w:p>
          <w:p>
            <w:pPr>
              <w:pStyle w:val="TableContents"/>
              <w:spacing w:before="0" w:after="0"/>
              <w:ind w:left="0" w:right="0" w:hanging="0"/>
              <w:jc w:val="center"/>
              <w:rPr/>
            </w:pPr>
            <w:r>
              <w:rPr>
                <w:rStyle w:val="StrongEmphasis"/>
              </w:rPr>
              <w:t>Beneficially Owned</w:t>
            </w:r>
          </w:p>
        </w:tc>
        <w:tc>
          <w:tcPr>
            <w:tcW w:w="1130"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684"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Pr>
              <w:t>Approximate</w:t>
            </w:r>
          </w:p>
          <w:p>
            <w:pPr>
              <w:pStyle w:val="TableContents"/>
              <w:spacing w:before="0" w:after="0"/>
              <w:ind w:left="0" w:right="0" w:hanging="0"/>
              <w:jc w:val="center"/>
              <w:rPr/>
            </w:pPr>
            <w:r>
              <w:rPr>
                <w:rStyle w:val="StrongEmphasis"/>
              </w:rPr>
              <w:t>Percent of Class</w:t>
            </w:r>
          </w:p>
        </w:tc>
        <w:tc>
          <w:tcPr>
            <w:tcW w:w="290" w:type="dxa"/>
            <w:tcBorders/>
            <w:shd w:fill="auto" w:val="clear"/>
            <w:tcMar>
              <w:bottom w:w="0" w:type="dxa"/>
            </w:tcMar>
            <w:vAlign w:val="center"/>
          </w:tcPr>
          <w:p>
            <w:pPr>
              <w:pStyle w:val="TableContents"/>
              <w:spacing w:before="0" w:after="0"/>
              <w:ind w:left="0" w:right="0" w:hanging="0"/>
              <w:rPr/>
            </w:pPr>
            <w:r>
              <w:rPr/>
              <w:t> </w:t>
            </w:r>
          </w:p>
        </w:tc>
      </w:tr>
      <w:tr>
        <w:trPr/>
        <w:tc>
          <w:tcPr>
            <w:tcW w:w="3530"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2014" w:type="dxa"/>
            <w:gridSpan w:val="2"/>
            <w:tcBorders/>
            <w:shd w:fill="auto" w:val="clear"/>
            <w:tcMar>
              <w:bottom w:w="0" w:type="dxa"/>
            </w:tcMar>
            <w:vAlign w:val="center"/>
          </w:tcPr>
          <w:p>
            <w:pPr>
              <w:pStyle w:val="TableContents"/>
              <w:spacing w:before="0" w:after="0"/>
              <w:ind w:left="0" w:right="0" w:hanging="0"/>
              <w:rPr/>
            </w:pPr>
            <w:r>
              <w:rPr/>
              <w:t> </w:t>
            </w:r>
          </w:p>
        </w:tc>
        <w:tc>
          <w:tcPr>
            <w:tcW w:w="1130"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684" w:type="dxa"/>
            <w:gridSpan w:val="2"/>
            <w:tcBorders/>
            <w:shd w:fill="auto" w:val="clear"/>
            <w:tcMar>
              <w:bottom w:w="0" w:type="dxa"/>
            </w:tcMar>
            <w:vAlign w:val="center"/>
          </w:tcPr>
          <w:p>
            <w:pPr>
              <w:pStyle w:val="TableContents"/>
              <w:spacing w:before="0" w:after="0"/>
              <w:ind w:left="0" w:right="0" w:hanging="0"/>
              <w:rPr/>
            </w:pPr>
            <w:r>
              <w:rPr/>
              <w:t> </w:t>
            </w:r>
          </w:p>
        </w:tc>
        <w:tc>
          <w:tcPr>
            <w:tcW w:w="290" w:type="dxa"/>
            <w:tcBorders/>
            <w:shd w:fill="auto" w:val="clear"/>
            <w:tcMar>
              <w:bottom w:w="0" w:type="dxa"/>
            </w:tcMar>
            <w:vAlign w:val="center"/>
          </w:tcPr>
          <w:p>
            <w:pPr>
              <w:pStyle w:val="TableContents"/>
              <w:spacing w:before="0" w:after="0"/>
              <w:ind w:left="0" w:right="0" w:hanging="0"/>
              <w:rPr/>
            </w:pPr>
            <w:r>
              <w:rPr/>
              <w:t> </w:t>
            </w:r>
          </w:p>
        </w:tc>
      </w:tr>
      <w:tr>
        <w:trPr/>
        <w:tc>
          <w:tcPr>
            <w:tcW w:w="3530" w:type="dxa"/>
            <w:tcBorders/>
            <w:shd w:fill="CCEEFF" w:val="clear"/>
            <w:tcMar>
              <w:bottom w:w="0" w:type="dxa"/>
            </w:tcMar>
            <w:vAlign w:val="center"/>
          </w:tcPr>
          <w:p>
            <w:pPr>
              <w:pStyle w:val="TableContents"/>
              <w:spacing w:before="0" w:after="0"/>
              <w:ind w:left="0" w:right="0" w:hanging="0"/>
              <w:rPr/>
            </w:pPr>
            <w:r>
              <w:rPr/>
              <w:t>Barry B. Goldstein</w:t>
            </w:r>
          </w:p>
          <w:p>
            <w:pPr>
              <w:pStyle w:val="TableContents"/>
              <w:spacing w:before="0" w:after="0"/>
              <w:ind w:left="0" w:right="0" w:hanging="0"/>
              <w:jc w:val="both"/>
              <w:rPr/>
            </w:pPr>
            <w:r>
              <w:rPr/>
              <w:t>15 Joys Lane</w:t>
            </w:r>
          </w:p>
          <w:p>
            <w:pPr>
              <w:pStyle w:val="TableContents"/>
              <w:spacing w:before="0" w:after="0"/>
              <w:ind w:left="0" w:right="0" w:hanging="0"/>
              <w:jc w:val="both"/>
              <w:rPr/>
            </w:pPr>
            <w:r>
              <w:rPr/>
              <w:t>Kingston, New York</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96" w:type="dxa"/>
            <w:tcBorders/>
            <w:shd w:fill="CCEEFF" w:val="clear"/>
            <w:tcMar>
              <w:bottom w:w="0" w:type="dxa"/>
            </w:tcMar>
            <w:vAlign w:val="center"/>
          </w:tcPr>
          <w:p>
            <w:pPr>
              <w:pStyle w:val="TableContents"/>
              <w:spacing w:before="0" w:after="0"/>
              <w:ind w:left="0" w:right="0" w:hanging="0"/>
              <w:rPr/>
            </w:pPr>
            <w:r>
              <w:rPr/>
              <w:t> </w:t>
            </w:r>
          </w:p>
        </w:tc>
        <w:tc>
          <w:tcPr>
            <w:tcW w:w="1818" w:type="dxa"/>
            <w:tcBorders/>
            <w:shd w:fill="CCEEFF" w:val="clear"/>
            <w:tcMar>
              <w:bottom w:w="0" w:type="dxa"/>
            </w:tcMar>
            <w:vAlign w:val="center"/>
          </w:tcPr>
          <w:p>
            <w:pPr>
              <w:pStyle w:val="TableContents"/>
              <w:spacing w:before="0" w:after="283"/>
              <w:jc w:val="right"/>
              <w:rPr/>
            </w:pPr>
            <w:r>
              <w:rPr/>
              <w:t>715,908</w:t>
            </w:r>
          </w:p>
        </w:tc>
        <w:tc>
          <w:tcPr>
            <w:tcW w:w="1130" w:type="dxa"/>
            <w:tcBorders/>
            <w:shd w:fill="CCEEFF" w:val="clear"/>
            <w:tcMar>
              <w:bottom w:w="0" w:type="dxa"/>
            </w:tcMar>
            <w:vAlign w:val="center"/>
          </w:tcPr>
          <w:p>
            <w:pPr>
              <w:pStyle w:val="TableContents"/>
              <w:spacing w:before="0" w:after="283"/>
              <w:rPr/>
            </w:pPr>
            <w:r>
              <w:rPr/>
              <w:t>(1)</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344" w:type="dxa"/>
            <w:tcBorders/>
            <w:shd w:fill="CCEEFF" w:val="clear"/>
            <w:tcMar>
              <w:bottom w:w="0" w:type="dxa"/>
            </w:tcMar>
            <w:vAlign w:val="center"/>
          </w:tcPr>
          <w:p>
            <w:pPr>
              <w:pStyle w:val="TableContents"/>
              <w:spacing w:before="0" w:after="0"/>
              <w:ind w:left="0" w:right="0" w:hanging="0"/>
              <w:rPr/>
            </w:pPr>
            <w:r>
              <w:rPr/>
              <w:t> </w:t>
            </w:r>
          </w:p>
        </w:tc>
        <w:tc>
          <w:tcPr>
            <w:tcW w:w="1340" w:type="dxa"/>
            <w:tcBorders/>
            <w:shd w:fill="CCEEFF" w:val="clear"/>
            <w:tcMar>
              <w:bottom w:w="0" w:type="dxa"/>
            </w:tcMar>
            <w:vAlign w:val="center"/>
          </w:tcPr>
          <w:p>
            <w:pPr>
              <w:pStyle w:val="TableContents"/>
              <w:spacing w:before="0" w:after="283"/>
              <w:jc w:val="right"/>
              <w:rPr/>
            </w:pPr>
            <w:r>
              <w:rPr/>
              <w:t>6.6</w:t>
            </w:r>
          </w:p>
        </w:tc>
        <w:tc>
          <w:tcPr>
            <w:tcW w:w="290" w:type="dxa"/>
            <w:tcBorders/>
            <w:shd w:fill="CCEEFF" w:val="clear"/>
            <w:tcMar>
              <w:bottom w:w="0" w:type="dxa"/>
            </w:tcMar>
            <w:vAlign w:val="center"/>
          </w:tcPr>
          <w:p>
            <w:pPr>
              <w:pStyle w:val="TableContents"/>
              <w:spacing w:before="0" w:after="283"/>
              <w:rPr/>
            </w:pPr>
            <w:r>
              <w:rPr/>
              <w:t>%</w:t>
            </w:r>
          </w:p>
        </w:tc>
      </w:tr>
      <w:tr>
        <w:trPr/>
        <w:tc>
          <w:tcPr>
            <w:tcW w:w="353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96" w:type="dxa"/>
            <w:tcBorders/>
            <w:shd w:fill="FFFFFF" w:val="clear"/>
            <w:tcMar>
              <w:bottom w:w="0" w:type="dxa"/>
            </w:tcMar>
            <w:vAlign w:val="center"/>
          </w:tcPr>
          <w:p>
            <w:pPr>
              <w:pStyle w:val="TableContents"/>
              <w:spacing w:before="0" w:after="0"/>
              <w:ind w:left="0" w:right="0" w:hanging="0"/>
              <w:rPr/>
            </w:pPr>
            <w:r>
              <w:rPr/>
              <w:t> </w:t>
            </w:r>
          </w:p>
        </w:tc>
        <w:tc>
          <w:tcPr>
            <w:tcW w:w="1818" w:type="dxa"/>
            <w:tcBorders/>
            <w:shd w:fill="FFFFFF" w:val="clear"/>
            <w:tcMar>
              <w:bottom w:w="0" w:type="dxa"/>
            </w:tcMar>
            <w:vAlign w:val="center"/>
          </w:tcPr>
          <w:p>
            <w:pPr>
              <w:pStyle w:val="TableContents"/>
              <w:spacing w:before="0" w:after="0"/>
              <w:ind w:left="0" w:right="0" w:hanging="0"/>
              <w:rPr/>
            </w:pPr>
            <w:r>
              <w:rPr/>
              <w:t> </w:t>
            </w:r>
          </w:p>
        </w:tc>
        <w:tc>
          <w:tcPr>
            <w:tcW w:w="113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344" w:type="dxa"/>
            <w:tcBorders/>
            <w:shd w:fill="FFFFFF" w:val="clear"/>
            <w:tcMar>
              <w:bottom w:w="0" w:type="dxa"/>
            </w:tcMar>
            <w:vAlign w:val="center"/>
          </w:tcPr>
          <w:p>
            <w:pPr>
              <w:pStyle w:val="TableContents"/>
              <w:spacing w:before="0" w:after="0"/>
              <w:ind w:left="0" w:right="0" w:hanging="0"/>
              <w:rPr/>
            </w:pPr>
            <w:r>
              <w:rPr/>
              <w:t> </w:t>
            </w:r>
          </w:p>
        </w:tc>
        <w:tc>
          <w:tcPr>
            <w:tcW w:w="1340" w:type="dxa"/>
            <w:tcBorders/>
            <w:shd w:fill="FFFFFF" w:val="clear"/>
            <w:tcMar>
              <w:bottom w:w="0" w:type="dxa"/>
            </w:tcMar>
            <w:vAlign w:val="center"/>
          </w:tcPr>
          <w:p>
            <w:pPr>
              <w:pStyle w:val="TableContents"/>
              <w:spacing w:before="0" w:after="0"/>
              <w:ind w:left="0" w:right="0" w:hanging="0"/>
              <w:rPr/>
            </w:pPr>
            <w:r>
              <w:rPr/>
              <w:t> </w:t>
            </w:r>
          </w:p>
        </w:tc>
        <w:tc>
          <w:tcPr>
            <w:tcW w:w="290" w:type="dxa"/>
            <w:tcBorders/>
            <w:shd w:fill="FFFFFF" w:val="clear"/>
            <w:tcMar>
              <w:bottom w:w="0" w:type="dxa"/>
            </w:tcMar>
            <w:vAlign w:val="center"/>
          </w:tcPr>
          <w:p>
            <w:pPr>
              <w:pStyle w:val="TableContents"/>
              <w:spacing w:before="0" w:after="0"/>
              <w:ind w:left="0" w:right="0" w:hanging="0"/>
              <w:rPr/>
            </w:pPr>
            <w:r>
              <w:rPr/>
              <w:t> </w:t>
            </w:r>
          </w:p>
        </w:tc>
      </w:tr>
      <w:tr>
        <w:trPr/>
        <w:tc>
          <w:tcPr>
            <w:tcW w:w="3530" w:type="dxa"/>
            <w:tcBorders/>
            <w:shd w:fill="CCEEFF" w:val="clear"/>
            <w:tcMar>
              <w:bottom w:w="0" w:type="dxa"/>
            </w:tcMar>
            <w:vAlign w:val="center"/>
          </w:tcPr>
          <w:p>
            <w:pPr>
              <w:pStyle w:val="TableContents"/>
              <w:spacing w:before="0" w:after="0"/>
              <w:ind w:left="0" w:right="0" w:hanging="0"/>
              <w:jc w:val="both"/>
              <w:rPr/>
            </w:pPr>
            <w:r>
              <w:rPr/>
              <w:t>Floyd R. Tupper</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96" w:type="dxa"/>
            <w:tcBorders/>
            <w:shd w:fill="CCEEFF" w:val="clear"/>
            <w:tcMar>
              <w:bottom w:w="0" w:type="dxa"/>
            </w:tcMar>
            <w:vAlign w:val="center"/>
          </w:tcPr>
          <w:p>
            <w:pPr>
              <w:pStyle w:val="TableContents"/>
              <w:spacing w:before="0" w:after="0"/>
              <w:ind w:left="0" w:right="0" w:hanging="0"/>
              <w:rPr/>
            </w:pPr>
            <w:r>
              <w:rPr/>
              <w:t> </w:t>
            </w:r>
          </w:p>
        </w:tc>
        <w:tc>
          <w:tcPr>
            <w:tcW w:w="1818" w:type="dxa"/>
            <w:tcBorders/>
            <w:shd w:fill="CCEEFF" w:val="clear"/>
            <w:tcMar>
              <w:bottom w:w="0" w:type="dxa"/>
            </w:tcMar>
            <w:vAlign w:val="center"/>
          </w:tcPr>
          <w:p>
            <w:pPr>
              <w:pStyle w:val="TableContents"/>
              <w:spacing w:before="0" w:after="283"/>
              <w:jc w:val="right"/>
              <w:rPr/>
            </w:pPr>
            <w:r>
              <w:rPr/>
              <w:t>73,422</w:t>
            </w:r>
          </w:p>
        </w:tc>
        <w:tc>
          <w:tcPr>
            <w:tcW w:w="1130" w:type="dxa"/>
            <w:tcBorders/>
            <w:shd w:fill="CCEEFF" w:val="clear"/>
            <w:tcMar>
              <w:bottom w:w="0" w:type="dxa"/>
            </w:tcMar>
            <w:vAlign w:val="center"/>
          </w:tcPr>
          <w:p>
            <w:pPr>
              <w:pStyle w:val="TableContents"/>
              <w:spacing w:before="0" w:after="283"/>
              <w:rPr/>
            </w:pPr>
            <w:r>
              <w:rPr/>
              <w:t>(2)</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684" w:type="dxa"/>
            <w:gridSpan w:val="2"/>
            <w:tcBorders/>
            <w:shd w:fill="CCEEFF" w:val="clear"/>
            <w:tcMar>
              <w:bottom w:w="0" w:type="dxa"/>
            </w:tcMar>
            <w:vAlign w:val="center"/>
          </w:tcPr>
          <w:p>
            <w:pPr>
              <w:pStyle w:val="TableContents"/>
              <w:spacing w:before="0" w:after="0"/>
              <w:ind w:left="0" w:right="0" w:hanging="0"/>
              <w:jc w:val="right"/>
              <w:rPr/>
            </w:pPr>
            <w:r>
              <w:rPr/>
              <w:t> </w:t>
            </w:r>
            <w:r>
              <w:rPr/>
              <w:t>*</w:t>
            </w:r>
          </w:p>
        </w:tc>
        <w:tc>
          <w:tcPr>
            <w:tcW w:w="290" w:type="dxa"/>
            <w:tcBorders/>
            <w:shd w:fill="CCEEFF" w:val="clear"/>
            <w:tcMar>
              <w:bottom w:w="0" w:type="dxa"/>
            </w:tcMar>
            <w:vAlign w:val="center"/>
          </w:tcPr>
          <w:p>
            <w:pPr>
              <w:pStyle w:val="TableContents"/>
              <w:spacing w:before="0" w:after="0"/>
              <w:ind w:left="0" w:right="0" w:hanging="0"/>
              <w:rPr/>
            </w:pPr>
            <w:r>
              <w:rPr/>
              <w:t> </w:t>
            </w:r>
          </w:p>
        </w:tc>
      </w:tr>
      <w:tr>
        <w:trPr/>
        <w:tc>
          <w:tcPr>
            <w:tcW w:w="353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96" w:type="dxa"/>
            <w:tcBorders/>
            <w:shd w:fill="FFFFFF" w:val="clear"/>
            <w:tcMar>
              <w:bottom w:w="0" w:type="dxa"/>
            </w:tcMar>
            <w:vAlign w:val="center"/>
          </w:tcPr>
          <w:p>
            <w:pPr>
              <w:pStyle w:val="TableContents"/>
              <w:spacing w:before="0" w:after="0"/>
              <w:ind w:left="0" w:right="0" w:hanging="0"/>
              <w:rPr/>
            </w:pPr>
            <w:r>
              <w:rPr/>
              <w:t> </w:t>
            </w:r>
          </w:p>
        </w:tc>
        <w:tc>
          <w:tcPr>
            <w:tcW w:w="1818" w:type="dxa"/>
            <w:tcBorders/>
            <w:shd w:fill="FFFFFF" w:val="clear"/>
            <w:tcMar>
              <w:bottom w:w="0" w:type="dxa"/>
            </w:tcMar>
            <w:vAlign w:val="center"/>
          </w:tcPr>
          <w:p>
            <w:pPr>
              <w:pStyle w:val="TableContents"/>
              <w:spacing w:before="0" w:after="0"/>
              <w:ind w:left="0" w:right="0" w:hanging="0"/>
              <w:rPr/>
            </w:pPr>
            <w:r>
              <w:rPr/>
              <w:t> </w:t>
            </w:r>
          </w:p>
        </w:tc>
        <w:tc>
          <w:tcPr>
            <w:tcW w:w="113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344" w:type="dxa"/>
            <w:tcBorders/>
            <w:shd w:fill="FFFFFF" w:val="clear"/>
            <w:tcMar>
              <w:bottom w:w="0" w:type="dxa"/>
            </w:tcMar>
            <w:vAlign w:val="center"/>
          </w:tcPr>
          <w:p>
            <w:pPr>
              <w:pStyle w:val="TableContents"/>
              <w:spacing w:before="0" w:after="0"/>
              <w:ind w:left="0" w:right="0" w:hanging="0"/>
              <w:rPr/>
            </w:pPr>
            <w:r>
              <w:rPr/>
              <w:t> </w:t>
            </w:r>
          </w:p>
        </w:tc>
        <w:tc>
          <w:tcPr>
            <w:tcW w:w="1340" w:type="dxa"/>
            <w:tcBorders/>
            <w:shd w:fill="FFFFFF" w:val="clear"/>
            <w:tcMar>
              <w:bottom w:w="0" w:type="dxa"/>
            </w:tcMar>
            <w:vAlign w:val="center"/>
          </w:tcPr>
          <w:p>
            <w:pPr>
              <w:pStyle w:val="TableContents"/>
              <w:spacing w:before="0" w:after="0"/>
              <w:ind w:left="0" w:right="0" w:hanging="0"/>
              <w:rPr/>
            </w:pPr>
            <w:r>
              <w:rPr/>
              <w:t> </w:t>
            </w:r>
          </w:p>
        </w:tc>
        <w:tc>
          <w:tcPr>
            <w:tcW w:w="290" w:type="dxa"/>
            <w:tcBorders/>
            <w:shd w:fill="FFFFFF" w:val="clear"/>
            <w:tcMar>
              <w:bottom w:w="0" w:type="dxa"/>
            </w:tcMar>
            <w:vAlign w:val="center"/>
          </w:tcPr>
          <w:p>
            <w:pPr>
              <w:pStyle w:val="TableContents"/>
              <w:spacing w:before="0" w:after="0"/>
              <w:ind w:left="0" w:right="0" w:hanging="0"/>
              <w:rPr/>
            </w:pPr>
            <w:r>
              <w:rPr/>
              <w:t> </w:t>
            </w:r>
          </w:p>
        </w:tc>
      </w:tr>
      <w:tr>
        <w:trPr/>
        <w:tc>
          <w:tcPr>
            <w:tcW w:w="3530" w:type="dxa"/>
            <w:tcBorders/>
            <w:shd w:fill="CCEEFF" w:val="clear"/>
            <w:tcMar>
              <w:bottom w:w="0" w:type="dxa"/>
            </w:tcMar>
            <w:vAlign w:val="center"/>
          </w:tcPr>
          <w:p>
            <w:pPr>
              <w:pStyle w:val="TableContents"/>
              <w:spacing w:before="0" w:after="0"/>
              <w:ind w:left="0" w:right="0" w:hanging="0"/>
              <w:jc w:val="both"/>
              <w:rPr/>
            </w:pPr>
            <w:r>
              <w:rPr/>
              <w:t>Victor J. Brodsky</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96" w:type="dxa"/>
            <w:tcBorders/>
            <w:shd w:fill="CCEEFF" w:val="clear"/>
            <w:tcMar>
              <w:bottom w:w="0" w:type="dxa"/>
            </w:tcMar>
            <w:vAlign w:val="center"/>
          </w:tcPr>
          <w:p>
            <w:pPr>
              <w:pStyle w:val="TableContents"/>
              <w:spacing w:before="0" w:after="0"/>
              <w:ind w:left="0" w:right="0" w:hanging="0"/>
              <w:rPr/>
            </w:pPr>
            <w:r>
              <w:rPr/>
              <w:t> </w:t>
            </w:r>
          </w:p>
        </w:tc>
        <w:tc>
          <w:tcPr>
            <w:tcW w:w="1818" w:type="dxa"/>
            <w:tcBorders/>
            <w:shd w:fill="CCEEFF" w:val="clear"/>
            <w:tcMar>
              <w:bottom w:w="0" w:type="dxa"/>
            </w:tcMar>
            <w:vAlign w:val="center"/>
          </w:tcPr>
          <w:p>
            <w:pPr>
              <w:pStyle w:val="TableContents"/>
              <w:spacing w:before="0" w:after="283"/>
              <w:jc w:val="right"/>
              <w:rPr/>
            </w:pPr>
            <w:r>
              <w:rPr/>
              <w:t>41,223</w:t>
            </w:r>
          </w:p>
        </w:tc>
        <w:tc>
          <w:tcPr>
            <w:tcW w:w="1130" w:type="dxa"/>
            <w:tcBorders/>
            <w:shd w:fill="CCEEFF" w:val="clear"/>
            <w:tcMar>
              <w:bottom w:w="0" w:type="dxa"/>
            </w:tcMar>
            <w:vAlign w:val="center"/>
          </w:tcPr>
          <w:p>
            <w:pPr>
              <w:pStyle w:val="TableContents"/>
              <w:spacing w:before="0" w:after="283"/>
              <w:rPr/>
            </w:pPr>
            <w:r>
              <w:rPr/>
              <w:t>(3)</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684" w:type="dxa"/>
            <w:gridSpan w:val="2"/>
            <w:tcBorders/>
            <w:shd w:fill="CCEEFF" w:val="clear"/>
            <w:tcMar>
              <w:bottom w:w="0" w:type="dxa"/>
            </w:tcMar>
            <w:vAlign w:val="center"/>
          </w:tcPr>
          <w:p>
            <w:pPr>
              <w:pStyle w:val="TableContents"/>
              <w:spacing w:before="0" w:after="0"/>
              <w:ind w:left="0" w:right="0" w:hanging="0"/>
              <w:jc w:val="right"/>
              <w:rPr/>
            </w:pPr>
            <w:r>
              <w:rPr/>
              <w:t> </w:t>
            </w:r>
            <w:r>
              <w:rPr/>
              <w:t>*</w:t>
            </w:r>
          </w:p>
        </w:tc>
        <w:tc>
          <w:tcPr>
            <w:tcW w:w="290" w:type="dxa"/>
            <w:tcBorders/>
            <w:shd w:fill="CCEEFF" w:val="clear"/>
            <w:tcMar>
              <w:bottom w:w="0" w:type="dxa"/>
            </w:tcMar>
            <w:vAlign w:val="center"/>
          </w:tcPr>
          <w:p>
            <w:pPr>
              <w:pStyle w:val="TableContents"/>
              <w:spacing w:before="0" w:after="0"/>
              <w:ind w:left="0" w:right="0" w:hanging="0"/>
              <w:rPr/>
            </w:pPr>
            <w:r>
              <w:rPr/>
              <w:t> </w:t>
            </w:r>
          </w:p>
        </w:tc>
      </w:tr>
      <w:tr>
        <w:trPr/>
        <w:tc>
          <w:tcPr>
            <w:tcW w:w="353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96" w:type="dxa"/>
            <w:tcBorders/>
            <w:shd w:fill="FFFFFF" w:val="clear"/>
            <w:tcMar>
              <w:bottom w:w="0" w:type="dxa"/>
            </w:tcMar>
            <w:vAlign w:val="center"/>
          </w:tcPr>
          <w:p>
            <w:pPr>
              <w:pStyle w:val="TableContents"/>
              <w:spacing w:before="0" w:after="0"/>
              <w:ind w:left="0" w:right="0" w:hanging="0"/>
              <w:rPr/>
            </w:pPr>
            <w:r>
              <w:rPr/>
              <w:t> </w:t>
            </w:r>
          </w:p>
        </w:tc>
        <w:tc>
          <w:tcPr>
            <w:tcW w:w="1818" w:type="dxa"/>
            <w:tcBorders/>
            <w:shd w:fill="FFFFFF" w:val="clear"/>
            <w:tcMar>
              <w:bottom w:w="0" w:type="dxa"/>
            </w:tcMar>
            <w:vAlign w:val="center"/>
          </w:tcPr>
          <w:p>
            <w:pPr>
              <w:pStyle w:val="TableContents"/>
              <w:spacing w:before="0" w:after="0"/>
              <w:ind w:left="0" w:right="0" w:hanging="0"/>
              <w:rPr/>
            </w:pPr>
            <w:r>
              <w:rPr/>
              <w:t> </w:t>
            </w:r>
          </w:p>
        </w:tc>
        <w:tc>
          <w:tcPr>
            <w:tcW w:w="113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344" w:type="dxa"/>
            <w:tcBorders/>
            <w:shd w:fill="FFFFFF" w:val="clear"/>
            <w:tcMar>
              <w:bottom w:w="0" w:type="dxa"/>
            </w:tcMar>
            <w:vAlign w:val="center"/>
          </w:tcPr>
          <w:p>
            <w:pPr>
              <w:pStyle w:val="TableContents"/>
              <w:spacing w:before="0" w:after="0"/>
              <w:ind w:left="0" w:right="0" w:hanging="0"/>
              <w:rPr/>
            </w:pPr>
            <w:r>
              <w:rPr/>
              <w:t> </w:t>
            </w:r>
          </w:p>
        </w:tc>
        <w:tc>
          <w:tcPr>
            <w:tcW w:w="1340" w:type="dxa"/>
            <w:tcBorders/>
            <w:shd w:fill="FFFFFF" w:val="clear"/>
            <w:tcMar>
              <w:bottom w:w="0" w:type="dxa"/>
            </w:tcMar>
            <w:vAlign w:val="center"/>
          </w:tcPr>
          <w:p>
            <w:pPr>
              <w:pStyle w:val="TableContents"/>
              <w:spacing w:before="0" w:after="0"/>
              <w:ind w:left="0" w:right="0" w:hanging="0"/>
              <w:rPr/>
            </w:pPr>
            <w:r>
              <w:rPr/>
              <w:t> </w:t>
            </w:r>
          </w:p>
        </w:tc>
        <w:tc>
          <w:tcPr>
            <w:tcW w:w="290" w:type="dxa"/>
            <w:tcBorders/>
            <w:shd w:fill="FFFFFF" w:val="clear"/>
            <w:tcMar>
              <w:bottom w:w="0" w:type="dxa"/>
            </w:tcMar>
            <w:vAlign w:val="center"/>
          </w:tcPr>
          <w:p>
            <w:pPr>
              <w:pStyle w:val="TableContents"/>
              <w:spacing w:before="0" w:after="0"/>
              <w:ind w:left="0" w:right="0" w:hanging="0"/>
              <w:rPr/>
            </w:pPr>
            <w:r>
              <w:rPr/>
              <w:t> </w:t>
            </w:r>
          </w:p>
        </w:tc>
      </w:tr>
      <w:tr>
        <w:trPr/>
        <w:tc>
          <w:tcPr>
            <w:tcW w:w="3530" w:type="dxa"/>
            <w:tcBorders/>
            <w:shd w:fill="CCEEFF" w:val="clear"/>
            <w:tcMar>
              <w:bottom w:w="0" w:type="dxa"/>
            </w:tcMar>
            <w:vAlign w:val="center"/>
          </w:tcPr>
          <w:p>
            <w:pPr>
              <w:pStyle w:val="TableContents"/>
              <w:spacing w:before="0" w:after="0"/>
              <w:ind w:left="0" w:right="0" w:hanging="0"/>
              <w:jc w:val="both"/>
              <w:rPr/>
            </w:pPr>
            <w:r>
              <w:rPr/>
              <w:t>Meryl S. Golden</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96" w:type="dxa"/>
            <w:tcBorders/>
            <w:shd w:fill="CCEEFF" w:val="clear"/>
            <w:tcMar>
              <w:bottom w:w="0" w:type="dxa"/>
            </w:tcMar>
            <w:vAlign w:val="center"/>
          </w:tcPr>
          <w:p>
            <w:pPr>
              <w:pStyle w:val="TableContents"/>
              <w:spacing w:before="0" w:after="0"/>
              <w:ind w:left="0" w:right="0" w:hanging="0"/>
              <w:rPr/>
            </w:pPr>
            <w:r>
              <w:rPr/>
              <w:t> </w:t>
            </w:r>
          </w:p>
        </w:tc>
        <w:tc>
          <w:tcPr>
            <w:tcW w:w="1818" w:type="dxa"/>
            <w:tcBorders/>
            <w:shd w:fill="CCEEFF" w:val="clear"/>
            <w:tcMar>
              <w:bottom w:w="0" w:type="dxa"/>
            </w:tcMar>
            <w:vAlign w:val="center"/>
          </w:tcPr>
          <w:p>
            <w:pPr>
              <w:pStyle w:val="TableContents"/>
              <w:spacing w:before="0" w:after="283"/>
              <w:jc w:val="right"/>
              <w:rPr/>
            </w:pPr>
            <w:r>
              <w:rPr/>
              <w:t>25,000</w:t>
            </w:r>
          </w:p>
        </w:tc>
        <w:tc>
          <w:tcPr>
            <w:tcW w:w="1130" w:type="dxa"/>
            <w:tcBorders/>
            <w:shd w:fill="CCEEFF" w:val="clear"/>
            <w:tcMar>
              <w:bottom w:w="0" w:type="dxa"/>
            </w:tcMar>
            <w:vAlign w:val="center"/>
          </w:tcPr>
          <w:p>
            <w:pPr>
              <w:pStyle w:val="TableContents"/>
              <w:spacing w:before="0" w:after="283"/>
              <w:rPr/>
            </w:pPr>
            <w:r>
              <w:rPr/>
              <w:t>(4)</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684" w:type="dxa"/>
            <w:gridSpan w:val="2"/>
            <w:tcBorders/>
            <w:shd w:fill="CCEEFF" w:val="clear"/>
            <w:tcMar>
              <w:bottom w:w="0" w:type="dxa"/>
            </w:tcMar>
            <w:vAlign w:val="center"/>
          </w:tcPr>
          <w:p>
            <w:pPr>
              <w:pStyle w:val="TableContents"/>
              <w:spacing w:before="0" w:after="0"/>
              <w:ind w:left="0" w:right="0" w:hanging="0"/>
              <w:jc w:val="right"/>
              <w:rPr/>
            </w:pPr>
            <w:r>
              <w:rPr/>
              <w:t> </w:t>
            </w:r>
            <w:r>
              <w:rPr/>
              <w:t>*</w:t>
            </w:r>
          </w:p>
        </w:tc>
        <w:tc>
          <w:tcPr>
            <w:tcW w:w="290" w:type="dxa"/>
            <w:tcBorders/>
            <w:shd w:fill="CCEEFF" w:val="clear"/>
            <w:tcMar>
              <w:bottom w:w="0" w:type="dxa"/>
            </w:tcMar>
            <w:vAlign w:val="center"/>
          </w:tcPr>
          <w:p>
            <w:pPr>
              <w:pStyle w:val="TableContents"/>
              <w:spacing w:before="0" w:after="0"/>
              <w:ind w:left="0" w:right="0" w:hanging="0"/>
              <w:jc w:val="right"/>
              <w:rPr/>
            </w:pPr>
            <w:r>
              <w:rPr/>
              <w:t> </w:t>
            </w:r>
          </w:p>
        </w:tc>
      </w:tr>
      <w:tr>
        <w:trPr/>
        <w:tc>
          <w:tcPr>
            <w:tcW w:w="353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96" w:type="dxa"/>
            <w:tcBorders/>
            <w:shd w:fill="FFFFFF" w:val="clear"/>
            <w:tcMar>
              <w:bottom w:w="0" w:type="dxa"/>
            </w:tcMar>
            <w:vAlign w:val="center"/>
          </w:tcPr>
          <w:p>
            <w:pPr>
              <w:pStyle w:val="TableContents"/>
              <w:spacing w:before="0" w:after="0"/>
              <w:ind w:left="0" w:right="0" w:hanging="0"/>
              <w:rPr/>
            </w:pPr>
            <w:r>
              <w:rPr/>
              <w:t> </w:t>
            </w:r>
          </w:p>
        </w:tc>
        <w:tc>
          <w:tcPr>
            <w:tcW w:w="1818" w:type="dxa"/>
            <w:tcBorders/>
            <w:shd w:fill="FFFFFF" w:val="clear"/>
            <w:tcMar>
              <w:bottom w:w="0" w:type="dxa"/>
            </w:tcMar>
            <w:vAlign w:val="center"/>
          </w:tcPr>
          <w:p>
            <w:pPr>
              <w:pStyle w:val="TableContents"/>
              <w:spacing w:before="0" w:after="0"/>
              <w:ind w:left="0" w:right="0" w:hanging="0"/>
              <w:rPr/>
            </w:pPr>
            <w:r>
              <w:rPr/>
              <w:t> </w:t>
            </w:r>
          </w:p>
        </w:tc>
        <w:tc>
          <w:tcPr>
            <w:tcW w:w="113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344" w:type="dxa"/>
            <w:tcBorders/>
            <w:shd w:fill="FFFFFF" w:val="clear"/>
            <w:tcMar>
              <w:bottom w:w="0" w:type="dxa"/>
            </w:tcMar>
            <w:vAlign w:val="center"/>
          </w:tcPr>
          <w:p>
            <w:pPr>
              <w:pStyle w:val="TableContents"/>
              <w:spacing w:before="0" w:after="0"/>
              <w:ind w:left="0" w:right="0" w:hanging="0"/>
              <w:rPr/>
            </w:pPr>
            <w:r>
              <w:rPr/>
              <w:t> </w:t>
            </w:r>
          </w:p>
        </w:tc>
        <w:tc>
          <w:tcPr>
            <w:tcW w:w="1340" w:type="dxa"/>
            <w:tcBorders/>
            <w:shd w:fill="FFFFFF" w:val="clear"/>
            <w:tcMar>
              <w:bottom w:w="0" w:type="dxa"/>
            </w:tcMar>
            <w:vAlign w:val="center"/>
          </w:tcPr>
          <w:p>
            <w:pPr>
              <w:pStyle w:val="TableContents"/>
              <w:spacing w:before="0" w:after="0"/>
              <w:ind w:left="0" w:right="0" w:hanging="0"/>
              <w:rPr/>
            </w:pPr>
            <w:r>
              <w:rPr/>
              <w:t> </w:t>
            </w:r>
          </w:p>
        </w:tc>
        <w:tc>
          <w:tcPr>
            <w:tcW w:w="290" w:type="dxa"/>
            <w:tcBorders/>
            <w:shd w:fill="FFFFFF" w:val="clear"/>
            <w:tcMar>
              <w:bottom w:w="0" w:type="dxa"/>
            </w:tcMar>
            <w:vAlign w:val="center"/>
          </w:tcPr>
          <w:p>
            <w:pPr>
              <w:pStyle w:val="TableContents"/>
              <w:spacing w:before="0" w:after="0"/>
              <w:ind w:left="0" w:right="0" w:hanging="0"/>
              <w:rPr/>
            </w:pPr>
            <w:r>
              <w:rPr/>
              <w:t> </w:t>
            </w:r>
          </w:p>
        </w:tc>
      </w:tr>
      <w:tr>
        <w:trPr/>
        <w:tc>
          <w:tcPr>
            <w:tcW w:w="3530" w:type="dxa"/>
            <w:tcBorders/>
            <w:shd w:fill="CCEEFF" w:val="clear"/>
            <w:tcMar>
              <w:bottom w:w="0" w:type="dxa"/>
            </w:tcMar>
            <w:vAlign w:val="center"/>
          </w:tcPr>
          <w:p>
            <w:pPr>
              <w:pStyle w:val="TableContents"/>
              <w:spacing w:before="0" w:after="0"/>
              <w:ind w:left="0" w:right="0" w:hanging="0"/>
              <w:jc w:val="both"/>
              <w:rPr/>
            </w:pPr>
            <w:r>
              <w:rPr/>
              <w:t>Benjamin Walden</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96" w:type="dxa"/>
            <w:tcBorders/>
            <w:shd w:fill="CCEEFF" w:val="clear"/>
            <w:tcMar>
              <w:bottom w:w="0" w:type="dxa"/>
            </w:tcMar>
            <w:vAlign w:val="center"/>
          </w:tcPr>
          <w:p>
            <w:pPr>
              <w:pStyle w:val="TableContents"/>
              <w:spacing w:before="0" w:after="0"/>
              <w:ind w:left="0" w:right="0" w:hanging="0"/>
              <w:rPr/>
            </w:pPr>
            <w:r>
              <w:rPr/>
              <w:t> </w:t>
            </w:r>
          </w:p>
        </w:tc>
        <w:tc>
          <w:tcPr>
            <w:tcW w:w="1818" w:type="dxa"/>
            <w:tcBorders/>
            <w:shd w:fill="CCEEFF" w:val="clear"/>
            <w:tcMar>
              <w:bottom w:w="0" w:type="dxa"/>
            </w:tcMar>
            <w:vAlign w:val="center"/>
          </w:tcPr>
          <w:p>
            <w:pPr>
              <w:pStyle w:val="TableContents"/>
              <w:spacing w:before="0" w:after="283"/>
              <w:jc w:val="right"/>
              <w:rPr/>
            </w:pPr>
            <w:r>
              <w:rPr/>
              <w:t>24,881</w:t>
            </w:r>
          </w:p>
        </w:tc>
        <w:tc>
          <w:tcPr>
            <w:tcW w:w="113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684" w:type="dxa"/>
            <w:gridSpan w:val="2"/>
            <w:tcBorders/>
            <w:shd w:fill="CCEEFF" w:val="clear"/>
            <w:tcMar>
              <w:bottom w:w="0" w:type="dxa"/>
            </w:tcMar>
            <w:vAlign w:val="center"/>
          </w:tcPr>
          <w:p>
            <w:pPr>
              <w:pStyle w:val="TableContents"/>
              <w:spacing w:before="0" w:after="0"/>
              <w:ind w:left="0" w:right="0" w:hanging="0"/>
              <w:jc w:val="right"/>
              <w:rPr/>
            </w:pPr>
            <w:r>
              <w:rPr/>
              <w:t> </w:t>
            </w:r>
            <w:r>
              <w:rPr/>
              <w:t>*</w:t>
            </w:r>
          </w:p>
        </w:tc>
        <w:tc>
          <w:tcPr>
            <w:tcW w:w="290" w:type="dxa"/>
            <w:tcBorders/>
            <w:shd w:fill="CCEEFF" w:val="clear"/>
            <w:tcMar>
              <w:bottom w:w="0" w:type="dxa"/>
            </w:tcMar>
            <w:vAlign w:val="center"/>
          </w:tcPr>
          <w:p>
            <w:pPr>
              <w:pStyle w:val="TableContents"/>
              <w:spacing w:before="0" w:after="0"/>
              <w:ind w:left="0" w:right="0" w:hanging="0"/>
              <w:rPr/>
            </w:pPr>
            <w:r>
              <w:rPr/>
              <w:t> </w:t>
            </w:r>
          </w:p>
        </w:tc>
      </w:tr>
      <w:tr>
        <w:trPr/>
        <w:tc>
          <w:tcPr>
            <w:tcW w:w="353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96" w:type="dxa"/>
            <w:tcBorders/>
            <w:shd w:fill="FFFFFF" w:val="clear"/>
            <w:tcMar>
              <w:bottom w:w="0" w:type="dxa"/>
            </w:tcMar>
            <w:vAlign w:val="center"/>
          </w:tcPr>
          <w:p>
            <w:pPr>
              <w:pStyle w:val="TableContents"/>
              <w:spacing w:before="0" w:after="0"/>
              <w:ind w:left="0" w:right="0" w:hanging="0"/>
              <w:rPr/>
            </w:pPr>
            <w:r>
              <w:rPr/>
              <w:t> </w:t>
            </w:r>
          </w:p>
        </w:tc>
        <w:tc>
          <w:tcPr>
            <w:tcW w:w="1818" w:type="dxa"/>
            <w:tcBorders/>
            <w:shd w:fill="FFFFFF" w:val="clear"/>
            <w:tcMar>
              <w:bottom w:w="0" w:type="dxa"/>
            </w:tcMar>
            <w:vAlign w:val="center"/>
          </w:tcPr>
          <w:p>
            <w:pPr>
              <w:pStyle w:val="TableContents"/>
              <w:spacing w:before="0" w:after="0"/>
              <w:ind w:left="0" w:right="0" w:hanging="0"/>
              <w:rPr/>
            </w:pPr>
            <w:r>
              <w:rPr/>
              <w:t> </w:t>
            </w:r>
          </w:p>
        </w:tc>
        <w:tc>
          <w:tcPr>
            <w:tcW w:w="113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344" w:type="dxa"/>
            <w:tcBorders/>
            <w:shd w:fill="FFFFFF" w:val="clear"/>
            <w:tcMar>
              <w:bottom w:w="0" w:type="dxa"/>
            </w:tcMar>
            <w:vAlign w:val="center"/>
          </w:tcPr>
          <w:p>
            <w:pPr>
              <w:pStyle w:val="TableContents"/>
              <w:spacing w:before="0" w:after="0"/>
              <w:ind w:left="0" w:right="0" w:hanging="0"/>
              <w:rPr/>
            </w:pPr>
            <w:r>
              <w:rPr/>
              <w:t> </w:t>
            </w:r>
          </w:p>
        </w:tc>
        <w:tc>
          <w:tcPr>
            <w:tcW w:w="1340" w:type="dxa"/>
            <w:tcBorders/>
            <w:shd w:fill="FFFFFF" w:val="clear"/>
            <w:tcMar>
              <w:bottom w:w="0" w:type="dxa"/>
            </w:tcMar>
            <w:vAlign w:val="center"/>
          </w:tcPr>
          <w:p>
            <w:pPr>
              <w:pStyle w:val="TableContents"/>
              <w:spacing w:before="0" w:after="0"/>
              <w:ind w:left="0" w:right="0" w:hanging="0"/>
              <w:rPr/>
            </w:pPr>
            <w:r>
              <w:rPr/>
              <w:t> </w:t>
            </w:r>
          </w:p>
        </w:tc>
        <w:tc>
          <w:tcPr>
            <w:tcW w:w="290" w:type="dxa"/>
            <w:tcBorders/>
            <w:shd w:fill="FFFFFF" w:val="clear"/>
            <w:tcMar>
              <w:bottom w:w="0" w:type="dxa"/>
            </w:tcMar>
            <w:vAlign w:val="center"/>
          </w:tcPr>
          <w:p>
            <w:pPr>
              <w:pStyle w:val="TableContents"/>
              <w:spacing w:before="0" w:after="0"/>
              <w:ind w:left="0" w:right="0" w:hanging="0"/>
              <w:rPr/>
            </w:pPr>
            <w:r>
              <w:rPr/>
              <w:t> </w:t>
            </w:r>
          </w:p>
        </w:tc>
      </w:tr>
      <w:tr>
        <w:trPr/>
        <w:tc>
          <w:tcPr>
            <w:tcW w:w="3530" w:type="dxa"/>
            <w:tcBorders/>
            <w:shd w:fill="CCEEFF" w:val="clear"/>
            <w:tcMar>
              <w:bottom w:w="0" w:type="dxa"/>
            </w:tcMar>
            <w:vAlign w:val="center"/>
          </w:tcPr>
          <w:p>
            <w:pPr>
              <w:pStyle w:val="TableContents"/>
              <w:spacing w:before="0" w:after="0"/>
              <w:ind w:left="0" w:right="0" w:hanging="0"/>
              <w:rPr/>
            </w:pPr>
            <w:r>
              <w:rPr/>
              <w:t>William L. Yankus</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96" w:type="dxa"/>
            <w:tcBorders/>
            <w:shd w:fill="CCEEFF" w:val="clear"/>
            <w:tcMar>
              <w:bottom w:w="0" w:type="dxa"/>
            </w:tcMar>
            <w:vAlign w:val="center"/>
          </w:tcPr>
          <w:p>
            <w:pPr>
              <w:pStyle w:val="TableContents"/>
              <w:spacing w:before="0" w:after="0"/>
              <w:ind w:left="0" w:right="0" w:hanging="0"/>
              <w:rPr/>
            </w:pPr>
            <w:r>
              <w:rPr/>
              <w:t> </w:t>
            </w:r>
          </w:p>
        </w:tc>
        <w:tc>
          <w:tcPr>
            <w:tcW w:w="1818" w:type="dxa"/>
            <w:tcBorders/>
            <w:shd w:fill="CCEEFF" w:val="clear"/>
            <w:tcMar>
              <w:bottom w:w="0" w:type="dxa"/>
            </w:tcMar>
            <w:vAlign w:val="center"/>
          </w:tcPr>
          <w:p>
            <w:pPr>
              <w:pStyle w:val="TableContents"/>
              <w:spacing w:before="0" w:after="283"/>
              <w:jc w:val="right"/>
              <w:rPr/>
            </w:pPr>
            <w:r>
              <w:rPr/>
              <w:t>23,791</w:t>
            </w:r>
          </w:p>
        </w:tc>
        <w:tc>
          <w:tcPr>
            <w:tcW w:w="113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684" w:type="dxa"/>
            <w:gridSpan w:val="2"/>
            <w:tcBorders/>
            <w:shd w:fill="CCEEFF" w:val="clear"/>
            <w:tcMar>
              <w:bottom w:w="0" w:type="dxa"/>
            </w:tcMar>
            <w:vAlign w:val="center"/>
          </w:tcPr>
          <w:p>
            <w:pPr>
              <w:pStyle w:val="TableContents"/>
              <w:spacing w:before="0" w:after="0"/>
              <w:ind w:left="0" w:right="0" w:hanging="0"/>
              <w:jc w:val="right"/>
              <w:rPr/>
            </w:pPr>
            <w:r>
              <w:rPr/>
              <w:t> </w:t>
            </w:r>
            <w:r>
              <w:rPr/>
              <w:t>*</w:t>
            </w:r>
          </w:p>
        </w:tc>
        <w:tc>
          <w:tcPr>
            <w:tcW w:w="290" w:type="dxa"/>
            <w:tcBorders/>
            <w:shd w:fill="CCEEFF" w:val="clear"/>
            <w:tcMar>
              <w:bottom w:w="0" w:type="dxa"/>
            </w:tcMar>
            <w:vAlign w:val="center"/>
          </w:tcPr>
          <w:p>
            <w:pPr>
              <w:pStyle w:val="TableContents"/>
              <w:spacing w:before="0" w:after="0"/>
              <w:ind w:left="0" w:right="0" w:hanging="0"/>
              <w:rPr/>
            </w:pPr>
            <w:r>
              <w:rPr/>
              <w:t> </w:t>
            </w:r>
          </w:p>
        </w:tc>
      </w:tr>
      <w:tr>
        <w:trPr/>
        <w:tc>
          <w:tcPr>
            <w:tcW w:w="353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96" w:type="dxa"/>
            <w:tcBorders/>
            <w:shd w:fill="FFFFFF" w:val="clear"/>
            <w:tcMar>
              <w:bottom w:w="0" w:type="dxa"/>
            </w:tcMar>
            <w:vAlign w:val="center"/>
          </w:tcPr>
          <w:p>
            <w:pPr>
              <w:pStyle w:val="TableContents"/>
              <w:spacing w:before="0" w:after="0"/>
              <w:ind w:left="0" w:right="0" w:hanging="0"/>
              <w:rPr/>
            </w:pPr>
            <w:r>
              <w:rPr/>
              <w:t> </w:t>
            </w:r>
          </w:p>
        </w:tc>
        <w:tc>
          <w:tcPr>
            <w:tcW w:w="1818" w:type="dxa"/>
            <w:tcBorders/>
            <w:shd w:fill="FFFFFF" w:val="clear"/>
            <w:tcMar>
              <w:bottom w:w="0" w:type="dxa"/>
            </w:tcMar>
            <w:vAlign w:val="center"/>
          </w:tcPr>
          <w:p>
            <w:pPr>
              <w:pStyle w:val="TableContents"/>
              <w:spacing w:before="0" w:after="0"/>
              <w:ind w:left="0" w:right="0" w:hanging="0"/>
              <w:rPr/>
            </w:pPr>
            <w:r>
              <w:rPr/>
              <w:t> </w:t>
            </w:r>
          </w:p>
        </w:tc>
        <w:tc>
          <w:tcPr>
            <w:tcW w:w="113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344" w:type="dxa"/>
            <w:tcBorders/>
            <w:shd w:fill="FFFFFF" w:val="clear"/>
            <w:tcMar>
              <w:bottom w:w="0" w:type="dxa"/>
            </w:tcMar>
            <w:vAlign w:val="center"/>
          </w:tcPr>
          <w:p>
            <w:pPr>
              <w:pStyle w:val="TableContents"/>
              <w:spacing w:before="0" w:after="0"/>
              <w:ind w:left="0" w:right="0" w:hanging="0"/>
              <w:rPr/>
            </w:pPr>
            <w:r>
              <w:rPr/>
              <w:t> </w:t>
            </w:r>
          </w:p>
        </w:tc>
        <w:tc>
          <w:tcPr>
            <w:tcW w:w="1340" w:type="dxa"/>
            <w:tcBorders/>
            <w:shd w:fill="FFFFFF" w:val="clear"/>
            <w:tcMar>
              <w:bottom w:w="0" w:type="dxa"/>
            </w:tcMar>
            <w:vAlign w:val="center"/>
          </w:tcPr>
          <w:p>
            <w:pPr>
              <w:pStyle w:val="TableContents"/>
              <w:spacing w:before="0" w:after="0"/>
              <w:ind w:left="0" w:right="0" w:hanging="0"/>
              <w:rPr/>
            </w:pPr>
            <w:r>
              <w:rPr/>
              <w:t> </w:t>
            </w:r>
          </w:p>
        </w:tc>
        <w:tc>
          <w:tcPr>
            <w:tcW w:w="290" w:type="dxa"/>
            <w:tcBorders/>
            <w:shd w:fill="FFFFFF" w:val="clear"/>
            <w:tcMar>
              <w:bottom w:w="0" w:type="dxa"/>
            </w:tcMar>
            <w:vAlign w:val="center"/>
          </w:tcPr>
          <w:p>
            <w:pPr>
              <w:pStyle w:val="TableContents"/>
              <w:spacing w:before="0" w:after="0"/>
              <w:ind w:left="0" w:right="0" w:hanging="0"/>
              <w:rPr/>
            </w:pPr>
            <w:r>
              <w:rPr/>
              <w:t> </w:t>
            </w:r>
          </w:p>
        </w:tc>
      </w:tr>
      <w:tr>
        <w:trPr/>
        <w:tc>
          <w:tcPr>
            <w:tcW w:w="3530" w:type="dxa"/>
            <w:tcBorders/>
            <w:shd w:fill="CCEEFF" w:val="clear"/>
            <w:tcMar>
              <w:bottom w:w="0" w:type="dxa"/>
            </w:tcMar>
            <w:vAlign w:val="center"/>
          </w:tcPr>
          <w:p>
            <w:pPr>
              <w:pStyle w:val="TableContents"/>
              <w:spacing w:before="0" w:after="0"/>
              <w:ind w:left="0" w:right="0" w:hanging="0"/>
              <w:rPr/>
            </w:pPr>
            <w:r>
              <w:rPr/>
              <w:t>Carla A. D’Andre</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96" w:type="dxa"/>
            <w:tcBorders/>
            <w:shd w:fill="CCEEFF" w:val="clear"/>
            <w:tcMar>
              <w:bottom w:w="0" w:type="dxa"/>
            </w:tcMar>
            <w:vAlign w:val="center"/>
          </w:tcPr>
          <w:p>
            <w:pPr>
              <w:pStyle w:val="TableContents"/>
              <w:spacing w:before="0" w:after="0"/>
              <w:ind w:left="0" w:right="0" w:hanging="0"/>
              <w:rPr/>
            </w:pPr>
            <w:r>
              <w:rPr/>
              <w:t> </w:t>
            </w:r>
          </w:p>
        </w:tc>
        <w:tc>
          <w:tcPr>
            <w:tcW w:w="1818" w:type="dxa"/>
            <w:tcBorders/>
            <w:shd w:fill="CCEEFF" w:val="clear"/>
            <w:tcMar>
              <w:bottom w:w="0" w:type="dxa"/>
            </w:tcMar>
            <w:vAlign w:val="center"/>
          </w:tcPr>
          <w:p>
            <w:pPr>
              <w:pStyle w:val="TableContents"/>
              <w:spacing w:before="0" w:after="283"/>
              <w:jc w:val="right"/>
              <w:rPr/>
            </w:pPr>
            <w:r>
              <w:rPr/>
              <w:t>21,941</w:t>
            </w:r>
          </w:p>
        </w:tc>
        <w:tc>
          <w:tcPr>
            <w:tcW w:w="1130" w:type="dxa"/>
            <w:tcBorders/>
            <w:shd w:fill="CCEEFF" w:val="clear"/>
            <w:tcMar>
              <w:bottom w:w="0" w:type="dxa"/>
            </w:tcMar>
            <w:vAlign w:val="center"/>
          </w:tcPr>
          <w:p>
            <w:pPr>
              <w:pStyle w:val="TableContents"/>
              <w:spacing w:before="0" w:after="283"/>
              <w:rPr/>
            </w:pPr>
            <w:r>
              <w:rPr/>
              <w:t>(5)</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684" w:type="dxa"/>
            <w:gridSpan w:val="2"/>
            <w:tcBorders/>
            <w:shd w:fill="CCEEFF" w:val="clear"/>
            <w:tcMar>
              <w:bottom w:w="0" w:type="dxa"/>
            </w:tcMar>
            <w:vAlign w:val="center"/>
          </w:tcPr>
          <w:p>
            <w:pPr>
              <w:pStyle w:val="TableContents"/>
              <w:spacing w:before="0" w:after="0"/>
              <w:ind w:left="0" w:right="0" w:hanging="0"/>
              <w:jc w:val="right"/>
              <w:rPr/>
            </w:pPr>
            <w:r>
              <w:rPr/>
              <w:t> </w:t>
            </w:r>
            <w:r>
              <w:rPr/>
              <w:t>*</w:t>
            </w:r>
          </w:p>
        </w:tc>
        <w:tc>
          <w:tcPr>
            <w:tcW w:w="290" w:type="dxa"/>
            <w:tcBorders/>
            <w:shd w:fill="CCEEFF" w:val="clear"/>
            <w:tcMar>
              <w:bottom w:w="0" w:type="dxa"/>
            </w:tcMar>
            <w:vAlign w:val="center"/>
          </w:tcPr>
          <w:p>
            <w:pPr>
              <w:pStyle w:val="TableContents"/>
              <w:spacing w:before="0" w:after="0"/>
              <w:ind w:left="0" w:right="0" w:hanging="0"/>
              <w:rPr/>
            </w:pPr>
            <w:r>
              <w:rPr/>
              <w:t> </w:t>
            </w:r>
          </w:p>
        </w:tc>
      </w:tr>
      <w:tr>
        <w:trPr/>
        <w:tc>
          <w:tcPr>
            <w:tcW w:w="353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96" w:type="dxa"/>
            <w:tcBorders/>
            <w:shd w:fill="FFFFFF" w:val="clear"/>
            <w:tcMar>
              <w:bottom w:w="0" w:type="dxa"/>
            </w:tcMar>
            <w:vAlign w:val="center"/>
          </w:tcPr>
          <w:p>
            <w:pPr>
              <w:pStyle w:val="TableContents"/>
              <w:spacing w:before="0" w:after="0"/>
              <w:ind w:left="0" w:right="0" w:hanging="0"/>
              <w:rPr/>
            </w:pPr>
            <w:r>
              <w:rPr/>
              <w:t> </w:t>
            </w:r>
          </w:p>
        </w:tc>
        <w:tc>
          <w:tcPr>
            <w:tcW w:w="1818" w:type="dxa"/>
            <w:tcBorders/>
            <w:shd w:fill="FFFFFF" w:val="clear"/>
            <w:tcMar>
              <w:bottom w:w="0" w:type="dxa"/>
            </w:tcMar>
            <w:vAlign w:val="center"/>
          </w:tcPr>
          <w:p>
            <w:pPr>
              <w:pStyle w:val="TableContents"/>
              <w:spacing w:before="0" w:after="0"/>
              <w:ind w:left="0" w:right="0" w:hanging="0"/>
              <w:rPr/>
            </w:pPr>
            <w:r>
              <w:rPr/>
              <w:t> </w:t>
            </w:r>
          </w:p>
        </w:tc>
        <w:tc>
          <w:tcPr>
            <w:tcW w:w="113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344" w:type="dxa"/>
            <w:tcBorders/>
            <w:shd w:fill="FFFFFF" w:val="clear"/>
            <w:tcMar>
              <w:bottom w:w="0" w:type="dxa"/>
            </w:tcMar>
            <w:vAlign w:val="center"/>
          </w:tcPr>
          <w:p>
            <w:pPr>
              <w:pStyle w:val="TableContents"/>
              <w:spacing w:before="0" w:after="0"/>
              <w:ind w:left="0" w:right="0" w:hanging="0"/>
              <w:rPr/>
            </w:pPr>
            <w:r>
              <w:rPr/>
              <w:t> </w:t>
            </w:r>
          </w:p>
        </w:tc>
        <w:tc>
          <w:tcPr>
            <w:tcW w:w="1340" w:type="dxa"/>
            <w:tcBorders/>
            <w:shd w:fill="FFFFFF" w:val="clear"/>
            <w:tcMar>
              <w:bottom w:w="0" w:type="dxa"/>
            </w:tcMar>
            <w:vAlign w:val="center"/>
          </w:tcPr>
          <w:p>
            <w:pPr>
              <w:pStyle w:val="TableContents"/>
              <w:spacing w:before="0" w:after="0"/>
              <w:ind w:left="0" w:right="0" w:hanging="0"/>
              <w:rPr/>
            </w:pPr>
            <w:r>
              <w:rPr/>
              <w:t> </w:t>
            </w:r>
          </w:p>
        </w:tc>
        <w:tc>
          <w:tcPr>
            <w:tcW w:w="290" w:type="dxa"/>
            <w:tcBorders/>
            <w:shd w:fill="FFFFFF" w:val="clear"/>
            <w:tcMar>
              <w:bottom w:w="0" w:type="dxa"/>
            </w:tcMar>
            <w:vAlign w:val="center"/>
          </w:tcPr>
          <w:p>
            <w:pPr>
              <w:pStyle w:val="TableContents"/>
              <w:spacing w:before="0" w:after="0"/>
              <w:ind w:left="0" w:right="0" w:hanging="0"/>
              <w:rPr/>
            </w:pPr>
            <w:r>
              <w:rPr/>
              <w:t> </w:t>
            </w:r>
          </w:p>
        </w:tc>
      </w:tr>
      <w:tr>
        <w:trPr/>
        <w:tc>
          <w:tcPr>
            <w:tcW w:w="3530" w:type="dxa"/>
            <w:tcBorders/>
            <w:shd w:fill="CCEEFF" w:val="clear"/>
            <w:tcMar>
              <w:bottom w:w="0" w:type="dxa"/>
            </w:tcMar>
            <w:vAlign w:val="center"/>
          </w:tcPr>
          <w:p>
            <w:pPr>
              <w:pStyle w:val="TableContents"/>
              <w:spacing w:before="0" w:after="0"/>
              <w:ind w:left="0" w:right="0" w:hanging="0"/>
              <w:rPr/>
            </w:pPr>
            <w:r>
              <w:rPr/>
              <w:t>Timothy P. McFadden</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96" w:type="dxa"/>
            <w:tcBorders/>
            <w:shd w:fill="CCEEFF" w:val="clear"/>
            <w:tcMar>
              <w:bottom w:w="0" w:type="dxa"/>
            </w:tcMar>
            <w:vAlign w:val="center"/>
          </w:tcPr>
          <w:p>
            <w:pPr>
              <w:pStyle w:val="TableContents"/>
              <w:spacing w:before="0" w:after="0"/>
              <w:ind w:left="0" w:right="0" w:hanging="0"/>
              <w:rPr/>
            </w:pPr>
            <w:r>
              <w:rPr/>
              <w:t> </w:t>
            </w:r>
          </w:p>
        </w:tc>
        <w:tc>
          <w:tcPr>
            <w:tcW w:w="1818" w:type="dxa"/>
            <w:tcBorders/>
            <w:shd w:fill="CCEEFF" w:val="clear"/>
            <w:tcMar>
              <w:bottom w:w="0" w:type="dxa"/>
            </w:tcMar>
            <w:vAlign w:val="center"/>
          </w:tcPr>
          <w:p>
            <w:pPr>
              <w:pStyle w:val="TableContents"/>
              <w:spacing w:before="0" w:after="283"/>
              <w:jc w:val="right"/>
              <w:rPr/>
            </w:pPr>
            <w:r>
              <w:rPr/>
              <w:t>21,321</w:t>
            </w:r>
          </w:p>
        </w:tc>
        <w:tc>
          <w:tcPr>
            <w:tcW w:w="113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684" w:type="dxa"/>
            <w:gridSpan w:val="2"/>
            <w:tcBorders/>
            <w:shd w:fill="CCEEFF" w:val="clear"/>
            <w:tcMar>
              <w:bottom w:w="0" w:type="dxa"/>
            </w:tcMar>
            <w:vAlign w:val="center"/>
          </w:tcPr>
          <w:p>
            <w:pPr>
              <w:pStyle w:val="TableContents"/>
              <w:spacing w:before="0" w:after="0"/>
              <w:ind w:left="0" w:right="0" w:hanging="0"/>
              <w:jc w:val="right"/>
              <w:rPr/>
            </w:pPr>
            <w:r>
              <w:rPr/>
              <w:t> </w:t>
            </w:r>
            <w:r>
              <w:rPr/>
              <w:t>*</w:t>
            </w:r>
          </w:p>
        </w:tc>
        <w:tc>
          <w:tcPr>
            <w:tcW w:w="290" w:type="dxa"/>
            <w:tcBorders/>
            <w:shd w:fill="CCEEFF" w:val="clear"/>
            <w:tcMar>
              <w:bottom w:w="0" w:type="dxa"/>
            </w:tcMar>
            <w:vAlign w:val="center"/>
          </w:tcPr>
          <w:p>
            <w:pPr>
              <w:pStyle w:val="TableContents"/>
              <w:spacing w:before="0" w:after="0"/>
              <w:ind w:left="0" w:right="0" w:hanging="0"/>
              <w:rPr/>
            </w:pPr>
            <w:r>
              <w:rPr/>
              <w:t> </w:t>
            </w:r>
          </w:p>
        </w:tc>
      </w:tr>
      <w:tr>
        <w:trPr/>
        <w:tc>
          <w:tcPr>
            <w:tcW w:w="353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96" w:type="dxa"/>
            <w:tcBorders/>
            <w:shd w:fill="FFFFFF" w:val="clear"/>
            <w:tcMar>
              <w:bottom w:w="0" w:type="dxa"/>
            </w:tcMar>
            <w:vAlign w:val="center"/>
          </w:tcPr>
          <w:p>
            <w:pPr>
              <w:pStyle w:val="TableContents"/>
              <w:spacing w:before="0" w:after="0"/>
              <w:ind w:left="0" w:right="0" w:hanging="0"/>
              <w:rPr/>
            </w:pPr>
            <w:r>
              <w:rPr/>
              <w:t> </w:t>
            </w:r>
          </w:p>
        </w:tc>
        <w:tc>
          <w:tcPr>
            <w:tcW w:w="1818" w:type="dxa"/>
            <w:tcBorders/>
            <w:shd w:fill="FFFFFF" w:val="clear"/>
            <w:tcMar>
              <w:bottom w:w="0" w:type="dxa"/>
            </w:tcMar>
            <w:vAlign w:val="center"/>
          </w:tcPr>
          <w:p>
            <w:pPr>
              <w:pStyle w:val="TableContents"/>
              <w:spacing w:before="0" w:after="0"/>
              <w:ind w:left="0" w:right="0" w:hanging="0"/>
              <w:rPr/>
            </w:pPr>
            <w:r>
              <w:rPr/>
              <w:t> </w:t>
            </w:r>
          </w:p>
        </w:tc>
        <w:tc>
          <w:tcPr>
            <w:tcW w:w="113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344" w:type="dxa"/>
            <w:tcBorders/>
            <w:shd w:fill="FFFFFF" w:val="clear"/>
            <w:tcMar>
              <w:bottom w:w="0" w:type="dxa"/>
            </w:tcMar>
            <w:vAlign w:val="center"/>
          </w:tcPr>
          <w:p>
            <w:pPr>
              <w:pStyle w:val="TableContents"/>
              <w:spacing w:before="0" w:after="0"/>
              <w:ind w:left="0" w:right="0" w:hanging="0"/>
              <w:rPr/>
            </w:pPr>
            <w:r>
              <w:rPr/>
              <w:t> </w:t>
            </w:r>
          </w:p>
        </w:tc>
        <w:tc>
          <w:tcPr>
            <w:tcW w:w="1340" w:type="dxa"/>
            <w:tcBorders/>
            <w:shd w:fill="FFFFFF" w:val="clear"/>
            <w:tcMar>
              <w:bottom w:w="0" w:type="dxa"/>
            </w:tcMar>
            <w:vAlign w:val="center"/>
          </w:tcPr>
          <w:p>
            <w:pPr>
              <w:pStyle w:val="TableContents"/>
              <w:spacing w:before="0" w:after="0"/>
              <w:ind w:left="0" w:right="0" w:hanging="0"/>
              <w:rPr/>
            </w:pPr>
            <w:r>
              <w:rPr/>
              <w:t> </w:t>
            </w:r>
          </w:p>
        </w:tc>
        <w:tc>
          <w:tcPr>
            <w:tcW w:w="290" w:type="dxa"/>
            <w:tcBorders/>
            <w:shd w:fill="FFFFFF" w:val="clear"/>
            <w:tcMar>
              <w:bottom w:w="0" w:type="dxa"/>
            </w:tcMar>
            <w:vAlign w:val="center"/>
          </w:tcPr>
          <w:p>
            <w:pPr>
              <w:pStyle w:val="TableContents"/>
              <w:spacing w:before="0" w:after="0"/>
              <w:ind w:left="0" w:right="0" w:hanging="0"/>
              <w:rPr/>
            </w:pPr>
            <w:r>
              <w:rPr/>
              <w:t> </w:t>
            </w:r>
          </w:p>
        </w:tc>
      </w:tr>
      <w:tr>
        <w:trPr/>
        <w:tc>
          <w:tcPr>
            <w:tcW w:w="3530" w:type="dxa"/>
            <w:tcBorders/>
            <w:shd w:fill="CCEEFF" w:val="clear"/>
            <w:tcMar>
              <w:bottom w:w="0" w:type="dxa"/>
            </w:tcMar>
            <w:vAlign w:val="center"/>
          </w:tcPr>
          <w:p>
            <w:pPr>
              <w:pStyle w:val="TableContents"/>
              <w:spacing w:before="0" w:after="0"/>
              <w:ind w:left="0" w:right="0" w:hanging="0"/>
              <w:rPr/>
            </w:pPr>
            <w:r>
              <w:rPr/>
              <w:t>The TCW Group, Inc.</w:t>
            </w:r>
          </w:p>
          <w:p>
            <w:pPr>
              <w:pStyle w:val="TableContents"/>
              <w:spacing w:before="0" w:after="0"/>
              <w:ind w:left="0" w:right="0" w:hanging="0"/>
              <w:rPr/>
            </w:pPr>
            <w:r>
              <w:rPr/>
              <w:t>on behalf of the TCW Business Unit</w:t>
            </w:r>
          </w:p>
          <w:p>
            <w:pPr>
              <w:pStyle w:val="TableContents"/>
              <w:spacing w:before="0" w:after="0"/>
              <w:ind w:left="0" w:right="0" w:hanging="0"/>
              <w:rPr/>
            </w:pPr>
            <w:r>
              <w:rPr/>
              <w:t>865 South Figueroa Street</w:t>
            </w:r>
          </w:p>
          <w:p>
            <w:pPr>
              <w:pStyle w:val="TableContents"/>
              <w:spacing w:before="0" w:after="0"/>
              <w:ind w:left="0" w:right="0" w:hanging="0"/>
              <w:rPr/>
            </w:pPr>
            <w:r>
              <w:rPr/>
              <w:t>Los Angeles, California</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96" w:type="dxa"/>
            <w:tcBorders/>
            <w:shd w:fill="CCEEFF" w:val="clear"/>
            <w:tcMar>
              <w:bottom w:w="0" w:type="dxa"/>
            </w:tcMar>
            <w:vAlign w:val="center"/>
          </w:tcPr>
          <w:p>
            <w:pPr>
              <w:pStyle w:val="TableContents"/>
              <w:spacing w:before="0" w:after="0"/>
              <w:ind w:left="0" w:right="0" w:hanging="0"/>
              <w:rPr/>
            </w:pPr>
            <w:r>
              <w:rPr/>
              <w:t> </w:t>
            </w:r>
          </w:p>
        </w:tc>
        <w:tc>
          <w:tcPr>
            <w:tcW w:w="1818" w:type="dxa"/>
            <w:tcBorders/>
            <w:shd w:fill="CCEEFF" w:val="clear"/>
            <w:tcMar>
              <w:bottom w:w="0" w:type="dxa"/>
            </w:tcMar>
            <w:vAlign w:val="center"/>
          </w:tcPr>
          <w:p>
            <w:pPr>
              <w:pStyle w:val="TableContents"/>
              <w:spacing w:before="0" w:after="283"/>
              <w:jc w:val="right"/>
              <w:rPr/>
            </w:pPr>
            <w:r>
              <w:rPr/>
              <w:t>958,423</w:t>
            </w:r>
          </w:p>
        </w:tc>
        <w:tc>
          <w:tcPr>
            <w:tcW w:w="1130" w:type="dxa"/>
            <w:tcBorders/>
            <w:shd w:fill="CCEEFF" w:val="clear"/>
            <w:tcMar>
              <w:bottom w:w="0" w:type="dxa"/>
            </w:tcMar>
            <w:vAlign w:val="center"/>
          </w:tcPr>
          <w:p>
            <w:pPr>
              <w:pStyle w:val="TableContents"/>
              <w:spacing w:before="0" w:after="283"/>
              <w:rPr/>
            </w:pPr>
            <w:r>
              <w:rPr/>
              <w:t>(6)</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344" w:type="dxa"/>
            <w:tcBorders/>
            <w:shd w:fill="CCEEFF" w:val="clear"/>
            <w:tcMar>
              <w:bottom w:w="0" w:type="dxa"/>
            </w:tcMar>
            <w:vAlign w:val="center"/>
          </w:tcPr>
          <w:p>
            <w:pPr>
              <w:pStyle w:val="TableContents"/>
              <w:spacing w:before="0" w:after="0"/>
              <w:ind w:left="0" w:right="0" w:hanging="0"/>
              <w:rPr/>
            </w:pPr>
            <w:r>
              <w:rPr/>
              <w:t> </w:t>
            </w:r>
          </w:p>
        </w:tc>
        <w:tc>
          <w:tcPr>
            <w:tcW w:w="1340" w:type="dxa"/>
            <w:tcBorders/>
            <w:shd w:fill="CCEEFF" w:val="clear"/>
            <w:tcMar>
              <w:bottom w:w="0" w:type="dxa"/>
            </w:tcMar>
            <w:vAlign w:val="center"/>
          </w:tcPr>
          <w:p>
            <w:pPr>
              <w:pStyle w:val="TableContents"/>
              <w:spacing w:before="0" w:after="283"/>
              <w:jc w:val="right"/>
              <w:rPr/>
            </w:pPr>
            <w:r>
              <w:rPr/>
              <w:t>8.9</w:t>
            </w:r>
          </w:p>
        </w:tc>
        <w:tc>
          <w:tcPr>
            <w:tcW w:w="290" w:type="dxa"/>
            <w:tcBorders/>
            <w:shd w:fill="CCEEFF" w:val="clear"/>
            <w:tcMar>
              <w:bottom w:w="0" w:type="dxa"/>
            </w:tcMar>
            <w:vAlign w:val="center"/>
          </w:tcPr>
          <w:p>
            <w:pPr>
              <w:pStyle w:val="TableContents"/>
              <w:spacing w:before="0" w:after="283"/>
              <w:rPr/>
            </w:pPr>
            <w:r>
              <w:rPr/>
              <w:t>%</w:t>
            </w:r>
          </w:p>
        </w:tc>
      </w:tr>
      <w:tr>
        <w:trPr/>
        <w:tc>
          <w:tcPr>
            <w:tcW w:w="353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96" w:type="dxa"/>
            <w:tcBorders/>
            <w:shd w:fill="FFFFFF" w:val="clear"/>
            <w:tcMar>
              <w:bottom w:w="0" w:type="dxa"/>
            </w:tcMar>
            <w:vAlign w:val="center"/>
          </w:tcPr>
          <w:p>
            <w:pPr>
              <w:pStyle w:val="TableContents"/>
              <w:spacing w:before="0" w:after="0"/>
              <w:ind w:left="0" w:right="0" w:hanging="0"/>
              <w:rPr/>
            </w:pPr>
            <w:r>
              <w:rPr/>
              <w:t> </w:t>
            </w:r>
          </w:p>
        </w:tc>
        <w:tc>
          <w:tcPr>
            <w:tcW w:w="1818" w:type="dxa"/>
            <w:tcBorders/>
            <w:shd w:fill="FFFFFF" w:val="clear"/>
            <w:tcMar>
              <w:bottom w:w="0" w:type="dxa"/>
            </w:tcMar>
            <w:vAlign w:val="center"/>
          </w:tcPr>
          <w:p>
            <w:pPr>
              <w:pStyle w:val="TableContents"/>
              <w:spacing w:before="0" w:after="0"/>
              <w:ind w:left="0" w:right="0" w:hanging="0"/>
              <w:rPr/>
            </w:pPr>
            <w:r>
              <w:rPr/>
              <w:t> </w:t>
            </w:r>
          </w:p>
        </w:tc>
        <w:tc>
          <w:tcPr>
            <w:tcW w:w="113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344" w:type="dxa"/>
            <w:tcBorders/>
            <w:shd w:fill="FFFFFF" w:val="clear"/>
            <w:tcMar>
              <w:bottom w:w="0" w:type="dxa"/>
            </w:tcMar>
            <w:vAlign w:val="center"/>
          </w:tcPr>
          <w:p>
            <w:pPr>
              <w:pStyle w:val="TableContents"/>
              <w:spacing w:before="0" w:after="0"/>
              <w:ind w:left="0" w:right="0" w:hanging="0"/>
              <w:rPr/>
            </w:pPr>
            <w:r>
              <w:rPr/>
              <w:t> </w:t>
            </w:r>
          </w:p>
        </w:tc>
        <w:tc>
          <w:tcPr>
            <w:tcW w:w="1340" w:type="dxa"/>
            <w:tcBorders/>
            <w:shd w:fill="FFFFFF" w:val="clear"/>
            <w:tcMar>
              <w:bottom w:w="0" w:type="dxa"/>
            </w:tcMar>
            <w:vAlign w:val="center"/>
          </w:tcPr>
          <w:p>
            <w:pPr>
              <w:pStyle w:val="TableContents"/>
              <w:spacing w:before="0" w:after="0"/>
              <w:ind w:left="0" w:right="0" w:hanging="0"/>
              <w:rPr/>
            </w:pPr>
            <w:r>
              <w:rPr/>
              <w:t> </w:t>
            </w:r>
          </w:p>
        </w:tc>
        <w:tc>
          <w:tcPr>
            <w:tcW w:w="290" w:type="dxa"/>
            <w:tcBorders/>
            <w:shd w:fill="FFFFFF" w:val="clear"/>
            <w:tcMar>
              <w:bottom w:w="0" w:type="dxa"/>
            </w:tcMar>
            <w:vAlign w:val="center"/>
          </w:tcPr>
          <w:p>
            <w:pPr>
              <w:pStyle w:val="TableContents"/>
              <w:spacing w:before="0" w:after="0"/>
              <w:ind w:left="0" w:right="0" w:hanging="0"/>
              <w:rPr/>
            </w:pPr>
            <w:r>
              <w:rPr/>
              <w:t> </w:t>
            </w:r>
          </w:p>
        </w:tc>
      </w:tr>
      <w:tr>
        <w:trPr/>
        <w:tc>
          <w:tcPr>
            <w:tcW w:w="3530" w:type="dxa"/>
            <w:tcBorders/>
            <w:shd w:fill="CCEEFF" w:val="clear"/>
            <w:tcMar>
              <w:bottom w:w="0" w:type="dxa"/>
            </w:tcMar>
            <w:vAlign w:val="center"/>
          </w:tcPr>
          <w:p>
            <w:pPr>
              <w:pStyle w:val="TableContents"/>
              <w:spacing w:before="0" w:after="0"/>
              <w:ind w:left="0" w:right="0" w:hanging="0"/>
              <w:rPr/>
            </w:pPr>
            <w:r>
              <w:rPr/>
              <w:t>Michael Doak</w:t>
            </w:r>
          </w:p>
          <w:p>
            <w:pPr>
              <w:pStyle w:val="TableContents"/>
              <w:spacing w:before="0" w:after="0"/>
              <w:ind w:left="0" w:right="0" w:hanging="0"/>
              <w:rPr/>
            </w:pPr>
            <w:r>
              <w:rPr/>
              <w:t>Griffin Highline Capital LLC</w:t>
            </w:r>
          </w:p>
          <w:p>
            <w:pPr>
              <w:pStyle w:val="TableContents"/>
              <w:spacing w:before="0" w:after="0"/>
              <w:ind w:left="0" w:right="0" w:hanging="0"/>
              <w:rPr/>
            </w:pPr>
            <w:r>
              <w:rPr/>
              <w:t>4514 Cole Avenue</w:t>
            </w:r>
          </w:p>
          <w:p>
            <w:pPr>
              <w:pStyle w:val="TableContents"/>
              <w:spacing w:before="0" w:after="0"/>
              <w:ind w:left="0" w:right="0" w:hanging="0"/>
              <w:rPr/>
            </w:pPr>
            <w:r>
              <w:rPr/>
              <w:t>Dallas, Texas</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96" w:type="dxa"/>
            <w:tcBorders/>
            <w:shd w:fill="CCEEFF" w:val="clear"/>
            <w:tcMar>
              <w:bottom w:w="0" w:type="dxa"/>
            </w:tcMar>
            <w:vAlign w:val="center"/>
          </w:tcPr>
          <w:p>
            <w:pPr>
              <w:pStyle w:val="TableContents"/>
              <w:spacing w:before="0" w:after="0"/>
              <w:ind w:left="0" w:right="0" w:hanging="0"/>
              <w:rPr/>
            </w:pPr>
            <w:r>
              <w:rPr/>
              <w:t> </w:t>
            </w:r>
          </w:p>
        </w:tc>
        <w:tc>
          <w:tcPr>
            <w:tcW w:w="1818" w:type="dxa"/>
            <w:tcBorders/>
            <w:shd w:fill="CCEEFF" w:val="clear"/>
            <w:tcMar>
              <w:bottom w:w="0" w:type="dxa"/>
            </w:tcMar>
            <w:vAlign w:val="center"/>
          </w:tcPr>
          <w:p>
            <w:pPr>
              <w:pStyle w:val="TableContents"/>
              <w:spacing w:before="0" w:after="283"/>
              <w:jc w:val="right"/>
              <w:rPr/>
            </w:pPr>
            <w:r>
              <w:rPr/>
              <w:t>595,238</w:t>
            </w:r>
          </w:p>
        </w:tc>
        <w:tc>
          <w:tcPr>
            <w:tcW w:w="1130" w:type="dxa"/>
            <w:tcBorders/>
            <w:shd w:fill="CCEEFF" w:val="clear"/>
            <w:tcMar>
              <w:bottom w:w="0" w:type="dxa"/>
            </w:tcMar>
            <w:vAlign w:val="center"/>
          </w:tcPr>
          <w:p>
            <w:pPr>
              <w:pStyle w:val="TableContents"/>
              <w:spacing w:before="0" w:after="283"/>
              <w:rPr/>
            </w:pPr>
            <w:r>
              <w:rPr/>
              <w:t>(7)</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344" w:type="dxa"/>
            <w:tcBorders/>
            <w:shd w:fill="CCEEFF" w:val="clear"/>
            <w:tcMar>
              <w:bottom w:w="0" w:type="dxa"/>
            </w:tcMar>
            <w:vAlign w:val="center"/>
          </w:tcPr>
          <w:p>
            <w:pPr>
              <w:pStyle w:val="TableContents"/>
              <w:spacing w:before="0" w:after="0"/>
              <w:ind w:left="0" w:right="0" w:hanging="0"/>
              <w:rPr/>
            </w:pPr>
            <w:r>
              <w:rPr/>
              <w:t> </w:t>
            </w:r>
          </w:p>
        </w:tc>
        <w:tc>
          <w:tcPr>
            <w:tcW w:w="1340" w:type="dxa"/>
            <w:tcBorders/>
            <w:shd w:fill="CCEEFF" w:val="clear"/>
            <w:tcMar>
              <w:bottom w:w="0" w:type="dxa"/>
            </w:tcMar>
            <w:vAlign w:val="center"/>
          </w:tcPr>
          <w:p>
            <w:pPr>
              <w:pStyle w:val="TableContents"/>
              <w:spacing w:before="0" w:after="283"/>
              <w:jc w:val="right"/>
              <w:rPr/>
            </w:pPr>
            <w:r>
              <w:rPr/>
              <w:t>5.5</w:t>
            </w:r>
          </w:p>
        </w:tc>
        <w:tc>
          <w:tcPr>
            <w:tcW w:w="290" w:type="dxa"/>
            <w:tcBorders/>
            <w:shd w:fill="CCEEFF" w:val="clear"/>
            <w:tcMar>
              <w:bottom w:w="0" w:type="dxa"/>
            </w:tcMar>
            <w:vAlign w:val="center"/>
          </w:tcPr>
          <w:p>
            <w:pPr>
              <w:pStyle w:val="TableContents"/>
              <w:spacing w:before="0" w:after="283"/>
              <w:rPr/>
            </w:pPr>
            <w:r>
              <w:rPr/>
              <w:t>%</w:t>
            </w:r>
          </w:p>
        </w:tc>
      </w:tr>
      <w:tr>
        <w:trPr/>
        <w:tc>
          <w:tcPr>
            <w:tcW w:w="353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96" w:type="dxa"/>
            <w:tcBorders/>
            <w:shd w:fill="FFFFFF" w:val="clear"/>
            <w:tcMar>
              <w:bottom w:w="0" w:type="dxa"/>
            </w:tcMar>
            <w:vAlign w:val="center"/>
          </w:tcPr>
          <w:p>
            <w:pPr>
              <w:pStyle w:val="TableContents"/>
              <w:spacing w:before="0" w:after="0"/>
              <w:ind w:left="0" w:right="0" w:hanging="0"/>
              <w:rPr/>
            </w:pPr>
            <w:r>
              <w:rPr/>
              <w:t> </w:t>
            </w:r>
          </w:p>
        </w:tc>
        <w:tc>
          <w:tcPr>
            <w:tcW w:w="1818" w:type="dxa"/>
            <w:tcBorders/>
            <w:shd w:fill="FFFFFF" w:val="clear"/>
            <w:tcMar>
              <w:bottom w:w="0" w:type="dxa"/>
            </w:tcMar>
            <w:vAlign w:val="center"/>
          </w:tcPr>
          <w:p>
            <w:pPr>
              <w:pStyle w:val="TableContents"/>
              <w:spacing w:before="0" w:after="0"/>
              <w:ind w:left="0" w:right="0" w:hanging="0"/>
              <w:rPr/>
            </w:pPr>
            <w:r>
              <w:rPr/>
              <w:t> </w:t>
            </w:r>
          </w:p>
        </w:tc>
        <w:tc>
          <w:tcPr>
            <w:tcW w:w="113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344" w:type="dxa"/>
            <w:tcBorders/>
            <w:shd w:fill="FFFFFF" w:val="clear"/>
            <w:tcMar>
              <w:bottom w:w="0" w:type="dxa"/>
            </w:tcMar>
            <w:vAlign w:val="center"/>
          </w:tcPr>
          <w:p>
            <w:pPr>
              <w:pStyle w:val="TableContents"/>
              <w:spacing w:before="0" w:after="0"/>
              <w:ind w:left="0" w:right="0" w:hanging="0"/>
              <w:rPr/>
            </w:pPr>
            <w:r>
              <w:rPr/>
              <w:t> </w:t>
            </w:r>
          </w:p>
        </w:tc>
        <w:tc>
          <w:tcPr>
            <w:tcW w:w="1340" w:type="dxa"/>
            <w:tcBorders/>
            <w:shd w:fill="FFFFFF" w:val="clear"/>
            <w:tcMar>
              <w:bottom w:w="0" w:type="dxa"/>
            </w:tcMar>
            <w:vAlign w:val="center"/>
          </w:tcPr>
          <w:p>
            <w:pPr>
              <w:pStyle w:val="TableContents"/>
              <w:spacing w:before="0" w:after="0"/>
              <w:ind w:left="0" w:right="0" w:hanging="0"/>
              <w:rPr/>
            </w:pPr>
            <w:r>
              <w:rPr/>
              <w:t> </w:t>
            </w:r>
          </w:p>
        </w:tc>
        <w:tc>
          <w:tcPr>
            <w:tcW w:w="290" w:type="dxa"/>
            <w:tcBorders/>
            <w:shd w:fill="FFFFFF" w:val="clear"/>
            <w:tcMar>
              <w:bottom w:w="0" w:type="dxa"/>
            </w:tcMar>
            <w:vAlign w:val="center"/>
          </w:tcPr>
          <w:p>
            <w:pPr>
              <w:pStyle w:val="TableContents"/>
              <w:spacing w:before="0" w:after="0"/>
              <w:ind w:left="0" w:right="0" w:hanging="0"/>
              <w:rPr/>
            </w:pPr>
            <w:r>
              <w:rPr/>
              <w:t> </w:t>
            </w:r>
          </w:p>
        </w:tc>
      </w:tr>
      <w:tr>
        <w:trPr/>
        <w:tc>
          <w:tcPr>
            <w:tcW w:w="3530" w:type="dxa"/>
            <w:tcBorders/>
            <w:shd w:fill="CCEEFF" w:val="clear"/>
            <w:tcMar>
              <w:bottom w:w="0" w:type="dxa"/>
            </w:tcMar>
            <w:vAlign w:val="center"/>
          </w:tcPr>
          <w:p>
            <w:pPr>
              <w:pStyle w:val="TableContents"/>
              <w:spacing w:before="0" w:after="0"/>
              <w:ind w:left="0" w:right="0" w:hanging="0"/>
              <w:rPr/>
            </w:pPr>
            <w:r>
              <w:rPr/>
              <w:t>All executive officers</w:t>
            </w:r>
          </w:p>
          <w:p>
            <w:pPr>
              <w:pStyle w:val="TableContents"/>
              <w:spacing w:before="0" w:after="0"/>
              <w:ind w:left="0" w:right="0" w:hanging="0"/>
              <w:rPr/>
            </w:pPr>
            <w:r>
              <w:rPr/>
              <w:t>and directors as a group</w:t>
            </w:r>
          </w:p>
          <w:p>
            <w:pPr>
              <w:pStyle w:val="TableContents"/>
              <w:spacing w:before="0" w:after="0"/>
              <w:ind w:left="0" w:right="0" w:hanging="0"/>
              <w:jc w:val="both"/>
              <w:rPr/>
            </w:pPr>
            <w:r>
              <w:rPr/>
              <w:t>(7 persons)</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96" w:type="dxa"/>
            <w:tcBorders/>
            <w:shd w:fill="CCEEFF" w:val="clear"/>
            <w:tcMar>
              <w:bottom w:w="0" w:type="dxa"/>
            </w:tcMar>
            <w:vAlign w:val="center"/>
          </w:tcPr>
          <w:p>
            <w:pPr>
              <w:pStyle w:val="TableContents"/>
              <w:spacing w:before="0" w:after="0"/>
              <w:ind w:left="0" w:right="0" w:hanging="0"/>
              <w:rPr/>
            </w:pPr>
            <w:r>
              <w:rPr/>
              <w:t> </w:t>
            </w:r>
          </w:p>
        </w:tc>
        <w:tc>
          <w:tcPr>
            <w:tcW w:w="1818" w:type="dxa"/>
            <w:tcBorders/>
            <w:shd w:fill="CCEEFF" w:val="clear"/>
            <w:tcMar>
              <w:bottom w:w="0" w:type="dxa"/>
            </w:tcMar>
            <w:vAlign w:val="center"/>
          </w:tcPr>
          <w:p>
            <w:pPr>
              <w:pStyle w:val="TableContents"/>
              <w:spacing w:before="0" w:after="283"/>
              <w:jc w:val="right"/>
              <w:rPr/>
            </w:pPr>
            <w:r>
              <w:rPr/>
              <w:t>881,383</w:t>
            </w:r>
          </w:p>
        </w:tc>
        <w:tc>
          <w:tcPr>
            <w:tcW w:w="1130" w:type="dxa"/>
            <w:tcBorders/>
            <w:shd w:fill="CCEEFF" w:val="clear"/>
            <w:tcMar>
              <w:bottom w:w="0" w:type="dxa"/>
            </w:tcMar>
            <w:vAlign w:val="center"/>
          </w:tcPr>
          <w:p>
            <w:pPr>
              <w:pStyle w:val="TableContents"/>
              <w:spacing w:before="0" w:after="283"/>
              <w:rPr/>
            </w:pPr>
            <w:r>
              <w:rPr/>
              <w:t>(1)(2)(4)(5)</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344" w:type="dxa"/>
            <w:tcBorders/>
            <w:shd w:fill="CCEEFF" w:val="clear"/>
            <w:tcMar>
              <w:bottom w:w="0" w:type="dxa"/>
            </w:tcMar>
            <w:vAlign w:val="center"/>
          </w:tcPr>
          <w:p>
            <w:pPr>
              <w:pStyle w:val="TableContents"/>
              <w:spacing w:before="0" w:after="0"/>
              <w:ind w:left="0" w:right="0" w:hanging="0"/>
              <w:rPr/>
            </w:pPr>
            <w:r>
              <w:rPr/>
              <w:t> </w:t>
            </w:r>
          </w:p>
        </w:tc>
        <w:tc>
          <w:tcPr>
            <w:tcW w:w="1340" w:type="dxa"/>
            <w:tcBorders/>
            <w:shd w:fill="CCEEFF" w:val="clear"/>
            <w:tcMar>
              <w:bottom w:w="0" w:type="dxa"/>
            </w:tcMar>
            <w:vAlign w:val="center"/>
          </w:tcPr>
          <w:p>
            <w:pPr>
              <w:pStyle w:val="TableContents"/>
              <w:spacing w:before="0" w:after="283"/>
              <w:jc w:val="right"/>
              <w:rPr/>
            </w:pPr>
            <w:r>
              <w:rPr/>
              <w:t>8.2</w:t>
            </w:r>
          </w:p>
        </w:tc>
        <w:tc>
          <w:tcPr>
            <w:tcW w:w="290" w:type="dxa"/>
            <w:tcBorders/>
            <w:shd w:fill="CCEEFF" w:val="clear"/>
            <w:tcMar>
              <w:bottom w:w="0" w:type="dxa"/>
            </w:tcMar>
            <w:vAlign w:val="center"/>
          </w:tcPr>
          <w:p>
            <w:pPr>
              <w:pStyle w:val="TableContents"/>
              <w:spacing w:before="0" w:after="283"/>
              <w:rPr/>
            </w:pPr>
            <w:r>
              <w:rPr/>
              <w:t>%</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Less than 1%.</w:t>
      </w:r>
    </w:p>
    <w:tbl>
      <w:tblPr>
        <w:tblW w:w="10205" w:type="dxa"/>
        <w:jc w:val="left"/>
        <w:tblInd w:w="0" w:type="dxa"/>
        <w:tblCellMar>
          <w:top w:w="0" w:type="dxa"/>
          <w:left w:w="0" w:type="dxa"/>
          <w:bottom w:w="0" w:type="dxa"/>
          <w:right w:w="0" w:type="dxa"/>
        </w:tblCellMar>
      </w:tblPr>
      <w:tblGrid>
        <w:gridCol w:w="270"/>
        <w:gridCol w:w="9935"/>
      </w:tblGrid>
      <w:tr>
        <w:trPr/>
        <w:tc>
          <w:tcPr>
            <w:tcW w:w="270" w:type="dxa"/>
            <w:tcBorders/>
            <w:shd w:fill="auto" w:val="clear"/>
            <w:vAlign w:val="center"/>
          </w:tcPr>
          <w:p>
            <w:pPr>
              <w:pStyle w:val="TableContents"/>
              <w:spacing w:before="0" w:after="0"/>
              <w:ind w:left="0" w:right="0" w:hanging="0"/>
              <w:jc w:val="both"/>
              <w:rPr/>
            </w:pPr>
            <w:r>
              <w:rPr/>
              <w:t>(1)</w:t>
            </w:r>
          </w:p>
        </w:tc>
        <w:tc>
          <w:tcPr>
            <w:tcW w:w="9935" w:type="dxa"/>
            <w:tcBorders/>
            <w:shd w:fill="auto" w:val="clear"/>
            <w:vAlign w:val="center"/>
          </w:tcPr>
          <w:p>
            <w:pPr>
              <w:pStyle w:val="TableContents"/>
              <w:spacing w:before="0" w:after="0"/>
              <w:ind w:left="0" w:right="0" w:hanging="0"/>
              <w:jc w:val="both"/>
              <w:rPr/>
            </w:pPr>
            <w:r>
              <w:rPr/>
              <w:t>The information regarding Mr. Goldstein is based solely on publicly available information filed with the SEC. Includes (i) 73,168 shares of common stock owned by Mr. Goldstein's wife and (ii) 15,000 shares held in a retirement trust for the benefit of Mr. Goldstein. Mr. Goldstein has sole voting and dispositive power over 642,740 shares of common stock and shared voting and dispositive power over 73,168 shares of common stock. The inclusion of the shares owned by Mr. Goldstein's wife and the retirement trust shall not be construed as an admission that Mr. Goldstein is, for purposes of Section 13(d) or 13(g) of the Exchange Act, the beneficial owner of such shares.</w:t>
            </w:r>
          </w:p>
        </w:tc>
      </w:tr>
      <w:tr>
        <w:trPr/>
        <w:tc>
          <w:tcPr>
            <w:tcW w:w="270" w:type="dxa"/>
            <w:tcBorders/>
            <w:shd w:fill="auto" w:val="clear"/>
            <w:vAlign w:val="center"/>
          </w:tcPr>
          <w:p>
            <w:pPr>
              <w:pStyle w:val="TableContents"/>
              <w:spacing w:before="0" w:after="0"/>
              <w:ind w:left="0" w:right="0" w:hanging="0"/>
              <w:rPr/>
            </w:pPr>
            <w:r>
              <w:rPr/>
              <w:t> </w:t>
            </w:r>
          </w:p>
        </w:tc>
        <w:tc>
          <w:tcPr>
            <w:tcW w:w="9935" w:type="dxa"/>
            <w:tcBorders/>
            <w:shd w:fill="auto" w:val="clear"/>
            <w:vAlign w:val="center"/>
          </w:tcPr>
          <w:p>
            <w:pPr>
              <w:pStyle w:val="TableContents"/>
              <w:spacing w:before="0" w:after="0"/>
              <w:ind w:left="0" w:right="0" w:hanging="0"/>
              <w:rPr/>
            </w:pPr>
            <w:r>
              <w:rPr/>
              <w:t> </w:t>
            </w:r>
          </w:p>
        </w:tc>
      </w:tr>
      <w:tr>
        <w:trPr/>
        <w:tc>
          <w:tcPr>
            <w:tcW w:w="270" w:type="dxa"/>
            <w:tcBorders/>
            <w:shd w:fill="auto" w:val="clear"/>
            <w:vAlign w:val="center"/>
          </w:tcPr>
          <w:p>
            <w:pPr>
              <w:pStyle w:val="TableContents"/>
              <w:spacing w:before="0" w:after="0"/>
              <w:ind w:left="0" w:right="0" w:hanging="0"/>
              <w:jc w:val="both"/>
              <w:rPr/>
            </w:pPr>
            <w:r>
              <w:rPr/>
              <w:t>(2)</w:t>
            </w:r>
          </w:p>
        </w:tc>
        <w:tc>
          <w:tcPr>
            <w:tcW w:w="9935" w:type="dxa"/>
            <w:tcBorders/>
            <w:shd w:fill="auto" w:val="clear"/>
            <w:vAlign w:val="center"/>
          </w:tcPr>
          <w:p>
            <w:pPr>
              <w:pStyle w:val="TableContents"/>
              <w:spacing w:before="0" w:after="0"/>
              <w:ind w:left="0" w:right="0" w:hanging="0"/>
              <w:jc w:val="both"/>
              <w:rPr/>
            </w:pPr>
            <w:r>
              <w:rPr/>
              <w:t>Includes (i) 32,395 shares owned by Mr. Tupper’s wife (ii) 6,675 shares held in a retirement trust for the benefit of Mr. Tupper and (iii) 810 shares held in a retirement trust for the benefit of Mr. Tupper's wife. Mr. Tupper has sole voting and dispositive power over 40,217 shares of common stock and shared voting and dispositive power over 33,205 shares of common stock. The inclusion of the shares owned by Mr. Tupper's wife and the retirement trusts for the benefit of Mr. Tupper and his wife shall not be construed as an admission that Mr. Tupper is, for purposes of Section 13(d) or 13(g) of the Exchange Act, the beneficial owner of such shares.</w:t>
            </w:r>
          </w:p>
        </w:tc>
      </w:tr>
    </w:tbl>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73</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0"/>
              <w:ind w:left="0" w:right="0" w:hanging="0"/>
              <w:jc w:val="both"/>
              <w:rPr/>
            </w:pPr>
            <w:r>
              <w:rPr/>
              <w:t>(3)</w:t>
            </w:r>
          </w:p>
        </w:tc>
        <w:tc>
          <w:tcPr>
            <w:tcW w:w="9934" w:type="dxa"/>
            <w:tcBorders/>
            <w:shd w:fill="auto" w:val="clear"/>
            <w:vAlign w:val="center"/>
          </w:tcPr>
          <w:p>
            <w:pPr>
              <w:pStyle w:val="TableContents"/>
              <w:spacing w:before="0" w:after="0"/>
              <w:ind w:left="0" w:right="0" w:hanging="0"/>
              <w:jc w:val="both"/>
              <w:rPr/>
            </w:pPr>
            <w:r>
              <w:rPr/>
              <w:t>Includes 3,645 shares issuable upon the vesting of restricted stock within 60 days. </w:t>
            </w:r>
          </w:p>
        </w:tc>
      </w:tr>
      <w:tr>
        <w:trPr/>
        <w:tc>
          <w:tcPr>
            <w:tcW w:w="271" w:type="dxa"/>
            <w:tcBorders/>
            <w:shd w:fill="auto" w:val="clear"/>
            <w:vAlign w:val="center"/>
          </w:tcPr>
          <w:p>
            <w:pPr>
              <w:pStyle w:val="TableContents"/>
              <w:spacing w:before="0" w:after="0"/>
              <w:ind w:left="0" w:right="0" w:hanging="0"/>
              <w:jc w:val="both"/>
              <w:rPr/>
            </w:pPr>
            <w:r>
              <w:rPr/>
              <w:t> </w:t>
            </w:r>
          </w:p>
        </w:tc>
        <w:tc>
          <w:tcPr>
            <w:tcW w:w="9934" w:type="dxa"/>
            <w:tcBorders/>
            <w:shd w:fill="auto" w:val="clear"/>
            <w:vAlign w:val="center"/>
          </w:tcPr>
          <w:p>
            <w:pPr>
              <w:pStyle w:val="TableContents"/>
              <w:spacing w:before="0" w:after="0"/>
              <w:ind w:left="0" w:right="0" w:hanging="0"/>
              <w:jc w:val="both"/>
              <w:rPr/>
            </w:pPr>
            <w:r>
              <w:rPr/>
              <w:t> </w:t>
            </w:r>
          </w:p>
        </w:tc>
      </w:tr>
      <w:tr>
        <w:trPr/>
        <w:tc>
          <w:tcPr>
            <w:tcW w:w="271" w:type="dxa"/>
            <w:tcBorders/>
            <w:shd w:fill="auto" w:val="clear"/>
            <w:vAlign w:val="center"/>
          </w:tcPr>
          <w:p>
            <w:pPr>
              <w:pStyle w:val="TableContents"/>
              <w:spacing w:before="0" w:after="0"/>
              <w:ind w:left="0" w:right="0" w:hanging="0"/>
              <w:jc w:val="both"/>
              <w:rPr/>
            </w:pPr>
            <w:r>
              <w:rPr/>
              <w:t>(4)</w:t>
            </w:r>
          </w:p>
        </w:tc>
        <w:tc>
          <w:tcPr>
            <w:tcW w:w="9934" w:type="dxa"/>
            <w:tcBorders/>
            <w:shd w:fill="auto" w:val="clear"/>
            <w:vAlign w:val="center"/>
          </w:tcPr>
          <w:p>
            <w:pPr>
              <w:pStyle w:val="TableContents"/>
              <w:spacing w:before="0" w:after="0"/>
              <w:ind w:left="0" w:right="0" w:hanging="0"/>
              <w:jc w:val="both"/>
              <w:rPr/>
            </w:pPr>
            <w:r>
              <w:rPr/>
              <w:t>Represents shares issuable upon the exercise of options that are exercisable currently.</w:t>
            </w:r>
          </w:p>
        </w:tc>
      </w:tr>
      <w:tr>
        <w:trPr/>
        <w:tc>
          <w:tcPr>
            <w:tcW w:w="271" w:type="dxa"/>
            <w:tcBorders/>
            <w:shd w:fill="auto" w:val="clear"/>
            <w:vAlign w:val="center"/>
          </w:tcPr>
          <w:p>
            <w:pPr>
              <w:pStyle w:val="TableContents"/>
              <w:spacing w:before="0" w:after="0"/>
              <w:ind w:left="0" w:right="0" w:hanging="0"/>
              <w:rPr/>
            </w:pPr>
            <w:r>
              <w:rPr/>
              <w:t> </w:t>
            </w:r>
          </w:p>
        </w:tc>
        <w:tc>
          <w:tcPr>
            <w:tcW w:w="9934" w:type="dxa"/>
            <w:tcBorders/>
            <w:shd w:fill="auto" w:val="clear"/>
            <w:vAlign w:val="center"/>
          </w:tcPr>
          <w:p>
            <w:pPr>
              <w:pStyle w:val="TableContents"/>
              <w:spacing w:before="0" w:after="0"/>
              <w:ind w:left="0" w:right="0" w:hanging="0"/>
              <w:rPr/>
            </w:pPr>
            <w:r>
              <w:rPr/>
              <w:t> </w:t>
            </w:r>
          </w:p>
        </w:tc>
      </w:tr>
      <w:tr>
        <w:trPr/>
        <w:tc>
          <w:tcPr>
            <w:tcW w:w="271" w:type="dxa"/>
            <w:tcBorders/>
            <w:shd w:fill="auto" w:val="clear"/>
            <w:vAlign w:val="center"/>
          </w:tcPr>
          <w:p>
            <w:pPr>
              <w:pStyle w:val="TableContents"/>
              <w:spacing w:before="0" w:after="0"/>
              <w:ind w:left="0" w:right="0" w:hanging="0"/>
              <w:jc w:val="both"/>
              <w:rPr/>
            </w:pPr>
            <w:r>
              <w:rPr/>
              <w:t>(5)</w:t>
            </w:r>
          </w:p>
        </w:tc>
        <w:tc>
          <w:tcPr>
            <w:tcW w:w="9934" w:type="dxa"/>
            <w:tcBorders/>
            <w:shd w:fill="auto" w:val="clear"/>
            <w:vAlign w:val="center"/>
          </w:tcPr>
          <w:p>
            <w:pPr>
              <w:pStyle w:val="TableContents"/>
              <w:spacing w:before="0" w:after="0"/>
              <w:ind w:left="0" w:right="0" w:hanging="0"/>
              <w:jc w:val="both"/>
              <w:rPr/>
            </w:pPr>
            <w:r>
              <w:rPr/>
              <w:t>Includes (i) 1,400 shares held in a retirement trust for the benefit of Ms. D’Andre and (ii) 10,000 shares held in a retirement trust for the benefit of Ms. D’Andre’s husband. Ms. D’Andre has sole voting and dispositive power over 11,941 shares of common stock and shared voting and dispositive power over 10,000 shares of common stock. The inclusion of the shares owned by the retirement trust for the benefit of Ms. D'Andre’s husband shall not be construed as an admission that Ms. D’Andre is, for purposes of Section 13(d) or 13(g) of the Exchange Act, the beneficial owner of such shares.</w:t>
            </w:r>
          </w:p>
        </w:tc>
      </w:tr>
      <w:tr>
        <w:trPr/>
        <w:tc>
          <w:tcPr>
            <w:tcW w:w="271" w:type="dxa"/>
            <w:tcBorders/>
            <w:shd w:fill="auto" w:val="clear"/>
            <w:vAlign w:val="center"/>
          </w:tcPr>
          <w:p>
            <w:pPr>
              <w:pStyle w:val="TableContents"/>
              <w:spacing w:before="0" w:after="0"/>
              <w:ind w:left="0" w:right="0" w:hanging="0"/>
              <w:rPr/>
            </w:pPr>
            <w:r>
              <w:rPr/>
              <w:t> </w:t>
            </w:r>
          </w:p>
        </w:tc>
        <w:tc>
          <w:tcPr>
            <w:tcW w:w="9934" w:type="dxa"/>
            <w:tcBorders/>
            <w:shd w:fill="auto" w:val="clear"/>
            <w:vAlign w:val="center"/>
          </w:tcPr>
          <w:p>
            <w:pPr>
              <w:pStyle w:val="TableContents"/>
              <w:spacing w:before="0" w:after="283"/>
              <w:rPr>
                <w:sz w:val="4"/>
                <w:szCs w:val="4"/>
              </w:rPr>
            </w:pPr>
            <w:r>
              <w:rPr>
                <w:sz w:val="4"/>
                <w:szCs w:val="4"/>
              </w:rPr>
            </w:r>
          </w:p>
        </w:tc>
      </w:tr>
      <w:tr>
        <w:trPr/>
        <w:tc>
          <w:tcPr>
            <w:tcW w:w="271" w:type="dxa"/>
            <w:tcBorders/>
            <w:shd w:fill="auto" w:val="clear"/>
            <w:vAlign w:val="center"/>
          </w:tcPr>
          <w:p>
            <w:pPr>
              <w:pStyle w:val="TableContents"/>
              <w:spacing w:before="0" w:after="0"/>
              <w:ind w:left="0" w:right="0" w:hanging="0"/>
              <w:jc w:val="both"/>
              <w:rPr/>
            </w:pPr>
            <w:r>
              <w:rPr/>
              <w:t>(6)</w:t>
            </w:r>
          </w:p>
        </w:tc>
        <w:tc>
          <w:tcPr>
            <w:tcW w:w="9934" w:type="dxa"/>
            <w:tcBorders/>
            <w:shd w:fill="auto" w:val="clear"/>
            <w:vAlign w:val="center"/>
          </w:tcPr>
          <w:p>
            <w:pPr>
              <w:pStyle w:val="TableContents"/>
              <w:spacing w:before="0" w:after="0"/>
              <w:ind w:left="0" w:right="0" w:hanging="0"/>
              <w:jc w:val="both"/>
              <w:rPr/>
            </w:pPr>
            <w:r>
              <w:rPr/>
              <w:t>The information regarding The TCW Group, Inc. on behalf of the TCW Business Unit is based solely on Schedule 13G/A filed by such reporting person with the SEC on February 8, 2021 (the “TCW 13G/A”). According to the TCW 13G/A, such reporting person has shared voting and dispositive power over the 958,423 shares of common stock.</w:t>
            </w:r>
          </w:p>
        </w:tc>
      </w:tr>
      <w:tr>
        <w:trPr/>
        <w:tc>
          <w:tcPr>
            <w:tcW w:w="271" w:type="dxa"/>
            <w:tcBorders/>
            <w:shd w:fill="auto" w:val="clear"/>
            <w:vAlign w:val="center"/>
          </w:tcPr>
          <w:p>
            <w:pPr>
              <w:pStyle w:val="TableContents"/>
              <w:spacing w:before="0" w:after="0"/>
              <w:ind w:left="0" w:right="0" w:hanging="0"/>
              <w:rPr/>
            </w:pPr>
            <w:r>
              <w:rPr/>
              <w:t> </w:t>
            </w:r>
          </w:p>
        </w:tc>
        <w:tc>
          <w:tcPr>
            <w:tcW w:w="9934" w:type="dxa"/>
            <w:tcBorders/>
            <w:shd w:fill="auto" w:val="clear"/>
            <w:vAlign w:val="center"/>
          </w:tcPr>
          <w:p>
            <w:pPr>
              <w:pStyle w:val="TableContents"/>
              <w:spacing w:before="0" w:after="0"/>
              <w:ind w:left="0" w:right="0" w:hanging="0"/>
              <w:rPr/>
            </w:pPr>
            <w:r>
              <w:rPr/>
              <w:t> </w:t>
            </w:r>
          </w:p>
        </w:tc>
      </w:tr>
      <w:tr>
        <w:trPr/>
        <w:tc>
          <w:tcPr>
            <w:tcW w:w="271" w:type="dxa"/>
            <w:tcBorders/>
            <w:shd w:fill="auto" w:val="clear"/>
            <w:vAlign w:val="center"/>
          </w:tcPr>
          <w:p>
            <w:pPr>
              <w:pStyle w:val="TableContents"/>
              <w:spacing w:before="0" w:after="0"/>
              <w:ind w:left="0" w:right="0" w:hanging="0"/>
              <w:rPr/>
            </w:pPr>
            <w:r>
              <w:rPr/>
              <w:t>(7)</w:t>
            </w:r>
          </w:p>
        </w:tc>
        <w:tc>
          <w:tcPr>
            <w:tcW w:w="9934" w:type="dxa"/>
            <w:tcBorders/>
            <w:shd w:fill="auto" w:val="clear"/>
            <w:vAlign w:val="center"/>
          </w:tcPr>
          <w:p>
            <w:pPr>
              <w:pStyle w:val="TableContents"/>
              <w:spacing w:before="0" w:after="0"/>
              <w:ind w:left="0" w:right="0" w:hanging="0"/>
              <w:rPr/>
            </w:pPr>
            <w:r>
              <w:rPr/>
              <w:t>The information regarding Michael Doak (“Doak”) and Griffin Highline Capital LLC (“Griffin”) is based solely on a Schedule 13D filed by such reporting persons with the SEC on February 11, 2021 (the “Doak/Griffin 13D”). According to the Doak/Griffin 13D, each of Doak and Griffin has shared voting and dispositive power over the 595,238 shares of common stock.</w:t>
            </w:r>
          </w:p>
        </w:tc>
      </w:tr>
    </w:tbl>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Securities Authorized for Issuance Under Equity Compensation Plans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sets forth information as of December 31, 2020 with respect to compensation plans (including individual compensation arrangements) under which our common stock is authorized for issuance, aggregated as follows:</w:t>
      </w:r>
    </w:p>
    <w:p>
      <w:pPr>
        <w:pStyle w:val="TextBody"/>
        <w:spacing w:before="0" w:after="0"/>
        <w:ind w:left="0" w:right="0" w:hanging="0"/>
        <w:jc w:val="both"/>
        <w:rPr/>
      </w:pPr>
      <w:r>
        <w:rPr/>
        <w:t> </w:t>
      </w:r>
    </w:p>
    <w:tbl>
      <w:tblPr>
        <w:tblW w:w="6880" w:type="dxa"/>
        <w:jc w:val="left"/>
        <w:tblInd w:w="0" w:type="dxa"/>
        <w:tblCellMar>
          <w:top w:w="0" w:type="dxa"/>
          <w:left w:w="0" w:type="dxa"/>
          <w:bottom w:w="0" w:type="dxa"/>
          <w:right w:w="0" w:type="dxa"/>
        </w:tblCellMar>
      </w:tblPr>
      <w:tblGrid>
        <w:gridCol w:w="105"/>
        <w:gridCol w:w="155"/>
        <w:gridCol w:w="6620"/>
      </w:tblGrid>
      <w:tr>
        <w:trPr/>
        <w:tc>
          <w:tcPr>
            <w:tcW w:w="105" w:type="dxa"/>
            <w:tcBorders/>
            <w:shd w:fill="auto" w:val="clear"/>
            <w:vAlign w:val="center"/>
          </w:tcPr>
          <w:p>
            <w:pPr>
              <w:pStyle w:val="TableContents"/>
              <w:spacing w:before="0" w:after="0"/>
              <w:ind w:left="0" w:right="0" w:hanging="0"/>
              <w:rPr/>
            </w:pPr>
            <w:r>
              <w:rPr/>
              <w:t> </w:t>
            </w:r>
          </w:p>
        </w:tc>
        <w:tc>
          <w:tcPr>
            <w:tcW w:w="155" w:type="dxa"/>
            <w:tcBorders/>
            <w:shd w:fill="auto" w:val="clear"/>
            <w:vAlign w:val="center"/>
          </w:tcPr>
          <w:p>
            <w:pPr>
              <w:pStyle w:val="TableContents"/>
              <w:spacing w:before="0" w:after="0"/>
              <w:ind w:left="0" w:right="0" w:hanging="0"/>
              <w:rPr>
                <w:rFonts w:ascii="symbol" w:hAnsi="symbol"/>
              </w:rPr>
            </w:pPr>
            <w:r>
              <w:rPr>
                <w:rFonts w:ascii="symbol" w:hAnsi="symbol"/>
              </w:rPr>
              <w:t>·</w:t>
            </w:r>
          </w:p>
        </w:tc>
        <w:tc>
          <w:tcPr>
            <w:tcW w:w="6620" w:type="dxa"/>
            <w:tcBorders/>
            <w:shd w:fill="auto" w:val="clear"/>
            <w:vAlign w:val="center"/>
          </w:tcPr>
          <w:p>
            <w:pPr>
              <w:pStyle w:val="TableContents"/>
              <w:spacing w:before="0" w:after="283"/>
              <w:rPr/>
            </w:pPr>
            <w:r>
              <w:rPr/>
              <w:t>All compensation plans previously approved by security holders; and</w:t>
            </w:r>
          </w:p>
        </w:tc>
      </w:tr>
      <w:tr>
        <w:trPr/>
        <w:tc>
          <w:tcPr>
            <w:tcW w:w="105" w:type="dxa"/>
            <w:tcBorders/>
            <w:shd w:fill="auto" w:val="clear"/>
            <w:vAlign w:val="center"/>
          </w:tcPr>
          <w:p>
            <w:pPr>
              <w:pStyle w:val="TableContents"/>
              <w:spacing w:before="0" w:after="0"/>
              <w:ind w:left="0" w:right="0" w:hanging="0"/>
              <w:rPr/>
            </w:pPr>
            <w:r>
              <w:rPr/>
              <w:t> </w:t>
            </w:r>
          </w:p>
        </w:tc>
        <w:tc>
          <w:tcPr>
            <w:tcW w:w="155" w:type="dxa"/>
            <w:tcBorders/>
            <w:shd w:fill="auto" w:val="clear"/>
            <w:vAlign w:val="center"/>
          </w:tcPr>
          <w:p>
            <w:pPr>
              <w:pStyle w:val="TableContents"/>
              <w:spacing w:before="0" w:after="0"/>
              <w:ind w:left="0" w:right="0" w:hanging="0"/>
              <w:rPr>
                <w:rFonts w:ascii="symbol" w:hAnsi="symbol"/>
              </w:rPr>
            </w:pPr>
            <w:r>
              <w:rPr>
                <w:rFonts w:ascii="symbol" w:hAnsi="symbol"/>
              </w:rPr>
              <w:t>·</w:t>
            </w:r>
          </w:p>
        </w:tc>
        <w:tc>
          <w:tcPr>
            <w:tcW w:w="6620" w:type="dxa"/>
            <w:tcBorders/>
            <w:shd w:fill="auto" w:val="clear"/>
            <w:vAlign w:val="center"/>
          </w:tcPr>
          <w:p>
            <w:pPr>
              <w:pStyle w:val="TableContents"/>
              <w:spacing w:before="0" w:after="283"/>
              <w:rPr/>
            </w:pPr>
            <w:r>
              <w:rPr/>
              <w:t>All compensation plans not previously approved by security holders.</w:t>
            </w:r>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EQUITY COMPENSATION PLAN INFORMATION</w:t>
      </w:r>
    </w:p>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1946"/>
        <w:gridCol w:w="90"/>
        <w:gridCol w:w="224"/>
        <w:gridCol w:w="2077"/>
        <w:gridCol w:w="90"/>
        <w:gridCol w:w="90"/>
        <w:gridCol w:w="558"/>
        <w:gridCol w:w="1545"/>
        <w:gridCol w:w="90"/>
        <w:gridCol w:w="90"/>
        <w:gridCol w:w="302"/>
        <w:gridCol w:w="2799"/>
        <w:gridCol w:w="304"/>
      </w:tblGrid>
      <w:tr>
        <w:trPr/>
        <w:tc>
          <w:tcPr>
            <w:tcW w:w="1946"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301" w:type="dxa"/>
            <w:gridSpan w:val="2"/>
            <w:tcBorders/>
            <w:shd w:fill="auto" w:val="clear"/>
            <w:vAlign w:val="center"/>
          </w:tcPr>
          <w:p>
            <w:pPr>
              <w:pStyle w:val="TableContents"/>
              <w:spacing w:before="0" w:after="0"/>
              <w:ind w:left="0" w:right="0" w:hanging="0"/>
              <w:jc w:val="center"/>
              <w:rPr/>
            </w:pPr>
            <w:r>
              <w:rPr>
                <w:rStyle w:val="StrongEmphasis"/>
              </w:rPr>
              <w:t>Number of securities to be issued upon exercise of outstanding options, warrants and rights</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2103" w:type="dxa"/>
            <w:gridSpan w:val="2"/>
            <w:tcBorders/>
            <w:shd w:fill="auto" w:val="clear"/>
            <w:vAlign w:val="center"/>
          </w:tcPr>
          <w:p>
            <w:pPr>
              <w:pStyle w:val="TableContents"/>
              <w:spacing w:before="0" w:after="0"/>
              <w:ind w:left="0" w:right="0" w:hanging="0"/>
              <w:jc w:val="center"/>
              <w:rPr/>
            </w:pPr>
            <w:r>
              <w:rPr>
                <w:rStyle w:val="StrongEmphasis"/>
              </w:rPr>
              <w:t>Weighted average exercise price of outstanding options, warrants and rights</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3101" w:type="dxa"/>
            <w:gridSpan w:val="2"/>
            <w:tcBorders/>
            <w:shd w:fill="auto" w:val="clear"/>
            <w:vAlign w:val="center"/>
          </w:tcPr>
          <w:p>
            <w:pPr>
              <w:pStyle w:val="TableContents"/>
              <w:spacing w:before="0" w:after="0"/>
              <w:ind w:left="0" w:right="0" w:hanging="0"/>
              <w:jc w:val="center"/>
              <w:rPr/>
            </w:pPr>
            <w:r>
              <w:rPr>
                <w:rStyle w:val="StrongEmphasis"/>
              </w:rPr>
              <w:t>Number of securities remaining available for future issuance under equity compensation plans (excluding securities reflected in column (a))</w:t>
            </w:r>
          </w:p>
        </w:tc>
        <w:tc>
          <w:tcPr>
            <w:tcW w:w="304" w:type="dxa"/>
            <w:tcBorders/>
            <w:shd w:fill="auto" w:val="clear"/>
            <w:vAlign w:val="center"/>
          </w:tcPr>
          <w:p>
            <w:pPr>
              <w:pStyle w:val="TableContents"/>
              <w:spacing w:before="0" w:after="0"/>
              <w:ind w:left="0" w:right="0" w:hanging="0"/>
              <w:rPr/>
            </w:pPr>
            <w:r>
              <w:rPr/>
              <w:t> </w:t>
            </w:r>
          </w:p>
        </w:tc>
      </w:tr>
      <w:tr>
        <w:trPr/>
        <w:tc>
          <w:tcPr>
            <w:tcW w:w="1946"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301" w:type="dxa"/>
            <w:gridSpan w:val="2"/>
            <w:tcBorders/>
            <w:shd w:fill="auto" w:val="clear"/>
            <w:vAlign w:val="center"/>
          </w:tcPr>
          <w:p>
            <w:pPr>
              <w:pStyle w:val="TableContents"/>
              <w:spacing w:before="0" w:after="0"/>
              <w:ind w:left="0" w:right="0" w:hanging="0"/>
              <w:jc w:val="center"/>
              <w:rPr/>
            </w:pPr>
            <w:r>
              <w:rPr>
                <w:rStyle w:val="StrongEmphasis"/>
              </w:rPr>
              <w:t>(a)</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2103" w:type="dxa"/>
            <w:gridSpan w:val="2"/>
            <w:tcBorders/>
            <w:shd w:fill="auto" w:val="clear"/>
            <w:vAlign w:val="center"/>
          </w:tcPr>
          <w:p>
            <w:pPr>
              <w:pStyle w:val="TableContents"/>
              <w:spacing w:before="0" w:after="0"/>
              <w:ind w:left="0" w:right="0" w:hanging="0"/>
              <w:jc w:val="center"/>
              <w:rPr/>
            </w:pPr>
            <w:r>
              <w:rPr>
                <w:rStyle w:val="StrongEmphasis"/>
              </w:rPr>
              <w:t>(b)</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3101" w:type="dxa"/>
            <w:gridSpan w:val="2"/>
            <w:tcBorders/>
            <w:shd w:fill="auto" w:val="clear"/>
            <w:vAlign w:val="center"/>
          </w:tcPr>
          <w:p>
            <w:pPr>
              <w:pStyle w:val="TableContents"/>
              <w:spacing w:before="0" w:after="0"/>
              <w:ind w:left="0" w:right="0" w:hanging="0"/>
              <w:jc w:val="center"/>
              <w:rPr/>
            </w:pPr>
            <w:r>
              <w:rPr>
                <w:rStyle w:val="StrongEmphasis"/>
              </w:rPr>
              <w:t>(c)</w:t>
            </w:r>
          </w:p>
        </w:tc>
        <w:tc>
          <w:tcPr>
            <w:tcW w:w="304" w:type="dxa"/>
            <w:tcBorders/>
            <w:shd w:fill="auto" w:val="clear"/>
            <w:vAlign w:val="center"/>
          </w:tcPr>
          <w:p>
            <w:pPr>
              <w:pStyle w:val="TableContents"/>
              <w:spacing w:before="0" w:after="0"/>
              <w:ind w:left="0" w:right="0" w:hanging="0"/>
              <w:rPr/>
            </w:pPr>
            <w:r>
              <w:rPr/>
              <w:t> </w:t>
            </w:r>
          </w:p>
        </w:tc>
      </w:tr>
      <w:tr>
        <w:trPr/>
        <w:tc>
          <w:tcPr>
            <w:tcW w:w="1946" w:type="dxa"/>
            <w:tcBorders/>
            <w:shd w:fill="CCEEFF" w:val="clear"/>
            <w:vAlign w:val="center"/>
          </w:tcPr>
          <w:p>
            <w:pPr>
              <w:pStyle w:val="TableContents"/>
              <w:spacing w:before="0" w:after="0"/>
              <w:ind w:left="0" w:right="0" w:hanging="0"/>
              <w:rPr/>
            </w:pPr>
            <w:r>
              <w:rPr/>
              <w:t>Equity compensation plans approved by security holders</w:t>
            </w:r>
          </w:p>
        </w:tc>
        <w:tc>
          <w:tcPr>
            <w:tcW w:w="90" w:type="dxa"/>
            <w:tcBorders/>
            <w:shd w:fill="CCEEFF" w:val="clear"/>
            <w:vAlign w:val="center"/>
          </w:tcPr>
          <w:p>
            <w:pPr>
              <w:pStyle w:val="TableContents"/>
              <w:spacing w:before="0" w:after="0"/>
              <w:ind w:left="0" w:right="0" w:hanging="0"/>
              <w:rPr/>
            </w:pPr>
            <w:r>
              <w:rPr/>
              <w:t> </w:t>
            </w:r>
          </w:p>
        </w:tc>
        <w:tc>
          <w:tcPr>
            <w:tcW w:w="224" w:type="dxa"/>
            <w:tcBorders/>
            <w:shd w:fill="CCEEFF" w:val="clear"/>
            <w:vAlign w:val="center"/>
          </w:tcPr>
          <w:p>
            <w:pPr>
              <w:pStyle w:val="TableContents"/>
              <w:spacing w:before="0" w:after="0"/>
              <w:ind w:left="0" w:right="0" w:hanging="0"/>
              <w:rPr/>
            </w:pPr>
            <w:r>
              <w:rPr/>
              <w:t> </w:t>
            </w:r>
          </w:p>
        </w:tc>
        <w:tc>
          <w:tcPr>
            <w:tcW w:w="2077" w:type="dxa"/>
            <w:tcBorders/>
            <w:shd w:fill="CCEEFF" w:val="clear"/>
            <w:vAlign w:val="center"/>
          </w:tcPr>
          <w:p>
            <w:pPr>
              <w:pStyle w:val="TableContents"/>
              <w:spacing w:before="0" w:after="283"/>
              <w:jc w:val="right"/>
              <w:rPr/>
            </w:pPr>
            <w:r>
              <w:rPr/>
              <w:t>119,966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558" w:type="dxa"/>
            <w:tcBorders/>
            <w:shd w:fill="CCEEFF" w:val="clear"/>
            <w:vAlign w:val="center"/>
          </w:tcPr>
          <w:p>
            <w:pPr>
              <w:pStyle w:val="TableContents"/>
              <w:spacing w:before="0" w:after="283"/>
              <w:rPr/>
            </w:pPr>
            <w:r>
              <w:rPr/>
              <w:t>$</w:t>
            </w:r>
          </w:p>
        </w:tc>
        <w:tc>
          <w:tcPr>
            <w:tcW w:w="1545" w:type="dxa"/>
            <w:tcBorders/>
            <w:shd w:fill="CCEEFF" w:val="clear"/>
            <w:vAlign w:val="center"/>
          </w:tcPr>
          <w:p>
            <w:pPr>
              <w:pStyle w:val="TableContents"/>
              <w:spacing w:before="0" w:after="283"/>
              <w:jc w:val="right"/>
              <w:rPr/>
            </w:pPr>
            <w:r>
              <w:rPr/>
              <w:t>8.26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302" w:type="dxa"/>
            <w:tcBorders/>
            <w:shd w:fill="CCEEFF" w:val="clear"/>
            <w:vAlign w:val="center"/>
          </w:tcPr>
          <w:p>
            <w:pPr>
              <w:pStyle w:val="TableContents"/>
              <w:spacing w:before="0" w:after="0"/>
              <w:ind w:left="0" w:right="0" w:hanging="0"/>
              <w:rPr/>
            </w:pPr>
            <w:r>
              <w:rPr/>
              <w:t> </w:t>
            </w:r>
          </w:p>
        </w:tc>
        <w:tc>
          <w:tcPr>
            <w:tcW w:w="2799" w:type="dxa"/>
            <w:tcBorders/>
            <w:shd w:fill="CCEEFF" w:val="clear"/>
            <w:vAlign w:val="center"/>
          </w:tcPr>
          <w:p>
            <w:pPr>
              <w:pStyle w:val="TableContents"/>
              <w:spacing w:before="0" w:after="283"/>
              <w:jc w:val="right"/>
              <w:rPr/>
            </w:pPr>
            <w:r>
              <w:rPr/>
              <w:t>843,316</w:t>
            </w:r>
          </w:p>
        </w:tc>
        <w:tc>
          <w:tcPr>
            <w:tcW w:w="304" w:type="dxa"/>
            <w:tcBorders/>
            <w:shd w:fill="CCEEFF" w:val="clear"/>
            <w:vAlign w:val="center"/>
          </w:tcPr>
          <w:p>
            <w:pPr>
              <w:pStyle w:val="TableContents"/>
              <w:spacing w:before="0" w:after="283"/>
              <w:rPr/>
            </w:pPr>
            <w:r>
              <w:rPr/>
              <w:t>(1)</w:t>
            </w:r>
          </w:p>
        </w:tc>
      </w:tr>
      <w:tr>
        <w:trPr/>
        <w:tc>
          <w:tcPr>
            <w:tcW w:w="1946"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24" w:type="dxa"/>
            <w:tcBorders/>
            <w:shd w:fill="FFFFFF" w:val="clear"/>
            <w:vAlign w:val="center"/>
          </w:tcPr>
          <w:p>
            <w:pPr>
              <w:pStyle w:val="TableContents"/>
              <w:spacing w:before="0" w:after="0"/>
              <w:ind w:left="0" w:right="0" w:hanging="0"/>
              <w:rPr/>
            </w:pPr>
            <w:r>
              <w:rPr/>
              <w:t> </w:t>
            </w:r>
          </w:p>
        </w:tc>
        <w:tc>
          <w:tcPr>
            <w:tcW w:w="2077"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558" w:type="dxa"/>
            <w:tcBorders/>
            <w:shd w:fill="FFFFFF" w:val="clear"/>
            <w:vAlign w:val="center"/>
          </w:tcPr>
          <w:p>
            <w:pPr>
              <w:pStyle w:val="TableContents"/>
              <w:spacing w:before="0" w:after="0"/>
              <w:ind w:left="0" w:right="0" w:hanging="0"/>
              <w:rPr/>
            </w:pPr>
            <w:r>
              <w:rPr/>
              <w:t> </w:t>
            </w:r>
          </w:p>
        </w:tc>
        <w:tc>
          <w:tcPr>
            <w:tcW w:w="15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302" w:type="dxa"/>
            <w:tcBorders/>
            <w:shd w:fill="FFFFFF" w:val="clear"/>
            <w:vAlign w:val="center"/>
          </w:tcPr>
          <w:p>
            <w:pPr>
              <w:pStyle w:val="TableContents"/>
              <w:spacing w:before="0" w:after="0"/>
              <w:ind w:left="0" w:right="0" w:hanging="0"/>
              <w:rPr/>
            </w:pPr>
            <w:r>
              <w:rPr/>
              <w:t> </w:t>
            </w:r>
          </w:p>
        </w:tc>
        <w:tc>
          <w:tcPr>
            <w:tcW w:w="2799" w:type="dxa"/>
            <w:tcBorders/>
            <w:shd w:fill="FFFFFF" w:val="clear"/>
            <w:vAlign w:val="center"/>
          </w:tcPr>
          <w:p>
            <w:pPr>
              <w:pStyle w:val="TableContents"/>
              <w:spacing w:before="0" w:after="0"/>
              <w:ind w:left="0" w:right="0" w:hanging="0"/>
              <w:rPr/>
            </w:pPr>
            <w:r>
              <w:rPr/>
              <w:t> </w:t>
            </w:r>
          </w:p>
        </w:tc>
        <w:tc>
          <w:tcPr>
            <w:tcW w:w="304" w:type="dxa"/>
            <w:tcBorders/>
            <w:shd w:fill="FFFFFF" w:val="clear"/>
            <w:vAlign w:val="center"/>
          </w:tcPr>
          <w:p>
            <w:pPr>
              <w:pStyle w:val="TableContents"/>
              <w:spacing w:before="0" w:after="0"/>
              <w:ind w:left="0" w:right="0" w:hanging="0"/>
              <w:rPr/>
            </w:pPr>
            <w:r>
              <w:rPr/>
              <w:t> </w:t>
            </w:r>
          </w:p>
        </w:tc>
      </w:tr>
      <w:tr>
        <w:trPr/>
        <w:tc>
          <w:tcPr>
            <w:tcW w:w="1946" w:type="dxa"/>
            <w:tcBorders/>
            <w:shd w:fill="CCEEFF" w:val="clear"/>
            <w:vAlign w:val="center"/>
          </w:tcPr>
          <w:p>
            <w:pPr>
              <w:pStyle w:val="TableContents"/>
              <w:spacing w:before="0" w:after="0"/>
              <w:ind w:left="0" w:right="0" w:hanging="0"/>
              <w:rPr/>
            </w:pPr>
            <w:r>
              <w:rPr/>
              <w:t>Equity compensation plans not approved by security holders</w:t>
            </w:r>
          </w:p>
        </w:tc>
        <w:tc>
          <w:tcPr>
            <w:tcW w:w="90" w:type="dxa"/>
            <w:tcBorders/>
            <w:shd w:fill="CCEEFF" w:val="clear"/>
            <w:vAlign w:val="center"/>
          </w:tcPr>
          <w:p>
            <w:pPr>
              <w:pStyle w:val="TableContents"/>
              <w:spacing w:before="0" w:after="0"/>
              <w:ind w:left="0" w:right="0" w:hanging="0"/>
              <w:rPr/>
            </w:pPr>
            <w:r>
              <w:rPr/>
              <w:t> </w:t>
            </w:r>
          </w:p>
        </w:tc>
        <w:tc>
          <w:tcPr>
            <w:tcW w:w="224" w:type="dxa"/>
            <w:tcBorders/>
            <w:shd w:fill="CCEEFF" w:val="clear"/>
            <w:vAlign w:val="center"/>
          </w:tcPr>
          <w:p>
            <w:pPr>
              <w:pStyle w:val="TableContents"/>
              <w:spacing w:before="0" w:after="0"/>
              <w:ind w:left="0" w:right="0" w:hanging="0"/>
              <w:rPr/>
            </w:pPr>
            <w:r>
              <w:rPr/>
              <w:t> </w:t>
            </w:r>
          </w:p>
        </w:tc>
        <w:tc>
          <w:tcPr>
            <w:tcW w:w="2077"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558" w:type="dxa"/>
            <w:tcBorders/>
            <w:shd w:fill="CCEEFF" w:val="clear"/>
            <w:vAlign w:val="center"/>
          </w:tcPr>
          <w:p>
            <w:pPr>
              <w:pStyle w:val="TableContents"/>
              <w:spacing w:before="0" w:after="0"/>
              <w:ind w:left="0" w:right="0" w:hanging="0"/>
              <w:rPr/>
            </w:pPr>
            <w:r>
              <w:rPr/>
              <w:t> </w:t>
            </w:r>
          </w:p>
        </w:tc>
        <w:tc>
          <w:tcPr>
            <w:tcW w:w="1545"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302" w:type="dxa"/>
            <w:tcBorders/>
            <w:shd w:fill="CCEEFF" w:val="clear"/>
            <w:vAlign w:val="center"/>
          </w:tcPr>
          <w:p>
            <w:pPr>
              <w:pStyle w:val="TableContents"/>
              <w:spacing w:before="0" w:after="0"/>
              <w:ind w:left="0" w:right="0" w:hanging="0"/>
              <w:rPr/>
            </w:pPr>
            <w:r>
              <w:rPr/>
              <w:t> </w:t>
            </w:r>
          </w:p>
        </w:tc>
        <w:tc>
          <w:tcPr>
            <w:tcW w:w="2799" w:type="dxa"/>
            <w:tcBorders/>
            <w:shd w:fill="CCEEFF" w:val="clear"/>
            <w:vAlign w:val="center"/>
          </w:tcPr>
          <w:p>
            <w:pPr>
              <w:pStyle w:val="TableContents"/>
              <w:spacing w:before="0" w:after="283"/>
              <w:jc w:val="right"/>
              <w:rPr/>
            </w:pPr>
            <w:r>
              <w:rPr/>
              <w:t>-</w:t>
            </w:r>
          </w:p>
        </w:tc>
        <w:tc>
          <w:tcPr>
            <w:tcW w:w="304" w:type="dxa"/>
            <w:tcBorders/>
            <w:shd w:fill="CCEEFF" w:val="clear"/>
            <w:vAlign w:val="center"/>
          </w:tcPr>
          <w:p>
            <w:pPr>
              <w:pStyle w:val="TableContents"/>
              <w:spacing w:before="0" w:after="0"/>
              <w:ind w:left="0" w:right="0" w:hanging="0"/>
              <w:rPr/>
            </w:pPr>
            <w:r>
              <w:rPr/>
              <w:t> </w:t>
            </w:r>
          </w:p>
        </w:tc>
      </w:tr>
      <w:tr>
        <w:trPr/>
        <w:tc>
          <w:tcPr>
            <w:tcW w:w="1946"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24" w:type="dxa"/>
            <w:tcBorders/>
            <w:shd w:fill="FFFFFF" w:val="clear"/>
            <w:vAlign w:val="center"/>
          </w:tcPr>
          <w:p>
            <w:pPr>
              <w:pStyle w:val="TableContents"/>
              <w:spacing w:before="0" w:after="0"/>
              <w:ind w:left="0" w:right="0" w:hanging="0"/>
              <w:rPr/>
            </w:pPr>
            <w:r>
              <w:rPr/>
              <w:t> </w:t>
            </w:r>
          </w:p>
        </w:tc>
        <w:tc>
          <w:tcPr>
            <w:tcW w:w="2077"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558" w:type="dxa"/>
            <w:tcBorders/>
            <w:shd w:fill="FFFFFF" w:val="clear"/>
            <w:vAlign w:val="center"/>
          </w:tcPr>
          <w:p>
            <w:pPr>
              <w:pStyle w:val="TableContents"/>
              <w:spacing w:before="0" w:after="0"/>
              <w:ind w:left="0" w:right="0" w:hanging="0"/>
              <w:rPr/>
            </w:pPr>
            <w:r>
              <w:rPr/>
              <w:t> </w:t>
            </w:r>
          </w:p>
        </w:tc>
        <w:tc>
          <w:tcPr>
            <w:tcW w:w="15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302" w:type="dxa"/>
            <w:tcBorders/>
            <w:shd w:fill="FFFFFF" w:val="clear"/>
            <w:vAlign w:val="center"/>
          </w:tcPr>
          <w:p>
            <w:pPr>
              <w:pStyle w:val="TableContents"/>
              <w:spacing w:before="0" w:after="0"/>
              <w:ind w:left="0" w:right="0" w:hanging="0"/>
              <w:rPr/>
            </w:pPr>
            <w:r>
              <w:rPr/>
              <w:t> </w:t>
            </w:r>
          </w:p>
        </w:tc>
        <w:tc>
          <w:tcPr>
            <w:tcW w:w="2799" w:type="dxa"/>
            <w:tcBorders/>
            <w:shd w:fill="FFFFFF" w:val="clear"/>
            <w:vAlign w:val="center"/>
          </w:tcPr>
          <w:p>
            <w:pPr>
              <w:pStyle w:val="TableContents"/>
              <w:spacing w:before="0" w:after="0"/>
              <w:ind w:left="0" w:right="0" w:hanging="0"/>
              <w:rPr/>
            </w:pPr>
            <w:r>
              <w:rPr/>
              <w:t> </w:t>
            </w:r>
          </w:p>
        </w:tc>
        <w:tc>
          <w:tcPr>
            <w:tcW w:w="304" w:type="dxa"/>
            <w:tcBorders/>
            <w:shd w:fill="FFFFFF" w:val="clear"/>
            <w:vAlign w:val="center"/>
          </w:tcPr>
          <w:p>
            <w:pPr>
              <w:pStyle w:val="TableContents"/>
              <w:spacing w:before="0" w:after="0"/>
              <w:ind w:left="0" w:right="0" w:hanging="0"/>
              <w:rPr/>
            </w:pPr>
            <w:r>
              <w:rPr/>
              <w:t> </w:t>
            </w:r>
          </w:p>
        </w:tc>
      </w:tr>
      <w:tr>
        <w:trPr/>
        <w:tc>
          <w:tcPr>
            <w:tcW w:w="1946" w:type="dxa"/>
            <w:tcBorders/>
            <w:shd w:fill="CCEEFF" w:val="clear"/>
            <w:vAlign w:val="center"/>
          </w:tcPr>
          <w:p>
            <w:pPr>
              <w:pStyle w:val="TableContents"/>
              <w:spacing w:before="0" w:after="0"/>
              <w:ind w:left="0" w:right="0" w:hanging="0"/>
              <w:rPr/>
            </w:pPr>
            <w:r>
              <w:rPr/>
              <w:t>Total</w:t>
            </w:r>
          </w:p>
        </w:tc>
        <w:tc>
          <w:tcPr>
            <w:tcW w:w="90" w:type="dxa"/>
            <w:tcBorders/>
            <w:shd w:fill="CCEEFF" w:val="clear"/>
            <w:vAlign w:val="center"/>
          </w:tcPr>
          <w:p>
            <w:pPr>
              <w:pStyle w:val="TableContents"/>
              <w:spacing w:before="0" w:after="0"/>
              <w:ind w:left="0" w:right="0" w:hanging="0"/>
              <w:rPr/>
            </w:pPr>
            <w:r>
              <w:rPr/>
              <w:t> </w:t>
            </w:r>
          </w:p>
        </w:tc>
        <w:tc>
          <w:tcPr>
            <w:tcW w:w="224" w:type="dxa"/>
            <w:tcBorders/>
            <w:shd w:fill="CCEEFF" w:val="clear"/>
            <w:vAlign w:val="center"/>
          </w:tcPr>
          <w:p>
            <w:pPr>
              <w:pStyle w:val="TableContents"/>
              <w:spacing w:before="0" w:after="0"/>
              <w:ind w:left="0" w:right="0" w:hanging="0"/>
              <w:rPr/>
            </w:pPr>
            <w:r>
              <w:rPr/>
              <w:t> </w:t>
            </w:r>
          </w:p>
        </w:tc>
        <w:tc>
          <w:tcPr>
            <w:tcW w:w="2077" w:type="dxa"/>
            <w:tcBorders/>
            <w:shd w:fill="CCEEFF" w:val="clear"/>
            <w:vAlign w:val="center"/>
          </w:tcPr>
          <w:p>
            <w:pPr>
              <w:pStyle w:val="TableContents"/>
              <w:spacing w:before="0" w:after="283"/>
              <w:jc w:val="right"/>
              <w:rPr/>
            </w:pPr>
            <w:r>
              <w:rPr/>
              <w:t>119,966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558" w:type="dxa"/>
            <w:tcBorders/>
            <w:shd w:fill="CCEEFF" w:val="clear"/>
            <w:vAlign w:val="center"/>
          </w:tcPr>
          <w:p>
            <w:pPr>
              <w:pStyle w:val="TableContents"/>
              <w:spacing w:before="0" w:after="283"/>
              <w:rPr/>
            </w:pPr>
            <w:r>
              <w:rPr/>
              <w:t>$</w:t>
            </w:r>
          </w:p>
        </w:tc>
        <w:tc>
          <w:tcPr>
            <w:tcW w:w="1545" w:type="dxa"/>
            <w:tcBorders/>
            <w:shd w:fill="CCEEFF" w:val="clear"/>
            <w:vAlign w:val="center"/>
          </w:tcPr>
          <w:p>
            <w:pPr>
              <w:pStyle w:val="TableContents"/>
              <w:spacing w:before="0" w:after="283"/>
              <w:jc w:val="right"/>
              <w:rPr/>
            </w:pPr>
            <w:r>
              <w:rPr/>
              <w:t>8.26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302" w:type="dxa"/>
            <w:tcBorders/>
            <w:shd w:fill="CCEEFF" w:val="clear"/>
            <w:vAlign w:val="center"/>
          </w:tcPr>
          <w:p>
            <w:pPr>
              <w:pStyle w:val="TableContents"/>
              <w:spacing w:before="0" w:after="0"/>
              <w:ind w:left="0" w:right="0" w:hanging="0"/>
              <w:rPr/>
            </w:pPr>
            <w:r>
              <w:rPr/>
              <w:t> </w:t>
            </w:r>
          </w:p>
        </w:tc>
        <w:tc>
          <w:tcPr>
            <w:tcW w:w="2799" w:type="dxa"/>
            <w:tcBorders/>
            <w:shd w:fill="CCEEFF" w:val="clear"/>
            <w:vAlign w:val="center"/>
          </w:tcPr>
          <w:p>
            <w:pPr>
              <w:pStyle w:val="TableContents"/>
              <w:spacing w:before="0" w:after="283"/>
              <w:jc w:val="right"/>
              <w:rPr/>
            </w:pPr>
            <w:r>
              <w:rPr/>
              <w:t>843,316</w:t>
            </w:r>
          </w:p>
        </w:tc>
        <w:tc>
          <w:tcPr>
            <w:tcW w:w="304"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tbl>
      <w:tblPr>
        <w:tblW w:w="8980" w:type="dxa"/>
        <w:jc w:val="left"/>
        <w:tblInd w:w="0" w:type="dxa"/>
        <w:tblCellMar>
          <w:top w:w="0" w:type="dxa"/>
          <w:left w:w="0" w:type="dxa"/>
          <w:bottom w:w="0" w:type="dxa"/>
          <w:right w:w="0" w:type="dxa"/>
        </w:tblCellMar>
      </w:tblPr>
      <w:tblGrid>
        <w:gridCol w:w="395"/>
        <w:gridCol w:w="8585"/>
      </w:tblGrid>
      <w:tr>
        <w:trPr/>
        <w:tc>
          <w:tcPr>
            <w:tcW w:w="395" w:type="dxa"/>
            <w:tcBorders/>
            <w:shd w:fill="auto" w:val="clear"/>
            <w:vAlign w:val="center"/>
          </w:tcPr>
          <w:p>
            <w:pPr>
              <w:pStyle w:val="TableContents"/>
              <w:spacing w:before="0" w:after="0"/>
              <w:ind w:left="0" w:right="0" w:hanging="0"/>
              <w:rPr/>
            </w:pPr>
            <w:r>
              <w:rPr/>
              <w:t xml:space="preserve">(1) </w:t>
            </w:r>
          </w:p>
        </w:tc>
        <w:tc>
          <w:tcPr>
            <w:tcW w:w="8585" w:type="dxa"/>
            <w:tcBorders/>
            <w:shd w:fill="auto" w:val="clear"/>
            <w:vAlign w:val="center"/>
          </w:tcPr>
          <w:p>
            <w:pPr>
              <w:pStyle w:val="TableContents"/>
              <w:spacing w:before="0" w:after="283"/>
              <w:rPr/>
            </w:pPr>
            <w:r>
              <w:rPr/>
              <w:t>Includes 370,964 shares reserved for issuance pursuant to unvested restricted stock grants.</w:t>
            </w:r>
          </w:p>
        </w:tc>
      </w:tr>
    </w:tbl>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74</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both"/>
        <w:rPr/>
      </w:pPr>
      <w:bookmarkStart w:id="18" w:name="i13"/>
      <w:bookmarkEnd w:id="18"/>
      <w:r>
        <w:rPr>
          <w:rStyle w:val="StrongEmphasis"/>
          <w:rFonts w:ascii="times new roman" w:hAnsi="times new roman"/>
          <w:sz w:val="20"/>
          <w:u w:val="single"/>
        </w:rPr>
        <w:t>ITEM 13.</w:t>
      </w:r>
      <w:r>
        <w:rPr>
          <w:rFonts w:ascii="times new roman" w:hAnsi="times new roman"/>
          <w:sz w:val="20"/>
        </w:rPr>
        <w:t> </w:t>
      </w:r>
      <w:r>
        <w:rPr>
          <w:rStyle w:val="StrongEmphasis"/>
          <w:rFonts w:ascii="times new roman" w:hAnsi="times new roman"/>
          <w:sz w:val="20"/>
          <w:u w:val="single"/>
        </w:rPr>
        <w:t>CERTAIN RELATIONSHIPS AND RELATED TRANSACTIONS, AND DIRECTOR INDEPENDENCE</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Director Independence</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Board of Directors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Board of Directors is currently comprised of Barry B. Goldstein, Floyd R. Tupper, William L. Yankus, Carla A. D’Andre, Timothy P. McFadden and Meryl S. Golden. Our board of directors has determined that each of Messrs. Tupper, Yankus and McFadden and Ms. D’Andre are independent under applicable Nasdaq listing standards and federal securities rules and regulations.</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Audit Committee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members of our Board’s Audit Committee currently are Messrs. Tupper, Yankus and McFadden, each of whom is independent under applicable Nasdaq listing standards and federal securities rules and regulations on independence of Audit Committee members.</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Nominating and Corporate Governance Committee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members of our Board’s Nominating and Corporate Governance Committee currently are Messrs. McFadden and Tupper and Ms. D’Andre, each of whom is independent under applicable Nasdaq listing standards and federal securities rules and regulations on independence.</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Compensation Committee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members of our Board’s Compensation Committee currently are Messrs. Yankus and Tupper and Ms. D’Andre, each of whom is independent under applicable Nasdaq listing standards and federal securities rules and regulations on independence.</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Dale A. Thatcher</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In connection with the separation from employment of Dale Thatcher as our Chief Executive Officer and President in July 2019 (the “Thatcher Separation Date”), we entered into an Agreement and General Release (the “Thatcher Separation Agreement”) with Mr. Thatcher. Pursuant to the Thatcher Separation Agreement, we agreed to provide the following payments and benefits to Mr. Thatcher in full satisfaction of all payments and benefits and other amounts due to him under the terms of his employment agreement with us (and the related KICO employment agreement) upon his separation from employment: (i) $381,111 (representing the amount of base salary he would have received had he remained employed through March 31, 2020), (ii) $5,000 in full satisfaction of any bonus payments payable under his employment agreement (and related KICO employment agreement), (iii) continuing group health coverage commencing on the Thatcher Separation Date and ending on March 31, 2020; and (iv) continued vesting of all stock awards previously granted to Mr. Thatcher in his capacity as an executive officer but which were unvested as of the Thatcher Separation Date. Effective January 27, 2021, we entered into an agreement (the “Relinquishment Agreement”) with Mr. Thatcher. Pursuant to the Relinquishment Agreement, Mr. Thatcher relinquished his right to receive 14,077 unissued Shares which vested on January 1, 2021, the right to receive 11,905 Shares which were scheduled to vest on March 14, 2021 and the right to receive 14,076 Shares which were scheduled to vest on January 1, 2022 in full consideration of the payment by the Company of an aggregate of $280,406.</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75</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addition, we agreed to provide Mr. Thatcher with a severance payment of $20,000 in consideration for a release. Pursuant to the Thatcher Separation Agreement, Mr. Thatcher agreed that, for a period of three years following the Thatcher Separation Date, he shall not accept any operating executive role with another property and casualty insurance company.</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Victor Brodsky</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 xml:space="preserve">In connection with the cessation of employment of Victor Brodsky as our Chief Financial Officer effective September 30, 2020 (the “Brodsky Separation Date”), we entered into an </w:t>
      </w:r>
      <w:r>
        <w:rPr>
          <w:rFonts w:ascii="times new roman" w:hAnsi="times new roman"/>
          <w:sz w:val="20"/>
          <w:highlight w:val="white"/>
        </w:rPr>
        <w:t xml:space="preserve">Agreement and General Release (the “Brodsky Separation Agreement”) with Mr. Brodsky. Pursuant to the Brodsky Separation Agreement, we agreed to provide the following payments and benefits to Mr. Brodsky in full satisfaction of all payments and benefits and other amounts due to him upon his cessation of employment: (i) $155,969 (representing five months of base salary); (ii) continuing group health coverage commencing on October 1, 2020 and ending no later than February 28, 2021; and (iii) continued vesting of all granted but unvested stock and option awards as if Mr. Brodsky had remained in our employ. </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Benjamin Walden</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 xml:space="preserve">In connection with the cessation of employment of Benjamin Walden as Executive Vice President and Chief of Actuary of KICO effective September 30, 2020 (the “Walden Separation Date”), we entered into an </w:t>
      </w:r>
      <w:r>
        <w:rPr>
          <w:rFonts w:ascii="times new roman" w:hAnsi="times new roman"/>
          <w:sz w:val="20"/>
          <w:highlight w:val="white"/>
        </w:rPr>
        <w:t>Agreement and General Release (the “Walden Separation Agreement”) with Mr. Walden. Pursuant to the Walden Separation Agreement, we agreed to provide the following payments and benefits to Mr. Walden in full satisfaction of all payments and benefits and other amounts due to him upon his cessation of employment: (i) an amount equal to the base salary he would have received had he remained employed through November 30, 2020 (with an extension thereof to December 31, 2020 under certain circumstances); (ii) continuing group health coverage commencing on the Walden Separation Date and ending no later than December 31, 2020; and (iii) the grant to Mr. Walden of an option to purchase 19,207 shares of common stock, which option vests two years from the date of grant.</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Other</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daughter of Barry Goldstein, Amanda Goldstein, is employed as our Investor Relations Director and serves as Vice President of Cosi Agency, Inc., one of our subsidiaries. For the fiscal year ended December 31, 2020, she earned $172,191 in compensation.</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76</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Related Party Transactions</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 xml:space="preserve">Due to the infrequency of related party transactions, we have not formally adopted procedures for the review of, or standards for approval of, such transactions; however, our Board of Directors (or a designated committee thereof) will review related party transactions on a case-by-case basis. </w:t>
      </w:r>
    </w:p>
    <w:p>
      <w:pPr>
        <w:pStyle w:val="TextBody"/>
        <w:spacing w:before="0" w:after="0"/>
        <w:ind w:left="0" w:right="0" w:hanging="0"/>
        <w:jc w:val="both"/>
        <w:rPr/>
      </w:pPr>
      <w:r>
        <w:rPr/>
        <w:t>  </w:t>
      </w:r>
    </w:p>
    <w:p>
      <w:pPr>
        <w:pStyle w:val="TextBody"/>
        <w:spacing w:before="0" w:after="0"/>
        <w:ind w:left="0" w:right="0" w:hanging="0"/>
        <w:jc w:val="both"/>
        <w:rPr/>
      </w:pPr>
      <w:bookmarkStart w:id="19" w:name="i14"/>
      <w:bookmarkEnd w:id="19"/>
      <w:r>
        <w:rPr>
          <w:rStyle w:val="StrongEmphasis"/>
          <w:rFonts w:ascii="times new roman" w:hAnsi="times new roman"/>
          <w:sz w:val="20"/>
          <w:u w:val="single"/>
        </w:rPr>
        <w:t>ITEM 14.</w:t>
      </w:r>
      <w:r>
        <w:rPr>
          <w:rFonts w:ascii="times new roman" w:hAnsi="times new roman"/>
          <w:sz w:val="20"/>
        </w:rPr>
        <w:t> </w:t>
      </w:r>
      <w:r>
        <w:rPr>
          <w:rStyle w:val="StrongEmphasis"/>
          <w:rFonts w:ascii="times new roman" w:hAnsi="times new roman"/>
          <w:sz w:val="20"/>
          <w:u w:val="single"/>
        </w:rPr>
        <w:t>PRINCIPAL ACCOUNTANT FEES AND SERVICES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is a summary of the fees billed to us by Marcum LLP, our independent auditors, for professional services rendered for the fiscal years ended December 31, 2020 and 2019.</w:t>
      </w:r>
    </w:p>
    <w:p>
      <w:pPr>
        <w:pStyle w:val="TextBody"/>
        <w:spacing w:before="0" w:after="0"/>
        <w:ind w:left="0" w:right="0" w:hanging="0"/>
        <w:jc w:val="both"/>
        <w:rPr/>
      </w:pPr>
      <w:r>
        <w:rPr/>
        <w:t> </w:t>
      </w:r>
    </w:p>
    <w:tbl>
      <w:tblPr>
        <w:tblW w:w="4918" w:type="dxa"/>
        <w:jc w:val="left"/>
        <w:tblInd w:w="0" w:type="dxa"/>
        <w:tblCellMar>
          <w:top w:w="0" w:type="dxa"/>
          <w:left w:w="0" w:type="dxa"/>
          <w:bottom w:w="28" w:type="dxa"/>
          <w:right w:w="0" w:type="dxa"/>
        </w:tblCellMar>
      </w:tblPr>
      <w:tblGrid>
        <w:gridCol w:w="2165"/>
        <w:gridCol w:w="90"/>
        <w:gridCol w:w="199"/>
        <w:gridCol w:w="975"/>
        <w:gridCol w:w="90"/>
        <w:gridCol w:w="90"/>
        <w:gridCol w:w="199"/>
        <w:gridCol w:w="975"/>
        <w:gridCol w:w="135"/>
      </w:tblGrid>
      <w:tr>
        <w:trPr/>
        <w:tc>
          <w:tcPr>
            <w:tcW w:w="2165" w:type="dxa"/>
            <w:tcBorders>
              <w:bottom w:val="single" w:sz="2" w:space="0" w:color="000000"/>
            </w:tcBorders>
            <w:shd w:fill="auto" w:val="clear"/>
            <w:vAlign w:val="center"/>
          </w:tcPr>
          <w:p>
            <w:pPr>
              <w:pStyle w:val="TableContents"/>
              <w:spacing w:before="0" w:after="0"/>
              <w:ind w:left="0" w:right="0" w:hanging="0"/>
              <w:jc w:val="center"/>
              <w:rPr/>
            </w:pPr>
            <w:r>
              <w:rPr>
                <w:rStyle w:val="StrongEmphasis"/>
              </w:rPr>
              <w:t>Fee Category</w:t>
            </w:r>
          </w:p>
        </w:tc>
        <w:tc>
          <w:tcPr>
            <w:tcW w:w="90" w:type="dxa"/>
            <w:tcBorders/>
            <w:shd w:fill="auto" w:val="clear"/>
            <w:tcMar>
              <w:bottom w:w="0" w:type="dxa"/>
            </w:tcMar>
            <w:vAlign w:val="center"/>
          </w:tcPr>
          <w:p>
            <w:pPr>
              <w:pStyle w:val="TableContents"/>
              <w:spacing w:before="0" w:after="0"/>
              <w:ind w:left="0" w:right="0" w:hanging="0"/>
              <w:rPr/>
            </w:pPr>
            <w:r>
              <w:rPr>
                <w:rStyle w:val="StrongEmphasis"/>
              </w:rPr>
              <w:t> </w:t>
            </w:r>
          </w:p>
        </w:tc>
        <w:tc>
          <w:tcPr>
            <w:tcW w:w="1174"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Pr>
              <w:t>Fiscal 2020</w:t>
            </w:r>
          </w:p>
          <w:p>
            <w:pPr>
              <w:pStyle w:val="TableContents"/>
              <w:spacing w:before="0" w:after="0"/>
              <w:ind w:left="0" w:right="0" w:hanging="0"/>
              <w:jc w:val="center"/>
              <w:rPr/>
            </w:pPr>
            <w:r>
              <w:rPr>
                <w:rStyle w:val="StrongEmphasis"/>
              </w:rPr>
              <w:t>Fees</w:t>
            </w:r>
          </w:p>
        </w:tc>
        <w:tc>
          <w:tcPr>
            <w:tcW w:w="90" w:type="dxa"/>
            <w:tcBorders/>
            <w:shd w:fill="auto" w:val="clear"/>
            <w:tcMar>
              <w:bottom w:w="0" w:type="dxa"/>
            </w:tcMar>
            <w:vAlign w:val="center"/>
          </w:tcPr>
          <w:p>
            <w:pPr>
              <w:pStyle w:val="TableContents"/>
              <w:spacing w:before="0" w:after="0"/>
              <w:ind w:left="0" w:right="0" w:hanging="0"/>
              <w:rPr/>
            </w:pPr>
            <w:r>
              <w:rPr>
                <w:rStyle w:val="StrongEmphasis"/>
              </w:rPr>
              <w:t> </w:t>
            </w:r>
          </w:p>
        </w:tc>
        <w:tc>
          <w:tcPr>
            <w:tcW w:w="90" w:type="dxa"/>
            <w:tcBorders/>
            <w:shd w:fill="auto" w:val="clear"/>
            <w:tcMar>
              <w:bottom w:w="0" w:type="dxa"/>
            </w:tcMar>
            <w:vAlign w:val="center"/>
          </w:tcPr>
          <w:p>
            <w:pPr>
              <w:pStyle w:val="TableContents"/>
              <w:spacing w:before="0" w:after="0"/>
              <w:ind w:left="0" w:right="0" w:hanging="0"/>
              <w:rPr/>
            </w:pPr>
            <w:r>
              <w:rPr>
                <w:rStyle w:val="StrongEmphasis"/>
              </w:rPr>
              <w:t> </w:t>
            </w:r>
          </w:p>
        </w:tc>
        <w:tc>
          <w:tcPr>
            <w:tcW w:w="1174"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Pr>
              <w:t>Fiscal 2019</w:t>
            </w:r>
          </w:p>
          <w:p>
            <w:pPr>
              <w:pStyle w:val="TableContents"/>
              <w:spacing w:before="0" w:after="0"/>
              <w:ind w:left="0" w:right="0" w:hanging="0"/>
              <w:jc w:val="center"/>
              <w:rPr/>
            </w:pPr>
            <w:r>
              <w:rPr>
                <w:rStyle w:val="StrongEmphasis"/>
              </w:rPr>
              <w:t>Fees</w:t>
            </w:r>
          </w:p>
        </w:tc>
        <w:tc>
          <w:tcPr>
            <w:tcW w:w="135" w:type="dxa"/>
            <w:tcBorders/>
            <w:shd w:fill="auto" w:val="clear"/>
            <w:tcMar>
              <w:bottom w:w="0" w:type="dxa"/>
            </w:tcMar>
            <w:vAlign w:val="center"/>
          </w:tcPr>
          <w:p>
            <w:pPr>
              <w:pStyle w:val="TableContents"/>
              <w:spacing w:before="0" w:after="0"/>
              <w:ind w:left="0" w:right="0" w:hanging="0"/>
              <w:rPr/>
            </w:pPr>
            <w:r>
              <w:rPr/>
              <w:t> </w:t>
            </w:r>
          </w:p>
        </w:tc>
      </w:tr>
      <w:tr>
        <w:trPr/>
        <w:tc>
          <w:tcPr>
            <w:tcW w:w="2165" w:type="dxa"/>
            <w:tcBorders/>
            <w:shd w:fill="CCEEFF" w:val="clear"/>
            <w:tcMar>
              <w:bottom w:w="0" w:type="dxa"/>
            </w:tcMar>
            <w:vAlign w:val="center"/>
          </w:tcPr>
          <w:p>
            <w:pPr>
              <w:pStyle w:val="TableContents"/>
              <w:spacing w:before="0" w:after="0"/>
              <w:ind w:left="0" w:right="0" w:hanging="0"/>
              <w:rPr/>
            </w:pPr>
            <w:r>
              <w:rPr/>
              <w:t>Audit Fees(1)</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99" w:type="dxa"/>
            <w:tcBorders/>
            <w:shd w:fill="CCEEFF" w:val="clear"/>
            <w:tcMar>
              <w:bottom w:w="0" w:type="dxa"/>
            </w:tcMar>
            <w:vAlign w:val="center"/>
          </w:tcPr>
          <w:p>
            <w:pPr>
              <w:pStyle w:val="TableContents"/>
              <w:spacing w:before="0" w:after="283"/>
              <w:rPr/>
            </w:pPr>
            <w:r>
              <w:rPr/>
              <w:t>$</w:t>
            </w:r>
          </w:p>
        </w:tc>
        <w:tc>
          <w:tcPr>
            <w:tcW w:w="975" w:type="dxa"/>
            <w:tcBorders/>
            <w:shd w:fill="CCEEFF" w:val="clear"/>
            <w:tcMar>
              <w:bottom w:w="0" w:type="dxa"/>
            </w:tcMar>
            <w:vAlign w:val="center"/>
          </w:tcPr>
          <w:p>
            <w:pPr>
              <w:pStyle w:val="TableContents"/>
              <w:spacing w:before="0" w:after="283"/>
              <w:jc w:val="right"/>
              <w:rPr/>
            </w:pPr>
            <w:r>
              <w:rPr/>
              <w:t>241,535</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99" w:type="dxa"/>
            <w:tcBorders/>
            <w:shd w:fill="CCEEFF" w:val="clear"/>
            <w:tcMar>
              <w:bottom w:w="0" w:type="dxa"/>
            </w:tcMar>
            <w:vAlign w:val="center"/>
          </w:tcPr>
          <w:p>
            <w:pPr>
              <w:pStyle w:val="TableContents"/>
              <w:spacing w:before="0" w:after="283"/>
              <w:rPr/>
            </w:pPr>
            <w:r>
              <w:rPr/>
              <w:t>$</w:t>
            </w:r>
          </w:p>
        </w:tc>
        <w:tc>
          <w:tcPr>
            <w:tcW w:w="975" w:type="dxa"/>
            <w:tcBorders/>
            <w:shd w:fill="CCEEFF" w:val="clear"/>
            <w:tcMar>
              <w:bottom w:w="0" w:type="dxa"/>
            </w:tcMar>
            <w:vAlign w:val="center"/>
          </w:tcPr>
          <w:p>
            <w:pPr>
              <w:pStyle w:val="TableContents"/>
              <w:spacing w:before="0" w:after="283"/>
              <w:jc w:val="right"/>
              <w:rPr/>
            </w:pPr>
            <w:r>
              <w:rPr/>
              <w:t>306,940</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2165" w:type="dxa"/>
            <w:tcBorders/>
            <w:shd w:fill="FFFFFF" w:val="clear"/>
            <w:tcMar>
              <w:bottom w:w="0" w:type="dxa"/>
            </w:tcMar>
            <w:vAlign w:val="center"/>
          </w:tcPr>
          <w:p>
            <w:pPr>
              <w:pStyle w:val="TableContents"/>
              <w:spacing w:before="0" w:after="0"/>
              <w:ind w:left="0" w:right="0" w:hanging="0"/>
              <w:rPr/>
            </w:pPr>
            <w:r>
              <w:rPr/>
              <w:t>Tax Fees(2)</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99" w:type="dxa"/>
            <w:tcBorders/>
            <w:shd w:fill="FFFFFF" w:val="clear"/>
            <w:tcMar>
              <w:bottom w:w="0" w:type="dxa"/>
            </w:tcMar>
            <w:vAlign w:val="center"/>
          </w:tcPr>
          <w:p>
            <w:pPr>
              <w:pStyle w:val="TableContents"/>
              <w:spacing w:before="0" w:after="283"/>
              <w:rPr/>
            </w:pPr>
            <w:r>
              <w:rPr/>
              <w:t>$</w:t>
            </w:r>
          </w:p>
        </w:tc>
        <w:tc>
          <w:tcPr>
            <w:tcW w:w="975" w:type="dxa"/>
            <w:tcBorders/>
            <w:shd w:fill="FFFFFF" w:val="clear"/>
            <w:tcMar>
              <w:bottom w:w="0" w:type="dxa"/>
            </w:tcMar>
            <w:vAlign w:val="center"/>
          </w:tcPr>
          <w:p>
            <w:pPr>
              <w:pStyle w:val="TableContents"/>
              <w:spacing w:before="0" w:after="283"/>
              <w:jc w:val="right"/>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99" w:type="dxa"/>
            <w:tcBorders/>
            <w:shd w:fill="FFFFFF" w:val="clear"/>
            <w:tcMar>
              <w:bottom w:w="0" w:type="dxa"/>
            </w:tcMar>
            <w:vAlign w:val="center"/>
          </w:tcPr>
          <w:p>
            <w:pPr>
              <w:pStyle w:val="TableContents"/>
              <w:spacing w:before="0" w:after="283"/>
              <w:rPr/>
            </w:pPr>
            <w:r>
              <w:rPr/>
              <w:t>$</w:t>
            </w:r>
          </w:p>
        </w:tc>
        <w:tc>
          <w:tcPr>
            <w:tcW w:w="975" w:type="dxa"/>
            <w:tcBorders/>
            <w:shd w:fill="FFFFFF" w:val="clear"/>
            <w:tcMar>
              <w:bottom w:w="0" w:type="dxa"/>
            </w:tcMar>
            <w:vAlign w:val="center"/>
          </w:tcPr>
          <w:p>
            <w:pPr>
              <w:pStyle w:val="TableContents"/>
              <w:spacing w:before="0" w:after="283"/>
              <w:jc w:val="right"/>
              <w:rPr/>
            </w:pPr>
            <w:r>
              <w:rPr/>
              <w:t>-</w:t>
            </w:r>
          </w:p>
        </w:tc>
        <w:tc>
          <w:tcPr>
            <w:tcW w:w="135" w:type="dxa"/>
            <w:tcBorders/>
            <w:shd w:fill="FFFFFF" w:val="clear"/>
            <w:tcMar>
              <w:bottom w:w="0" w:type="dxa"/>
            </w:tcMar>
            <w:vAlign w:val="center"/>
          </w:tcPr>
          <w:p>
            <w:pPr>
              <w:pStyle w:val="TableContents"/>
              <w:spacing w:before="0" w:after="0"/>
              <w:ind w:left="0" w:right="0" w:hanging="0"/>
              <w:rPr/>
            </w:pPr>
            <w:r>
              <w:rPr/>
              <w:t> </w:t>
            </w:r>
          </w:p>
        </w:tc>
      </w:tr>
      <w:tr>
        <w:trPr/>
        <w:tc>
          <w:tcPr>
            <w:tcW w:w="2165" w:type="dxa"/>
            <w:tcBorders/>
            <w:shd w:fill="CCEEFF" w:val="clear"/>
            <w:tcMar>
              <w:bottom w:w="0" w:type="dxa"/>
            </w:tcMar>
            <w:vAlign w:val="center"/>
          </w:tcPr>
          <w:p>
            <w:pPr>
              <w:pStyle w:val="TableContents"/>
              <w:spacing w:before="0" w:after="0"/>
              <w:ind w:left="0" w:right="0" w:hanging="0"/>
              <w:rPr/>
            </w:pPr>
            <w:r>
              <w:rPr/>
              <w:t>Audit-Related Fees(3)</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99" w:type="dxa"/>
            <w:tcBorders/>
            <w:shd w:fill="CCEEFF" w:val="clear"/>
            <w:tcMar>
              <w:bottom w:w="0" w:type="dxa"/>
            </w:tcMar>
            <w:vAlign w:val="center"/>
          </w:tcPr>
          <w:p>
            <w:pPr>
              <w:pStyle w:val="TableContents"/>
              <w:spacing w:before="0" w:after="283"/>
              <w:rPr/>
            </w:pPr>
            <w:r>
              <w:rPr/>
              <w:t>$</w:t>
            </w:r>
          </w:p>
        </w:tc>
        <w:tc>
          <w:tcPr>
            <w:tcW w:w="975" w:type="dxa"/>
            <w:tcBorders/>
            <w:shd w:fill="CCEEFF" w:val="clear"/>
            <w:tcMar>
              <w:bottom w:w="0" w:type="dxa"/>
            </w:tcMar>
            <w:vAlign w:val="center"/>
          </w:tcPr>
          <w:p>
            <w:pPr>
              <w:pStyle w:val="TableContents"/>
              <w:spacing w:before="0" w:after="283"/>
              <w:jc w:val="right"/>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99" w:type="dxa"/>
            <w:tcBorders/>
            <w:shd w:fill="CCEEFF" w:val="clear"/>
            <w:tcMar>
              <w:bottom w:w="0" w:type="dxa"/>
            </w:tcMar>
            <w:vAlign w:val="center"/>
          </w:tcPr>
          <w:p>
            <w:pPr>
              <w:pStyle w:val="TableContents"/>
              <w:spacing w:before="0" w:after="283"/>
              <w:rPr/>
            </w:pPr>
            <w:r>
              <w:rPr/>
              <w:t>$</w:t>
            </w:r>
          </w:p>
        </w:tc>
        <w:tc>
          <w:tcPr>
            <w:tcW w:w="975" w:type="dxa"/>
            <w:tcBorders/>
            <w:shd w:fill="CCEEFF" w:val="clear"/>
            <w:tcMar>
              <w:bottom w:w="0" w:type="dxa"/>
            </w:tcMar>
            <w:vAlign w:val="center"/>
          </w:tcPr>
          <w:p>
            <w:pPr>
              <w:pStyle w:val="TableContents"/>
              <w:spacing w:before="0" w:after="283"/>
              <w:jc w:val="right"/>
              <w:rPr/>
            </w:pPr>
            <w:r>
              <w:rPr/>
              <w:t>-</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2165" w:type="dxa"/>
            <w:tcBorders/>
            <w:shd w:fill="FFFFFF" w:val="clear"/>
            <w:tcMar>
              <w:bottom w:w="0" w:type="dxa"/>
            </w:tcMar>
            <w:vAlign w:val="center"/>
          </w:tcPr>
          <w:p>
            <w:pPr>
              <w:pStyle w:val="TableContents"/>
              <w:spacing w:before="0" w:after="0"/>
              <w:ind w:left="0" w:right="0" w:hanging="0"/>
              <w:rPr/>
            </w:pPr>
            <w:r>
              <w:rPr/>
              <w:t>All Other Fees(4)</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99" w:type="dxa"/>
            <w:tcBorders/>
            <w:shd w:fill="FFFFFF" w:val="clear"/>
            <w:tcMar>
              <w:bottom w:w="0" w:type="dxa"/>
            </w:tcMar>
            <w:vAlign w:val="center"/>
          </w:tcPr>
          <w:p>
            <w:pPr>
              <w:pStyle w:val="TableContents"/>
              <w:spacing w:before="0" w:after="283"/>
              <w:rPr/>
            </w:pPr>
            <w:r>
              <w:rPr/>
              <w:t>$</w:t>
            </w:r>
          </w:p>
        </w:tc>
        <w:tc>
          <w:tcPr>
            <w:tcW w:w="975" w:type="dxa"/>
            <w:tcBorders/>
            <w:shd w:fill="FFFFFF" w:val="clear"/>
            <w:tcMar>
              <w:bottom w:w="0" w:type="dxa"/>
            </w:tcMar>
            <w:vAlign w:val="center"/>
          </w:tcPr>
          <w:p>
            <w:pPr>
              <w:pStyle w:val="TableContents"/>
              <w:spacing w:before="0" w:after="283"/>
              <w:jc w:val="right"/>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174" w:type="dxa"/>
            <w:gridSpan w:val="2"/>
            <w:tcBorders/>
            <w:shd w:fill="FFFFFF" w:val="clear"/>
            <w:tcMar>
              <w:bottom w:w="0" w:type="dxa"/>
            </w:tcMar>
            <w:vAlign w:val="center"/>
          </w:tcPr>
          <w:p>
            <w:pPr>
              <w:pStyle w:val="TableContents"/>
              <w:spacing w:before="0" w:after="0"/>
              <w:ind w:left="0" w:right="0" w:hanging="0"/>
              <w:rPr/>
            </w:pPr>
            <w:r>
              <w:rPr/>
              <w:t>$</w:t>
            </w:r>
          </w:p>
        </w:tc>
        <w:tc>
          <w:tcPr>
            <w:tcW w:w="135" w:type="dxa"/>
            <w:tcBorders/>
            <w:shd w:fill="FFFFFF" w:val="clear"/>
            <w:tcMar>
              <w:bottom w:w="0" w:type="dxa"/>
            </w:tcMar>
            <w:vAlign w:val="center"/>
          </w:tcPr>
          <w:p>
            <w:pPr>
              <w:pStyle w:val="TableContents"/>
              <w:spacing w:before="0" w:after="0"/>
              <w:ind w:left="0" w:right="0" w:hanging="0"/>
              <w:rPr/>
            </w:pPr>
            <w:r>
              <w:rPr/>
              <w:t> </w:t>
            </w:r>
          </w:p>
        </w:tc>
      </w:tr>
      <w:tr>
        <w:trPr/>
        <w:tc>
          <w:tcPr>
            <w:tcW w:w="216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99" w:type="dxa"/>
            <w:tcBorders/>
            <w:shd w:fill="CCEEFF" w:val="clear"/>
            <w:tcMar>
              <w:bottom w:w="0" w:type="dxa"/>
            </w:tcMar>
            <w:vAlign w:val="center"/>
          </w:tcPr>
          <w:p>
            <w:pPr>
              <w:pStyle w:val="TableContents"/>
              <w:spacing w:before="0" w:after="283"/>
              <w:rPr/>
            </w:pPr>
            <w:r>
              <w:rPr/>
              <w:t>$</w:t>
            </w:r>
          </w:p>
        </w:tc>
        <w:tc>
          <w:tcPr>
            <w:tcW w:w="975" w:type="dxa"/>
            <w:tcBorders/>
            <w:shd w:fill="CCEEFF" w:val="clear"/>
            <w:tcMar>
              <w:bottom w:w="0" w:type="dxa"/>
            </w:tcMar>
            <w:vAlign w:val="center"/>
          </w:tcPr>
          <w:p>
            <w:pPr>
              <w:pStyle w:val="TableContents"/>
              <w:spacing w:before="0" w:after="283"/>
              <w:jc w:val="right"/>
              <w:rPr/>
            </w:pPr>
            <w:r>
              <w:rPr/>
              <w:t>241,535</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99" w:type="dxa"/>
            <w:tcBorders/>
            <w:shd w:fill="CCEEFF" w:val="clear"/>
            <w:tcMar>
              <w:bottom w:w="0" w:type="dxa"/>
            </w:tcMar>
            <w:vAlign w:val="center"/>
          </w:tcPr>
          <w:p>
            <w:pPr>
              <w:pStyle w:val="TableContents"/>
              <w:spacing w:before="0" w:after="283"/>
              <w:rPr/>
            </w:pPr>
            <w:r>
              <w:rPr/>
              <w:t>$</w:t>
            </w:r>
          </w:p>
        </w:tc>
        <w:tc>
          <w:tcPr>
            <w:tcW w:w="975" w:type="dxa"/>
            <w:tcBorders/>
            <w:shd w:fill="CCEEFF" w:val="clear"/>
            <w:tcMar>
              <w:bottom w:w="0" w:type="dxa"/>
            </w:tcMar>
            <w:vAlign w:val="center"/>
          </w:tcPr>
          <w:p>
            <w:pPr>
              <w:pStyle w:val="TableContents"/>
              <w:spacing w:before="0" w:after="283"/>
              <w:jc w:val="right"/>
              <w:rPr/>
            </w:pPr>
            <w:r>
              <w:rPr/>
              <w:t>306,940</w:t>
            </w:r>
          </w:p>
        </w:tc>
        <w:tc>
          <w:tcPr>
            <w:tcW w:w="135" w:type="dxa"/>
            <w:tcBorders/>
            <w:shd w:fill="CCEEFF" w:val="clear"/>
            <w:tcMar>
              <w:bottom w:w="0" w:type="dxa"/>
            </w:tcM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294"/>
        <w:gridCol w:w="9911"/>
      </w:tblGrid>
      <w:tr>
        <w:trPr/>
        <w:tc>
          <w:tcPr>
            <w:tcW w:w="294" w:type="dxa"/>
            <w:tcBorders/>
            <w:shd w:fill="auto" w:val="clear"/>
            <w:vAlign w:val="center"/>
          </w:tcPr>
          <w:p>
            <w:pPr>
              <w:pStyle w:val="TableContents"/>
              <w:spacing w:before="0" w:after="0"/>
              <w:ind w:left="0" w:right="0" w:hanging="0"/>
              <w:rPr/>
            </w:pPr>
            <w:r>
              <w:rPr/>
              <w:t xml:space="preserve">(1) </w:t>
            </w:r>
          </w:p>
        </w:tc>
        <w:tc>
          <w:tcPr>
            <w:tcW w:w="9911" w:type="dxa"/>
            <w:tcBorders/>
            <w:shd w:fill="auto" w:val="clear"/>
            <w:vAlign w:val="center"/>
          </w:tcPr>
          <w:p>
            <w:pPr>
              <w:pStyle w:val="TableContents"/>
              <w:spacing w:before="0" w:after="0"/>
              <w:ind w:left="0" w:right="0" w:hanging="0"/>
              <w:jc w:val="both"/>
              <w:rPr/>
            </w:pPr>
            <w:r>
              <w:rPr/>
              <w:t xml:space="preserve">Audit Fees consist of fees billed for services rendered for the audit of our consolidated financial statements and review of our condensed consolidated financial statements included in our Quarterly Reports on Form 10-Q, services rendered in connection with the filing of Form S-8, and services provided in connection with other statutory or regulatory filings. </w:t>
            </w:r>
          </w:p>
        </w:tc>
      </w:tr>
      <w:tr>
        <w:trPr/>
        <w:tc>
          <w:tcPr>
            <w:tcW w:w="294" w:type="dxa"/>
            <w:tcBorders/>
            <w:shd w:fill="auto" w:val="clear"/>
            <w:vAlign w:val="center"/>
          </w:tcPr>
          <w:p>
            <w:pPr>
              <w:pStyle w:val="TableContents"/>
              <w:spacing w:before="0" w:after="0"/>
              <w:ind w:left="0" w:right="0" w:hanging="0"/>
              <w:rPr/>
            </w:pPr>
            <w:r>
              <w:rPr/>
              <w:t xml:space="preserve">(2) </w:t>
            </w:r>
          </w:p>
        </w:tc>
        <w:tc>
          <w:tcPr>
            <w:tcW w:w="9911" w:type="dxa"/>
            <w:tcBorders/>
            <w:shd w:fill="auto" w:val="clear"/>
            <w:vAlign w:val="center"/>
          </w:tcPr>
          <w:p>
            <w:pPr>
              <w:pStyle w:val="TableContents"/>
              <w:spacing w:before="0" w:after="283"/>
              <w:rPr/>
            </w:pPr>
            <w:r>
              <w:rPr/>
              <w:t>Marcum did not provide any tax services during the fiscal year.</w:t>
            </w:r>
          </w:p>
        </w:tc>
      </w:tr>
      <w:tr>
        <w:trPr/>
        <w:tc>
          <w:tcPr>
            <w:tcW w:w="294" w:type="dxa"/>
            <w:tcBorders/>
            <w:shd w:fill="auto" w:val="clear"/>
            <w:vAlign w:val="center"/>
          </w:tcPr>
          <w:p>
            <w:pPr>
              <w:pStyle w:val="TableContents"/>
              <w:spacing w:before="0" w:after="0"/>
              <w:ind w:left="0" w:right="0" w:hanging="0"/>
              <w:rPr/>
            </w:pPr>
            <w:r>
              <w:rPr/>
              <w:t xml:space="preserve">(3) </w:t>
            </w:r>
          </w:p>
        </w:tc>
        <w:tc>
          <w:tcPr>
            <w:tcW w:w="9911" w:type="dxa"/>
            <w:tcBorders/>
            <w:shd w:fill="auto" w:val="clear"/>
            <w:vAlign w:val="center"/>
          </w:tcPr>
          <w:p>
            <w:pPr>
              <w:pStyle w:val="TableContents"/>
              <w:spacing w:before="0" w:after="283"/>
              <w:rPr/>
            </w:pPr>
            <w:r>
              <w:rPr/>
              <w:t>Marcum did not provide any “Audit-Related” services during the fiscal year.</w:t>
            </w:r>
          </w:p>
        </w:tc>
      </w:tr>
      <w:tr>
        <w:trPr/>
        <w:tc>
          <w:tcPr>
            <w:tcW w:w="294" w:type="dxa"/>
            <w:tcBorders/>
            <w:shd w:fill="auto" w:val="clear"/>
            <w:vAlign w:val="center"/>
          </w:tcPr>
          <w:p>
            <w:pPr>
              <w:pStyle w:val="TableContents"/>
              <w:spacing w:before="0" w:after="0"/>
              <w:ind w:left="0" w:right="0" w:hanging="0"/>
              <w:rPr/>
            </w:pPr>
            <w:r>
              <w:rPr/>
              <w:t xml:space="preserve">(4) </w:t>
            </w:r>
          </w:p>
        </w:tc>
        <w:tc>
          <w:tcPr>
            <w:tcW w:w="9911" w:type="dxa"/>
            <w:tcBorders/>
            <w:shd w:fill="auto" w:val="clear"/>
            <w:vAlign w:val="center"/>
          </w:tcPr>
          <w:p>
            <w:pPr>
              <w:pStyle w:val="TableContents"/>
              <w:spacing w:before="0" w:after="283"/>
              <w:rPr/>
            </w:pPr>
            <w:r>
              <w:rPr/>
              <w:t>Marcum did not provide any other services during the fiscal year.</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Audit Committee is responsible for the appointment, compensation and oversight of the work of the independent auditors and approves in advance any services to be performed by the independent auditors, whether audit-related or not. The Audit Committee reviews each proposed engagement to determine whether the provision of services is compatible with maintaining the independence of the independent auditors. Substantially all of the fees shown above were pre-approved by the Audit Committee.</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77</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u w:val="single"/>
        </w:rPr>
        <w:t>PART IV</w:t>
      </w:r>
    </w:p>
    <w:p>
      <w:pPr>
        <w:pStyle w:val="TextBody"/>
        <w:spacing w:before="0" w:after="0"/>
        <w:ind w:left="0" w:right="0" w:hanging="0"/>
        <w:jc w:val="both"/>
        <w:rPr/>
      </w:pPr>
      <w:r>
        <w:rPr/>
        <w:t> </w:t>
      </w:r>
    </w:p>
    <w:p>
      <w:pPr>
        <w:pStyle w:val="TextBody"/>
        <w:spacing w:before="0" w:after="0"/>
        <w:ind w:left="0" w:right="0" w:hanging="0"/>
        <w:jc w:val="both"/>
        <w:rPr/>
      </w:pPr>
      <w:bookmarkStart w:id="20" w:name="i15"/>
      <w:bookmarkEnd w:id="20"/>
      <w:r>
        <w:rPr>
          <w:rStyle w:val="StrongEmphasis"/>
          <w:rFonts w:ascii="times new roman" w:hAnsi="times new roman"/>
          <w:sz w:val="20"/>
          <w:u w:val="single"/>
        </w:rPr>
        <w:t>ITEM 15.</w:t>
      </w:r>
      <w:r>
        <w:rPr>
          <w:rStyle w:val="StrongEmphasis"/>
          <w:rFonts w:ascii="times new roman" w:hAnsi="times new roman"/>
          <w:sz w:val="20"/>
        </w:rPr>
        <w:t xml:space="preserve"> </w:t>
      </w:r>
      <w:r>
        <w:rPr>
          <w:rStyle w:val="StrongEmphasis"/>
          <w:rFonts w:ascii="times new roman" w:hAnsi="times new roman"/>
          <w:sz w:val="20"/>
          <w:u w:val="single"/>
        </w:rPr>
        <w:t>EXHIBITS AND FINANCIAL STATEMENT SCHEDULES</w:t>
      </w:r>
      <w:r>
        <w:rPr>
          <w:rFonts w:ascii="times new roman" w:hAnsi="times new roman"/>
          <w:sz w:val="20"/>
        </w:rPr>
        <w:t>.</w:t>
      </w:r>
    </w:p>
    <w:p>
      <w:pPr>
        <w:pStyle w:val="TextBody"/>
        <w:spacing w:before="0" w:after="0"/>
        <w:ind w:left="0" w:right="0" w:hanging="0"/>
        <w:jc w:val="both"/>
        <w:rPr/>
      </w:pPr>
      <w:r>
        <w:rPr/>
        <w:t> </w:t>
      </w:r>
    </w:p>
    <w:tbl>
      <w:tblPr>
        <w:tblW w:w="10205" w:type="dxa"/>
        <w:jc w:val="left"/>
        <w:tblInd w:w="0" w:type="dxa"/>
        <w:tblCellMar>
          <w:top w:w="0" w:type="dxa"/>
          <w:left w:w="0" w:type="dxa"/>
          <w:bottom w:w="28" w:type="dxa"/>
          <w:right w:w="0" w:type="dxa"/>
        </w:tblCellMar>
      </w:tblPr>
      <w:tblGrid>
        <w:gridCol w:w="937"/>
        <w:gridCol w:w="90"/>
        <w:gridCol w:w="9178"/>
      </w:tblGrid>
      <w:tr>
        <w:trPr/>
        <w:tc>
          <w:tcPr>
            <w:tcW w:w="937" w:type="dxa"/>
            <w:tcBorders>
              <w:bottom w:val="single" w:sz="2" w:space="0" w:color="000000"/>
            </w:tcBorders>
            <w:shd w:fill="auto" w:val="clear"/>
            <w:vAlign w:val="center"/>
          </w:tcPr>
          <w:p>
            <w:pPr>
              <w:pStyle w:val="TableContents"/>
              <w:spacing w:before="0" w:after="0"/>
              <w:ind w:left="0" w:right="0" w:hanging="0"/>
              <w:jc w:val="both"/>
              <w:rPr/>
            </w:pPr>
            <w:r>
              <w:rPr>
                <w:rStyle w:val="StrongEmphasis"/>
              </w:rPr>
              <w:t>Exhibit</w:t>
            </w:r>
          </w:p>
          <w:p>
            <w:pPr>
              <w:pStyle w:val="TableContents"/>
              <w:spacing w:before="0" w:after="0"/>
              <w:ind w:left="0" w:right="0" w:hanging="0"/>
              <w:jc w:val="both"/>
              <w:rPr/>
            </w:pPr>
            <w:r>
              <w:rPr>
                <w:rStyle w:val="StrongEmphasis"/>
              </w:rPr>
              <w:t>Number</w:t>
            </w:r>
          </w:p>
        </w:tc>
        <w:tc>
          <w:tcPr>
            <w:tcW w:w="90" w:type="dxa"/>
            <w:tcBorders/>
            <w:shd w:fill="auto" w:val="clear"/>
            <w:tcMar>
              <w:bottom w:w="0" w:type="dxa"/>
            </w:tcMar>
            <w:vAlign w:val="center"/>
          </w:tcPr>
          <w:p>
            <w:pPr>
              <w:pStyle w:val="TableContents"/>
              <w:spacing w:before="0" w:after="0"/>
              <w:ind w:left="0" w:right="0" w:hanging="0"/>
              <w:rPr/>
            </w:pPr>
            <w:r>
              <w:rPr>
                <w:rStyle w:val="StrongEmphasis"/>
              </w:rPr>
              <w:t> </w:t>
            </w:r>
          </w:p>
        </w:tc>
        <w:tc>
          <w:tcPr>
            <w:tcW w:w="9178" w:type="dxa"/>
            <w:tcBorders>
              <w:bottom w:val="single" w:sz="2" w:space="0" w:color="000000"/>
            </w:tcBorders>
            <w:shd w:fill="auto" w:val="clear"/>
            <w:vAlign w:val="center"/>
          </w:tcPr>
          <w:p>
            <w:pPr>
              <w:pStyle w:val="TableContents"/>
              <w:spacing w:before="0" w:after="0"/>
              <w:ind w:left="0" w:right="0" w:hanging="0"/>
              <w:jc w:val="both"/>
              <w:rPr/>
            </w:pPr>
            <w:r>
              <w:rPr>
                <w:rStyle w:val="StrongEmphasis"/>
              </w:rPr>
              <w:t> </w:t>
            </w:r>
          </w:p>
          <w:p>
            <w:pPr>
              <w:pStyle w:val="TableContents"/>
              <w:spacing w:before="0" w:after="0"/>
              <w:ind w:left="0" w:right="0" w:hanging="0"/>
              <w:jc w:val="both"/>
              <w:rPr/>
            </w:pPr>
            <w:r>
              <w:rPr>
                <w:rStyle w:val="StrongEmphasis"/>
              </w:rPr>
              <w:t>Description of Exhibit</w:t>
            </w:r>
          </w:p>
        </w:tc>
      </w:tr>
      <w:tr>
        <w:trPr/>
        <w:tc>
          <w:tcPr>
            <w:tcW w:w="937" w:type="dxa"/>
            <w:tcBorders/>
            <w:shd w:fill="auto" w:val="clear"/>
            <w:tcMar>
              <w:bottom w:w="0" w:type="dxa"/>
            </w:tcMar>
            <w:vAlign w:val="center"/>
          </w:tcPr>
          <w:p>
            <w:pPr>
              <w:pStyle w:val="TableContents"/>
              <w:spacing w:before="0" w:after="0"/>
              <w:ind w:left="0" w:right="0" w:hanging="0"/>
              <w:jc w:val="both"/>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9178" w:type="dxa"/>
            <w:tcBorders/>
            <w:shd w:fill="auto" w:val="clear"/>
            <w:tcMar>
              <w:bottom w:w="0" w:type="dxa"/>
            </w:tcMar>
            <w:vAlign w:val="center"/>
          </w:tcPr>
          <w:p>
            <w:pPr>
              <w:pStyle w:val="TableContents"/>
              <w:spacing w:before="0" w:after="0"/>
              <w:ind w:left="0" w:right="0" w:hanging="0"/>
              <w:jc w:val="both"/>
              <w:rPr/>
            </w:pPr>
            <w:r>
              <w:rPr/>
              <w:t> </w:t>
            </w:r>
          </w:p>
        </w:tc>
      </w:tr>
      <w:tr>
        <w:trPr/>
        <w:tc>
          <w:tcPr>
            <w:tcW w:w="937" w:type="dxa"/>
            <w:tcBorders/>
            <w:shd w:fill="CCEEFF" w:val="clear"/>
            <w:tcMar>
              <w:bottom w:w="0" w:type="dxa"/>
            </w:tcMar>
            <w:vAlign w:val="center"/>
          </w:tcPr>
          <w:p>
            <w:pPr>
              <w:pStyle w:val="TableContents"/>
              <w:spacing w:before="0" w:after="0"/>
              <w:ind w:left="0" w:right="0" w:hanging="0"/>
              <w:jc w:val="both"/>
              <w:rPr/>
            </w:pPr>
            <w:hyperlink r:id="rId3">
              <w:r>
                <w:rPr>
                  <w:rStyle w:val="InternetLink"/>
                </w:rPr>
                <w:t>3(a)</w:t>
              </w:r>
            </w:hyperlink>
          </w:p>
        </w:tc>
        <w:tc>
          <w:tcPr>
            <w:tcW w:w="90" w:type="dxa"/>
            <w:tcBorders/>
            <w:shd w:fill="CCEEFF" w:val="clear"/>
            <w:tcMar>
              <w:bottom w:w="0" w:type="dxa"/>
            </w:tcMar>
            <w:vAlign w:val="center"/>
          </w:tcPr>
          <w:p>
            <w:pPr>
              <w:pStyle w:val="TableContents"/>
              <w:spacing w:before="0" w:after="0"/>
              <w:ind w:left="0" w:right="0" w:hanging="0"/>
              <w:rPr/>
            </w:pPr>
            <w:r>
              <w:rPr/>
              <w:t> </w:t>
            </w:r>
          </w:p>
        </w:tc>
        <w:tc>
          <w:tcPr>
            <w:tcW w:w="9178" w:type="dxa"/>
            <w:tcBorders/>
            <w:shd w:fill="CCEEFF" w:val="clear"/>
            <w:tcMar>
              <w:bottom w:w="0" w:type="dxa"/>
            </w:tcMar>
            <w:vAlign w:val="center"/>
          </w:tcPr>
          <w:p>
            <w:pPr>
              <w:pStyle w:val="TableContents"/>
              <w:spacing w:before="0" w:after="0"/>
              <w:ind w:left="0" w:right="0" w:hanging="0"/>
              <w:jc w:val="both"/>
              <w:rPr/>
            </w:pPr>
            <w:hyperlink r:id="rId4">
              <w:r>
                <w:rPr>
                  <w:rStyle w:val="InternetLink"/>
                </w:rPr>
                <w:t>Restated Certificate of Incorporation, as amended (incorporated by reference to Exhibit 3(a) to the Company’s Quarterly Report on Form 10-Q for the period ended March 31, 2014 filed on May 15, 2014).</w:t>
              </w:r>
            </w:hyperlink>
          </w:p>
        </w:tc>
      </w:tr>
      <w:tr>
        <w:trPr/>
        <w:tc>
          <w:tcPr>
            <w:tcW w:w="937" w:type="dxa"/>
            <w:tcBorders/>
            <w:shd w:fill="FFFFFF" w:val="clear"/>
            <w:tcMar>
              <w:bottom w:w="0" w:type="dxa"/>
            </w:tcMar>
            <w:vAlign w:val="center"/>
          </w:tcPr>
          <w:p>
            <w:pPr>
              <w:pStyle w:val="TableContents"/>
              <w:spacing w:before="0" w:after="0"/>
              <w:ind w:left="0" w:right="0" w:hanging="0"/>
              <w:jc w:val="both"/>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178" w:type="dxa"/>
            <w:tcBorders/>
            <w:shd w:fill="FFFFFF" w:val="clear"/>
            <w:tcMar>
              <w:bottom w:w="0" w:type="dxa"/>
            </w:tcMar>
            <w:vAlign w:val="center"/>
          </w:tcPr>
          <w:p>
            <w:pPr>
              <w:pStyle w:val="TableContents"/>
              <w:spacing w:before="0" w:after="0"/>
              <w:ind w:left="0" w:right="0" w:hanging="0"/>
              <w:jc w:val="both"/>
              <w:rPr/>
            </w:pPr>
            <w:r>
              <w:rPr/>
              <w:t> </w:t>
            </w:r>
          </w:p>
        </w:tc>
      </w:tr>
      <w:tr>
        <w:trPr/>
        <w:tc>
          <w:tcPr>
            <w:tcW w:w="937" w:type="dxa"/>
            <w:tcBorders/>
            <w:shd w:fill="CCEEFF" w:val="clear"/>
            <w:tcMar>
              <w:bottom w:w="0" w:type="dxa"/>
            </w:tcMar>
            <w:vAlign w:val="center"/>
          </w:tcPr>
          <w:p>
            <w:pPr>
              <w:pStyle w:val="TableContents"/>
              <w:spacing w:before="0" w:after="0"/>
              <w:ind w:left="0" w:right="0" w:hanging="0"/>
              <w:jc w:val="both"/>
              <w:rPr/>
            </w:pPr>
            <w:hyperlink r:id="rId5">
              <w:r>
                <w:rPr>
                  <w:rStyle w:val="InternetLink"/>
                </w:rPr>
                <w:t>3(b)</w:t>
              </w:r>
            </w:hyperlink>
          </w:p>
        </w:tc>
        <w:tc>
          <w:tcPr>
            <w:tcW w:w="90" w:type="dxa"/>
            <w:tcBorders/>
            <w:shd w:fill="CCEEFF" w:val="clear"/>
            <w:tcMar>
              <w:bottom w:w="0" w:type="dxa"/>
            </w:tcMar>
            <w:vAlign w:val="center"/>
          </w:tcPr>
          <w:p>
            <w:pPr>
              <w:pStyle w:val="TableContents"/>
              <w:spacing w:before="0" w:after="0"/>
              <w:ind w:left="0" w:right="0" w:hanging="0"/>
              <w:rPr/>
            </w:pPr>
            <w:r>
              <w:rPr/>
              <w:t> </w:t>
            </w:r>
          </w:p>
        </w:tc>
        <w:tc>
          <w:tcPr>
            <w:tcW w:w="9178" w:type="dxa"/>
            <w:tcBorders/>
            <w:shd w:fill="CCEEFF" w:val="clear"/>
            <w:tcMar>
              <w:bottom w:w="0" w:type="dxa"/>
            </w:tcMar>
            <w:vAlign w:val="center"/>
          </w:tcPr>
          <w:p>
            <w:pPr>
              <w:pStyle w:val="TableContents"/>
              <w:spacing w:before="0" w:after="0"/>
              <w:ind w:left="0" w:right="0" w:hanging="0"/>
              <w:jc w:val="both"/>
              <w:rPr/>
            </w:pPr>
            <w:hyperlink r:id="rId6">
              <w:r>
                <w:rPr>
                  <w:rStyle w:val="InternetLink"/>
                </w:rPr>
                <w:t>By-laws, as amended (incorporated by reference to Exhibit 3.1 to the Company’s Current Report on Form 8-K filed on November 9, 2009).</w:t>
              </w:r>
            </w:hyperlink>
          </w:p>
        </w:tc>
      </w:tr>
      <w:tr>
        <w:trPr/>
        <w:tc>
          <w:tcPr>
            <w:tcW w:w="937" w:type="dxa"/>
            <w:tcBorders/>
            <w:shd w:fill="FFFFFF" w:val="clear"/>
            <w:tcMar>
              <w:bottom w:w="0" w:type="dxa"/>
            </w:tcMar>
            <w:vAlign w:val="center"/>
          </w:tcPr>
          <w:p>
            <w:pPr>
              <w:pStyle w:val="TableContents"/>
              <w:spacing w:before="0" w:after="0"/>
              <w:ind w:left="0" w:right="0" w:hanging="0"/>
              <w:jc w:val="both"/>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178" w:type="dxa"/>
            <w:tcBorders/>
            <w:shd w:fill="FFFFFF" w:val="clear"/>
            <w:tcMar>
              <w:bottom w:w="0" w:type="dxa"/>
            </w:tcMar>
            <w:vAlign w:val="center"/>
          </w:tcPr>
          <w:p>
            <w:pPr>
              <w:pStyle w:val="TableContents"/>
              <w:spacing w:before="0" w:after="0"/>
              <w:ind w:left="0" w:right="0" w:hanging="0"/>
              <w:jc w:val="both"/>
              <w:rPr/>
            </w:pPr>
            <w:r>
              <w:rPr/>
              <w:t> </w:t>
            </w:r>
          </w:p>
        </w:tc>
      </w:tr>
      <w:tr>
        <w:trPr/>
        <w:tc>
          <w:tcPr>
            <w:tcW w:w="937" w:type="dxa"/>
            <w:tcBorders/>
            <w:shd w:fill="CCEEFF" w:val="clear"/>
            <w:tcMar>
              <w:bottom w:w="0" w:type="dxa"/>
            </w:tcMar>
            <w:vAlign w:val="center"/>
          </w:tcPr>
          <w:p>
            <w:pPr>
              <w:pStyle w:val="TableContents"/>
              <w:spacing w:before="0" w:after="0"/>
              <w:ind w:left="0" w:right="0" w:hanging="0"/>
              <w:jc w:val="both"/>
              <w:rPr/>
            </w:pPr>
            <w:hyperlink r:id="rId7">
              <w:r>
                <w:rPr>
                  <w:rStyle w:val="InternetLink"/>
                </w:rPr>
                <w:t>4(a)</w:t>
              </w:r>
            </w:hyperlink>
          </w:p>
        </w:tc>
        <w:tc>
          <w:tcPr>
            <w:tcW w:w="90" w:type="dxa"/>
            <w:tcBorders/>
            <w:shd w:fill="CCEEFF" w:val="clear"/>
            <w:tcMar>
              <w:bottom w:w="0" w:type="dxa"/>
            </w:tcMar>
            <w:vAlign w:val="center"/>
          </w:tcPr>
          <w:p>
            <w:pPr>
              <w:pStyle w:val="TableContents"/>
              <w:spacing w:before="0" w:after="0"/>
              <w:ind w:left="0" w:right="0" w:hanging="0"/>
              <w:rPr/>
            </w:pPr>
            <w:r>
              <w:rPr/>
              <w:t> </w:t>
            </w:r>
          </w:p>
        </w:tc>
        <w:tc>
          <w:tcPr>
            <w:tcW w:w="9178" w:type="dxa"/>
            <w:tcBorders/>
            <w:shd w:fill="CCEEFF" w:val="clear"/>
            <w:tcMar>
              <w:bottom w:w="0" w:type="dxa"/>
            </w:tcMar>
            <w:vAlign w:val="center"/>
          </w:tcPr>
          <w:p>
            <w:pPr>
              <w:pStyle w:val="TableContents"/>
              <w:spacing w:before="0" w:after="0"/>
              <w:ind w:left="0" w:right="0" w:hanging="0"/>
              <w:jc w:val="both"/>
              <w:rPr/>
            </w:pPr>
            <w:hyperlink r:id="rId8">
              <w:r>
                <w:rPr>
                  <w:rStyle w:val="InternetLink"/>
                </w:rPr>
                <w:t>Indenture, dated as of December 19, 2017, between Kingstone Companies, Inc. and Wilmington Trust, National Association (incorporated by reference to Exhibit 4.1 to the Company’s Current Report on Form 8-K filed on December 20, 2017).</w:t>
              </w:r>
            </w:hyperlink>
          </w:p>
        </w:tc>
      </w:tr>
      <w:tr>
        <w:trPr/>
        <w:tc>
          <w:tcPr>
            <w:tcW w:w="937" w:type="dxa"/>
            <w:tcBorders/>
            <w:shd w:fill="FFFFFF" w:val="clear"/>
            <w:tcMar>
              <w:bottom w:w="0" w:type="dxa"/>
            </w:tcMar>
            <w:vAlign w:val="center"/>
          </w:tcPr>
          <w:p>
            <w:pPr>
              <w:pStyle w:val="TableContents"/>
              <w:spacing w:before="0" w:after="0"/>
              <w:ind w:left="0" w:right="0" w:hanging="0"/>
              <w:jc w:val="both"/>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178" w:type="dxa"/>
            <w:tcBorders/>
            <w:shd w:fill="FFFFFF" w:val="clear"/>
            <w:tcMar>
              <w:bottom w:w="0" w:type="dxa"/>
            </w:tcMar>
            <w:vAlign w:val="center"/>
          </w:tcPr>
          <w:p>
            <w:pPr>
              <w:pStyle w:val="TableContents"/>
              <w:spacing w:before="0" w:after="0"/>
              <w:ind w:left="0" w:right="0" w:hanging="0"/>
              <w:jc w:val="both"/>
              <w:rPr/>
            </w:pPr>
            <w:r>
              <w:rPr/>
              <w:t> </w:t>
            </w:r>
          </w:p>
        </w:tc>
      </w:tr>
      <w:tr>
        <w:trPr/>
        <w:tc>
          <w:tcPr>
            <w:tcW w:w="937" w:type="dxa"/>
            <w:tcBorders/>
            <w:shd w:fill="CCEEFF" w:val="clear"/>
            <w:tcMar>
              <w:bottom w:w="0" w:type="dxa"/>
            </w:tcMar>
            <w:vAlign w:val="center"/>
          </w:tcPr>
          <w:p>
            <w:pPr>
              <w:pStyle w:val="TableContents"/>
              <w:spacing w:before="0" w:after="0"/>
              <w:ind w:left="0" w:right="0" w:hanging="0"/>
              <w:jc w:val="both"/>
              <w:rPr/>
            </w:pPr>
            <w:hyperlink r:id="rId9">
              <w:r>
                <w:rPr>
                  <w:rStyle w:val="InternetLink"/>
                </w:rPr>
                <w:t>4(b)</w:t>
              </w:r>
            </w:hyperlink>
          </w:p>
        </w:tc>
        <w:tc>
          <w:tcPr>
            <w:tcW w:w="90" w:type="dxa"/>
            <w:tcBorders/>
            <w:shd w:fill="CCEEFF" w:val="clear"/>
            <w:tcMar>
              <w:bottom w:w="0" w:type="dxa"/>
            </w:tcMar>
            <w:vAlign w:val="center"/>
          </w:tcPr>
          <w:p>
            <w:pPr>
              <w:pStyle w:val="TableContents"/>
              <w:spacing w:before="0" w:after="0"/>
              <w:ind w:left="0" w:right="0" w:hanging="0"/>
              <w:rPr/>
            </w:pPr>
            <w:r>
              <w:rPr/>
              <w:t> </w:t>
            </w:r>
          </w:p>
        </w:tc>
        <w:tc>
          <w:tcPr>
            <w:tcW w:w="9178" w:type="dxa"/>
            <w:tcBorders/>
            <w:shd w:fill="CCEEFF" w:val="clear"/>
            <w:tcMar>
              <w:bottom w:w="0" w:type="dxa"/>
            </w:tcMar>
            <w:vAlign w:val="center"/>
          </w:tcPr>
          <w:p>
            <w:pPr>
              <w:pStyle w:val="TableContents"/>
              <w:spacing w:before="0" w:after="0"/>
              <w:ind w:left="0" w:right="0" w:hanging="0"/>
              <w:jc w:val="both"/>
              <w:rPr/>
            </w:pPr>
            <w:hyperlink r:id="rId10">
              <w:r>
                <w:rPr>
                  <w:rStyle w:val="InternetLink"/>
                </w:rPr>
                <w:t>First Supplemental Indenture, dated as of December 19, 2017, between Kingstone Companies, Inc. and Wilmington Trust, National Association (incorporated by reference to Exhibit 4.2 to the Company’s Current Report on Form 8-K filed on December 20, 2017).</w:t>
              </w:r>
            </w:hyperlink>
          </w:p>
        </w:tc>
      </w:tr>
      <w:tr>
        <w:trPr/>
        <w:tc>
          <w:tcPr>
            <w:tcW w:w="937" w:type="dxa"/>
            <w:tcBorders/>
            <w:shd w:fill="FFFFFF" w:val="clear"/>
            <w:tcMar>
              <w:bottom w:w="0" w:type="dxa"/>
            </w:tcMar>
            <w:vAlign w:val="center"/>
          </w:tcPr>
          <w:p>
            <w:pPr>
              <w:pStyle w:val="TableContents"/>
              <w:spacing w:before="0" w:after="0"/>
              <w:ind w:left="0" w:right="0" w:hanging="0"/>
              <w:jc w:val="both"/>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178" w:type="dxa"/>
            <w:tcBorders/>
            <w:shd w:fill="FFFFFF" w:val="clear"/>
            <w:tcMar>
              <w:bottom w:w="0" w:type="dxa"/>
            </w:tcMar>
            <w:vAlign w:val="center"/>
          </w:tcPr>
          <w:p>
            <w:pPr>
              <w:pStyle w:val="TableContents"/>
              <w:spacing w:before="0" w:after="0"/>
              <w:ind w:left="0" w:right="0" w:hanging="0"/>
              <w:jc w:val="both"/>
              <w:rPr/>
            </w:pPr>
            <w:r>
              <w:rPr/>
              <w:t> </w:t>
            </w:r>
          </w:p>
        </w:tc>
      </w:tr>
      <w:tr>
        <w:trPr/>
        <w:tc>
          <w:tcPr>
            <w:tcW w:w="937" w:type="dxa"/>
            <w:tcBorders/>
            <w:shd w:fill="CCEEFF" w:val="clear"/>
            <w:tcMar>
              <w:bottom w:w="0" w:type="dxa"/>
            </w:tcMar>
            <w:vAlign w:val="center"/>
          </w:tcPr>
          <w:p>
            <w:pPr>
              <w:pStyle w:val="TableContents"/>
              <w:spacing w:before="0" w:after="0"/>
              <w:ind w:left="0" w:right="0" w:hanging="0"/>
              <w:jc w:val="both"/>
              <w:rPr/>
            </w:pPr>
            <w:hyperlink r:id="rId11">
              <w:r>
                <w:rPr>
                  <w:rStyle w:val="InternetLink"/>
                </w:rPr>
                <w:t>4(c)</w:t>
              </w:r>
            </w:hyperlink>
          </w:p>
        </w:tc>
        <w:tc>
          <w:tcPr>
            <w:tcW w:w="90" w:type="dxa"/>
            <w:tcBorders/>
            <w:shd w:fill="CCEEFF" w:val="clear"/>
            <w:tcMar>
              <w:bottom w:w="0" w:type="dxa"/>
            </w:tcMar>
            <w:vAlign w:val="center"/>
          </w:tcPr>
          <w:p>
            <w:pPr>
              <w:pStyle w:val="TableContents"/>
              <w:spacing w:before="0" w:after="0"/>
              <w:ind w:left="0" w:right="0" w:hanging="0"/>
              <w:rPr/>
            </w:pPr>
            <w:r>
              <w:rPr/>
              <w:t> </w:t>
            </w:r>
          </w:p>
        </w:tc>
        <w:tc>
          <w:tcPr>
            <w:tcW w:w="9178" w:type="dxa"/>
            <w:tcBorders/>
            <w:shd w:fill="CCEEFF" w:val="clear"/>
            <w:tcMar>
              <w:bottom w:w="0" w:type="dxa"/>
            </w:tcMar>
            <w:vAlign w:val="center"/>
          </w:tcPr>
          <w:p>
            <w:pPr>
              <w:pStyle w:val="TableContents"/>
              <w:spacing w:before="0" w:after="0"/>
              <w:ind w:left="0" w:right="0" w:hanging="0"/>
              <w:jc w:val="both"/>
              <w:rPr/>
            </w:pPr>
            <w:hyperlink r:id="rId12">
              <w:r>
                <w:rPr>
                  <w:rStyle w:val="InternetLink"/>
                </w:rPr>
                <w:t>Form of Global Note representing $30,000,000 aggregate principal amount of 5.50% Senior Unsecured Notes due 2022 (incorporated by reference to Exhibit 4.3 to the Company’s Current Report on Form 8-K filed on December 20, 2017).</w:t>
              </w:r>
            </w:hyperlink>
          </w:p>
        </w:tc>
      </w:tr>
      <w:tr>
        <w:trPr/>
        <w:tc>
          <w:tcPr>
            <w:tcW w:w="937" w:type="dxa"/>
            <w:tcBorders/>
            <w:shd w:fill="FFFFFF" w:val="clear"/>
            <w:tcMar>
              <w:bottom w:w="0" w:type="dxa"/>
            </w:tcMar>
            <w:vAlign w:val="center"/>
          </w:tcPr>
          <w:p>
            <w:pPr>
              <w:pStyle w:val="TableContents"/>
              <w:spacing w:before="0" w:after="0"/>
              <w:ind w:left="0" w:right="0" w:hanging="0"/>
              <w:jc w:val="both"/>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178" w:type="dxa"/>
            <w:tcBorders/>
            <w:shd w:fill="FFFFFF" w:val="clear"/>
            <w:tcMar>
              <w:bottom w:w="0" w:type="dxa"/>
            </w:tcMar>
            <w:vAlign w:val="center"/>
          </w:tcPr>
          <w:p>
            <w:pPr>
              <w:pStyle w:val="TableContents"/>
              <w:spacing w:before="0" w:after="0"/>
              <w:ind w:left="0" w:right="0" w:hanging="0"/>
              <w:jc w:val="both"/>
              <w:rPr/>
            </w:pPr>
            <w:r>
              <w:rPr/>
              <w:t> </w:t>
            </w:r>
          </w:p>
        </w:tc>
      </w:tr>
      <w:tr>
        <w:trPr/>
        <w:tc>
          <w:tcPr>
            <w:tcW w:w="937" w:type="dxa"/>
            <w:tcBorders/>
            <w:shd w:fill="CCEEFF" w:val="clear"/>
            <w:tcMar>
              <w:bottom w:w="0" w:type="dxa"/>
            </w:tcMar>
            <w:vAlign w:val="center"/>
          </w:tcPr>
          <w:p>
            <w:pPr>
              <w:pStyle w:val="TableContents"/>
              <w:spacing w:before="0" w:after="0"/>
              <w:ind w:left="0" w:right="0" w:hanging="0"/>
              <w:jc w:val="both"/>
              <w:rPr/>
            </w:pPr>
            <w:hyperlink r:id="rId13">
              <w:r>
                <w:rPr>
                  <w:rStyle w:val="InternetLink"/>
                </w:rPr>
                <w:t>10(a)</w:t>
              </w:r>
            </w:hyperlink>
          </w:p>
        </w:tc>
        <w:tc>
          <w:tcPr>
            <w:tcW w:w="90" w:type="dxa"/>
            <w:tcBorders/>
            <w:shd w:fill="CCEEFF" w:val="clear"/>
            <w:tcMar>
              <w:bottom w:w="0" w:type="dxa"/>
            </w:tcMar>
            <w:vAlign w:val="center"/>
          </w:tcPr>
          <w:p>
            <w:pPr>
              <w:pStyle w:val="TableContents"/>
              <w:spacing w:before="0" w:after="0"/>
              <w:ind w:left="0" w:right="0" w:hanging="0"/>
              <w:rPr/>
            </w:pPr>
            <w:r>
              <w:rPr/>
              <w:t> </w:t>
            </w:r>
          </w:p>
        </w:tc>
        <w:tc>
          <w:tcPr>
            <w:tcW w:w="9178" w:type="dxa"/>
            <w:tcBorders/>
            <w:shd w:fill="CCEEFF" w:val="clear"/>
            <w:tcMar>
              <w:bottom w:w="0" w:type="dxa"/>
            </w:tcMar>
            <w:vAlign w:val="center"/>
          </w:tcPr>
          <w:p>
            <w:pPr>
              <w:pStyle w:val="TableContents"/>
              <w:spacing w:before="0" w:after="0"/>
              <w:ind w:left="0" w:right="0" w:hanging="0"/>
              <w:jc w:val="both"/>
              <w:rPr/>
            </w:pPr>
            <w:hyperlink r:id="rId14">
              <w:r>
                <w:rPr>
                  <w:rStyle w:val="InternetLink"/>
                </w:rPr>
                <w:t>Amended and Restated 2014 Equity Participation Plan (incorporated by reference to Exhibit 10.1 to the Company’s Current Report on Form 8-K filed on June 1, 2020).</w:t>
              </w:r>
            </w:hyperlink>
          </w:p>
        </w:tc>
      </w:tr>
      <w:tr>
        <w:trPr/>
        <w:tc>
          <w:tcPr>
            <w:tcW w:w="937" w:type="dxa"/>
            <w:tcBorders/>
            <w:shd w:fill="FFFFFF" w:val="clear"/>
            <w:tcMar>
              <w:bottom w:w="0" w:type="dxa"/>
            </w:tcMar>
            <w:vAlign w:val="center"/>
          </w:tcPr>
          <w:p>
            <w:pPr>
              <w:pStyle w:val="TableContents"/>
              <w:spacing w:before="0" w:after="0"/>
              <w:ind w:left="0" w:right="0" w:hanging="0"/>
              <w:jc w:val="both"/>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178" w:type="dxa"/>
            <w:tcBorders/>
            <w:shd w:fill="FFFFFF" w:val="clear"/>
            <w:tcMar>
              <w:bottom w:w="0" w:type="dxa"/>
            </w:tcMar>
            <w:vAlign w:val="center"/>
          </w:tcPr>
          <w:p>
            <w:pPr>
              <w:pStyle w:val="TableContents"/>
              <w:spacing w:before="0" w:after="0"/>
              <w:ind w:left="0" w:right="0" w:hanging="0"/>
              <w:jc w:val="both"/>
              <w:rPr/>
            </w:pPr>
            <w:r>
              <w:rPr/>
              <w:t> </w:t>
            </w:r>
          </w:p>
        </w:tc>
      </w:tr>
      <w:tr>
        <w:trPr/>
        <w:tc>
          <w:tcPr>
            <w:tcW w:w="937" w:type="dxa"/>
            <w:tcBorders/>
            <w:shd w:fill="CCEEFF" w:val="clear"/>
            <w:tcMar>
              <w:bottom w:w="0" w:type="dxa"/>
            </w:tcMar>
            <w:vAlign w:val="center"/>
          </w:tcPr>
          <w:p>
            <w:pPr>
              <w:pStyle w:val="TableContents"/>
              <w:spacing w:before="0" w:after="0"/>
              <w:ind w:left="0" w:right="0" w:hanging="0"/>
              <w:jc w:val="both"/>
              <w:rPr/>
            </w:pPr>
            <w:hyperlink r:id="rId15">
              <w:r>
                <w:rPr>
                  <w:rStyle w:val="InternetLink"/>
                </w:rPr>
                <w:t>10(b)</w:t>
              </w:r>
            </w:hyperlink>
          </w:p>
        </w:tc>
        <w:tc>
          <w:tcPr>
            <w:tcW w:w="90" w:type="dxa"/>
            <w:tcBorders/>
            <w:shd w:fill="CCEEFF" w:val="clear"/>
            <w:tcMar>
              <w:bottom w:w="0" w:type="dxa"/>
            </w:tcMar>
            <w:vAlign w:val="center"/>
          </w:tcPr>
          <w:p>
            <w:pPr>
              <w:pStyle w:val="TableContents"/>
              <w:spacing w:before="0" w:after="0"/>
              <w:ind w:left="0" w:right="0" w:hanging="0"/>
              <w:rPr/>
            </w:pPr>
            <w:r>
              <w:rPr/>
              <w:t> </w:t>
            </w:r>
          </w:p>
        </w:tc>
        <w:tc>
          <w:tcPr>
            <w:tcW w:w="9178" w:type="dxa"/>
            <w:tcBorders/>
            <w:shd w:fill="CCEEFF" w:val="clear"/>
            <w:tcMar>
              <w:bottom w:w="0" w:type="dxa"/>
            </w:tcMar>
            <w:vAlign w:val="center"/>
          </w:tcPr>
          <w:p>
            <w:pPr>
              <w:pStyle w:val="TableContents"/>
              <w:spacing w:before="0" w:after="0"/>
              <w:ind w:left="0" w:right="0" w:hanging="0"/>
              <w:jc w:val="both"/>
              <w:rPr/>
            </w:pPr>
            <w:hyperlink r:id="rId16">
              <w:r>
                <w:rPr>
                  <w:rStyle w:val="InternetLink"/>
                </w:rPr>
                <w:t>Second Amended and Restated Employment Agreement, dated October 14, 2019, by and between Kingstone Companies, Inc. and Barry B. Goldstein (incorporated by reference to Exhibit 10.1 to the Company’s Current Report on Form 8-K filed on October 18, 2019).</w:t>
              </w:r>
            </w:hyperlink>
          </w:p>
        </w:tc>
      </w:tr>
      <w:tr>
        <w:trPr/>
        <w:tc>
          <w:tcPr>
            <w:tcW w:w="937" w:type="dxa"/>
            <w:tcBorders/>
            <w:shd w:fill="FFFFFF" w:val="clear"/>
            <w:tcMar>
              <w:bottom w:w="0" w:type="dxa"/>
            </w:tcMar>
            <w:vAlign w:val="center"/>
          </w:tcPr>
          <w:p>
            <w:pPr>
              <w:pStyle w:val="TableContents"/>
              <w:spacing w:before="0" w:after="0"/>
              <w:ind w:left="0" w:right="0" w:hanging="0"/>
              <w:jc w:val="both"/>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178" w:type="dxa"/>
            <w:tcBorders/>
            <w:shd w:fill="FFFFFF" w:val="clear"/>
            <w:tcMar>
              <w:bottom w:w="0" w:type="dxa"/>
            </w:tcMar>
            <w:vAlign w:val="center"/>
          </w:tcPr>
          <w:p>
            <w:pPr>
              <w:pStyle w:val="TableContents"/>
              <w:spacing w:before="0" w:after="0"/>
              <w:ind w:left="0" w:right="0" w:hanging="0"/>
              <w:jc w:val="both"/>
              <w:rPr/>
            </w:pPr>
            <w:r>
              <w:rPr/>
              <w:t> </w:t>
            </w:r>
          </w:p>
        </w:tc>
      </w:tr>
      <w:tr>
        <w:trPr/>
        <w:tc>
          <w:tcPr>
            <w:tcW w:w="937" w:type="dxa"/>
            <w:tcBorders/>
            <w:shd w:fill="CCEEFF" w:val="clear"/>
            <w:tcMar>
              <w:bottom w:w="0" w:type="dxa"/>
            </w:tcMar>
            <w:vAlign w:val="center"/>
          </w:tcPr>
          <w:p>
            <w:pPr>
              <w:pStyle w:val="TableContents"/>
              <w:spacing w:before="0" w:after="0"/>
              <w:ind w:left="0" w:right="0" w:hanging="0"/>
              <w:jc w:val="both"/>
              <w:rPr/>
            </w:pPr>
            <w:hyperlink r:id="rId17">
              <w:r>
                <w:rPr>
                  <w:rStyle w:val="InternetLink"/>
                </w:rPr>
                <w:t>10(c)</w:t>
              </w:r>
            </w:hyperlink>
          </w:p>
        </w:tc>
        <w:tc>
          <w:tcPr>
            <w:tcW w:w="90" w:type="dxa"/>
            <w:tcBorders/>
            <w:shd w:fill="CCEEFF" w:val="clear"/>
            <w:tcMar>
              <w:bottom w:w="0" w:type="dxa"/>
            </w:tcMar>
            <w:vAlign w:val="center"/>
          </w:tcPr>
          <w:p>
            <w:pPr>
              <w:pStyle w:val="TableContents"/>
              <w:spacing w:before="0" w:after="0"/>
              <w:ind w:left="0" w:right="0" w:hanging="0"/>
              <w:rPr/>
            </w:pPr>
            <w:r>
              <w:rPr/>
              <w:t> </w:t>
            </w:r>
          </w:p>
        </w:tc>
        <w:tc>
          <w:tcPr>
            <w:tcW w:w="9178" w:type="dxa"/>
            <w:tcBorders/>
            <w:shd w:fill="CCEEFF" w:val="clear"/>
            <w:tcMar>
              <w:bottom w:w="0" w:type="dxa"/>
            </w:tcMar>
            <w:vAlign w:val="center"/>
          </w:tcPr>
          <w:p>
            <w:pPr>
              <w:pStyle w:val="TableContents"/>
              <w:spacing w:before="0" w:after="0"/>
              <w:ind w:left="0" w:right="0" w:hanging="0"/>
              <w:jc w:val="both"/>
              <w:rPr/>
            </w:pPr>
            <w:hyperlink r:id="rId18">
              <w:r>
                <w:rPr>
                  <w:rStyle w:val="InternetLink"/>
                </w:rPr>
                <w:t>Stock Grant Agreement, dated as of January 3, 2020, between Kingstone Companies, Inc. and Barry B. Goldstein (157,431 shares) (incorporated by reference to Exhibit 10(c) to the Company’s Annual Report on Form 10-K for the year ended December 31, 2019 filed on March 16, 2020).</w:t>
              </w:r>
            </w:hyperlink>
          </w:p>
        </w:tc>
      </w:tr>
      <w:tr>
        <w:trPr/>
        <w:tc>
          <w:tcPr>
            <w:tcW w:w="937" w:type="dxa"/>
            <w:tcBorders/>
            <w:shd w:fill="FFFFFF" w:val="clear"/>
            <w:tcMar>
              <w:bottom w:w="0" w:type="dxa"/>
            </w:tcMar>
            <w:vAlign w:val="center"/>
          </w:tcPr>
          <w:p>
            <w:pPr>
              <w:pStyle w:val="TableContents"/>
              <w:spacing w:before="0" w:after="0"/>
              <w:ind w:left="0" w:right="0" w:hanging="0"/>
              <w:jc w:val="both"/>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178" w:type="dxa"/>
            <w:tcBorders/>
            <w:shd w:fill="FFFFFF" w:val="clear"/>
            <w:tcMar>
              <w:bottom w:w="0" w:type="dxa"/>
            </w:tcMar>
            <w:vAlign w:val="center"/>
          </w:tcPr>
          <w:p>
            <w:pPr>
              <w:pStyle w:val="TableContents"/>
              <w:spacing w:before="0" w:after="0"/>
              <w:ind w:left="0" w:right="0" w:hanging="0"/>
              <w:jc w:val="both"/>
              <w:rPr/>
            </w:pPr>
            <w:r>
              <w:rPr/>
              <w:t> </w:t>
            </w:r>
          </w:p>
        </w:tc>
      </w:tr>
      <w:tr>
        <w:trPr/>
        <w:tc>
          <w:tcPr>
            <w:tcW w:w="937" w:type="dxa"/>
            <w:tcBorders/>
            <w:shd w:fill="CCEEFF" w:val="clear"/>
            <w:tcMar>
              <w:bottom w:w="0" w:type="dxa"/>
            </w:tcMar>
            <w:vAlign w:val="center"/>
          </w:tcPr>
          <w:p>
            <w:pPr>
              <w:pStyle w:val="TableContents"/>
              <w:spacing w:before="0" w:after="0"/>
              <w:ind w:left="0" w:right="0" w:hanging="0"/>
              <w:jc w:val="both"/>
              <w:rPr/>
            </w:pPr>
            <w:hyperlink r:id="rId19">
              <w:r>
                <w:rPr>
                  <w:rStyle w:val="InternetLink"/>
                </w:rPr>
                <w:t>10(d)</w:t>
              </w:r>
            </w:hyperlink>
          </w:p>
        </w:tc>
        <w:tc>
          <w:tcPr>
            <w:tcW w:w="90" w:type="dxa"/>
            <w:tcBorders/>
            <w:shd w:fill="CCEEFF" w:val="clear"/>
            <w:tcMar>
              <w:bottom w:w="0" w:type="dxa"/>
            </w:tcMar>
            <w:vAlign w:val="center"/>
          </w:tcPr>
          <w:p>
            <w:pPr>
              <w:pStyle w:val="TableContents"/>
              <w:spacing w:before="0" w:after="0"/>
              <w:ind w:left="0" w:right="0" w:hanging="0"/>
              <w:rPr/>
            </w:pPr>
            <w:r>
              <w:rPr/>
              <w:t> </w:t>
            </w:r>
          </w:p>
        </w:tc>
        <w:tc>
          <w:tcPr>
            <w:tcW w:w="9178" w:type="dxa"/>
            <w:tcBorders/>
            <w:shd w:fill="CCEEFF" w:val="clear"/>
            <w:tcMar>
              <w:bottom w:w="0" w:type="dxa"/>
            </w:tcMar>
            <w:vAlign w:val="center"/>
          </w:tcPr>
          <w:p>
            <w:pPr>
              <w:pStyle w:val="TableContents"/>
              <w:spacing w:before="0" w:after="0"/>
              <w:ind w:left="0" w:right="0" w:hanging="0"/>
              <w:jc w:val="both"/>
              <w:rPr/>
            </w:pPr>
            <w:hyperlink r:id="rId20">
              <w:r>
                <w:rPr>
                  <w:rStyle w:val="InternetLink"/>
                </w:rPr>
                <w:t>Stock Grant Agreement, dated as of January 3, 2020, between Kingstone Companies, Inc. and Barry B. Goldstein (17,191 shares) (incorporated by reference to Exhibit 10(d) to the Company’s Annual Report on Form 10-K for the year ended December 31, 2019 filed on March 16, 2020).</w:t>
              </w:r>
            </w:hyperlink>
          </w:p>
        </w:tc>
      </w:tr>
      <w:tr>
        <w:trPr/>
        <w:tc>
          <w:tcPr>
            <w:tcW w:w="937" w:type="dxa"/>
            <w:tcBorders/>
            <w:shd w:fill="FFFFFF" w:val="clear"/>
            <w:tcMar>
              <w:bottom w:w="0" w:type="dxa"/>
            </w:tcMar>
            <w:vAlign w:val="center"/>
          </w:tcPr>
          <w:p>
            <w:pPr>
              <w:pStyle w:val="TableContents"/>
              <w:spacing w:before="0" w:after="0"/>
              <w:ind w:left="0" w:right="0" w:hanging="0"/>
              <w:jc w:val="both"/>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178" w:type="dxa"/>
            <w:tcBorders/>
            <w:shd w:fill="FFFFFF" w:val="clear"/>
            <w:tcMar>
              <w:bottom w:w="0" w:type="dxa"/>
            </w:tcMar>
            <w:vAlign w:val="center"/>
          </w:tcPr>
          <w:p>
            <w:pPr>
              <w:pStyle w:val="TableContents"/>
              <w:spacing w:before="0" w:after="0"/>
              <w:ind w:left="0" w:right="0" w:hanging="0"/>
              <w:jc w:val="both"/>
              <w:rPr/>
            </w:pPr>
            <w:r>
              <w:rPr/>
              <w:t> </w:t>
            </w:r>
          </w:p>
        </w:tc>
      </w:tr>
      <w:tr>
        <w:trPr/>
        <w:tc>
          <w:tcPr>
            <w:tcW w:w="937" w:type="dxa"/>
            <w:tcBorders/>
            <w:shd w:fill="CCEEFF" w:val="clear"/>
            <w:tcMar>
              <w:bottom w:w="0" w:type="dxa"/>
            </w:tcMar>
            <w:vAlign w:val="center"/>
          </w:tcPr>
          <w:p>
            <w:pPr>
              <w:pStyle w:val="TableContents"/>
              <w:spacing w:before="0" w:after="0"/>
              <w:ind w:left="0" w:right="0" w:hanging="0"/>
              <w:jc w:val="both"/>
              <w:rPr/>
            </w:pPr>
            <w:r>
              <w:rPr/>
              <w:t>10(e)</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178" w:type="dxa"/>
            <w:tcBorders/>
            <w:shd w:fill="CCEEFF" w:val="clear"/>
            <w:tcMar>
              <w:bottom w:w="0" w:type="dxa"/>
            </w:tcMar>
            <w:vAlign w:val="center"/>
          </w:tcPr>
          <w:p>
            <w:pPr>
              <w:pStyle w:val="TableContents"/>
              <w:spacing w:before="0" w:after="0"/>
              <w:ind w:left="0" w:right="0" w:hanging="0"/>
              <w:jc w:val="both"/>
              <w:rPr/>
            </w:pPr>
            <w:r>
              <w:rPr/>
              <w:t>Stock Grant Agreement, dated as of January 4, 2020, between Kingstone Companies, Inc. and Barry B. Goldstein (230,769 shares).</w:t>
            </w:r>
          </w:p>
        </w:tc>
      </w:tr>
      <w:tr>
        <w:trPr/>
        <w:tc>
          <w:tcPr>
            <w:tcW w:w="937" w:type="dxa"/>
            <w:tcBorders/>
            <w:shd w:fill="FFFFFF" w:val="clear"/>
            <w:tcMar>
              <w:bottom w:w="0" w:type="dxa"/>
            </w:tcMar>
            <w:vAlign w:val="center"/>
          </w:tcPr>
          <w:p>
            <w:pPr>
              <w:pStyle w:val="TableContents"/>
              <w:spacing w:before="0" w:after="0"/>
              <w:ind w:left="0" w:right="0" w:hanging="0"/>
              <w:jc w:val="both"/>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178" w:type="dxa"/>
            <w:tcBorders/>
            <w:shd w:fill="FFFFFF" w:val="clear"/>
            <w:tcMar>
              <w:bottom w:w="0" w:type="dxa"/>
            </w:tcMar>
            <w:vAlign w:val="center"/>
          </w:tcPr>
          <w:p>
            <w:pPr>
              <w:pStyle w:val="TableContents"/>
              <w:spacing w:before="0" w:after="0"/>
              <w:ind w:left="0" w:right="0" w:hanging="0"/>
              <w:jc w:val="both"/>
              <w:rPr/>
            </w:pPr>
            <w:r>
              <w:rPr/>
              <w:t> </w:t>
            </w:r>
          </w:p>
        </w:tc>
      </w:tr>
      <w:tr>
        <w:trPr/>
        <w:tc>
          <w:tcPr>
            <w:tcW w:w="937" w:type="dxa"/>
            <w:tcBorders/>
            <w:shd w:fill="CCEEFF" w:val="clear"/>
            <w:tcMar>
              <w:bottom w:w="0" w:type="dxa"/>
            </w:tcMar>
            <w:vAlign w:val="center"/>
          </w:tcPr>
          <w:p>
            <w:pPr>
              <w:pStyle w:val="TableContents"/>
              <w:spacing w:before="0" w:after="0"/>
              <w:ind w:left="0" w:right="0" w:hanging="0"/>
              <w:jc w:val="both"/>
              <w:rPr/>
            </w:pPr>
            <w:r>
              <w:rPr/>
              <w:t>10(f)</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178" w:type="dxa"/>
            <w:tcBorders/>
            <w:shd w:fill="CCEEFF" w:val="clear"/>
            <w:tcMar>
              <w:bottom w:w="0" w:type="dxa"/>
            </w:tcMar>
            <w:vAlign w:val="center"/>
          </w:tcPr>
          <w:p>
            <w:pPr>
              <w:pStyle w:val="TableContents"/>
              <w:spacing w:before="0" w:after="0"/>
              <w:ind w:left="0" w:right="0" w:hanging="0"/>
              <w:jc w:val="both"/>
              <w:rPr/>
            </w:pPr>
            <w:r>
              <w:rPr/>
              <w:t>Stock Grant Agreement, dated as of January 4, 2020, between Kingstone Companies, Inc. and Barry B. Goldstein (21,000 shares).</w:t>
            </w:r>
          </w:p>
        </w:tc>
      </w:tr>
      <w:tr>
        <w:trPr/>
        <w:tc>
          <w:tcPr>
            <w:tcW w:w="937" w:type="dxa"/>
            <w:tcBorders/>
            <w:shd w:fill="FFFFFF" w:val="clear"/>
            <w:tcMar>
              <w:bottom w:w="0" w:type="dxa"/>
            </w:tcMar>
            <w:vAlign w:val="center"/>
          </w:tcPr>
          <w:p>
            <w:pPr>
              <w:pStyle w:val="TableContents"/>
              <w:spacing w:before="0" w:after="0"/>
              <w:ind w:left="0" w:right="0" w:hanging="0"/>
              <w:jc w:val="both"/>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178" w:type="dxa"/>
            <w:tcBorders/>
            <w:shd w:fill="FFFFFF" w:val="clear"/>
            <w:tcMar>
              <w:bottom w:w="0" w:type="dxa"/>
            </w:tcMar>
            <w:vAlign w:val="center"/>
          </w:tcPr>
          <w:p>
            <w:pPr>
              <w:pStyle w:val="TableContents"/>
              <w:spacing w:before="0" w:after="0"/>
              <w:ind w:left="0" w:right="0" w:hanging="0"/>
              <w:jc w:val="both"/>
              <w:rPr/>
            </w:pPr>
            <w:r>
              <w:rPr/>
              <w:t> </w:t>
            </w:r>
          </w:p>
        </w:tc>
      </w:tr>
      <w:tr>
        <w:trPr/>
        <w:tc>
          <w:tcPr>
            <w:tcW w:w="937" w:type="dxa"/>
            <w:tcBorders/>
            <w:shd w:fill="CCEEFF" w:val="clear"/>
            <w:tcMar>
              <w:bottom w:w="0" w:type="dxa"/>
            </w:tcMar>
            <w:vAlign w:val="center"/>
          </w:tcPr>
          <w:p>
            <w:pPr>
              <w:pStyle w:val="TableContents"/>
              <w:spacing w:before="0" w:after="0"/>
              <w:ind w:left="0" w:right="0" w:hanging="0"/>
              <w:jc w:val="both"/>
              <w:rPr/>
            </w:pPr>
            <w:r>
              <w:rPr/>
              <w:t>10(g)</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178" w:type="dxa"/>
            <w:tcBorders/>
            <w:shd w:fill="CCEEFF" w:val="clear"/>
            <w:tcMar>
              <w:bottom w:w="0" w:type="dxa"/>
            </w:tcMar>
            <w:vAlign w:val="center"/>
          </w:tcPr>
          <w:p>
            <w:pPr>
              <w:pStyle w:val="TableContents"/>
              <w:spacing w:before="0" w:after="0"/>
              <w:ind w:left="0" w:right="0" w:hanging="0"/>
              <w:jc w:val="both"/>
              <w:rPr/>
            </w:pPr>
            <w:r>
              <w:rPr/>
              <w:t>Employment Agreement, dated as of August 27, 2019, by and between Kingstone Companies, Inc. and Meryl S. Golden (incorporated by reference to Exhibit 99.1 to the Company’s Current Report on Form 8-K filed on September 17, 2019).</w:t>
            </w:r>
          </w:p>
        </w:tc>
      </w:tr>
      <w:tr>
        <w:trPr/>
        <w:tc>
          <w:tcPr>
            <w:tcW w:w="937" w:type="dxa"/>
            <w:tcBorders/>
            <w:shd w:fill="FFFFFF" w:val="clear"/>
            <w:tcMar>
              <w:bottom w:w="0" w:type="dxa"/>
            </w:tcMar>
            <w:vAlign w:val="center"/>
          </w:tcPr>
          <w:p>
            <w:pPr>
              <w:pStyle w:val="TableContents"/>
              <w:spacing w:before="0" w:after="0"/>
              <w:ind w:left="0" w:right="0" w:hanging="0"/>
              <w:jc w:val="both"/>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178" w:type="dxa"/>
            <w:tcBorders/>
            <w:shd w:fill="FFFFFF" w:val="clear"/>
            <w:tcMar>
              <w:bottom w:w="0" w:type="dxa"/>
            </w:tcMar>
            <w:vAlign w:val="center"/>
          </w:tcPr>
          <w:p>
            <w:pPr>
              <w:pStyle w:val="TableContents"/>
              <w:spacing w:before="0" w:after="0"/>
              <w:ind w:left="0" w:right="0" w:hanging="0"/>
              <w:jc w:val="both"/>
              <w:rPr/>
            </w:pPr>
            <w:r>
              <w:rPr/>
              <w:t> </w:t>
            </w:r>
          </w:p>
        </w:tc>
      </w:tr>
      <w:tr>
        <w:trPr/>
        <w:tc>
          <w:tcPr>
            <w:tcW w:w="937" w:type="dxa"/>
            <w:tcBorders/>
            <w:shd w:fill="CCEEFF" w:val="clear"/>
            <w:tcMar>
              <w:bottom w:w="0" w:type="dxa"/>
            </w:tcMar>
            <w:vAlign w:val="center"/>
          </w:tcPr>
          <w:p>
            <w:pPr>
              <w:pStyle w:val="TableContents"/>
              <w:spacing w:before="0" w:after="0"/>
              <w:ind w:left="0" w:right="0" w:hanging="0"/>
              <w:jc w:val="both"/>
              <w:rPr/>
            </w:pPr>
            <w:r>
              <w:rPr/>
              <w:t>10(h)</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178" w:type="dxa"/>
            <w:tcBorders/>
            <w:shd w:fill="CCEEFF" w:val="clear"/>
            <w:tcMar>
              <w:bottom w:w="0" w:type="dxa"/>
            </w:tcMar>
            <w:vAlign w:val="center"/>
          </w:tcPr>
          <w:p>
            <w:pPr>
              <w:pStyle w:val="TableContents"/>
              <w:spacing w:before="0" w:after="0"/>
              <w:ind w:left="0" w:right="0" w:hanging="0"/>
              <w:jc w:val="both"/>
              <w:rPr/>
            </w:pPr>
            <w:r>
              <w:rPr/>
              <w:t>Stock Grant Agreement, dated as of January 4, 2021, between Kingstone Companies, Inc. and Meryl S. Golden.</w:t>
            </w:r>
          </w:p>
        </w:tc>
      </w:tr>
      <w:tr>
        <w:trPr/>
        <w:tc>
          <w:tcPr>
            <w:tcW w:w="937" w:type="dxa"/>
            <w:tcBorders/>
            <w:shd w:fill="FFFFFF" w:val="clear"/>
            <w:tcMar>
              <w:bottom w:w="0" w:type="dxa"/>
            </w:tcMar>
            <w:vAlign w:val="center"/>
          </w:tcPr>
          <w:p>
            <w:pPr>
              <w:pStyle w:val="TableContents"/>
              <w:spacing w:before="0" w:after="0"/>
              <w:ind w:left="0" w:right="0" w:hanging="0"/>
              <w:jc w:val="both"/>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178" w:type="dxa"/>
            <w:tcBorders/>
            <w:shd w:fill="FFFFFF" w:val="clear"/>
            <w:tcMar>
              <w:bottom w:w="0" w:type="dxa"/>
            </w:tcMar>
            <w:vAlign w:val="center"/>
          </w:tcPr>
          <w:p>
            <w:pPr>
              <w:pStyle w:val="TableContents"/>
              <w:spacing w:before="0" w:after="0"/>
              <w:ind w:left="0" w:right="0" w:hanging="0"/>
              <w:jc w:val="both"/>
              <w:rPr/>
            </w:pPr>
            <w:r>
              <w:rPr/>
              <w:t> </w:t>
            </w:r>
          </w:p>
        </w:tc>
      </w:tr>
      <w:tr>
        <w:trPr/>
        <w:tc>
          <w:tcPr>
            <w:tcW w:w="937" w:type="dxa"/>
            <w:tcBorders/>
            <w:shd w:fill="CCEEFF" w:val="clear"/>
            <w:tcMar>
              <w:bottom w:w="0" w:type="dxa"/>
            </w:tcMar>
            <w:vAlign w:val="center"/>
          </w:tcPr>
          <w:p>
            <w:pPr>
              <w:pStyle w:val="TableContents"/>
              <w:spacing w:before="0" w:after="0"/>
              <w:ind w:left="0" w:right="0" w:hanging="0"/>
              <w:jc w:val="both"/>
              <w:rPr/>
            </w:pPr>
            <w:hyperlink r:id="rId21">
              <w:r>
                <w:rPr>
                  <w:rStyle w:val="InternetLink"/>
                </w:rPr>
                <w:t>10(i)</w:t>
              </w:r>
            </w:hyperlink>
          </w:p>
        </w:tc>
        <w:tc>
          <w:tcPr>
            <w:tcW w:w="90" w:type="dxa"/>
            <w:tcBorders/>
            <w:shd w:fill="CCEEFF" w:val="clear"/>
            <w:tcMar>
              <w:bottom w:w="0" w:type="dxa"/>
            </w:tcMar>
            <w:vAlign w:val="center"/>
          </w:tcPr>
          <w:p>
            <w:pPr>
              <w:pStyle w:val="TableContents"/>
              <w:spacing w:before="0" w:after="0"/>
              <w:ind w:left="0" w:right="0" w:hanging="0"/>
              <w:rPr/>
            </w:pPr>
            <w:r>
              <w:rPr/>
              <w:t> </w:t>
            </w:r>
          </w:p>
        </w:tc>
        <w:tc>
          <w:tcPr>
            <w:tcW w:w="9178" w:type="dxa"/>
            <w:tcBorders/>
            <w:shd w:fill="CCEEFF" w:val="clear"/>
            <w:tcMar>
              <w:bottom w:w="0" w:type="dxa"/>
            </w:tcMar>
            <w:vAlign w:val="center"/>
          </w:tcPr>
          <w:p>
            <w:pPr>
              <w:pStyle w:val="TableContents"/>
              <w:spacing w:before="0" w:after="0"/>
              <w:ind w:left="0" w:right="0" w:hanging="0"/>
              <w:jc w:val="both"/>
              <w:rPr/>
            </w:pPr>
            <w:hyperlink r:id="rId22">
              <w:r>
                <w:rPr>
                  <w:rStyle w:val="InternetLink"/>
                </w:rPr>
                <w:t>Deferred Compensation Plan, dated as of June 18, 2018 (incorporated by reference to Exhibit 10.1 to the Company’s Current Report on Form 8-K filed on June 20, 2018).</w:t>
              </w:r>
            </w:hyperlink>
          </w:p>
        </w:tc>
      </w:tr>
      <w:tr>
        <w:trPr/>
        <w:tc>
          <w:tcPr>
            <w:tcW w:w="937" w:type="dxa"/>
            <w:tcBorders/>
            <w:shd w:fill="FFFFFF" w:val="clear"/>
            <w:tcMar>
              <w:bottom w:w="0" w:type="dxa"/>
            </w:tcMar>
            <w:vAlign w:val="center"/>
          </w:tcPr>
          <w:p>
            <w:pPr>
              <w:pStyle w:val="TableContents"/>
              <w:spacing w:before="0" w:after="0"/>
              <w:ind w:left="0" w:right="0" w:hanging="0"/>
              <w:jc w:val="both"/>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178" w:type="dxa"/>
            <w:tcBorders/>
            <w:shd w:fill="FFFFFF" w:val="clear"/>
            <w:tcMar>
              <w:bottom w:w="0" w:type="dxa"/>
            </w:tcMar>
            <w:vAlign w:val="center"/>
          </w:tcPr>
          <w:p>
            <w:pPr>
              <w:pStyle w:val="TableContents"/>
              <w:spacing w:before="0" w:after="0"/>
              <w:ind w:left="0" w:right="0" w:hanging="0"/>
              <w:jc w:val="both"/>
              <w:rPr/>
            </w:pPr>
            <w:r>
              <w:rPr/>
              <w:t> </w:t>
            </w:r>
          </w:p>
        </w:tc>
      </w:tr>
      <w:tr>
        <w:trPr/>
        <w:tc>
          <w:tcPr>
            <w:tcW w:w="937" w:type="dxa"/>
            <w:tcBorders/>
            <w:shd w:fill="CCEEFF" w:val="clear"/>
            <w:tcMar>
              <w:bottom w:w="0" w:type="dxa"/>
            </w:tcMar>
            <w:vAlign w:val="center"/>
          </w:tcPr>
          <w:p>
            <w:pPr>
              <w:pStyle w:val="TableContents"/>
              <w:spacing w:before="0" w:after="0"/>
              <w:ind w:left="0" w:right="0" w:hanging="0"/>
              <w:jc w:val="both"/>
              <w:rPr/>
            </w:pPr>
            <w:hyperlink r:id="rId23">
              <w:r>
                <w:rPr>
                  <w:rStyle w:val="InternetLink"/>
                </w:rPr>
                <w:t>21</w:t>
              </w:r>
            </w:hyperlink>
          </w:p>
        </w:tc>
        <w:tc>
          <w:tcPr>
            <w:tcW w:w="90" w:type="dxa"/>
            <w:tcBorders/>
            <w:shd w:fill="CCEEFF" w:val="clear"/>
            <w:tcMar>
              <w:bottom w:w="0" w:type="dxa"/>
            </w:tcMar>
            <w:vAlign w:val="center"/>
          </w:tcPr>
          <w:p>
            <w:pPr>
              <w:pStyle w:val="TableContents"/>
              <w:spacing w:before="0" w:after="0"/>
              <w:ind w:left="0" w:right="0" w:hanging="0"/>
              <w:rPr/>
            </w:pPr>
            <w:r>
              <w:rPr/>
              <w:t> </w:t>
            </w:r>
          </w:p>
        </w:tc>
        <w:tc>
          <w:tcPr>
            <w:tcW w:w="9178" w:type="dxa"/>
            <w:tcBorders/>
            <w:shd w:fill="CCEEFF" w:val="clear"/>
            <w:tcMar>
              <w:bottom w:w="0" w:type="dxa"/>
            </w:tcMar>
            <w:vAlign w:val="center"/>
          </w:tcPr>
          <w:p>
            <w:pPr>
              <w:pStyle w:val="TableContents"/>
              <w:spacing w:before="0" w:after="0"/>
              <w:ind w:left="0" w:right="0" w:hanging="0"/>
              <w:jc w:val="both"/>
              <w:rPr/>
            </w:pPr>
            <w:hyperlink r:id="rId24">
              <w:r>
                <w:rPr>
                  <w:rStyle w:val="InternetLink"/>
                </w:rPr>
                <w:t>Subsidiaries (incorporated by reference to Exhibit 21 to the Company’s Annual Report on Form 10-K for the year ended December 31, 2016 filed on March 16, 2017).</w:t>
              </w:r>
            </w:hyperlink>
          </w:p>
        </w:tc>
      </w:tr>
      <w:tr>
        <w:trPr/>
        <w:tc>
          <w:tcPr>
            <w:tcW w:w="937" w:type="dxa"/>
            <w:tcBorders/>
            <w:shd w:fill="FFFFFF" w:val="clear"/>
            <w:tcMar>
              <w:bottom w:w="0" w:type="dxa"/>
            </w:tcMar>
            <w:vAlign w:val="center"/>
          </w:tcPr>
          <w:p>
            <w:pPr>
              <w:pStyle w:val="TableContents"/>
              <w:spacing w:before="0" w:after="0"/>
              <w:ind w:left="0" w:right="0" w:hanging="0"/>
              <w:jc w:val="both"/>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178" w:type="dxa"/>
            <w:tcBorders/>
            <w:shd w:fill="FFFFFF" w:val="clear"/>
            <w:tcMar>
              <w:bottom w:w="0" w:type="dxa"/>
            </w:tcMar>
            <w:vAlign w:val="center"/>
          </w:tcPr>
          <w:p>
            <w:pPr>
              <w:pStyle w:val="TableContents"/>
              <w:spacing w:before="0" w:after="0"/>
              <w:ind w:left="0" w:right="0" w:hanging="0"/>
              <w:jc w:val="both"/>
              <w:rPr/>
            </w:pPr>
            <w:r>
              <w:rPr/>
              <w:t> </w:t>
            </w:r>
          </w:p>
        </w:tc>
      </w:tr>
      <w:tr>
        <w:trPr/>
        <w:tc>
          <w:tcPr>
            <w:tcW w:w="937" w:type="dxa"/>
            <w:tcBorders/>
            <w:shd w:fill="CCEEFF" w:val="clear"/>
            <w:tcMar>
              <w:bottom w:w="0" w:type="dxa"/>
            </w:tcMar>
            <w:vAlign w:val="center"/>
          </w:tcPr>
          <w:p>
            <w:pPr>
              <w:pStyle w:val="TableContents"/>
              <w:spacing w:before="0" w:after="0"/>
              <w:ind w:left="0" w:right="0" w:hanging="0"/>
              <w:jc w:val="both"/>
              <w:rPr/>
            </w:pPr>
            <w:hyperlink r:id="rId25">
              <w:r>
                <w:rPr>
                  <w:rStyle w:val="InternetLink"/>
                </w:rPr>
                <w:t>23</w:t>
              </w:r>
            </w:hyperlink>
          </w:p>
        </w:tc>
        <w:tc>
          <w:tcPr>
            <w:tcW w:w="90" w:type="dxa"/>
            <w:tcBorders/>
            <w:shd w:fill="CCEEFF" w:val="clear"/>
            <w:tcMar>
              <w:bottom w:w="0" w:type="dxa"/>
            </w:tcMar>
            <w:vAlign w:val="center"/>
          </w:tcPr>
          <w:p>
            <w:pPr>
              <w:pStyle w:val="TableContents"/>
              <w:spacing w:before="0" w:after="0"/>
              <w:ind w:left="0" w:right="0" w:hanging="0"/>
              <w:rPr/>
            </w:pPr>
            <w:r>
              <w:rPr/>
              <w:t> </w:t>
            </w:r>
          </w:p>
        </w:tc>
        <w:tc>
          <w:tcPr>
            <w:tcW w:w="9178" w:type="dxa"/>
            <w:tcBorders/>
            <w:shd w:fill="CCEEFF" w:val="clear"/>
            <w:tcMar>
              <w:bottom w:w="0" w:type="dxa"/>
            </w:tcMar>
            <w:vAlign w:val="center"/>
          </w:tcPr>
          <w:p>
            <w:pPr>
              <w:pStyle w:val="TableContents"/>
              <w:spacing w:before="0" w:after="0"/>
              <w:ind w:left="0" w:right="0" w:hanging="0"/>
              <w:jc w:val="both"/>
              <w:rPr/>
            </w:pPr>
            <w:hyperlink r:id="rId26">
              <w:r>
                <w:rPr>
                  <w:rStyle w:val="InternetLink"/>
                </w:rPr>
                <w:t>Consent of Marcum LLP.</w:t>
              </w:r>
            </w:hyperlink>
          </w:p>
        </w:tc>
      </w:tr>
      <w:tr>
        <w:trPr/>
        <w:tc>
          <w:tcPr>
            <w:tcW w:w="937" w:type="dxa"/>
            <w:tcBorders/>
            <w:shd w:fill="FFFFFF" w:val="clear"/>
            <w:tcMar>
              <w:bottom w:w="0" w:type="dxa"/>
            </w:tcMar>
            <w:vAlign w:val="center"/>
          </w:tcPr>
          <w:p>
            <w:pPr>
              <w:pStyle w:val="TableContents"/>
              <w:spacing w:before="0" w:after="0"/>
              <w:ind w:left="0" w:right="0" w:hanging="0"/>
              <w:jc w:val="both"/>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178" w:type="dxa"/>
            <w:tcBorders/>
            <w:shd w:fill="FFFFFF" w:val="clear"/>
            <w:tcMar>
              <w:bottom w:w="0" w:type="dxa"/>
            </w:tcMar>
            <w:vAlign w:val="center"/>
          </w:tcPr>
          <w:p>
            <w:pPr>
              <w:pStyle w:val="TableContents"/>
              <w:spacing w:before="0" w:after="0"/>
              <w:ind w:left="0" w:right="0" w:hanging="0"/>
              <w:jc w:val="both"/>
              <w:rPr/>
            </w:pPr>
            <w:r>
              <w:rPr/>
              <w:t> </w:t>
            </w:r>
          </w:p>
        </w:tc>
      </w:tr>
      <w:tr>
        <w:trPr/>
        <w:tc>
          <w:tcPr>
            <w:tcW w:w="937" w:type="dxa"/>
            <w:tcBorders/>
            <w:shd w:fill="CCEEFF" w:val="clear"/>
            <w:tcMar>
              <w:bottom w:w="0" w:type="dxa"/>
            </w:tcMar>
            <w:vAlign w:val="center"/>
          </w:tcPr>
          <w:p>
            <w:pPr>
              <w:pStyle w:val="TableContents"/>
              <w:spacing w:before="0" w:after="0"/>
              <w:ind w:left="0" w:right="0" w:hanging="0"/>
              <w:jc w:val="both"/>
              <w:rPr/>
            </w:pPr>
            <w:hyperlink w:anchor="kins_ex31a.htm">
              <w:r>
                <w:rPr>
                  <w:rStyle w:val="InternetLink"/>
                </w:rPr>
                <w:t>31(a)</w:t>
              </w:r>
            </w:hyperlink>
          </w:p>
        </w:tc>
        <w:tc>
          <w:tcPr>
            <w:tcW w:w="90" w:type="dxa"/>
            <w:tcBorders/>
            <w:shd w:fill="CCEEFF" w:val="clear"/>
            <w:tcMar>
              <w:bottom w:w="0" w:type="dxa"/>
            </w:tcMar>
            <w:vAlign w:val="center"/>
          </w:tcPr>
          <w:p>
            <w:pPr>
              <w:pStyle w:val="TableContents"/>
              <w:spacing w:before="0" w:after="0"/>
              <w:ind w:left="0" w:right="0" w:hanging="0"/>
              <w:rPr/>
            </w:pPr>
            <w:r>
              <w:rPr/>
              <w:t> </w:t>
            </w:r>
          </w:p>
        </w:tc>
        <w:tc>
          <w:tcPr>
            <w:tcW w:w="9178" w:type="dxa"/>
            <w:tcBorders/>
            <w:shd w:fill="CCEEFF" w:val="clear"/>
            <w:tcMar>
              <w:bottom w:w="0" w:type="dxa"/>
            </w:tcMar>
            <w:vAlign w:val="center"/>
          </w:tcPr>
          <w:p>
            <w:pPr>
              <w:pStyle w:val="TableContents"/>
              <w:spacing w:before="0" w:after="0"/>
              <w:ind w:left="0" w:right="0" w:hanging="0"/>
              <w:jc w:val="both"/>
              <w:rPr/>
            </w:pPr>
            <w:hyperlink w:anchor="kins_ex31a.htm">
              <w:r>
                <w:rPr>
                  <w:rStyle w:val="InternetLink"/>
                </w:rPr>
                <w:t>Rule 13a-14(a)/15d-14(a) Certification of Principal Executive Officer as Adopted Pursuant to Section 302 of the Sarbanes-Oxley Act of 2002.</w:t>
              </w:r>
            </w:hyperlink>
          </w:p>
        </w:tc>
      </w:tr>
      <w:tr>
        <w:trPr/>
        <w:tc>
          <w:tcPr>
            <w:tcW w:w="937" w:type="dxa"/>
            <w:tcBorders/>
            <w:shd w:fill="FFFFFF" w:val="clear"/>
            <w:tcMar>
              <w:bottom w:w="0" w:type="dxa"/>
            </w:tcMar>
            <w:vAlign w:val="center"/>
          </w:tcPr>
          <w:p>
            <w:pPr>
              <w:pStyle w:val="TableContents"/>
              <w:spacing w:before="0" w:after="0"/>
              <w:ind w:left="0" w:right="0" w:hanging="0"/>
              <w:jc w:val="both"/>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178" w:type="dxa"/>
            <w:tcBorders/>
            <w:shd w:fill="FFFFFF" w:val="clear"/>
            <w:tcMar>
              <w:bottom w:w="0" w:type="dxa"/>
            </w:tcMar>
            <w:vAlign w:val="center"/>
          </w:tcPr>
          <w:p>
            <w:pPr>
              <w:pStyle w:val="TableContents"/>
              <w:spacing w:before="0" w:after="0"/>
              <w:ind w:left="0" w:right="0" w:hanging="0"/>
              <w:jc w:val="both"/>
              <w:rPr/>
            </w:pPr>
            <w:r>
              <w:rPr/>
              <w:t> </w:t>
            </w:r>
          </w:p>
        </w:tc>
      </w:tr>
      <w:tr>
        <w:trPr/>
        <w:tc>
          <w:tcPr>
            <w:tcW w:w="937" w:type="dxa"/>
            <w:tcBorders/>
            <w:shd w:fill="CCEEFF" w:val="clear"/>
            <w:tcMar>
              <w:bottom w:w="0" w:type="dxa"/>
            </w:tcMar>
            <w:vAlign w:val="center"/>
          </w:tcPr>
          <w:p>
            <w:pPr>
              <w:pStyle w:val="TableContents"/>
              <w:spacing w:before="0" w:after="0"/>
              <w:ind w:left="0" w:right="0" w:hanging="0"/>
              <w:jc w:val="both"/>
              <w:rPr/>
            </w:pPr>
            <w:hyperlink w:anchor="kins_ex31b.htm">
              <w:r>
                <w:rPr>
                  <w:rStyle w:val="InternetLink"/>
                </w:rPr>
                <w:t>31(b)</w:t>
              </w:r>
            </w:hyperlink>
          </w:p>
        </w:tc>
        <w:tc>
          <w:tcPr>
            <w:tcW w:w="90" w:type="dxa"/>
            <w:tcBorders/>
            <w:shd w:fill="CCEEFF" w:val="clear"/>
            <w:tcMar>
              <w:bottom w:w="0" w:type="dxa"/>
            </w:tcMar>
            <w:vAlign w:val="center"/>
          </w:tcPr>
          <w:p>
            <w:pPr>
              <w:pStyle w:val="TableContents"/>
              <w:spacing w:before="0" w:after="0"/>
              <w:ind w:left="0" w:right="0" w:hanging="0"/>
              <w:rPr/>
            </w:pPr>
            <w:r>
              <w:rPr/>
              <w:t> </w:t>
            </w:r>
          </w:p>
        </w:tc>
        <w:tc>
          <w:tcPr>
            <w:tcW w:w="9178" w:type="dxa"/>
            <w:tcBorders/>
            <w:shd w:fill="CCEEFF" w:val="clear"/>
            <w:tcMar>
              <w:bottom w:w="0" w:type="dxa"/>
            </w:tcMar>
            <w:vAlign w:val="center"/>
          </w:tcPr>
          <w:p>
            <w:pPr>
              <w:pStyle w:val="TableContents"/>
              <w:spacing w:before="0" w:after="0"/>
              <w:ind w:left="0" w:right="0" w:hanging="0"/>
              <w:jc w:val="both"/>
              <w:rPr/>
            </w:pPr>
            <w:hyperlink w:anchor="kins_ex31b.htm">
              <w:r>
                <w:rPr>
                  <w:rStyle w:val="InternetLink"/>
                </w:rPr>
                <w:t>Rule 13a-14(a)/15d-14(a) Certification of Principal Financial Officer as Adopted Pursuant to Section 302 of the Sarbanes-Oxley Act of 2002.</w:t>
              </w:r>
            </w:hyperlink>
          </w:p>
        </w:tc>
      </w:tr>
      <w:tr>
        <w:trPr/>
        <w:tc>
          <w:tcPr>
            <w:tcW w:w="937" w:type="dxa"/>
            <w:tcBorders/>
            <w:shd w:fill="FFFFFF" w:val="clear"/>
            <w:tcMar>
              <w:bottom w:w="0" w:type="dxa"/>
            </w:tcMar>
            <w:vAlign w:val="center"/>
          </w:tcPr>
          <w:p>
            <w:pPr>
              <w:pStyle w:val="TableContents"/>
              <w:spacing w:before="0" w:after="0"/>
              <w:ind w:left="0" w:right="0" w:hanging="0"/>
              <w:jc w:val="both"/>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178" w:type="dxa"/>
            <w:tcBorders/>
            <w:shd w:fill="FFFFFF" w:val="clear"/>
            <w:tcMar>
              <w:bottom w:w="0" w:type="dxa"/>
            </w:tcMar>
            <w:vAlign w:val="center"/>
          </w:tcPr>
          <w:p>
            <w:pPr>
              <w:pStyle w:val="TableContents"/>
              <w:spacing w:before="0" w:after="0"/>
              <w:ind w:left="0" w:right="0" w:hanging="0"/>
              <w:jc w:val="both"/>
              <w:rPr/>
            </w:pPr>
            <w:r>
              <w:rPr/>
              <w:t> </w:t>
            </w:r>
          </w:p>
        </w:tc>
      </w:tr>
      <w:tr>
        <w:trPr/>
        <w:tc>
          <w:tcPr>
            <w:tcW w:w="937" w:type="dxa"/>
            <w:tcBorders/>
            <w:shd w:fill="CCEEFF" w:val="clear"/>
            <w:tcMar>
              <w:bottom w:w="0" w:type="dxa"/>
            </w:tcMar>
            <w:vAlign w:val="center"/>
          </w:tcPr>
          <w:p>
            <w:pPr>
              <w:pStyle w:val="TableContents"/>
              <w:spacing w:before="0" w:after="0"/>
              <w:ind w:left="0" w:right="0" w:hanging="0"/>
              <w:jc w:val="both"/>
              <w:rPr/>
            </w:pPr>
            <w:hyperlink w:anchor="kins_ex32.htm">
              <w:r>
                <w:rPr>
                  <w:rStyle w:val="InternetLink"/>
                </w:rPr>
                <w:t>32</w:t>
              </w:r>
            </w:hyperlink>
          </w:p>
        </w:tc>
        <w:tc>
          <w:tcPr>
            <w:tcW w:w="90" w:type="dxa"/>
            <w:tcBorders/>
            <w:shd w:fill="CCEEFF" w:val="clear"/>
            <w:tcMar>
              <w:bottom w:w="0" w:type="dxa"/>
            </w:tcMar>
            <w:vAlign w:val="center"/>
          </w:tcPr>
          <w:p>
            <w:pPr>
              <w:pStyle w:val="TableContents"/>
              <w:spacing w:before="0" w:after="0"/>
              <w:ind w:left="0" w:right="0" w:hanging="0"/>
              <w:rPr/>
            </w:pPr>
            <w:r>
              <w:rPr/>
              <w:t> </w:t>
            </w:r>
          </w:p>
        </w:tc>
        <w:tc>
          <w:tcPr>
            <w:tcW w:w="9178" w:type="dxa"/>
            <w:tcBorders/>
            <w:shd w:fill="CCEEFF" w:val="clear"/>
            <w:tcMar>
              <w:bottom w:w="0" w:type="dxa"/>
            </w:tcMar>
            <w:vAlign w:val="center"/>
          </w:tcPr>
          <w:p>
            <w:pPr>
              <w:pStyle w:val="TableContents"/>
              <w:spacing w:before="0" w:after="0"/>
              <w:ind w:left="0" w:right="0" w:hanging="0"/>
              <w:jc w:val="both"/>
              <w:rPr/>
            </w:pPr>
            <w:hyperlink w:anchor="kins_ex32.htm">
              <w:r>
                <w:rPr>
                  <w:rStyle w:val="InternetLink"/>
                </w:rPr>
                <w:t>Certification of Chief Executive Officer and Chief Financial Officer Pursuant to 18 U.S.C. Section 1350, as Adopted Pursuant to Section 906 of the Sarbanes-Oxley Act of 2002.</w:t>
              </w:r>
            </w:hyperlink>
          </w:p>
        </w:tc>
      </w:tr>
      <w:tr>
        <w:trPr/>
        <w:tc>
          <w:tcPr>
            <w:tcW w:w="937" w:type="dxa"/>
            <w:tcBorders/>
            <w:shd w:fill="FFFFFF" w:val="clear"/>
            <w:tcMar>
              <w:bottom w:w="0" w:type="dxa"/>
            </w:tcMar>
            <w:vAlign w:val="center"/>
          </w:tcPr>
          <w:p>
            <w:pPr>
              <w:pStyle w:val="TableContents"/>
              <w:spacing w:before="0" w:after="0"/>
              <w:ind w:left="0" w:right="0" w:hanging="0"/>
              <w:jc w:val="both"/>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178" w:type="dxa"/>
            <w:tcBorders/>
            <w:shd w:fill="FFFFFF" w:val="clear"/>
            <w:tcMar>
              <w:bottom w:w="0" w:type="dxa"/>
            </w:tcMar>
            <w:vAlign w:val="center"/>
          </w:tcPr>
          <w:p>
            <w:pPr>
              <w:pStyle w:val="TableContents"/>
              <w:spacing w:before="0" w:after="0"/>
              <w:ind w:left="0" w:right="0" w:hanging="0"/>
              <w:jc w:val="both"/>
              <w:rPr/>
            </w:pPr>
            <w:r>
              <w:rPr/>
              <w:t> </w:t>
            </w:r>
          </w:p>
        </w:tc>
      </w:tr>
      <w:tr>
        <w:trPr/>
        <w:tc>
          <w:tcPr>
            <w:tcW w:w="937" w:type="dxa"/>
            <w:tcBorders/>
            <w:shd w:fill="CCEEFF" w:val="clear"/>
            <w:tcMar>
              <w:bottom w:w="0" w:type="dxa"/>
            </w:tcMar>
            <w:vAlign w:val="center"/>
          </w:tcPr>
          <w:p>
            <w:pPr>
              <w:pStyle w:val="TableContents"/>
              <w:spacing w:before="0" w:after="0"/>
              <w:ind w:left="0" w:right="0" w:hanging="0"/>
              <w:jc w:val="both"/>
              <w:rPr/>
            </w:pPr>
            <w:r>
              <w:rPr/>
              <w:t>101.INS</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178" w:type="dxa"/>
            <w:tcBorders/>
            <w:shd w:fill="CCEEFF" w:val="clear"/>
            <w:tcMar>
              <w:bottom w:w="0" w:type="dxa"/>
            </w:tcMar>
            <w:vAlign w:val="center"/>
          </w:tcPr>
          <w:p>
            <w:pPr>
              <w:pStyle w:val="TableContents"/>
              <w:spacing w:before="0" w:after="0"/>
              <w:ind w:left="0" w:right="0" w:hanging="0"/>
              <w:jc w:val="both"/>
              <w:rPr/>
            </w:pPr>
            <w:r>
              <w:rPr/>
              <w:t>XBRL Instance Document.</w:t>
            </w:r>
          </w:p>
        </w:tc>
      </w:tr>
      <w:tr>
        <w:trPr/>
        <w:tc>
          <w:tcPr>
            <w:tcW w:w="937" w:type="dxa"/>
            <w:tcBorders/>
            <w:shd w:fill="FFFFFF" w:val="clear"/>
            <w:tcMar>
              <w:bottom w:w="0" w:type="dxa"/>
            </w:tcMar>
            <w:vAlign w:val="center"/>
          </w:tcPr>
          <w:p>
            <w:pPr>
              <w:pStyle w:val="TableContents"/>
              <w:spacing w:before="0" w:after="0"/>
              <w:ind w:left="0" w:right="0" w:hanging="0"/>
              <w:jc w:val="both"/>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178" w:type="dxa"/>
            <w:tcBorders/>
            <w:shd w:fill="FFFFFF" w:val="clear"/>
            <w:tcMar>
              <w:bottom w:w="0" w:type="dxa"/>
            </w:tcMar>
            <w:vAlign w:val="center"/>
          </w:tcPr>
          <w:p>
            <w:pPr>
              <w:pStyle w:val="TableContents"/>
              <w:spacing w:before="0" w:after="0"/>
              <w:ind w:left="0" w:right="0" w:hanging="0"/>
              <w:jc w:val="both"/>
              <w:rPr/>
            </w:pPr>
            <w:r>
              <w:rPr/>
              <w:t> </w:t>
            </w:r>
          </w:p>
        </w:tc>
      </w:tr>
      <w:tr>
        <w:trPr/>
        <w:tc>
          <w:tcPr>
            <w:tcW w:w="937" w:type="dxa"/>
            <w:tcBorders/>
            <w:shd w:fill="CCEEFF" w:val="clear"/>
            <w:tcMar>
              <w:bottom w:w="0" w:type="dxa"/>
            </w:tcMar>
            <w:vAlign w:val="center"/>
          </w:tcPr>
          <w:p>
            <w:pPr>
              <w:pStyle w:val="TableContents"/>
              <w:spacing w:before="0" w:after="0"/>
              <w:ind w:left="0" w:right="0" w:hanging="0"/>
              <w:jc w:val="both"/>
              <w:rPr/>
            </w:pPr>
            <w:r>
              <w:rPr/>
              <w:t>101.SCH</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178" w:type="dxa"/>
            <w:tcBorders/>
            <w:shd w:fill="CCEEFF" w:val="clear"/>
            <w:tcMar>
              <w:bottom w:w="0" w:type="dxa"/>
            </w:tcMar>
            <w:vAlign w:val="center"/>
          </w:tcPr>
          <w:p>
            <w:pPr>
              <w:pStyle w:val="TableContents"/>
              <w:spacing w:before="0" w:after="0"/>
              <w:ind w:left="0" w:right="0" w:hanging="0"/>
              <w:jc w:val="both"/>
              <w:rPr/>
            </w:pPr>
            <w:r>
              <w:rPr/>
              <w:t>101.SCH XBRL Taxonomy Extension Schema.</w:t>
            </w:r>
          </w:p>
        </w:tc>
      </w:tr>
      <w:tr>
        <w:trPr/>
        <w:tc>
          <w:tcPr>
            <w:tcW w:w="937" w:type="dxa"/>
            <w:tcBorders/>
            <w:shd w:fill="FFFFFF" w:val="clear"/>
            <w:tcMar>
              <w:bottom w:w="0" w:type="dxa"/>
            </w:tcMar>
            <w:vAlign w:val="center"/>
          </w:tcPr>
          <w:p>
            <w:pPr>
              <w:pStyle w:val="TableContents"/>
              <w:spacing w:before="0" w:after="0"/>
              <w:ind w:left="0" w:right="0" w:hanging="0"/>
              <w:jc w:val="both"/>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178" w:type="dxa"/>
            <w:tcBorders/>
            <w:shd w:fill="FFFFFF" w:val="clear"/>
            <w:tcMar>
              <w:bottom w:w="0" w:type="dxa"/>
            </w:tcMar>
            <w:vAlign w:val="center"/>
          </w:tcPr>
          <w:p>
            <w:pPr>
              <w:pStyle w:val="TableContents"/>
              <w:spacing w:before="0" w:after="0"/>
              <w:ind w:left="0" w:right="0" w:hanging="0"/>
              <w:jc w:val="both"/>
              <w:rPr/>
            </w:pPr>
            <w:r>
              <w:rPr/>
              <w:t> </w:t>
            </w:r>
          </w:p>
        </w:tc>
      </w:tr>
      <w:tr>
        <w:trPr/>
        <w:tc>
          <w:tcPr>
            <w:tcW w:w="937" w:type="dxa"/>
            <w:tcBorders/>
            <w:shd w:fill="CCEEFF" w:val="clear"/>
            <w:tcMar>
              <w:bottom w:w="0" w:type="dxa"/>
            </w:tcMar>
            <w:vAlign w:val="center"/>
          </w:tcPr>
          <w:p>
            <w:pPr>
              <w:pStyle w:val="TableContents"/>
              <w:spacing w:before="0" w:after="0"/>
              <w:ind w:left="0" w:right="0" w:hanging="0"/>
              <w:jc w:val="both"/>
              <w:rPr/>
            </w:pPr>
            <w:r>
              <w:rPr/>
              <w:t>101.CAL</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178" w:type="dxa"/>
            <w:tcBorders/>
            <w:shd w:fill="CCEEFF" w:val="clear"/>
            <w:tcMar>
              <w:bottom w:w="0" w:type="dxa"/>
            </w:tcMar>
            <w:vAlign w:val="center"/>
          </w:tcPr>
          <w:p>
            <w:pPr>
              <w:pStyle w:val="TableContents"/>
              <w:spacing w:before="0" w:after="0"/>
              <w:ind w:left="0" w:right="0" w:hanging="0"/>
              <w:jc w:val="both"/>
              <w:rPr/>
            </w:pPr>
            <w:r>
              <w:rPr/>
              <w:t>101.CAL XBRL Taxonomy Extension Calculation Linkbase.</w:t>
            </w:r>
          </w:p>
        </w:tc>
      </w:tr>
      <w:tr>
        <w:trPr/>
        <w:tc>
          <w:tcPr>
            <w:tcW w:w="937" w:type="dxa"/>
            <w:tcBorders/>
            <w:shd w:fill="FFFFFF" w:val="clear"/>
            <w:tcMar>
              <w:bottom w:w="0" w:type="dxa"/>
            </w:tcMar>
            <w:vAlign w:val="center"/>
          </w:tcPr>
          <w:p>
            <w:pPr>
              <w:pStyle w:val="TableContents"/>
              <w:spacing w:before="0" w:after="0"/>
              <w:ind w:left="0" w:right="0" w:hanging="0"/>
              <w:jc w:val="both"/>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178" w:type="dxa"/>
            <w:tcBorders/>
            <w:shd w:fill="FFFFFF" w:val="clear"/>
            <w:tcMar>
              <w:bottom w:w="0" w:type="dxa"/>
            </w:tcMar>
            <w:vAlign w:val="center"/>
          </w:tcPr>
          <w:p>
            <w:pPr>
              <w:pStyle w:val="TableContents"/>
              <w:spacing w:before="0" w:after="0"/>
              <w:ind w:left="0" w:right="0" w:hanging="0"/>
              <w:jc w:val="both"/>
              <w:rPr/>
            </w:pPr>
            <w:r>
              <w:rPr/>
              <w:t> </w:t>
            </w:r>
          </w:p>
        </w:tc>
      </w:tr>
      <w:tr>
        <w:trPr/>
        <w:tc>
          <w:tcPr>
            <w:tcW w:w="937" w:type="dxa"/>
            <w:tcBorders/>
            <w:shd w:fill="CCEEFF" w:val="clear"/>
            <w:tcMar>
              <w:bottom w:w="0" w:type="dxa"/>
            </w:tcMar>
            <w:vAlign w:val="center"/>
          </w:tcPr>
          <w:p>
            <w:pPr>
              <w:pStyle w:val="TableContents"/>
              <w:spacing w:before="0" w:after="0"/>
              <w:ind w:left="0" w:right="0" w:hanging="0"/>
              <w:jc w:val="both"/>
              <w:rPr/>
            </w:pPr>
            <w:r>
              <w:rPr/>
              <w:t>101.DEF</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178" w:type="dxa"/>
            <w:tcBorders/>
            <w:shd w:fill="CCEEFF" w:val="clear"/>
            <w:tcMar>
              <w:bottom w:w="0" w:type="dxa"/>
            </w:tcMar>
            <w:vAlign w:val="center"/>
          </w:tcPr>
          <w:p>
            <w:pPr>
              <w:pStyle w:val="TableContents"/>
              <w:spacing w:before="0" w:after="0"/>
              <w:ind w:left="0" w:right="0" w:hanging="0"/>
              <w:jc w:val="both"/>
              <w:rPr/>
            </w:pPr>
            <w:r>
              <w:rPr/>
              <w:t>101.DEF XBRL Taxonomy Extension Definition Linkbase.</w:t>
            </w:r>
          </w:p>
        </w:tc>
      </w:tr>
      <w:tr>
        <w:trPr/>
        <w:tc>
          <w:tcPr>
            <w:tcW w:w="937" w:type="dxa"/>
            <w:tcBorders/>
            <w:shd w:fill="FFFFFF" w:val="clear"/>
            <w:tcMar>
              <w:bottom w:w="0" w:type="dxa"/>
            </w:tcMar>
            <w:vAlign w:val="center"/>
          </w:tcPr>
          <w:p>
            <w:pPr>
              <w:pStyle w:val="TableContents"/>
              <w:spacing w:before="0" w:after="0"/>
              <w:ind w:left="0" w:right="0" w:hanging="0"/>
              <w:jc w:val="both"/>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178" w:type="dxa"/>
            <w:tcBorders/>
            <w:shd w:fill="FFFFFF" w:val="clear"/>
            <w:tcMar>
              <w:bottom w:w="0" w:type="dxa"/>
            </w:tcMar>
            <w:vAlign w:val="center"/>
          </w:tcPr>
          <w:p>
            <w:pPr>
              <w:pStyle w:val="TableContents"/>
              <w:spacing w:before="0" w:after="0"/>
              <w:ind w:left="0" w:right="0" w:hanging="0"/>
              <w:jc w:val="both"/>
              <w:rPr/>
            </w:pPr>
            <w:r>
              <w:rPr/>
              <w:t> </w:t>
            </w:r>
          </w:p>
        </w:tc>
      </w:tr>
      <w:tr>
        <w:trPr/>
        <w:tc>
          <w:tcPr>
            <w:tcW w:w="937" w:type="dxa"/>
            <w:tcBorders/>
            <w:shd w:fill="CCEEFF" w:val="clear"/>
            <w:tcMar>
              <w:bottom w:w="0" w:type="dxa"/>
            </w:tcMar>
            <w:vAlign w:val="center"/>
          </w:tcPr>
          <w:p>
            <w:pPr>
              <w:pStyle w:val="TableContents"/>
              <w:spacing w:before="0" w:after="0"/>
              <w:ind w:left="0" w:right="0" w:hanging="0"/>
              <w:jc w:val="both"/>
              <w:rPr/>
            </w:pPr>
            <w:r>
              <w:rPr/>
              <w:t>101.LAB</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178" w:type="dxa"/>
            <w:tcBorders/>
            <w:shd w:fill="CCEEFF" w:val="clear"/>
            <w:tcMar>
              <w:bottom w:w="0" w:type="dxa"/>
            </w:tcMar>
            <w:vAlign w:val="center"/>
          </w:tcPr>
          <w:p>
            <w:pPr>
              <w:pStyle w:val="TableContents"/>
              <w:spacing w:before="0" w:after="0"/>
              <w:ind w:left="0" w:right="0" w:hanging="0"/>
              <w:jc w:val="both"/>
              <w:rPr/>
            </w:pPr>
            <w:r>
              <w:rPr/>
              <w:t>101.LAB XBRL Taxonomy Extension Label Linkbase.</w:t>
            </w:r>
          </w:p>
        </w:tc>
      </w:tr>
      <w:tr>
        <w:trPr/>
        <w:tc>
          <w:tcPr>
            <w:tcW w:w="937" w:type="dxa"/>
            <w:tcBorders/>
            <w:shd w:fill="FFFFFF" w:val="clear"/>
            <w:tcMar>
              <w:bottom w:w="0" w:type="dxa"/>
            </w:tcMar>
            <w:vAlign w:val="center"/>
          </w:tcPr>
          <w:p>
            <w:pPr>
              <w:pStyle w:val="TableContents"/>
              <w:spacing w:before="0" w:after="0"/>
              <w:ind w:left="0" w:right="0" w:hanging="0"/>
              <w:jc w:val="both"/>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178" w:type="dxa"/>
            <w:tcBorders/>
            <w:shd w:fill="FFFFFF" w:val="clear"/>
            <w:tcMar>
              <w:bottom w:w="0" w:type="dxa"/>
            </w:tcMar>
            <w:vAlign w:val="center"/>
          </w:tcPr>
          <w:p>
            <w:pPr>
              <w:pStyle w:val="TableContents"/>
              <w:spacing w:before="0" w:after="0"/>
              <w:ind w:left="0" w:right="0" w:hanging="0"/>
              <w:jc w:val="both"/>
              <w:rPr/>
            </w:pPr>
            <w:r>
              <w:rPr/>
              <w:t> </w:t>
            </w:r>
          </w:p>
        </w:tc>
      </w:tr>
      <w:tr>
        <w:trPr/>
        <w:tc>
          <w:tcPr>
            <w:tcW w:w="937" w:type="dxa"/>
            <w:tcBorders/>
            <w:shd w:fill="CCEEFF" w:val="clear"/>
            <w:tcMar>
              <w:bottom w:w="0" w:type="dxa"/>
            </w:tcMar>
            <w:vAlign w:val="center"/>
          </w:tcPr>
          <w:p>
            <w:pPr>
              <w:pStyle w:val="TableContents"/>
              <w:spacing w:before="0" w:after="0"/>
              <w:ind w:left="0" w:right="0" w:hanging="0"/>
              <w:jc w:val="both"/>
              <w:rPr/>
            </w:pPr>
            <w:r>
              <w:rPr/>
              <w:t>101.PRE</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178" w:type="dxa"/>
            <w:tcBorders/>
            <w:shd w:fill="CCEEFF" w:val="clear"/>
            <w:tcMar>
              <w:bottom w:w="0" w:type="dxa"/>
            </w:tcMar>
            <w:vAlign w:val="center"/>
          </w:tcPr>
          <w:p>
            <w:pPr>
              <w:pStyle w:val="TableContents"/>
              <w:spacing w:before="0" w:after="0"/>
              <w:ind w:left="0" w:right="0" w:hanging="0"/>
              <w:jc w:val="both"/>
              <w:rPr/>
            </w:pPr>
            <w:r>
              <w:rPr/>
              <w:t>101.PRE XBRL Taxonomy Extension Presentation Linkbase.</w:t>
            </w:r>
          </w:p>
        </w:tc>
      </w:tr>
    </w:tbl>
    <w:p>
      <w:pPr>
        <w:pStyle w:val="TextBody"/>
        <w:spacing w:before="0" w:after="0"/>
        <w:ind w:left="0" w:right="0" w:hanging="0"/>
        <w:jc w:val="both"/>
        <w:rPr/>
      </w:pPr>
      <w:r>
        <w:rPr/>
        <w:t> </w:t>
      </w:r>
    </w:p>
    <w:p>
      <w:pPr>
        <w:pStyle w:val="TextBody"/>
        <w:spacing w:before="0" w:after="0"/>
        <w:ind w:left="0" w:right="0" w:hanging="0"/>
        <w:jc w:val="both"/>
        <w:rPr/>
      </w:pPr>
      <w:bookmarkStart w:id="21" w:name="i16"/>
      <w:bookmarkEnd w:id="21"/>
      <w:r>
        <w:rPr>
          <w:rStyle w:val="StrongEmphasis"/>
          <w:rFonts w:ascii="times new roman" w:hAnsi="times new roman"/>
          <w:sz w:val="20"/>
          <w:u w:val="single"/>
        </w:rPr>
        <w:t>ITEM 16</w:t>
      </w:r>
      <w:r>
        <w:rPr>
          <w:rStyle w:val="StrongEmphasis"/>
          <w:rFonts w:ascii="times new roman" w:hAnsi="times new roman"/>
          <w:sz w:val="20"/>
        </w:rPr>
        <w:t xml:space="preserve">. </w:t>
      </w:r>
      <w:r>
        <w:rPr>
          <w:rStyle w:val="StrongEmphasis"/>
          <w:rFonts w:ascii="times new roman" w:hAnsi="times new roman"/>
          <w:sz w:val="20"/>
          <w:u w:val="single"/>
        </w:rPr>
        <w:t>FORM 10-K SUMMARY</w:t>
      </w:r>
      <w:r>
        <w:rPr>
          <w:rStyle w:val="StrongEmphasis"/>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Not applicable.</w:t>
      </w:r>
      <w:r>
        <w:rPr>
          <w:rStyle w:val="StrongEmphasis"/>
          <w:rFonts w:ascii="times new roman" w:hAnsi="times new roman"/>
          <w:sz w:val="20"/>
          <w:u w:val="single"/>
        </w:rPr>
        <w:t xml:space="preserve">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78</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u w:val="single"/>
        </w:rPr>
        <w:t>SIGNATURES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Pursuant to the requirements of Section 13 or 15(d) of the Securities Exchange Act of 1934, the registrant has duly caused this report to be signed on its behalf by the undersigned, there-unto duly authorized.</w:t>
      </w:r>
    </w:p>
    <w:p>
      <w:pPr>
        <w:pStyle w:val="TextBody"/>
        <w:spacing w:before="0" w:after="0"/>
        <w:ind w:left="0" w:right="0" w:hanging="0"/>
        <w:jc w:val="both"/>
        <w:rPr/>
      </w:pPr>
      <w:r>
        <w:rPr/>
        <w:t> </w:t>
      </w:r>
    </w:p>
    <w:tbl>
      <w:tblPr>
        <w:tblW w:w="6144" w:type="dxa"/>
        <w:jc w:val="left"/>
        <w:tblInd w:w="0" w:type="dxa"/>
        <w:tblCellMar>
          <w:top w:w="0" w:type="dxa"/>
          <w:left w:w="0" w:type="dxa"/>
          <w:bottom w:w="0" w:type="dxa"/>
          <w:right w:w="0" w:type="dxa"/>
        </w:tblCellMar>
      </w:tblPr>
      <w:tblGrid>
        <w:gridCol w:w="2270"/>
        <w:gridCol w:w="545"/>
        <w:gridCol w:w="3194"/>
        <w:gridCol w:w="135"/>
      </w:tblGrid>
      <w:tr>
        <w:trPr/>
        <w:tc>
          <w:tcPr>
            <w:tcW w:w="2270" w:type="dxa"/>
            <w:tcBorders/>
            <w:shd w:fill="auto" w:val="clear"/>
            <w:vAlign w:val="center"/>
          </w:tcPr>
          <w:p>
            <w:pPr>
              <w:pStyle w:val="TableContents"/>
              <w:spacing w:before="0" w:after="0"/>
              <w:ind w:left="0" w:right="0" w:hanging="0"/>
              <w:jc w:val="both"/>
              <w:rPr/>
            </w:pPr>
            <w:r>
              <w:rPr/>
              <w:t> </w:t>
            </w:r>
          </w:p>
        </w:tc>
        <w:tc>
          <w:tcPr>
            <w:tcW w:w="3739" w:type="dxa"/>
            <w:gridSpan w:val="2"/>
            <w:tcBorders/>
            <w:shd w:fill="auto" w:val="clear"/>
            <w:vAlign w:val="center"/>
          </w:tcPr>
          <w:p>
            <w:pPr>
              <w:pStyle w:val="TableContents"/>
              <w:spacing w:before="0" w:after="0"/>
              <w:ind w:left="0" w:right="0" w:hanging="0"/>
              <w:rPr/>
            </w:pPr>
            <w:r>
              <w:rPr>
                <w:rStyle w:val="StrongEmphasis"/>
              </w:rPr>
              <w:t xml:space="preserve">KINGSTONE COMPANIES, INC. </w:t>
            </w:r>
          </w:p>
        </w:tc>
        <w:tc>
          <w:tcPr>
            <w:tcW w:w="135" w:type="dxa"/>
            <w:tcBorders/>
            <w:shd w:fill="auto" w:val="clear"/>
            <w:vAlign w:val="center"/>
          </w:tcPr>
          <w:p>
            <w:pPr>
              <w:pStyle w:val="TableContents"/>
              <w:spacing w:before="0" w:after="0"/>
              <w:ind w:left="0" w:right="0" w:hanging="0"/>
              <w:rPr/>
            </w:pPr>
            <w:r>
              <w:rPr/>
              <w:t> </w:t>
            </w:r>
          </w:p>
        </w:tc>
      </w:tr>
      <w:tr>
        <w:trPr/>
        <w:tc>
          <w:tcPr>
            <w:tcW w:w="2270" w:type="dxa"/>
            <w:tcBorders/>
            <w:shd w:fill="auto" w:val="clear"/>
            <w:vAlign w:val="center"/>
          </w:tcPr>
          <w:p>
            <w:pPr>
              <w:pStyle w:val="TableContents"/>
              <w:spacing w:before="0" w:after="0"/>
              <w:ind w:left="0" w:right="0" w:hanging="0"/>
              <w:rPr/>
            </w:pPr>
            <w:r>
              <w:rPr/>
              <w:t> </w:t>
            </w:r>
          </w:p>
        </w:tc>
        <w:tc>
          <w:tcPr>
            <w:tcW w:w="545" w:type="dxa"/>
            <w:tcBorders/>
            <w:shd w:fill="auto" w:val="clear"/>
            <w:vAlign w:val="center"/>
          </w:tcPr>
          <w:p>
            <w:pPr>
              <w:pStyle w:val="TableContents"/>
              <w:spacing w:before="0" w:after="0"/>
              <w:ind w:left="0" w:right="0" w:hanging="0"/>
              <w:rPr/>
            </w:pPr>
            <w:r>
              <w:rPr/>
              <w:t> </w:t>
            </w:r>
          </w:p>
        </w:tc>
        <w:tc>
          <w:tcPr>
            <w:tcW w:w="3194" w:type="dxa"/>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2270" w:type="dxa"/>
            <w:tcBorders/>
            <w:shd w:fill="auto" w:val="clear"/>
            <w:vAlign w:val="center"/>
          </w:tcPr>
          <w:p>
            <w:pPr>
              <w:pStyle w:val="TableContents"/>
              <w:spacing w:before="0" w:after="0"/>
              <w:ind w:left="0" w:right="0" w:hanging="0"/>
              <w:jc w:val="both"/>
              <w:rPr/>
            </w:pPr>
            <w:r>
              <w:rPr/>
              <w:t>Dated: March 31, 2021</w:t>
            </w:r>
          </w:p>
        </w:tc>
        <w:tc>
          <w:tcPr>
            <w:tcW w:w="545" w:type="dxa"/>
            <w:tcBorders/>
            <w:shd w:fill="auto" w:val="clear"/>
            <w:vAlign w:val="center"/>
          </w:tcPr>
          <w:p>
            <w:pPr>
              <w:pStyle w:val="TableContents"/>
              <w:spacing w:before="0" w:after="0"/>
              <w:ind w:left="0" w:right="0" w:hanging="0"/>
              <w:rPr/>
            </w:pPr>
            <w:r>
              <w:rPr/>
              <w:t>By:</w:t>
            </w:r>
          </w:p>
        </w:tc>
        <w:tc>
          <w:tcPr>
            <w:tcW w:w="3194" w:type="dxa"/>
            <w:tcBorders>
              <w:bottom w:val="single" w:sz="2" w:space="0" w:color="000000"/>
            </w:tcBorders>
            <w:shd w:fill="auto" w:val="clear"/>
            <w:tcMar>
              <w:bottom w:w="28" w:type="dxa"/>
            </w:tcMar>
            <w:vAlign w:val="center"/>
          </w:tcPr>
          <w:p>
            <w:pPr>
              <w:pStyle w:val="TableContents"/>
              <w:spacing w:before="0" w:after="0"/>
              <w:ind w:left="0" w:right="0" w:hanging="0"/>
              <w:jc w:val="both"/>
              <w:rPr/>
            </w:pPr>
            <w:r>
              <w:rPr/>
              <w:t>/s/ Barry B. Goldstein</w:t>
            </w:r>
          </w:p>
        </w:tc>
        <w:tc>
          <w:tcPr>
            <w:tcW w:w="135" w:type="dxa"/>
            <w:tcBorders/>
            <w:shd w:fill="auto" w:val="clear"/>
            <w:vAlign w:val="center"/>
          </w:tcPr>
          <w:p>
            <w:pPr>
              <w:pStyle w:val="TableContents"/>
              <w:spacing w:before="0" w:after="0"/>
              <w:ind w:left="0" w:right="0" w:hanging="0"/>
              <w:rPr/>
            </w:pPr>
            <w:r>
              <w:rPr/>
              <w:t> </w:t>
            </w:r>
          </w:p>
        </w:tc>
      </w:tr>
      <w:tr>
        <w:trPr/>
        <w:tc>
          <w:tcPr>
            <w:tcW w:w="2270" w:type="dxa"/>
            <w:tcBorders/>
            <w:shd w:fill="auto" w:val="clear"/>
            <w:vAlign w:val="center"/>
          </w:tcPr>
          <w:p>
            <w:pPr>
              <w:pStyle w:val="TableContents"/>
              <w:spacing w:before="0" w:after="0"/>
              <w:ind w:left="0" w:right="0" w:hanging="0"/>
              <w:rPr/>
            </w:pPr>
            <w:r>
              <w:rPr/>
              <w:t> </w:t>
            </w:r>
          </w:p>
        </w:tc>
        <w:tc>
          <w:tcPr>
            <w:tcW w:w="545" w:type="dxa"/>
            <w:tcBorders/>
            <w:shd w:fill="auto" w:val="clear"/>
            <w:vAlign w:val="center"/>
          </w:tcPr>
          <w:p>
            <w:pPr>
              <w:pStyle w:val="TableContents"/>
              <w:spacing w:before="0" w:after="0"/>
              <w:ind w:left="0" w:right="0" w:hanging="0"/>
              <w:rPr/>
            </w:pPr>
            <w:r>
              <w:rPr/>
              <w:t> </w:t>
            </w:r>
          </w:p>
        </w:tc>
        <w:tc>
          <w:tcPr>
            <w:tcW w:w="3194" w:type="dxa"/>
            <w:tcBorders/>
            <w:shd w:fill="auto" w:val="clear"/>
            <w:vAlign w:val="center"/>
          </w:tcPr>
          <w:p>
            <w:pPr>
              <w:pStyle w:val="TableContents"/>
              <w:spacing w:before="0" w:after="0"/>
              <w:ind w:left="0" w:right="0" w:hanging="0"/>
              <w:rPr/>
            </w:pPr>
            <w:r>
              <w:rPr/>
              <w:t xml:space="preserve">Barry B. Goldstein </w:t>
            </w:r>
          </w:p>
          <w:p>
            <w:pPr>
              <w:pStyle w:val="TableContents"/>
              <w:spacing w:before="0" w:after="0"/>
              <w:ind w:left="0" w:right="0" w:hanging="0"/>
              <w:jc w:val="both"/>
              <w:rPr/>
            </w:pPr>
            <w:r>
              <w:rPr/>
              <w:t>Chief Executive Officer</w:t>
            </w:r>
          </w:p>
        </w:tc>
        <w:tc>
          <w:tcPr>
            <w:tcW w:w="135" w:type="dxa"/>
            <w:tcBorders/>
            <w:shd w:fill="auto"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Pursuant to the requirements of the Securities Exchange Act of 1934, this report has been signed below by the following persons on behalf of the registrant and in the capacities and on the dates indicated.</w:t>
      </w:r>
    </w:p>
    <w:p>
      <w:pPr>
        <w:pStyle w:val="TextBody"/>
        <w:spacing w:before="0" w:after="0"/>
        <w:ind w:left="0" w:right="0" w:hanging="0"/>
        <w:jc w:val="both"/>
        <w:rPr/>
      </w:pPr>
      <w:r>
        <w:rPr/>
        <w:t> </w:t>
      </w:r>
    </w:p>
    <w:tbl>
      <w:tblPr>
        <w:tblW w:w="8550" w:type="dxa"/>
        <w:jc w:val="left"/>
        <w:tblInd w:w="0" w:type="dxa"/>
        <w:tblCellMar>
          <w:top w:w="0" w:type="dxa"/>
          <w:left w:w="0" w:type="dxa"/>
          <w:bottom w:w="0" w:type="dxa"/>
          <w:right w:w="0" w:type="dxa"/>
        </w:tblCellMar>
      </w:tblPr>
      <w:tblGrid>
        <w:gridCol w:w="2480"/>
        <w:gridCol w:w="90"/>
        <w:gridCol w:w="4280"/>
        <w:gridCol w:w="90"/>
        <w:gridCol w:w="1610"/>
      </w:tblGrid>
      <w:tr>
        <w:trPr/>
        <w:tc>
          <w:tcPr>
            <w:tcW w:w="2480" w:type="dxa"/>
            <w:tcBorders/>
            <w:shd w:fill="auto" w:val="clear"/>
            <w:vAlign w:val="center"/>
          </w:tcPr>
          <w:p>
            <w:pPr>
              <w:pStyle w:val="TableContents"/>
              <w:spacing w:before="0" w:after="0"/>
              <w:ind w:left="0" w:right="0" w:hanging="0"/>
              <w:jc w:val="center"/>
              <w:rPr/>
            </w:pPr>
            <w:r>
              <w:rPr>
                <w:rStyle w:val="StrongEmphasis"/>
                <w:u w:val="single"/>
              </w:rPr>
              <w:t>Signature</w:t>
            </w:r>
          </w:p>
        </w:tc>
        <w:tc>
          <w:tcPr>
            <w:tcW w:w="90" w:type="dxa"/>
            <w:tcBorders/>
            <w:shd w:fill="auto" w:val="clear"/>
            <w:vAlign w:val="center"/>
          </w:tcPr>
          <w:p>
            <w:pPr>
              <w:pStyle w:val="TableContents"/>
              <w:spacing w:before="0" w:after="0"/>
              <w:ind w:left="0" w:right="0" w:hanging="0"/>
              <w:rPr/>
            </w:pPr>
            <w:r>
              <w:rPr>
                <w:rStyle w:val="StrongEmphasis"/>
              </w:rPr>
              <w:t> </w:t>
            </w:r>
          </w:p>
        </w:tc>
        <w:tc>
          <w:tcPr>
            <w:tcW w:w="4280" w:type="dxa"/>
            <w:tcBorders/>
            <w:shd w:fill="auto" w:val="clear"/>
            <w:vAlign w:val="center"/>
          </w:tcPr>
          <w:p>
            <w:pPr>
              <w:pStyle w:val="TableContents"/>
              <w:spacing w:before="0" w:after="0"/>
              <w:ind w:left="0" w:right="0" w:hanging="0"/>
              <w:jc w:val="center"/>
              <w:rPr/>
            </w:pPr>
            <w:r>
              <w:rPr>
                <w:rStyle w:val="StrongEmphasis"/>
                <w:u w:val="single"/>
              </w:rPr>
              <w:t>Capacity</w:t>
            </w:r>
          </w:p>
        </w:tc>
        <w:tc>
          <w:tcPr>
            <w:tcW w:w="90" w:type="dxa"/>
            <w:tcBorders/>
            <w:shd w:fill="auto" w:val="clear"/>
            <w:vAlign w:val="center"/>
          </w:tcPr>
          <w:p>
            <w:pPr>
              <w:pStyle w:val="TableContents"/>
              <w:spacing w:before="0" w:after="0"/>
              <w:ind w:left="0" w:right="0" w:hanging="0"/>
              <w:rPr/>
            </w:pPr>
            <w:r>
              <w:rPr>
                <w:rStyle w:val="StrongEmphasis"/>
              </w:rPr>
              <w:t> </w:t>
            </w:r>
          </w:p>
        </w:tc>
        <w:tc>
          <w:tcPr>
            <w:tcW w:w="1610" w:type="dxa"/>
            <w:tcBorders/>
            <w:shd w:fill="auto" w:val="clear"/>
            <w:vAlign w:val="center"/>
          </w:tcPr>
          <w:p>
            <w:pPr>
              <w:pStyle w:val="TableContents"/>
              <w:spacing w:before="0" w:after="0"/>
              <w:ind w:left="0" w:right="0" w:hanging="0"/>
              <w:jc w:val="center"/>
              <w:rPr/>
            </w:pPr>
            <w:r>
              <w:rPr>
                <w:rStyle w:val="StrongEmphasis"/>
                <w:u w:val="single"/>
              </w:rPr>
              <w:t>Date</w:t>
            </w:r>
          </w:p>
        </w:tc>
      </w:tr>
      <w:tr>
        <w:trPr/>
        <w:tc>
          <w:tcPr>
            <w:tcW w:w="248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428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610" w:type="dxa"/>
            <w:tcBorders/>
            <w:shd w:fill="auto" w:val="clear"/>
            <w:vAlign w:val="center"/>
          </w:tcPr>
          <w:p>
            <w:pPr>
              <w:pStyle w:val="TableContents"/>
              <w:spacing w:before="0" w:after="0"/>
              <w:ind w:left="0" w:right="0" w:hanging="0"/>
              <w:rPr/>
            </w:pPr>
            <w:r>
              <w:rPr/>
              <w:t> </w:t>
            </w:r>
          </w:p>
        </w:tc>
      </w:tr>
      <w:tr>
        <w:trPr/>
        <w:tc>
          <w:tcPr>
            <w:tcW w:w="2480" w:type="dxa"/>
            <w:tcBorders/>
            <w:shd w:fill="auto" w:val="clear"/>
            <w:vAlign w:val="center"/>
          </w:tcPr>
          <w:p>
            <w:pPr>
              <w:pStyle w:val="TableContents"/>
              <w:spacing w:before="0" w:after="0"/>
              <w:ind w:left="0" w:right="0" w:hanging="0"/>
              <w:jc w:val="both"/>
              <w:rPr/>
            </w:pPr>
            <w:r>
              <w:rPr/>
              <w:t> </w:t>
            </w:r>
          </w:p>
        </w:tc>
        <w:tc>
          <w:tcPr>
            <w:tcW w:w="90" w:type="dxa"/>
            <w:tcBorders/>
            <w:shd w:fill="auto" w:val="clear"/>
            <w:vAlign w:val="center"/>
          </w:tcPr>
          <w:p>
            <w:pPr>
              <w:pStyle w:val="TableContents"/>
              <w:spacing w:before="0" w:after="0"/>
              <w:ind w:left="0" w:right="0" w:hanging="0"/>
              <w:rPr/>
            </w:pPr>
            <w:r>
              <w:rPr/>
              <w:t> </w:t>
            </w:r>
          </w:p>
        </w:tc>
        <w:tc>
          <w:tcPr>
            <w:tcW w:w="428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610" w:type="dxa"/>
            <w:tcBorders/>
            <w:shd w:fill="auto" w:val="clear"/>
            <w:vAlign w:val="center"/>
          </w:tcPr>
          <w:p>
            <w:pPr>
              <w:pStyle w:val="TableContents"/>
              <w:spacing w:before="0" w:after="0"/>
              <w:ind w:left="0" w:right="0" w:hanging="0"/>
              <w:jc w:val="both"/>
              <w:rPr/>
            </w:pPr>
            <w:r>
              <w:rPr/>
              <w:t> </w:t>
            </w:r>
          </w:p>
        </w:tc>
      </w:tr>
      <w:tr>
        <w:trPr/>
        <w:tc>
          <w:tcPr>
            <w:tcW w:w="2480" w:type="dxa"/>
            <w:tcBorders>
              <w:bottom w:val="single" w:sz="2" w:space="0" w:color="000000"/>
            </w:tcBorders>
            <w:shd w:fill="auto" w:val="clear"/>
            <w:tcMar>
              <w:bottom w:w="28" w:type="dxa"/>
            </w:tcMar>
            <w:vAlign w:val="center"/>
          </w:tcPr>
          <w:p>
            <w:pPr>
              <w:pStyle w:val="TableContents"/>
              <w:spacing w:before="0" w:after="0"/>
              <w:ind w:left="0" w:right="0" w:hanging="0"/>
              <w:rPr/>
            </w:pPr>
            <w:r>
              <w:rPr/>
              <w:t>/s/ Barry B. Goldstein</w:t>
            </w:r>
          </w:p>
        </w:tc>
        <w:tc>
          <w:tcPr>
            <w:tcW w:w="90" w:type="dxa"/>
            <w:tcBorders/>
            <w:shd w:fill="auto" w:val="clear"/>
            <w:vAlign w:val="center"/>
          </w:tcPr>
          <w:p>
            <w:pPr>
              <w:pStyle w:val="TableContents"/>
              <w:spacing w:before="0" w:after="0"/>
              <w:ind w:left="0" w:right="0" w:hanging="0"/>
              <w:rPr/>
            </w:pPr>
            <w:r>
              <w:rPr/>
              <w:t> </w:t>
            </w:r>
          </w:p>
        </w:tc>
        <w:tc>
          <w:tcPr>
            <w:tcW w:w="428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610" w:type="dxa"/>
            <w:tcBorders/>
            <w:shd w:fill="auto" w:val="clear"/>
            <w:vAlign w:val="center"/>
          </w:tcPr>
          <w:p>
            <w:pPr>
              <w:pStyle w:val="TableContents"/>
              <w:spacing w:before="0" w:after="0"/>
              <w:ind w:left="0" w:right="0" w:hanging="0"/>
              <w:rPr/>
            </w:pPr>
            <w:r>
              <w:rPr/>
              <w:t> </w:t>
            </w:r>
          </w:p>
        </w:tc>
      </w:tr>
      <w:tr>
        <w:trPr/>
        <w:tc>
          <w:tcPr>
            <w:tcW w:w="2480" w:type="dxa"/>
            <w:tcBorders/>
            <w:shd w:fill="auto" w:val="clear"/>
            <w:vAlign w:val="center"/>
          </w:tcPr>
          <w:p>
            <w:pPr>
              <w:pStyle w:val="TableContents"/>
              <w:spacing w:before="0" w:after="0"/>
              <w:ind w:left="0" w:right="0" w:hanging="0"/>
              <w:rPr/>
            </w:pPr>
            <w:r>
              <w:rPr/>
              <w:t>Barry B. Goldstein</w:t>
            </w:r>
          </w:p>
        </w:tc>
        <w:tc>
          <w:tcPr>
            <w:tcW w:w="90" w:type="dxa"/>
            <w:tcBorders/>
            <w:shd w:fill="auto" w:val="clear"/>
            <w:vAlign w:val="center"/>
          </w:tcPr>
          <w:p>
            <w:pPr>
              <w:pStyle w:val="TableContents"/>
              <w:spacing w:before="0" w:after="0"/>
              <w:ind w:left="0" w:right="0" w:hanging="0"/>
              <w:rPr/>
            </w:pPr>
            <w:r>
              <w:rPr/>
              <w:t> </w:t>
            </w:r>
          </w:p>
        </w:tc>
        <w:tc>
          <w:tcPr>
            <w:tcW w:w="4280" w:type="dxa"/>
            <w:tcBorders/>
            <w:shd w:fill="auto" w:val="clear"/>
            <w:vAlign w:val="center"/>
          </w:tcPr>
          <w:p>
            <w:pPr>
              <w:pStyle w:val="TableContents"/>
              <w:spacing w:before="0" w:after="0"/>
              <w:ind w:left="0" w:right="0" w:hanging="0"/>
              <w:rPr/>
            </w:pPr>
            <w:r>
              <w:rPr/>
              <w:t xml:space="preserve">Chief Executive Officer, President and </w:t>
            </w:r>
          </w:p>
          <w:p>
            <w:pPr>
              <w:pStyle w:val="TableContents"/>
              <w:spacing w:before="0" w:after="0"/>
              <w:ind w:left="0" w:right="0" w:hanging="0"/>
              <w:rPr/>
            </w:pPr>
            <w:r>
              <w:rPr/>
              <w:t>Executive Chairman of the Board</w:t>
            </w:r>
          </w:p>
        </w:tc>
        <w:tc>
          <w:tcPr>
            <w:tcW w:w="90" w:type="dxa"/>
            <w:tcBorders/>
            <w:shd w:fill="auto" w:val="clear"/>
            <w:vAlign w:val="center"/>
          </w:tcPr>
          <w:p>
            <w:pPr>
              <w:pStyle w:val="TableContents"/>
              <w:spacing w:before="0" w:after="0"/>
              <w:ind w:left="0" w:right="0" w:hanging="0"/>
              <w:rPr/>
            </w:pPr>
            <w:r>
              <w:rPr/>
              <w:t> </w:t>
            </w:r>
          </w:p>
        </w:tc>
        <w:tc>
          <w:tcPr>
            <w:tcW w:w="1610" w:type="dxa"/>
            <w:tcBorders/>
            <w:shd w:fill="auto" w:val="clear"/>
            <w:vAlign w:val="center"/>
          </w:tcPr>
          <w:p>
            <w:pPr>
              <w:pStyle w:val="TableContents"/>
              <w:spacing w:before="0" w:after="0"/>
              <w:ind w:left="0" w:right="0" w:hanging="0"/>
              <w:rPr/>
            </w:pPr>
            <w:r>
              <w:rPr/>
              <w:t>March 31, 2021</w:t>
            </w:r>
          </w:p>
        </w:tc>
      </w:tr>
      <w:tr>
        <w:trPr/>
        <w:tc>
          <w:tcPr>
            <w:tcW w:w="248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428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610" w:type="dxa"/>
            <w:tcBorders/>
            <w:shd w:fill="auto" w:val="clear"/>
            <w:vAlign w:val="center"/>
          </w:tcPr>
          <w:p>
            <w:pPr>
              <w:pStyle w:val="TableContents"/>
              <w:spacing w:before="0" w:after="283"/>
              <w:rPr>
                <w:sz w:val="4"/>
                <w:szCs w:val="4"/>
              </w:rPr>
            </w:pPr>
            <w:r>
              <w:rPr>
                <w:sz w:val="4"/>
                <w:szCs w:val="4"/>
              </w:rPr>
            </w:r>
          </w:p>
        </w:tc>
      </w:tr>
      <w:tr>
        <w:trPr/>
        <w:tc>
          <w:tcPr>
            <w:tcW w:w="2480" w:type="dxa"/>
            <w:tcBorders>
              <w:bottom w:val="single" w:sz="2" w:space="0" w:color="000000"/>
            </w:tcBorders>
            <w:shd w:fill="auto" w:val="clear"/>
            <w:tcMar>
              <w:bottom w:w="28" w:type="dxa"/>
            </w:tcMar>
            <w:vAlign w:val="center"/>
          </w:tcPr>
          <w:p>
            <w:pPr>
              <w:pStyle w:val="TableContents"/>
              <w:spacing w:before="0" w:after="0"/>
              <w:ind w:left="0" w:right="0" w:hanging="0"/>
              <w:rPr/>
            </w:pPr>
            <w:r>
              <w:rPr/>
              <w:t>s/ Scott Van Pelt</w:t>
            </w:r>
          </w:p>
        </w:tc>
        <w:tc>
          <w:tcPr>
            <w:tcW w:w="90" w:type="dxa"/>
            <w:tcBorders/>
            <w:shd w:fill="auto" w:val="clear"/>
            <w:vAlign w:val="center"/>
          </w:tcPr>
          <w:p>
            <w:pPr>
              <w:pStyle w:val="TableContents"/>
              <w:spacing w:before="0" w:after="0"/>
              <w:ind w:left="0" w:right="0" w:hanging="0"/>
              <w:rPr/>
            </w:pPr>
            <w:r>
              <w:rPr/>
              <w:t> </w:t>
            </w:r>
          </w:p>
        </w:tc>
        <w:tc>
          <w:tcPr>
            <w:tcW w:w="428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610" w:type="dxa"/>
            <w:tcBorders/>
            <w:shd w:fill="auto" w:val="clear"/>
            <w:vAlign w:val="center"/>
          </w:tcPr>
          <w:p>
            <w:pPr>
              <w:pStyle w:val="TableContents"/>
              <w:spacing w:before="0" w:after="0"/>
              <w:ind w:left="0" w:right="0" w:hanging="0"/>
              <w:rPr/>
            </w:pPr>
            <w:r>
              <w:rPr/>
              <w:t> </w:t>
            </w:r>
          </w:p>
        </w:tc>
      </w:tr>
      <w:tr>
        <w:trPr/>
        <w:tc>
          <w:tcPr>
            <w:tcW w:w="2480" w:type="dxa"/>
            <w:tcBorders/>
            <w:shd w:fill="auto" w:val="clear"/>
            <w:vAlign w:val="center"/>
          </w:tcPr>
          <w:p>
            <w:pPr>
              <w:pStyle w:val="TableContents"/>
              <w:spacing w:before="0" w:after="0"/>
              <w:ind w:left="0" w:right="0" w:hanging="0"/>
              <w:jc w:val="both"/>
              <w:rPr/>
            </w:pPr>
            <w:r>
              <w:rPr/>
              <w:t>Scott Van Pelt</w:t>
            </w:r>
          </w:p>
        </w:tc>
        <w:tc>
          <w:tcPr>
            <w:tcW w:w="90" w:type="dxa"/>
            <w:tcBorders/>
            <w:shd w:fill="auto" w:val="clear"/>
            <w:vAlign w:val="center"/>
          </w:tcPr>
          <w:p>
            <w:pPr>
              <w:pStyle w:val="TableContents"/>
              <w:spacing w:before="0" w:after="0"/>
              <w:ind w:left="0" w:right="0" w:hanging="0"/>
              <w:rPr/>
            </w:pPr>
            <w:r>
              <w:rPr/>
              <w:t> </w:t>
            </w:r>
          </w:p>
        </w:tc>
        <w:tc>
          <w:tcPr>
            <w:tcW w:w="4280" w:type="dxa"/>
            <w:tcBorders/>
            <w:shd w:fill="auto" w:val="clear"/>
            <w:vAlign w:val="center"/>
          </w:tcPr>
          <w:p>
            <w:pPr>
              <w:pStyle w:val="TableContents"/>
              <w:spacing w:before="0" w:after="0"/>
              <w:ind w:left="0" w:right="0" w:hanging="0"/>
              <w:rPr/>
            </w:pPr>
            <w:r>
              <w:rPr/>
              <w:t>Chief Financial Officer and Treasurer</w:t>
            </w:r>
          </w:p>
          <w:p>
            <w:pPr>
              <w:pStyle w:val="TableContents"/>
              <w:spacing w:before="0" w:after="0"/>
              <w:ind w:left="0" w:right="0" w:hanging="0"/>
              <w:rPr/>
            </w:pPr>
            <w:r>
              <w:rPr/>
              <w:t>(Principal Financial and Accounting Officer)</w:t>
            </w:r>
          </w:p>
        </w:tc>
        <w:tc>
          <w:tcPr>
            <w:tcW w:w="90" w:type="dxa"/>
            <w:tcBorders/>
            <w:shd w:fill="auto" w:val="clear"/>
            <w:vAlign w:val="center"/>
          </w:tcPr>
          <w:p>
            <w:pPr>
              <w:pStyle w:val="TableContents"/>
              <w:spacing w:before="0" w:after="0"/>
              <w:ind w:left="0" w:right="0" w:hanging="0"/>
              <w:rPr/>
            </w:pPr>
            <w:r>
              <w:rPr/>
              <w:t> </w:t>
            </w:r>
          </w:p>
        </w:tc>
        <w:tc>
          <w:tcPr>
            <w:tcW w:w="1610" w:type="dxa"/>
            <w:tcBorders/>
            <w:shd w:fill="auto" w:val="clear"/>
            <w:vAlign w:val="center"/>
          </w:tcPr>
          <w:p>
            <w:pPr>
              <w:pStyle w:val="TableContents"/>
              <w:spacing w:before="0" w:after="0"/>
              <w:ind w:left="0" w:right="0" w:hanging="0"/>
              <w:jc w:val="both"/>
              <w:rPr/>
            </w:pPr>
            <w:r>
              <w:rPr/>
              <w:t>March 31, 2021</w:t>
            </w:r>
          </w:p>
        </w:tc>
      </w:tr>
      <w:tr>
        <w:trPr/>
        <w:tc>
          <w:tcPr>
            <w:tcW w:w="248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428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1610" w:type="dxa"/>
            <w:tcBorders/>
            <w:shd w:fill="auto" w:val="clear"/>
            <w:vAlign w:val="center"/>
          </w:tcPr>
          <w:p>
            <w:pPr>
              <w:pStyle w:val="TableContents"/>
              <w:spacing w:before="0" w:after="0"/>
              <w:ind w:left="0" w:right="0" w:hanging="0"/>
              <w:rPr/>
            </w:pPr>
            <w:r>
              <w:rPr/>
              <w:t> </w:t>
            </w:r>
          </w:p>
        </w:tc>
      </w:tr>
      <w:tr>
        <w:trPr/>
        <w:tc>
          <w:tcPr>
            <w:tcW w:w="2480" w:type="dxa"/>
            <w:tcBorders>
              <w:bottom w:val="single" w:sz="2" w:space="0" w:color="000000"/>
            </w:tcBorders>
            <w:shd w:fill="auto" w:val="clear"/>
            <w:tcMar>
              <w:bottom w:w="28" w:type="dxa"/>
            </w:tcMar>
            <w:vAlign w:val="center"/>
          </w:tcPr>
          <w:p>
            <w:pPr>
              <w:pStyle w:val="TableContents"/>
              <w:spacing w:before="0" w:after="0"/>
              <w:ind w:left="0" w:right="0" w:hanging="0"/>
              <w:rPr/>
            </w:pPr>
            <w:r>
              <w:rPr/>
              <w:t>s/ Richard Swartz</w:t>
            </w:r>
          </w:p>
        </w:tc>
        <w:tc>
          <w:tcPr>
            <w:tcW w:w="90" w:type="dxa"/>
            <w:tcBorders/>
            <w:shd w:fill="auto" w:val="clear"/>
            <w:vAlign w:val="center"/>
          </w:tcPr>
          <w:p>
            <w:pPr>
              <w:pStyle w:val="TableContents"/>
              <w:spacing w:before="0" w:after="0"/>
              <w:ind w:left="0" w:right="0" w:hanging="0"/>
              <w:rPr/>
            </w:pPr>
            <w:r>
              <w:rPr/>
              <w:t> </w:t>
            </w:r>
          </w:p>
        </w:tc>
        <w:tc>
          <w:tcPr>
            <w:tcW w:w="428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1610" w:type="dxa"/>
            <w:tcBorders/>
            <w:shd w:fill="auto" w:val="clear"/>
            <w:vAlign w:val="center"/>
          </w:tcPr>
          <w:p>
            <w:pPr>
              <w:pStyle w:val="TableContents"/>
              <w:spacing w:before="0" w:after="0"/>
              <w:ind w:left="0" w:right="0" w:hanging="0"/>
              <w:rPr/>
            </w:pPr>
            <w:r>
              <w:rPr/>
              <w:t> </w:t>
            </w:r>
          </w:p>
        </w:tc>
      </w:tr>
      <w:tr>
        <w:trPr/>
        <w:tc>
          <w:tcPr>
            <w:tcW w:w="2480" w:type="dxa"/>
            <w:tcBorders/>
            <w:shd w:fill="auto" w:val="clear"/>
            <w:vAlign w:val="center"/>
          </w:tcPr>
          <w:p>
            <w:pPr>
              <w:pStyle w:val="TableContents"/>
              <w:spacing w:before="0" w:after="0"/>
              <w:ind w:left="0" w:right="0" w:hanging="0"/>
              <w:jc w:val="both"/>
              <w:rPr/>
            </w:pPr>
            <w:r>
              <w:rPr/>
              <w:t>Richard Swartz</w:t>
            </w:r>
          </w:p>
        </w:tc>
        <w:tc>
          <w:tcPr>
            <w:tcW w:w="90" w:type="dxa"/>
            <w:tcBorders/>
            <w:shd w:fill="auto" w:val="clear"/>
            <w:vAlign w:val="center"/>
          </w:tcPr>
          <w:p>
            <w:pPr>
              <w:pStyle w:val="TableContents"/>
              <w:spacing w:before="0" w:after="0"/>
              <w:ind w:left="0" w:right="0" w:hanging="0"/>
              <w:rPr/>
            </w:pPr>
            <w:r>
              <w:rPr/>
              <w:t> </w:t>
            </w:r>
          </w:p>
        </w:tc>
        <w:tc>
          <w:tcPr>
            <w:tcW w:w="4280" w:type="dxa"/>
            <w:tcBorders/>
            <w:shd w:fill="auto" w:val="clear"/>
            <w:vAlign w:val="center"/>
          </w:tcPr>
          <w:p>
            <w:pPr>
              <w:pStyle w:val="TableContents"/>
              <w:spacing w:before="0" w:after="0"/>
              <w:ind w:left="0" w:right="0" w:hanging="0"/>
              <w:rPr/>
            </w:pPr>
            <w:r>
              <w:rPr/>
              <w:t>Chief Accounting Officer</w:t>
            </w:r>
          </w:p>
          <w:p>
            <w:pPr>
              <w:pStyle w:val="TableContents"/>
              <w:spacing w:before="0" w:after="0"/>
              <w:ind w:left="0" w:right="0" w:hanging="0"/>
              <w:rPr/>
            </w:pPr>
            <w:r>
              <w:rPr/>
              <w:t>(Principal Accounting Officer)</w:t>
            </w:r>
          </w:p>
        </w:tc>
        <w:tc>
          <w:tcPr>
            <w:tcW w:w="90" w:type="dxa"/>
            <w:tcBorders/>
            <w:shd w:fill="auto" w:val="clear"/>
            <w:vAlign w:val="center"/>
          </w:tcPr>
          <w:p>
            <w:pPr>
              <w:pStyle w:val="TableContents"/>
              <w:spacing w:before="0" w:after="0"/>
              <w:ind w:left="0" w:right="0" w:hanging="0"/>
              <w:rPr/>
            </w:pPr>
            <w:r>
              <w:rPr/>
              <w:t> </w:t>
            </w:r>
          </w:p>
        </w:tc>
        <w:tc>
          <w:tcPr>
            <w:tcW w:w="1610" w:type="dxa"/>
            <w:tcBorders/>
            <w:shd w:fill="auto" w:val="clear"/>
            <w:vAlign w:val="center"/>
          </w:tcPr>
          <w:p>
            <w:pPr>
              <w:pStyle w:val="TableContents"/>
              <w:spacing w:before="0" w:after="0"/>
              <w:ind w:left="0" w:right="0" w:hanging="0"/>
              <w:jc w:val="both"/>
              <w:rPr/>
            </w:pPr>
            <w:r>
              <w:rPr/>
              <w:t>March 31, 2021</w:t>
            </w:r>
          </w:p>
        </w:tc>
      </w:tr>
      <w:tr>
        <w:trPr/>
        <w:tc>
          <w:tcPr>
            <w:tcW w:w="248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428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610" w:type="dxa"/>
            <w:tcBorders/>
            <w:shd w:fill="auto" w:val="clear"/>
            <w:vAlign w:val="center"/>
          </w:tcPr>
          <w:p>
            <w:pPr>
              <w:pStyle w:val="TableContents"/>
              <w:spacing w:before="0" w:after="0"/>
              <w:ind w:left="0" w:right="0" w:hanging="0"/>
              <w:rPr/>
            </w:pPr>
            <w:r>
              <w:rPr/>
              <w:t> </w:t>
            </w:r>
          </w:p>
        </w:tc>
      </w:tr>
      <w:tr>
        <w:trPr/>
        <w:tc>
          <w:tcPr>
            <w:tcW w:w="2480" w:type="dxa"/>
            <w:tcBorders>
              <w:bottom w:val="single" w:sz="2" w:space="0" w:color="000000"/>
            </w:tcBorders>
            <w:shd w:fill="auto" w:val="clear"/>
            <w:tcMar>
              <w:bottom w:w="28" w:type="dxa"/>
            </w:tcMar>
            <w:vAlign w:val="center"/>
          </w:tcPr>
          <w:p>
            <w:pPr>
              <w:pStyle w:val="TableContents"/>
              <w:spacing w:before="0" w:after="0"/>
              <w:ind w:left="0" w:right="0" w:hanging="0"/>
              <w:jc w:val="both"/>
              <w:rPr/>
            </w:pPr>
            <w:r>
              <w:rPr/>
              <w:t>/s/ Meryl S. Golden </w:t>
            </w:r>
          </w:p>
        </w:tc>
        <w:tc>
          <w:tcPr>
            <w:tcW w:w="90" w:type="dxa"/>
            <w:tcBorders/>
            <w:shd w:fill="auto" w:val="clear"/>
            <w:vAlign w:val="center"/>
          </w:tcPr>
          <w:p>
            <w:pPr>
              <w:pStyle w:val="TableContents"/>
              <w:spacing w:before="0" w:after="0"/>
              <w:ind w:left="0" w:right="0" w:hanging="0"/>
              <w:rPr/>
            </w:pPr>
            <w:r>
              <w:rPr/>
              <w:t> </w:t>
            </w:r>
          </w:p>
        </w:tc>
        <w:tc>
          <w:tcPr>
            <w:tcW w:w="428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610" w:type="dxa"/>
            <w:tcBorders/>
            <w:shd w:fill="auto" w:val="clear"/>
            <w:vAlign w:val="center"/>
          </w:tcPr>
          <w:p>
            <w:pPr>
              <w:pStyle w:val="TableContents"/>
              <w:spacing w:before="0" w:after="0"/>
              <w:ind w:left="0" w:right="0" w:hanging="0"/>
              <w:jc w:val="both"/>
              <w:rPr/>
            </w:pPr>
            <w:r>
              <w:rPr/>
              <w:t> </w:t>
            </w:r>
          </w:p>
        </w:tc>
      </w:tr>
      <w:tr>
        <w:trPr/>
        <w:tc>
          <w:tcPr>
            <w:tcW w:w="2480" w:type="dxa"/>
            <w:tcBorders/>
            <w:shd w:fill="auto" w:val="clear"/>
            <w:vAlign w:val="center"/>
          </w:tcPr>
          <w:p>
            <w:pPr>
              <w:pStyle w:val="TableContents"/>
              <w:spacing w:before="0" w:after="0"/>
              <w:ind w:left="0" w:right="0" w:hanging="0"/>
              <w:rPr/>
            </w:pPr>
            <w:r>
              <w:rPr/>
              <w:t>Meryl S. Golden</w:t>
            </w:r>
          </w:p>
        </w:tc>
        <w:tc>
          <w:tcPr>
            <w:tcW w:w="90" w:type="dxa"/>
            <w:tcBorders/>
            <w:shd w:fill="auto" w:val="clear"/>
            <w:vAlign w:val="center"/>
          </w:tcPr>
          <w:p>
            <w:pPr>
              <w:pStyle w:val="TableContents"/>
              <w:spacing w:before="0" w:after="0"/>
              <w:ind w:left="0" w:right="0" w:hanging="0"/>
              <w:rPr/>
            </w:pPr>
            <w:r>
              <w:rPr/>
              <w:t> </w:t>
            </w:r>
          </w:p>
        </w:tc>
        <w:tc>
          <w:tcPr>
            <w:tcW w:w="4280" w:type="dxa"/>
            <w:tcBorders/>
            <w:shd w:fill="auto" w:val="clear"/>
            <w:vAlign w:val="center"/>
          </w:tcPr>
          <w:p>
            <w:pPr>
              <w:pStyle w:val="TableContents"/>
              <w:spacing w:before="0" w:after="0"/>
              <w:ind w:left="0" w:right="0" w:hanging="0"/>
              <w:rPr/>
            </w:pPr>
            <w:r>
              <w:rPr/>
              <w:t xml:space="preserve">Chief Operating Officer and Director </w:t>
            </w:r>
          </w:p>
        </w:tc>
        <w:tc>
          <w:tcPr>
            <w:tcW w:w="90" w:type="dxa"/>
            <w:tcBorders/>
            <w:shd w:fill="auto" w:val="clear"/>
            <w:vAlign w:val="center"/>
          </w:tcPr>
          <w:p>
            <w:pPr>
              <w:pStyle w:val="TableContents"/>
              <w:spacing w:before="0" w:after="0"/>
              <w:ind w:left="0" w:right="0" w:hanging="0"/>
              <w:rPr/>
            </w:pPr>
            <w:r>
              <w:rPr/>
              <w:t> </w:t>
            </w:r>
          </w:p>
        </w:tc>
        <w:tc>
          <w:tcPr>
            <w:tcW w:w="1610" w:type="dxa"/>
            <w:tcBorders/>
            <w:shd w:fill="auto" w:val="clear"/>
            <w:vAlign w:val="center"/>
          </w:tcPr>
          <w:p>
            <w:pPr>
              <w:pStyle w:val="TableContents"/>
              <w:spacing w:before="0" w:after="0"/>
              <w:ind w:left="0" w:right="0" w:hanging="0"/>
              <w:rPr/>
            </w:pPr>
            <w:r>
              <w:rPr/>
              <w:t>March 31, 2021</w:t>
            </w:r>
          </w:p>
        </w:tc>
      </w:tr>
      <w:tr>
        <w:trPr/>
        <w:tc>
          <w:tcPr>
            <w:tcW w:w="248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428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610" w:type="dxa"/>
            <w:tcBorders/>
            <w:shd w:fill="auto" w:val="clear"/>
            <w:vAlign w:val="center"/>
          </w:tcPr>
          <w:p>
            <w:pPr>
              <w:pStyle w:val="TableContents"/>
              <w:spacing w:before="0" w:after="0"/>
              <w:ind w:left="0" w:right="0" w:hanging="0"/>
              <w:rPr/>
            </w:pPr>
            <w:r>
              <w:rPr/>
              <w:t> </w:t>
            </w:r>
          </w:p>
        </w:tc>
      </w:tr>
      <w:tr>
        <w:trPr/>
        <w:tc>
          <w:tcPr>
            <w:tcW w:w="2480" w:type="dxa"/>
            <w:tcBorders>
              <w:bottom w:val="single" w:sz="2" w:space="0" w:color="000000"/>
            </w:tcBorders>
            <w:shd w:fill="auto" w:val="clear"/>
            <w:tcMar>
              <w:bottom w:w="28" w:type="dxa"/>
            </w:tcMar>
            <w:vAlign w:val="center"/>
          </w:tcPr>
          <w:p>
            <w:pPr>
              <w:pStyle w:val="TableContents"/>
              <w:spacing w:before="0" w:after="0"/>
              <w:ind w:left="0" w:right="0" w:hanging="0"/>
              <w:jc w:val="both"/>
              <w:rPr/>
            </w:pPr>
            <w:r>
              <w:rPr/>
              <w:t>/s/ Floyd R. Tupper</w:t>
            </w:r>
          </w:p>
        </w:tc>
        <w:tc>
          <w:tcPr>
            <w:tcW w:w="90" w:type="dxa"/>
            <w:tcBorders/>
            <w:shd w:fill="auto" w:val="clear"/>
            <w:vAlign w:val="center"/>
          </w:tcPr>
          <w:p>
            <w:pPr>
              <w:pStyle w:val="TableContents"/>
              <w:spacing w:before="0" w:after="0"/>
              <w:ind w:left="0" w:right="0" w:hanging="0"/>
              <w:rPr/>
            </w:pPr>
            <w:r>
              <w:rPr/>
              <w:t> </w:t>
            </w:r>
          </w:p>
        </w:tc>
        <w:tc>
          <w:tcPr>
            <w:tcW w:w="428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610" w:type="dxa"/>
            <w:tcBorders/>
            <w:shd w:fill="auto" w:val="clear"/>
            <w:vAlign w:val="center"/>
          </w:tcPr>
          <w:p>
            <w:pPr>
              <w:pStyle w:val="TableContents"/>
              <w:spacing w:before="0" w:after="0"/>
              <w:ind w:left="0" w:right="0" w:hanging="0"/>
              <w:jc w:val="both"/>
              <w:rPr/>
            </w:pPr>
            <w:r>
              <w:rPr/>
              <w:t> </w:t>
            </w:r>
          </w:p>
        </w:tc>
      </w:tr>
      <w:tr>
        <w:trPr/>
        <w:tc>
          <w:tcPr>
            <w:tcW w:w="2480" w:type="dxa"/>
            <w:tcBorders/>
            <w:shd w:fill="auto" w:val="clear"/>
            <w:vAlign w:val="center"/>
          </w:tcPr>
          <w:p>
            <w:pPr>
              <w:pStyle w:val="TableContents"/>
              <w:spacing w:before="0" w:after="0"/>
              <w:ind w:left="0" w:right="0" w:hanging="0"/>
              <w:rPr/>
            </w:pPr>
            <w:r>
              <w:rPr/>
              <w:t>Floyd R. Tupper</w:t>
            </w:r>
          </w:p>
        </w:tc>
        <w:tc>
          <w:tcPr>
            <w:tcW w:w="90" w:type="dxa"/>
            <w:tcBorders/>
            <w:shd w:fill="auto" w:val="clear"/>
            <w:vAlign w:val="center"/>
          </w:tcPr>
          <w:p>
            <w:pPr>
              <w:pStyle w:val="TableContents"/>
              <w:spacing w:before="0" w:after="0"/>
              <w:ind w:left="0" w:right="0" w:hanging="0"/>
              <w:rPr/>
            </w:pPr>
            <w:r>
              <w:rPr/>
              <w:t> </w:t>
            </w:r>
          </w:p>
        </w:tc>
        <w:tc>
          <w:tcPr>
            <w:tcW w:w="4280" w:type="dxa"/>
            <w:tcBorders/>
            <w:shd w:fill="auto" w:val="clear"/>
            <w:vAlign w:val="center"/>
          </w:tcPr>
          <w:p>
            <w:pPr>
              <w:pStyle w:val="TableContents"/>
              <w:spacing w:before="0" w:after="0"/>
              <w:ind w:left="0" w:right="0" w:hanging="0"/>
              <w:rPr/>
            </w:pPr>
            <w:r>
              <w:rPr/>
              <w:t>Director</w:t>
            </w:r>
          </w:p>
        </w:tc>
        <w:tc>
          <w:tcPr>
            <w:tcW w:w="90" w:type="dxa"/>
            <w:tcBorders/>
            <w:shd w:fill="auto" w:val="clear"/>
            <w:vAlign w:val="center"/>
          </w:tcPr>
          <w:p>
            <w:pPr>
              <w:pStyle w:val="TableContents"/>
              <w:spacing w:before="0" w:after="0"/>
              <w:ind w:left="0" w:right="0" w:hanging="0"/>
              <w:rPr/>
            </w:pPr>
            <w:r>
              <w:rPr/>
              <w:t> </w:t>
            </w:r>
          </w:p>
        </w:tc>
        <w:tc>
          <w:tcPr>
            <w:tcW w:w="1610" w:type="dxa"/>
            <w:tcBorders/>
            <w:shd w:fill="auto" w:val="clear"/>
            <w:vAlign w:val="center"/>
          </w:tcPr>
          <w:p>
            <w:pPr>
              <w:pStyle w:val="TableContents"/>
              <w:spacing w:before="0" w:after="0"/>
              <w:ind w:left="0" w:right="0" w:hanging="0"/>
              <w:rPr/>
            </w:pPr>
            <w:r>
              <w:rPr/>
              <w:t>March 31, 2021</w:t>
            </w:r>
          </w:p>
        </w:tc>
      </w:tr>
      <w:tr>
        <w:trPr/>
        <w:tc>
          <w:tcPr>
            <w:tcW w:w="2480" w:type="dxa"/>
            <w:tcBorders/>
            <w:shd w:fill="auto" w:val="clear"/>
            <w:vAlign w:val="center"/>
          </w:tcPr>
          <w:p>
            <w:pPr>
              <w:pStyle w:val="TableContents"/>
              <w:spacing w:before="0" w:after="0"/>
              <w:ind w:left="0" w:right="0" w:hanging="0"/>
              <w:jc w:val="both"/>
              <w:rPr/>
            </w:pPr>
            <w:r>
              <w:rPr/>
              <w:t> </w:t>
            </w:r>
          </w:p>
        </w:tc>
        <w:tc>
          <w:tcPr>
            <w:tcW w:w="90" w:type="dxa"/>
            <w:tcBorders/>
            <w:shd w:fill="auto" w:val="clear"/>
            <w:vAlign w:val="center"/>
          </w:tcPr>
          <w:p>
            <w:pPr>
              <w:pStyle w:val="TableContents"/>
              <w:spacing w:before="0" w:after="0"/>
              <w:ind w:left="0" w:right="0" w:hanging="0"/>
              <w:rPr/>
            </w:pPr>
            <w:r>
              <w:rPr/>
              <w:t> </w:t>
            </w:r>
          </w:p>
        </w:tc>
        <w:tc>
          <w:tcPr>
            <w:tcW w:w="428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610" w:type="dxa"/>
            <w:tcBorders/>
            <w:shd w:fill="auto" w:val="clear"/>
            <w:vAlign w:val="center"/>
          </w:tcPr>
          <w:p>
            <w:pPr>
              <w:pStyle w:val="TableContents"/>
              <w:spacing w:before="0" w:after="0"/>
              <w:ind w:left="0" w:right="0" w:hanging="0"/>
              <w:jc w:val="both"/>
              <w:rPr/>
            </w:pPr>
            <w:r>
              <w:rPr/>
              <w:t> </w:t>
            </w:r>
          </w:p>
        </w:tc>
      </w:tr>
      <w:tr>
        <w:trPr/>
        <w:tc>
          <w:tcPr>
            <w:tcW w:w="2480" w:type="dxa"/>
            <w:tcBorders>
              <w:bottom w:val="single" w:sz="2" w:space="0" w:color="000000"/>
            </w:tcBorders>
            <w:shd w:fill="auto" w:val="clear"/>
            <w:tcMar>
              <w:bottom w:w="28" w:type="dxa"/>
            </w:tcMar>
            <w:vAlign w:val="center"/>
          </w:tcPr>
          <w:p>
            <w:pPr>
              <w:pStyle w:val="TableContents"/>
              <w:spacing w:before="0" w:after="0"/>
              <w:ind w:left="0" w:right="0" w:hanging="0"/>
              <w:jc w:val="both"/>
              <w:rPr/>
            </w:pPr>
            <w:r>
              <w:rPr/>
              <w:t>/s/ William L. Yankus</w:t>
            </w:r>
          </w:p>
        </w:tc>
        <w:tc>
          <w:tcPr>
            <w:tcW w:w="90" w:type="dxa"/>
            <w:tcBorders/>
            <w:shd w:fill="auto" w:val="clear"/>
            <w:vAlign w:val="center"/>
          </w:tcPr>
          <w:p>
            <w:pPr>
              <w:pStyle w:val="TableContents"/>
              <w:spacing w:before="0" w:after="0"/>
              <w:ind w:left="0" w:right="0" w:hanging="0"/>
              <w:rPr/>
            </w:pPr>
            <w:r>
              <w:rPr/>
              <w:t> </w:t>
            </w:r>
          </w:p>
        </w:tc>
        <w:tc>
          <w:tcPr>
            <w:tcW w:w="428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610" w:type="dxa"/>
            <w:tcBorders/>
            <w:shd w:fill="auto" w:val="clear"/>
            <w:vAlign w:val="center"/>
          </w:tcPr>
          <w:p>
            <w:pPr>
              <w:pStyle w:val="TableContents"/>
              <w:spacing w:before="0" w:after="0"/>
              <w:ind w:left="0" w:right="0" w:hanging="0"/>
              <w:jc w:val="both"/>
              <w:rPr/>
            </w:pPr>
            <w:r>
              <w:rPr/>
              <w:t> </w:t>
            </w:r>
          </w:p>
        </w:tc>
      </w:tr>
      <w:tr>
        <w:trPr/>
        <w:tc>
          <w:tcPr>
            <w:tcW w:w="2480" w:type="dxa"/>
            <w:tcBorders/>
            <w:shd w:fill="auto" w:val="clear"/>
            <w:vAlign w:val="center"/>
          </w:tcPr>
          <w:p>
            <w:pPr>
              <w:pStyle w:val="TableContents"/>
              <w:spacing w:before="0" w:after="0"/>
              <w:ind w:left="0" w:right="0" w:hanging="0"/>
              <w:jc w:val="both"/>
              <w:rPr/>
            </w:pPr>
            <w:r>
              <w:rPr/>
              <w:t>William L. Yankus</w:t>
            </w:r>
          </w:p>
        </w:tc>
        <w:tc>
          <w:tcPr>
            <w:tcW w:w="90" w:type="dxa"/>
            <w:tcBorders/>
            <w:shd w:fill="auto" w:val="clear"/>
            <w:vAlign w:val="center"/>
          </w:tcPr>
          <w:p>
            <w:pPr>
              <w:pStyle w:val="TableContents"/>
              <w:spacing w:before="0" w:after="0"/>
              <w:ind w:left="0" w:right="0" w:hanging="0"/>
              <w:rPr/>
            </w:pPr>
            <w:r>
              <w:rPr/>
              <w:t> </w:t>
            </w:r>
          </w:p>
        </w:tc>
        <w:tc>
          <w:tcPr>
            <w:tcW w:w="4280" w:type="dxa"/>
            <w:tcBorders/>
            <w:shd w:fill="auto" w:val="clear"/>
            <w:vAlign w:val="center"/>
          </w:tcPr>
          <w:p>
            <w:pPr>
              <w:pStyle w:val="TableContents"/>
              <w:spacing w:before="0" w:after="0"/>
              <w:ind w:left="0" w:right="0" w:hanging="0"/>
              <w:rPr/>
            </w:pPr>
            <w:r>
              <w:rPr/>
              <w:t>Director</w:t>
            </w:r>
          </w:p>
        </w:tc>
        <w:tc>
          <w:tcPr>
            <w:tcW w:w="90" w:type="dxa"/>
            <w:tcBorders/>
            <w:shd w:fill="auto" w:val="clear"/>
            <w:vAlign w:val="center"/>
          </w:tcPr>
          <w:p>
            <w:pPr>
              <w:pStyle w:val="TableContents"/>
              <w:spacing w:before="0" w:after="0"/>
              <w:ind w:left="0" w:right="0" w:hanging="0"/>
              <w:rPr/>
            </w:pPr>
            <w:r>
              <w:rPr/>
              <w:t> </w:t>
            </w:r>
          </w:p>
        </w:tc>
        <w:tc>
          <w:tcPr>
            <w:tcW w:w="1610" w:type="dxa"/>
            <w:tcBorders/>
            <w:shd w:fill="auto" w:val="clear"/>
            <w:vAlign w:val="center"/>
          </w:tcPr>
          <w:p>
            <w:pPr>
              <w:pStyle w:val="TableContents"/>
              <w:spacing w:before="0" w:after="0"/>
              <w:ind w:left="0" w:right="0" w:hanging="0"/>
              <w:jc w:val="both"/>
              <w:rPr/>
            </w:pPr>
            <w:r>
              <w:rPr/>
              <w:t>March 31, 2021</w:t>
            </w:r>
          </w:p>
        </w:tc>
      </w:tr>
      <w:tr>
        <w:trPr/>
        <w:tc>
          <w:tcPr>
            <w:tcW w:w="248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428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610" w:type="dxa"/>
            <w:tcBorders/>
            <w:shd w:fill="auto" w:val="clear"/>
            <w:vAlign w:val="center"/>
          </w:tcPr>
          <w:p>
            <w:pPr>
              <w:pStyle w:val="TableContents"/>
              <w:spacing w:before="0" w:after="0"/>
              <w:ind w:left="0" w:right="0" w:hanging="0"/>
              <w:rPr/>
            </w:pPr>
            <w:r>
              <w:rPr/>
              <w:t> </w:t>
            </w:r>
          </w:p>
        </w:tc>
      </w:tr>
      <w:tr>
        <w:trPr/>
        <w:tc>
          <w:tcPr>
            <w:tcW w:w="2480" w:type="dxa"/>
            <w:tcBorders>
              <w:bottom w:val="single" w:sz="2" w:space="0" w:color="000000"/>
            </w:tcBorders>
            <w:shd w:fill="auto" w:val="clear"/>
            <w:tcMar>
              <w:bottom w:w="28" w:type="dxa"/>
            </w:tcMar>
            <w:vAlign w:val="center"/>
          </w:tcPr>
          <w:p>
            <w:pPr>
              <w:pStyle w:val="TableContents"/>
              <w:spacing w:before="0" w:after="0"/>
              <w:ind w:left="0" w:right="0" w:hanging="0"/>
              <w:jc w:val="both"/>
              <w:rPr/>
            </w:pPr>
            <w:r>
              <w:rPr/>
              <w:t>/s/ Carla A. D’Andre</w:t>
            </w:r>
          </w:p>
        </w:tc>
        <w:tc>
          <w:tcPr>
            <w:tcW w:w="90" w:type="dxa"/>
            <w:tcBorders/>
            <w:shd w:fill="auto" w:val="clear"/>
            <w:vAlign w:val="center"/>
          </w:tcPr>
          <w:p>
            <w:pPr>
              <w:pStyle w:val="TableContents"/>
              <w:spacing w:before="0" w:after="0"/>
              <w:ind w:left="0" w:right="0" w:hanging="0"/>
              <w:rPr/>
            </w:pPr>
            <w:r>
              <w:rPr/>
              <w:t> </w:t>
            </w:r>
          </w:p>
        </w:tc>
        <w:tc>
          <w:tcPr>
            <w:tcW w:w="428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610" w:type="dxa"/>
            <w:tcBorders/>
            <w:shd w:fill="auto" w:val="clear"/>
            <w:vAlign w:val="center"/>
          </w:tcPr>
          <w:p>
            <w:pPr>
              <w:pStyle w:val="TableContents"/>
              <w:spacing w:before="0" w:after="0"/>
              <w:ind w:left="0" w:right="0" w:hanging="0"/>
              <w:jc w:val="both"/>
              <w:rPr/>
            </w:pPr>
            <w:r>
              <w:rPr/>
              <w:t> </w:t>
            </w:r>
          </w:p>
        </w:tc>
      </w:tr>
      <w:tr>
        <w:trPr/>
        <w:tc>
          <w:tcPr>
            <w:tcW w:w="2480" w:type="dxa"/>
            <w:tcBorders/>
            <w:shd w:fill="auto" w:val="clear"/>
            <w:vAlign w:val="center"/>
          </w:tcPr>
          <w:p>
            <w:pPr>
              <w:pStyle w:val="TableContents"/>
              <w:spacing w:before="0" w:after="0"/>
              <w:ind w:left="0" w:right="0" w:hanging="0"/>
              <w:rPr/>
            </w:pPr>
            <w:r>
              <w:rPr/>
              <w:t>Carla A. D’Andre</w:t>
            </w:r>
          </w:p>
        </w:tc>
        <w:tc>
          <w:tcPr>
            <w:tcW w:w="90" w:type="dxa"/>
            <w:tcBorders/>
            <w:shd w:fill="auto" w:val="clear"/>
            <w:vAlign w:val="center"/>
          </w:tcPr>
          <w:p>
            <w:pPr>
              <w:pStyle w:val="TableContents"/>
              <w:spacing w:before="0" w:after="0"/>
              <w:ind w:left="0" w:right="0" w:hanging="0"/>
              <w:rPr/>
            </w:pPr>
            <w:r>
              <w:rPr/>
              <w:t> </w:t>
            </w:r>
          </w:p>
        </w:tc>
        <w:tc>
          <w:tcPr>
            <w:tcW w:w="4280" w:type="dxa"/>
            <w:tcBorders/>
            <w:shd w:fill="auto" w:val="clear"/>
            <w:vAlign w:val="center"/>
          </w:tcPr>
          <w:p>
            <w:pPr>
              <w:pStyle w:val="TableContents"/>
              <w:spacing w:before="0" w:after="0"/>
              <w:ind w:left="0" w:right="0" w:hanging="0"/>
              <w:rPr/>
            </w:pPr>
            <w:r>
              <w:rPr/>
              <w:t>Director</w:t>
            </w:r>
          </w:p>
        </w:tc>
        <w:tc>
          <w:tcPr>
            <w:tcW w:w="90" w:type="dxa"/>
            <w:tcBorders/>
            <w:shd w:fill="auto" w:val="clear"/>
            <w:vAlign w:val="center"/>
          </w:tcPr>
          <w:p>
            <w:pPr>
              <w:pStyle w:val="TableContents"/>
              <w:spacing w:before="0" w:after="0"/>
              <w:ind w:left="0" w:right="0" w:hanging="0"/>
              <w:rPr/>
            </w:pPr>
            <w:r>
              <w:rPr/>
              <w:t> </w:t>
            </w:r>
          </w:p>
        </w:tc>
        <w:tc>
          <w:tcPr>
            <w:tcW w:w="1610" w:type="dxa"/>
            <w:tcBorders/>
            <w:shd w:fill="auto" w:val="clear"/>
            <w:vAlign w:val="center"/>
          </w:tcPr>
          <w:p>
            <w:pPr>
              <w:pStyle w:val="TableContents"/>
              <w:spacing w:before="0" w:after="0"/>
              <w:ind w:left="0" w:right="0" w:hanging="0"/>
              <w:rPr/>
            </w:pPr>
            <w:r>
              <w:rPr/>
              <w:t>March 31, 2021</w:t>
            </w:r>
          </w:p>
        </w:tc>
      </w:tr>
      <w:tr>
        <w:trPr/>
        <w:tc>
          <w:tcPr>
            <w:tcW w:w="248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428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610" w:type="dxa"/>
            <w:tcBorders/>
            <w:shd w:fill="auto" w:val="clear"/>
            <w:vAlign w:val="center"/>
          </w:tcPr>
          <w:p>
            <w:pPr>
              <w:pStyle w:val="TableContents"/>
              <w:spacing w:before="0" w:after="0"/>
              <w:ind w:left="0" w:right="0" w:hanging="0"/>
              <w:rPr/>
            </w:pPr>
            <w:r>
              <w:rPr/>
              <w:t> </w:t>
            </w:r>
          </w:p>
        </w:tc>
      </w:tr>
      <w:tr>
        <w:trPr/>
        <w:tc>
          <w:tcPr>
            <w:tcW w:w="2480" w:type="dxa"/>
            <w:tcBorders>
              <w:bottom w:val="single" w:sz="2" w:space="0" w:color="000000"/>
            </w:tcBorders>
            <w:shd w:fill="auto" w:val="clear"/>
            <w:tcMar>
              <w:bottom w:w="28" w:type="dxa"/>
            </w:tcMar>
            <w:vAlign w:val="center"/>
          </w:tcPr>
          <w:p>
            <w:pPr>
              <w:pStyle w:val="TableContents"/>
              <w:spacing w:before="0" w:after="0"/>
              <w:ind w:left="0" w:right="0" w:hanging="0"/>
              <w:rPr/>
            </w:pPr>
            <w:r>
              <w:rPr/>
              <w:t>/s/ Timothy P. McFadden</w:t>
            </w:r>
          </w:p>
        </w:tc>
        <w:tc>
          <w:tcPr>
            <w:tcW w:w="90" w:type="dxa"/>
            <w:tcBorders/>
            <w:shd w:fill="auto" w:val="clear"/>
            <w:vAlign w:val="center"/>
          </w:tcPr>
          <w:p>
            <w:pPr>
              <w:pStyle w:val="TableContents"/>
              <w:spacing w:before="0" w:after="0"/>
              <w:ind w:left="0" w:right="0" w:hanging="0"/>
              <w:rPr/>
            </w:pPr>
            <w:r>
              <w:rPr/>
              <w:t> </w:t>
            </w:r>
          </w:p>
        </w:tc>
        <w:tc>
          <w:tcPr>
            <w:tcW w:w="428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610" w:type="dxa"/>
            <w:tcBorders/>
            <w:shd w:fill="auto" w:val="clear"/>
            <w:vAlign w:val="center"/>
          </w:tcPr>
          <w:p>
            <w:pPr>
              <w:pStyle w:val="TableContents"/>
              <w:spacing w:before="0" w:after="0"/>
              <w:ind w:left="0" w:right="0" w:hanging="0"/>
              <w:rPr/>
            </w:pPr>
            <w:r>
              <w:rPr/>
              <w:t> </w:t>
            </w:r>
          </w:p>
        </w:tc>
      </w:tr>
      <w:tr>
        <w:trPr/>
        <w:tc>
          <w:tcPr>
            <w:tcW w:w="2480" w:type="dxa"/>
            <w:tcBorders/>
            <w:shd w:fill="auto" w:val="clear"/>
            <w:vAlign w:val="center"/>
          </w:tcPr>
          <w:p>
            <w:pPr>
              <w:pStyle w:val="TableContents"/>
              <w:spacing w:before="0" w:after="0"/>
              <w:ind w:left="0" w:right="0" w:hanging="0"/>
              <w:jc w:val="both"/>
              <w:rPr/>
            </w:pPr>
            <w:r>
              <w:rPr/>
              <w:t>Timothy P. McFadden</w:t>
            </w:r>
          </w:p>
        </w:tc>
        <w:tc>
          <w:tcPr>
            <w:tcW w:w="90" w:type="dxa"/>
            <w:tcBorders/>
            <w:shd w:fill="auto" w:val="clear"/>
            <w:vAlign w:val="center"/>
          </w:tcPr>
          <w:p>
            <w:pPr>
              <w:pStyle w:val="TableContents"/>
              <w:spacing w:before="0" w:after="0"/>
              <w:ind w:left="0" w:right="0" w:hanging="0"/>
              <w:rPr/>
            </w:pPr>
            <w:r>
              <w:rPr/>
              <w:t> </w:t>
            </w:r>
          </w:p>
        </w:tc>
        <w:tc>
          <w:tcPr>
            <w:tcW w:w="4280" w:type="dxa"/>
            <w:tcBorders/>
            <w:shd w:fill="auto" w:val="clear"/>
            <w:vAlign w:val="center"/>
          </w:tcPr>
          <w:p>
            <w:pPr>
              <w:pStyle w:val="TableContents"/>
              <w:spacing w:before="0" w:after="0"/>
              <w:ind w:left="0" w:right="0" w:hanging="0"/>
              <w:rPr/>
            </w:pPr>
            <w:r>
              <w:rPr/>
              <w:t>Director</w:t>
            </w:r>
          </w:p>
        </w:tc>
        <w:tc>
          <w:tcPr>
            <w:tcW w:w="90" w:type="dxa"/>
            <w:tcBorders/>
            <w:shd w:fill="auto" w:val="clear"/>
            <w:vAlign w:val="center"/>
          </w:tcPr>
          <w:p>
            <w:pPr>
              <w:pStyle w:val="TableContents"/>
              <w:spacing w:before="0" w:after="0"/>
              <w:ind w:left="0" w:right="0" w:hanging="0"/>
              <w:rPr/>
            </w:pPr>
            <w:r>
              <w:rPr/>
              <w:t> </w:t>
            </w:r>
          </w:p>
        </w:tc>
        <w:tc>
          <w:tcPr>
            <w:tcW w:w="1610" w:type="dxa"/>
            <w:tcBorders/>
            <w:shd w:fill="auto" w:val="clear"/>
            <w:vAlign w:val="center"/>
          </w:tcPr>
          <w:p>
            <w:pPr>
              <w:pStyle w:val="TableContents"/>
              <w:spacing w:before="0" w:after="0"/>
              <w:ind w:left="0" w:right="0" w:hanging="0"/>
              <w:jc w:val="both"/>
              <w:rPr/>
            </w:pPr>
            <w:r>
              <w:rPr/>
              <w:t>March 31, 2021</w:t>
            </w:r>
          </w:p>
        </w:tc>
      </w:tr>
    </w:tbl>
    <w:p>
      <w:pPr>
        <w:pStyle w:val="TextBody"/>
        <w:spacing w:before="0" w:after="0"/>
        <w:ind w:left="0" w:right="0" w:hanging="0"/>
        <w:jc w:val="both"/>
        <w:rPr/>
      </w:pPr>
      <w:r>
        <w:rPr/>
        <w:t> </w:t>
      </w:r>
      <w:r>
        <w:br w:type="page"/>
      </w:r>
    </w:p>
    <w:tbl>
      <w:tblPr>
        <w:tblW w:w="350" w:type="dxa"/>
        <w:jc w:val="left"/>
        <w:tblInd w:w="0" w:type="dxa"/>
        <w:tblCellMar>
          <w:top w:w="0" w:type="dxa"/>
          <w:left w:w="0" w:type="dxa"/>
          <w:bottom w:w="0" w:type="dxa"/>
          <w:right w:w="0" w:type="dxa"/>
        </w:tblCellMar>
      </w:tblPr>
      <w:tblGrid>
        <w:gridCol w:w="350"/>
      </w:tblGrid>
      <w:tr>
        <w:trPr/>
        <w:tc>
          <w:tcPr>
            <w:tcW w:w="350" w:type="dxa"/>
            <w:tcBorders/>
            <w:shd w:fill="auto" w:val="clear"/>
            <w:vAlign w:val="center"/>
          </w:tcPr>
          <w:p>
            <w:pPr>
              <w:pStyle w:val="TableContents"/>
              <w:spacing w:before="0" w:after="283"/>
              <w:ind w:left="0" w:right="0" w:hanging="0"/>
              <w:rPr/>
            </w:pPr>
            <w:r>
              <w:rPr/>
              <w:t> </w:t>
            </w:r>
          </w:p>
        </w:tc>
      </w:tr>
      <w:tr>
        <w:trPr/>
        <w:tc>
          <w:tcPr>
            <w:tcW w:w="350" w:type="dxa"/>
            <w:tcBorders>
              <w:bottom w:val="single" w:sz="2" w:space="0" w:color="000000"/>
            </w:tcBorders>
            <w:shd w:fill="auto" w:val="clear"/>
            <w:tcMar>
              <w:bottom w:w="28" w:type="dxa"/>
            </w:tcMar>
            <w:vAlign w:val="center"/>
          </w:tcPr>
          <w:p>
            <w:pPr>
              <w:pStyle w:val="TableContents"/>
              <w:spacing w:before="0" w:after="283"/>
              <w:jc w:val="center"/>
              <w:rPr/>
            </w:pPr>
            <w:r>
              <w:rPr/>
              <w:t>79</w:t>
            </w:r>
          </w:p>
        </w:tc>
      </w:tr>
      <w:tr>
        <w:trPr/>
        <w:tc>
          <w:tcPr>
            <w:tcW w:w="350" w:type="dxa"/>
            <w:tcBorders/>
            <w:shd w:fill="auto" w:val="clear"/>
            <w:vAlign w:val="center"/>
          </w:tcPr>
          <w:p>
            <w:pPr>
              <w:pStyle w:val="TableContents"/>
              <w:spacing w:before="0" w:after="283"/>
              <w:rPr>
                <w:sz w:val="4"/>
                <w:szCs w:val="4"/>
              </w:rPr>
            </w:pPr>
            <w:r>
              <w:rPr>
                <w:sz w:val="4"/>
                <w:szCs w:val="4"/>
              </w:rPr>
            </w:r>
          </w:p>
        </w:tc>
      </w:tr>
      <w:tr>
        <w:trPr/>
        <w:tc>
          <w:tcPr>
            <w:tcW w:w="350" w:type="dxa"/>
            <w:tcBorders/>
            <w:shd w:fill="auto" w:val="clear"/>
            <w:vAlign w:val="center"/>
          </w:tcPr>
          <w:p>
            <w:pPr>
              <w:pStyle w:val="TableContents"/>
              <w:spacing w:before="0" w:after="283"/>
              <w:rPr/>
            </w:pPr>
            <w:r>
              <w:rPr/>
              <w:t> </w:t>
            </w:r>
          </w:p>
        </w:tc>
      </w:tr>
    </w:tbl>
    <w:p>
      <w:pPr>
        <w:pStyle w:val="TextBody"/>
        <w:spacing w:before="0" w:after="0"/>
        <w:ind w:left="0" w:right="0" w:hanging="0"/>
        <w:jc w:val="both"/>
        <w:rPr/>
      </w:pPr>
      <w:r>
        <w:rPr/>
        <w:t>  </w:t>
      </w:r>
    </w:p>
    <w:p>
      <w:pPr>
        <w:pStyle w:val="TextBody"/>
        <w:spacing w:before="0" w:after="0"/>
        <w:ind w:left="0" w:right="0" w:hanging="0"/>
        <w:jc w:val="center"/>
        <w:rPr/>
      </w:pPr>
      <w:bookmarkStart w:id="22" w:name="FTOC"/>
      <w:bookmarkEnd w:id="22"/>
      <w:r>
        <w:rPr>
          <w:rStyle w:val="StrongEmphasis"/>
          <w:rFonts w:ascii="times new roman" w:hAnsi="times new roman"/>
          <w:sz w:val="20"/>
        </w:rPr>
        <w:t>Index to Consolidated Financial Statements</w:t>
      </w:r>
      <w:r>
        <w:rPr>
          <w:rFonts w:ascii="times new roman" w:hAnsi="times new roman"/>
          <w:sz w:val="20"/>
        </w:rPr>
        <w:t xml:space="preserve"> </w:t>
      </w:r>
    </w:p>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9615"/>
        <w:gridCol w:w="590"/>
      </w:tblGrid>
      <w:tr>
        <w:trPr/>
        <w:tc>
          <w:tcPr>
            <w:tcW w:w="9615" w:type="dxa"/>
            <w:tcBorders/>
            <w:shd w:fill="auto" w:val="clear"/>
            <w:vAlign w:val="center"/>
          </w:tcPr>
          <w:p>
            <w:pPr>
              <w:pStyle w:val="TableContents"/>
              <w:spacing w:before="0" w:after="0"/>
              <w:ind w:left="0" w:right="0" w:hanging="0"/>
              <w:rPr/>
            </w:pPr>
            <w:r>
              <w:rPr/>
              <w:t> </w:t>
            </w:r>
          </w:p>
        </w:tc>
        <w:tc>
          <w:tcPr>
            <w:tcW w:w="590"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Page</w:t>
            </w:r>
          </w:p>
        </w:tc>
      </w:tr>
      <w:tr>
        <w:trPr/>
        <w:tc>
          <w:tcPr>
            <w:tcW w:w="9615" w:type="dxa"/>
            <w:tcBorders/>
            <w:shd w:fill="CCEEFF" w:val="clear"/>
            <w:vAlign w:val="center"/>
          </w:tcPr>
          <w:p>
            <w:pPr>
              <w:pStyle w:val="TableContents"/>
              <w:spacing w:before="0" w:after="0"/>
              <w:ind w:left="0" w:right="0" w:hanging="0"/>
              <w:rPr/>
            </w:pPr>
            <w:hyperlink w:anchor="renew">
              <w:r>
                <w:rPr>
                  <w:rStyle w:val="InternetLink"/>
                </w:rPr>
                <w:t>Report of Independent Registered Public Accounting Firm</w:t>
              </w:r>
            </w:hyperlink>
          </w:p>
        </w:tc>
        <w:tc>
          <w:tcPr>
            <w:tcW w:w="590" w:type="dxa"/>
            <w:tcBorders/>
            <w:shd w:fill="CCEEFF" w:val="clear"/>
            <w:vAlign w:val="center"/>
          </w:tcPr>
          <w:p>
            <w:pPr>
              <w:pStyle w:val="TableContents"/>
              <w:spacing w:before="0" w:after="0"/>
              <w:ind w:left="0" w:right="0" w:hanging="0"/>
              <w:jc w:val="center"/>
              <w:rPr/>
            </w:pPr>
            <w:r>
              <w:rPr/>
              <w:t>F-2</w:t>
            </w:r>
          </w:p>
        </w:tc>
      </w:tr>
      <w:tr>
        <w:trPr/>
        <w:tc>
          <w:tcPr>
            <w:tcW w:w="9615" w:type="dxa"/>
            <w:tcBorders/>
            <w:shd w:fill="FFFFFF" w:val="clear"/>
            <w:vAlign w:val="center"/>
          </w:tcPr>
          <w:p>
            <w:pPr>
              <w:pStyle w:val="TableContents"/>
              <w:spacing w:before="0" w:after="0"/>
              <w:ind w:left="0" w:right="0" w:hanging="0"/>
              <w:rPr/>
            </w:pPr>
            <w:hyperlink w:anchor="BS">
              <w:r>
                <w:rPr>
                  <w:rStyle w:val="InternetLink"/>
                </w:rPr>
                <w:t>Consolidated Balance Sheets as of December 31, 2020 and 2019</w:t>
              </w:r>
            </w:hyperlink>
          </w:p>
        </w:tc>
        <w:tc>
          <w:tcPr>
            <w:tcW w:w="590" w:type="dxa"/>
            <w:tcBorders/>
            <w:shd w:fill="FFFFFF" w:val="clear"/>
            <w:vAlign w:val="center"/>
          </w:tcPr>
          <w:p>
            <w:pPr>
              <w:pStyle w:val="TableContents"/>
              <w:spacing w:before="0" w:after="0"/>
              <w:ind w:left="0" w:right="0" w:hanging="0"/>
              <w:jc w:val="center"/>
              <w:rPr/>
            </w:pPr>
            <w:r>
              <w:rPr/>
              <w:t>F-4</w:t>
            </w:r>
          </w:p>
        </w:tc>
      </w:tr>
      <w:tr>
        <w:trPr/>
        <w:tc>
          <w:tcPr>
            <w:tcW w:w="9615" w:type="dxa"/>
            <w:tcBorders/>
            <w:shd w:fill="CCEEFF" w:val="clear"/>
            <w:vAlign w:val="center"/>
          </w:tcPr>
          <w:p>
            <w:pPr>
              <w:pStyle w:val="TableContents"/>
              <w:spacing w:before="0" w:after="0"/>
              <w:ind w:left="0" w:right="0" w:hanging="0"/>
              <w:rPr/>
            </w:pPr>
            <w:hyperlink w:anchor="SO">
              <w:r>
                <w:rPr>
                  <w:rStyle w:val="InternetLink"/>
                </w:rPr>
                <w:t>Consolidated Statements of Operations and Comprehensive Income for the years ended December 31, 2020 and 2019</w:t>
              </w:r>
            </w:hyperlink>
          </w:p>
        </w:tc>
        <w:tc>
          <w:tcPr>
            <w:tcW w:w="590" w:type="dxa"/>
            <w:tcBorders/>
            <w:shd w:fill="CCEEFF" w:val="clear"/>
            <w:vAlign w:val="center"/>
          </w:tcPr>
          <w:p>
            <w:pPr>
              <w:pStyle w:val="TableContents"/>
              <w:spacing w:before="0" w:after="0"/>
              <w:ind w:left="0" w:right="0" w:hanging="0"/>
              <w:jc w:val="center"/>
              <w:rPr/>
            </w:pPr>
            <w:r>
              <w:rPr/>
              <w:t>F-5</w:t>
            </w:r>
          </w:p>
        </w:tc>
      </w:tr>
      <w:tr>
        <w:trPr/>
        <w:tc>
          <w:tcPr>
            <w:tcW w:w="9615" w:type="dxa"/>
            <w:tcBorders/>
            <w:shd w:fill="FFFFFF" w:val="clear"/>
            <w:vAlign w:val="center"/>
          </w:tcPr>
          <w:p>
            <w:pPr>
              <w:pStyle w:val="TableContents"/>
              <w:spacing w:before="0" w:after="0"/>
              <w:ind w:left="0" w:right="0" w:hanging="0"/>
              <w:rPr/>
            </w:pPr>
            <w:hyperlink w:anchor="SSE">
              <w:r>
                <w:rPr>
                  <w:rStyle w:val="InternetLink"/>
                </w:rPr>
                <w:t>Consolidated Statements of Stockholders’ Equity for the years ended December 31, 2020 and 2019</w:t>
              </w:r>
            </w:hyperlink>
          </w:p>
        </w:tc>
        <w:tc>
          <w:tcPr>
            <w:tcW w:w="590" w:type="dxa"/>
            <w:tcBorders/>
            <w:shd w:fill="FFFFFF" w:val="clear"/>
            <w:vAlign w:val="center"/>
          </w:tcPr>
          <w:p>
            <w:pPr>
              <w:pStyle w:val="TableContents"/>
              <w:spacing w:before="0" w:after="0"/>
              <w:ind w:left="0" w:right="0" w:hanging="0"/>
              <w:jc w:val="center"/>
              <w:rPr/>
            </w:pPr>
            <w:r>
              <w:rPr/>
              <w:t>F-6</w:t>
            </w:r>
          </w:p>
        </w:tc>
      </w:tr>
      <w:tr>
        <w:trPr/>
        <w:tc>
          <w:tcPr>
            <w:tcW w:w="9615" w:type="dxa"/>
            <w:tcBorders/>
            <w:shd w:fill="CCEEFF" w:val="clear"/>
            <w:vAlign w:val="center"/>
          </w:tcPr>
          <w:p>
            <w:pPr>
              <w:pStyle w:val="TableContents"/>
              <w:spacing w:before="0" w:after="0"/>
              <w:ind w:left="0" w:right="0" w:hanging="0"/>
              <w:rPr/>
            </w:pPr>
            <w:hyperlink w:anchor="CF">
              <w:r>
                <w:rPr>
                  <w:rStyle w:val="InternetLink"/>
                </w:rPr>
                <w:t>Consolidated Statements of Cash Flows for the years ended December 31, 2020 and 2019</w:t>
              </w:r>
            </w:hyperlink>
          </w:p>
        </w:tc>
        <w:tc>
          <w:tcPr>
            <w:tcW w:w="590" w:type="dxa"/>
            <w:tcBorders/>
            <w:shd w:fill="CCEEFF" w:val="clear"/>
            <w:vAlign w:val="center"/>
          </w:tcPr>
          <w:p>
            <w:pPr>
              <w:pStyle w:val="TableContents"/>
              <w:spacing w:before="0" w:after="0"/>
              <w:ind w:left="0" w:right="0" w:hanging="0"/>
              <w:jc w:val="center"/>
              <w:rPr/>
            </w:pPr>
            <w:r>
              <w:rPr/>
              <w:t xml:space="preserve">F-7 </w:t>
            </w:r>
          </w:p>
        </w:tc>
      </w:tr>
      <w:tr>
        <w:trPr/>
        <w:tc>
          <w:tcPr>
            <w:tcW w:w="9615" w:type="dxa"/>
            <w:tcBorders/>
            <w:shd w:fill="FFFFFF" w:val="clear"/>
            <w:vAlign w:val="center"/>
          </w:tcPr>
          <w:p>
            <w:pPr>
              <w:pStyle w:val="TableContents"/>
              <w:spacing w:before="0" w:after="0"/>
              <w:ind w:left="0" w:right="0" w:hanging="0"/>
              <w:rPr/>
            </w:pPr>
            <w:hyperlink w:anchor="NOTES">
              <w:r>
                <w:rPr>
                  <w:rStyle w:val="InternetLink"/>
                </w:rPr>
                <w:t>Notes to Consolidated Financial Statements</w:t>
              </w:r>
            </w:hyperlink>
          </w:p>
        </w:tc>
        <w:tc>
          <w:tcPr>
            <w:tcW w:w="590" w:type="dxa"/>
            <w:tcBorders/>
            <w:shd w:fill="FFFFFF" w:val="clear"/>
            <w:vAlign w:val="center"/>
          </w:tcPr>
          <w:p>
            <w:pPr>
              <w:pStyle w:val="TableContents"/>
              <w:spacing w:before="0" w:after="0"/>
              <w:ind w:left="0" w:right="0" w:hanging="0"/>
              <w:jc w:val="center"/>
              <w:rPr/>
            </w:pPr>
            <w:r>
              <w:rPr/>
              <w:t>F-8</w:t>
            </w:r>
          </w:p>
        </w:tc>
      </w:tr>
    </w:tbl>
    <w:p>
      <w:pPr>
        <w:pStyle w:val="TextBody"/>
        <w:spacing w:before="0" w:after="0"/>
        <w:ind w:left="0" w:right="0" w:hanging="0"/>
        <w:jc w:val="center"/>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F-1</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bookmarkStart w:id="23" w:name="renew"/>
      <w:bookmarkEnd w:id="23"/>
      <w:r>
        <w:rPr>
          <w:rStyle w:val="StrongEmphasis"/>
          <w:rFonts w:ascii="times new roman" w:hAnsi="times new roman"/>
          <w:sz w:val="20"/>
        </w:rPr>
        <w:t>REPORT OF INDEPENDENT REGISTERED PUBLIC ACCOUNTING FIRM</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To the Shareholders and Board of Directors of</w:t>
      </w:r>
    </w:p>
    <w:p>
      <w:pPr>
        <w:pStyle w:val="TextBody"/>
        <w:spacing w:before="0" w:after="0"/>
        <w:ind w:left="0" w:right="0" w:hanging="0"/>
        <w:jc w:val="both"/>
        <w:rPr/>
      </w:pPr>
      <w:r>
        <w:rPr>
          <w:rStyle w:val="StrongEmphasis"/>
          <w:rFonts w:ascii="times new roman" w:hAnsi="times new roman"/>
          <w:sz w:val="20"/>
        </w:rPr>
        <w:t>Kingstone Companies, Inc.</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Opinion on the Financial Statements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have audited the accompanying consolidated balance sheets of Kingstone Companies, Inc. (the “Company”) as of December 31, 2020 and 2019, the related consolidated statements of operations and comprehensive income, stockholders’ equity and cash flows for each of the two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two years in the period ended December 31, 2020, in conformity with accounting principles generally accepted in the United States of America.</w:t>
      </w:r>
    </w:p>
    <w:p>
      <w:pPr>
        <w:pStyle w:val="TextBody"/>
        <w:spacing w:before="0" w:after="0"/>
        <w:ind w:left="0" w:right="0" w:hanging="0"/>
        <w:rPr/>
      </w:pPr>
      <w:r>
        <w:rPr/>
        <w:t> </w:t>
      </w:r>
    </w:p>
    <w:p>
      <w:pPr>
        <w:pStyle w:val="TextBody"/>
        <w:spacing w:before="0" w:after="0"/>
        <w:ind w:left="0" w:right="0" w:hanging="0"/>
        <w:rPr/>
      </w:pPr>
      <w:r>
        <w:rPr>
          <w:rStyle w:val="StrongEmphasis"/>
          <w:rFonts w:ascii="times new roman" w:hAnsi="times new roman"/>
          <w:sz w:val="20"/>
        </w:rPr>
        <w:t>Basis for Opinion</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of December 31, 2020. As part of our 2020 audit,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before="0" w:after="0"/>
        <w:ind w:left="0" w:right="0" w:hanging="0"/>
        <w:rPr/>
      </w:pPr>
      <w:r>
        <w:rPr/>
        <w:t> </w:t>
      </w:r>
    </w:p>
    <w:p>
      <w:pPr>
        <w:pStyle w:val="TextBody"/>
        <w:spacing w:before="0" w:after="0"/>
        <w:ind w:left="0" w:right="0" w:hanging="0"/>
        <w:rPr/>
      </w:pPr>
      <w:r>
        <w:rPr>
          <w:rStyle w:val="StrongEmphasis"/>
          <w:rFonts w:ascii="times new roman" w:hAnsi="times new roman"/>
          <w:sz w:val="20"/>
        </w:rPr>
        <w:t>Critical Audit Matter</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 The communication of a critical audit matter does not alter in any way our opinion on the financial statements, taken as a whole, and we are not, by communicating the critical audit matter below, providing separate opinions on the critical audit matter or on the accounts or disclosures to which it relates.</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Evaluation of the Estimate of Loss and Loss Adjustment Expense (“LAE”) Reserves</w:t>
      </w:r>
    </w:p>
    <w:p>
      <w:pPr>
        <w:pStyle w:val="TextBody"/>
        <w:spacing w:before="0" w:after="0"/>
        <w:ind w:left="0" w:right="0" w:hanging="0"/>
        <w:jc w:val="both"/>
        <w:rPr>
          <w:rFonts w:ascii="times new roman" w:hAnsi="times new roman"/>
          <w:sz w:val="20"/>
        </w:rPr>
      </w:pPr>
      <w:r>
        <w:rPr>
          <w:rFonts w:ascii="times new roman" w:hAnsi="times new roman"/>
          <w:sz w:val="20"/>
        </w:rPr>
        <w:t>As discussed in Notes 2 and 11 to the financial statements, the loss and LAE reserves represent the Company’s estimate of the ultimate liability for unpaid losses. These reserves are based on facts and circumstances then known and include provisions for claims that have been reported and claims that have been incurred but not reported (“IBNR”). The projection of future claim payments and reporting is based on analyses of the Company’s historical experience, supplemented by analyses of industry loss data. At December 31, 2020, the Company’s loss and LAE reserves balance was approximately $82.8 million.</w:t>
      </w:r>
    </w:p>
    <w:p>
      <w:pPr>
        <w:pStyle w:val="TextBody"/>
        <w:spacing w:before="0" w:after="0"/>
        <w:ind w:left="0" w:right="0" w:hanging="0"/>
        <w:jc w:val="both"/>
        <w:rPr/>
      </w:pPr>
      <w:r>
        <w:rPr/>
        <w:t> </w:t>
      </w:r>
    </w:p>
    <w:p>
      <w:pPr>
        <w:pStyle w:val="TextBody"/>
        <w:spacing w:before="0" w:after="0"/>
        <w:ind w:left="0" w:right="0" w:hanging="0"/>
        <w:rPr>
          <w:rFonts w:ascii="times new roman" w:hAnsi="times new roman"/>
          <w:sz w:val="20"/>
        </w:rPr>
      </w:pPr>
      <w:r>
        <w:rPr>
          <w:rFonts w:ascii="times new roman" w:hAnsi="times new roman"/>
          <w:sz w:val="20"/>
        </w:rPr>
        <w:t>Due to the significance of the reserves to the Company’s financial statements and the inherent judgment necessary to estimate reserves, we determined that the liability for loss and LAE reserves was a critical audit matter, which required significant auditor judgment and specialized skill and knowledge.</w:t>
      </w:r>
    </w:p>
    <w:p>
      <w:pPr>
        <w:pStyle w:val="TextBody"/>
        <w:spacing w:before="0" w:after="0"/>
        <w:ind w:left="0" w:right="0" w:hanging="0"/>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F-2</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both"/>
        <w:rPr/>
      </w:pPr>
      <w:r>
        <w:rPr>
          <w:rStyle w:val="StrongEmphasis"/>
          <w:rFonts w:ascii="times new roman" w:hAnsi="times new roman"/>
          <w:sz w:val="20"/>
        </w:rPr>
        <w:t>How the Critical Audit Matter Was Addressed in the Audit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primary procedures we performed to address the Company’s loss and LAE reserves included, but were not limited to, testing the Company’s reserving process, including the actuarial analyses and the determination of the Company’s estimate of the loss and LAE reserves as follows:</w:t>
      </w:r>
    </w:p>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105"/>
        <w:gridCol w:w="155"/>
        <w:gridCol w:w="9945"/>
      </w:tblGrid>
      <w:tr>
        <w:trPr/>
        <w:tc>
          <w:tcPr>
            <w:tcW w:w="105" w:type="dxa"/>
            <w:tcBorders/>
            <w:shd w:fill="auto" w:val="clear"/>
            <w:vAlign w:val="center"/>
          </w:tcPr>
          <w:p>
            <w:pPr>
              <w:pStyle w:val="TableContents"/>
              <w:spacing w:before="0" w:after="0"/>
              <w:ind w:left="0" w:right="0" w:hanging="0"/>
              <w:rPr/>
            </w:pPr>
            <w:r>
              <w:rPr/>
              <w:t> </w:t>
            </w:r>
          </w:p>
        </w:tc>
        <w:tc>
          <w:tcPr>
            <w:tcW w:w="155" w:type="dxa"/>
            <w:tcBorders/>
            <w:shd w:fill="auto" w:val="clear"/>
            <w:vAlign w:val="center"/>
          </w:tcPr>
          <w:p>
            <w:pPr>
              <w:pStyle w:val="TableContents"/>
              <w:spacing w:before="0" w:after="0"/>
              <w:ind w:left="0" w:right="0" w:hanging="0"/>
              <w:rPr>
                <w:rFonts w:ascii="symbol" w:hAnsi="symbol"/>
              </w:rPr>
            </w:pPr>
            <w:r>
              <w:rPr>
                <w:rFonts w:ascii="symbol" w:hAnsi="symbol"/>
              </w:rPr>
              <w:t>·</w:t>
            </w:r>
          </w:p>
        </w:tc>
        <w:tc>
          <w:tcPr>
            <w:tcW w:w="9945" w:type="dxa"/>
            <w:tcBorders/>
            <w:shd w:fill="auto" w:val="clear"/>
            <w:vAlign w:val="center"/>
          </w:tcPr>
          <w:p>
            <w:pPr>
              <w:pStyle w:val="TableContents"/>
              <w:spacing w:before="0" w:after="283"/>
              <w:rPr/>
            </w:pPr>
            <w:r>
              <w:rPr/>
              <w:t>Utilizing consulting actuarial professionals with specialized skills and knowledge to analyze the appropriateness of the methodologies utilized by the Company to estimate reserves and to determine the reasonableness of the gross and net loss and LAE reserves recorded by the Company as of December 31, 2020.</w:t>
            </w:r>
          </w:p>
        </w:tc>
      </w:tr>
      <w:tr>
        <w:trPr/>
        <w:tc>
          <w:tcPr>
            <w:tcW w:w="105" w:type="dxa"/>
            <w:tcBorders/>
            <w:shd w:fill="auto" w:val="clear"/>
            <w:vAlign w:val="center"/>
          </w:tcPr>
          <w:p>
            <w:pPr>
              <w:pStyle w:val="TableContents"/>
              <w:spacing w:before="0" w:after="0"/>
              <w:ind w:left="0" w:right="0" w:hanging="0"/>
              <w:rPr/>
            </w:pPr>
            <w:r>
              <w:rPr/>
              <w:t> </w:t>
            </w:r>
          </w:p>
        </w:tc>
        <w:tc>
          <w:tcPr>
            <w:tcW w:w="155" w:type="dxa"/>
            <w:tcBorders/>
            <w:shd w:fill="auto" w:val="clear"/>
            <w:vAlign w:val="center"/>
          </w:tcPr>
          <w:p>
            <w:pPr>
              <w:pStyle w:val="TableContents"/>
              <w:spacing w:before="0" w:after="0"/>
              <w:ind w:left="0" w:right="0" w:hanging="0"/>
              <w:rPr/>
            </w:pPr>
            <w:r>
              <w:rPr/>
              <w:t> </w:t>
            </w:r>
          </w:p>
        </w:tc>
        <w:tc>
          <w:tcPr>
            <w:tcW w:w="9945" w:type="dxa"/>
            <w:tcBorders/>
            <w:shd w:fill="auto" w:val="clear"/>
            <w:vAlign w:val="center"/>
          </w:tcPr>
          <w:p>
            <w:pPr>
              <w:pStyle w:val="TableContents"/>
              <w:spacing w:before="0" w:after="0"/>
              <w:ind w:left="0" w:right="0" w:hanging="0"/>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155" w:type="dxa"/>
            <w:tcBorders/>
            <w:shd w:fill="auto" w:val="clear"/>
            <w:vAlign w:val="center"/>
          </w:tcPr>
          <w:p>
            <w:pPr>
              <w:pStyle w:val="TableContents"/>
              <w:spacing w:before="0" w:after="0"/>
              <w:ind w:left="0" w:right="0" w:hanging="0"/>
              <w:rPr>
                <w:rFonts w:ascii="symbol" w:hAnsi="symbol"/>
              </w:rPr>
            </w:pPr>
            <w:r>
              <w:rPr>
                <w:rFonts w:ascii="symbol" w:hAnsi="symbol"/>
              </w:rPr>
              <w:t>·</w:t>
            </w:r>
          </w:p>
        </w:tc>
        <w:tc>
          <w:tcPr>
            <w:tcW w:w="9945" w:type="dxa"/>
            <w:tcBorders/>
            <w:shd w:fill="auto" w:val="clear"/>
            <w:vAlign w:val="center"/>
          </w:tcPr>
          <w:p>
            <w:pPr>
              <w:pStyle w:val="TableContents"/>
              <w:spacing w:before="0" w:after="283"/>
              <w:rPr/>
            </w:pPr>
            <w:r>
              <w:rPr/>
              <w:t>Having consulting actuarial professionals also analyze the approach, methodology, assumptions, and ultimate losses and LAE documented in the actuarial reports prepared by the independent actuarial firm engaged by the Company.</w:t>
            </w:r>
          </w:p>
        </w:tc>
      </w:tr>
      <w:tr>
        <w:trPr/>
        <w:tc>
          <w:tcPr>
            <w:tcW w:w="105" w:type="dxa"/>
            <w:tcBorders/>
            <w:shd w:fill="auto" w:val="clear"/>
            <w:vAlign w:val="center"/>
          </w:tcPr>
          <w:p>
            <w:pPr>
              <w:pStyle w:val="TableContents"/>
              <w:spacing w:before="0" w:after="0"/>
              <w:ind w:left="0" w:right="0" w:hanging="0"/>
              <w:rPr/>
            </w:pPr>
            <w:r>
              <w:rPr/>
              <w:t> </w:t>
            </w:r>
          </w:p>
        </w:tc>
        <w:tc>
          <w:tcPr>
            <w:tcW w:w="155" w:type="dxa"/>
            <w:tcBorders/>
            <w:shd w:fill="auto" w:val="clear"/>
            <w:vAlign w:val="center"/>
          </w:tcPr>
          <w:p>
            <w:pPr>
              <w:pStyle w:val="TableContents"/>
              <w:spacing w:before="0" w:after="0"/>
              <w:ind w:left="0" w:right="0" w:hanging="0"/>
              <w:rPr/>
            </w:pPr>
            <w:r>
              <w:rPr/>
              <w:t> </w:t>
            </w:r>
          </w:p>
        </w:tc>
        <w:tc>
          <w:tcPr>
            <w:tcW w:w="9945" w:type="dxa"/>
            <w:tcBorders/>
            <w:shd w:fill="auto" w:val="clear"/>
            <w:vAlign w:val="center"/>
          </w:tcPr>
          <w:p>
            <w:pPr>
              <w:pStyle w:val="TableContents"/>
              <w:spacing w:before="0" w:after="0"/>
              <w:ind w:left="0" w:right="0" w:hanging="0"/>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155" w:type="dxa"/>
            <w:tcBorders/>
            <w:shd w:fill="auto" w:val="clear"/>
            <w:vAlign w:val="center"/>
          </w:tcPr>
          <w:p>
            <w:pPr>
              <w:pStyle w:val="TableContents"/>
              <w:spacing w:before="0" w:after="0"/>
              <w:ind w:left="0" w:right="0" w:hanging="0"/>
              <w:rPr>
                <w:rFonts w:ascii="symbol" w:hAnsi="symbol"/>
              </w:rPr>
            </w:pPr>
            <w:r>
              <w:rPr>
                <w:rFonts w:ascii="symbol" w:hAnsi="symbol"/>
              </w:rPr>
              <w:t>·</w:t>
            </w:r>
          </w:p>
        </w:tc>
        <w:tc>
          <w:tcPr>
            <w:tcW w:w="9945" w:type="dxa"/>
            <w:tcBorders/>
            <w:shd w:fill="auto" w:val="clear"/>
            <w:vAlign w:val="center"/>
          </w:tcPr>
          <w:p>
            <w:pPr>
              <w:pStyle w:val="TableContents"/>
              <w:spacing w:before="0" w:after="283"/>
              <w:rPr/>
            </w:pPr>
            <w:r>
              <w:rPr/>
              <w:t>Analyzing the consistency of the Company’s recorded reserves relative to the central estimates of the reserve range determined by the Company’s independent actuarial firm at December 31, 2020 in comparison to December 31, 2019.</w:t>
            </w:r>
          </w:p>
        </w:tc>
      </w:tr>
      <w:tr>
        <w:trPr/>
        <w:tc>
          <w:tcPr>
            <w:tcW w:w="105" w:type="dxa"/>
            <w:tcBorders/>
            <w:shd w:fill="auto" w:val="clear"/>
            <w:vAlign w:val="center"/>
          </w:tcPr>
          <w:p>
            <w:pPr>
              <w:pStyle w:val="TableContents"/>
              <w:spacing w:before="0" w:after="0"/>
              <w:ind w:left="0" w:right="0" w:hanging="0"/>
              <w:rPr/>
            </w:pPr>
            <w:r>
              <w:rPr/>
              <w:t> </w:t>
            </w:r>
          </w:p>
        </w:tc>
        <w:tc>
          <w:tcPr>
            <w:tcW w:w="155" w:type="dxa"/>
            <w:tcBorders/>
            <w:shd w:fill="auto" w:val="clear"/>
            <w:vAlign w:val="center"/>
          </w:tcPr>
          <w:p>
            <w:pPr>
              <w:pStyle w:val="TableContents"/>
              <w:spacing w:before="0" w:after="0"/>
              <w:ind w:left="0" w:right="0" w:hanging="0"/>
              <w:rPr/>
            </w:pPr>
            <w:r>
              <w:rPr/>
              <w:t> </w:t>
            </w:r>
          </w:p>
        </w:tc>
        <w:tc>
          <w:tcPr>
            <w:tcW w:w="9945" w:type="dxa"/>
            <w:tcBorders/>
            <w:shd w:fill="auto" w:val="clear"/>
            <w:vAlign w:val="center"/>
          </w:tcPr>
          <w:p>
            <w:pPr>
              <w:pStyle w:val="TableContents"/>
              <w:spacing w:before="0" w:after="0"/>
              <w:ind w:left="0" w:right="0" w:hanging="0"/>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155" w:type="dxa"/>
            <w:tcBorders/>
            <w:shd w:fill="auto" w:val="clear"/>
            <w:vAlign w:val="center"/>
          </w:tcPr>
          <w:p>
            <w:pPr>
              <w:pStyle w:val="TableContents"/>
              <w:spacing w:before="0" w:after="0"/>
              <w:ind w:left="0" w:right="0" w:hanging="0"/>
              <w:rPr>
                <w:rFonts w:ascii="symbol" w:hAnsi="symbol"/>
              </w:rPr>
            </w:pPr>
            <w:r>
              <w:rPr>
                <w:rFonts w:ascii="symbol" w:hAnsi="symbol"/>
              </w:rPr>
              <w:t>·</w:t>
            </w:r>
          </w:p>
        </w:tc>
        <w:tc>
          <w:tcPr>
            <w:tcW w:w="9945" w:type="dxa"/>
            <w:tcBorders/>
            <w:shd w:fill="auto" w:val="clear"/>
            <w:vAlign w:val="center"/>
          </w:tcPr>
          <w:p>
            <w:pPr>
              <w:pStyle w:val="TableContents"/>
              <w:spacing w:before="0" w:after="283"/>
              <w:rPr/>
            </w:pPr>
            <w:r>
              <w:rPr/>
              <w:t>Performing hindsight analysis to determine the completeness and accuracy of reserves recorded in the prior year and performing analytical procedures on current year reserves.</w:t>
            </w:r>
          </w:p>
        </w:tc>
      </w:tr>
      <w:tr>
        <w:trPr/>
        <w:tc>
          <w:tcPr>
            <w:tcW w:w="105" w:type="dxa"/>
            <w:tcBorders/>
            <w:shd w:fill="auto" w:val="clear"/>
            <w:vAlign w:val="center"/>
          </w:tcPr>
          <w:p>
            <w:pPr>
              <w:pStyle w:val="TableContents"/>
              <w:spacing w:before="0" w:after="0"/>
              <w:ind w:left="0" w:right="0" w:hanging="0"/>
              <w:rPr/>
            </w:pPr>
            <w:r>
              <w:rPr/>
              <w:t> </w:t>
            </w:r>
          </w:p>
        </w:tc>
        <w:tc>
          <w:tcPr>
            <w:tcW w:w="155" w:type="dxa"/>
            <w:tcBorders/>
            <w:shd w:fill="auto" w:val="clear"/>
            <w:vAlign w:val="center"/>
          </w:tcPr>
          <w:p>
            <w:pPr>
              <w:pStyle w:val="TableContents"/>
              <w:spacing w:before="0" w:after="0"/>
              <w:ind w:left="0" w:right="0" w:hanging="0"/>
              <w:rPr/>
            </w:pPr>
            <w:r>
              <w:rPr/>
              <w:t> </w:t>
            </w:r>
          </w:p>
        </w:tc>
        <w:tc>
          <w:tcPr>
            <w:tcW w:w="9945" w:type="dxa"/>
            <w:tcBorders/>
            <w:shd w:fill="auto" w:val="clear"/>
            <w:vAlign w:val="center"/>
          </w:tcPr>
          <w:p>
            <w:pPr>
              <w:pStyle w:val="TableContents"/>
              <w:spacing w:before="0" w:after="0"/>
              <w:ind w:left="0" w:right="0" w:hanging="0"/>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155" w:type="dxa"/>
            <w:tcBorders/>
            <w:shd w:fill="auto" w:val="clear"/>
            <w:vAlign w:val="center"/>
          </w:tcPr>
          <w:p>
            <w:pPr>
              <w:pStyle w:val="TableContents"/>
              <w:spacing w:before="0" w:after="0"/>
              <w:ind w:left="0" w:right="0" w:hanging="0"/>
              <w:rPr>
                <w:rFonts w:ascii="symbol" w:hAnsi="symbol"/>
              </w:rPr>
            </w:pPr>
            <w:r>
              <w:rPr>
                <w:rFonts w:ascii="symbol" w:hAnsi="symbol"/>
              </w:rPr>
              <w:t>·</w:t>
            </w:r>
          </w:p>
        </w:tc>
        <w:tc>
          <w:tcPr>
            <w:tcW w:w="9945" w:type="dxa"/>
            <w:tcBorders/>
            <w:shd w:fill="auto" w:val="clear"/>
            <w:vAlign w:val="center"/>
          </w:tcPr>
          <w:p>
            <w:pPr>
              <w:pStyle w:val="TableContents"/>
              <w:spacing w:before="0" w:after="283"/>
              <w:rPr/>
            </w:pPr>
            <w:r>
              <w:rPr/>
              <w:t>Analyzing the 2020 quarterly actuarial reports prepared by the Company’s Chief Actuary.</w:t>
            </w:r>
          </w:p>
        </w:tc>
      </w:tr>
      <w:tr>
        <w:trPr/>
        <w:tc>
          <w:tcPr>
            <w:tcW w:w="105" w:type="dxa"/>
            <w:tcBorders/>
            <w:shd w:fill="auto" w:val="clear"/>
            <w:vAlign w:val="center"/>
          </w:tcPr>
          <w:p>
            <w:pPr>
              <w:pStyle w:val="TableContents"/>
              <w:spacing w:before="0" w:after="0"/>
              <w:ind w:left="0" w:right="0" w:hanging="0"/>
              <w:rPr/>
            </w:pPr>
            <w:r>
              <w:rPr/>
              <w:t> </w:t>
            </w:r>
          </w:p>
        </w:tc>
        <w:tc>
          <w:tcPr>
            <w:tcW w:w="155" w:type="dxa"/>
            <w:tcBorders/>
            <w:shd w:fill="auto" w:val="clear"/>
            <w:vAlign w:val="center"/>
          </w:tcPr>
          <w:p>
            <w:pPr>
              <w:pStyle w:val="TableContents"/>
              <w:spacing w:before="0" w:after="0"/>
              <w:ind w:left="0" w:right="0" w:hanging="0"/>
              <w:rPr/>
            </w:pPr>
            <w:r>
              <w:rPr/>
              <w:t> </w:t>
            </w:r>
          </w:p>
        </w:tc>
        <w:tc>
          <w:tcPr>
            <w:tcW w:w="9945" w:type="dxa"/>
            <w:tcBorders/>
            <w:shd w:fill="auto" w:val="clear"/>
            <w:vAlign w:val="center"/>
          </w:tcPr>
          <w:p>
            <w:pPr>
              <w:pStyle w:val="TableContents"/>
              <w:spacing w:before="0" w:after="0"/>
              <w:ind w:left="0" w:right="0" w:hanging="0"/>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155" w:type="dxa"/>
            <w:tcBorders/>
            <w:shd w:fill="auto" w:val="clear"/>
            <w:vAlign w:val="center"/>
          </w:tcPr>
          <w:p>
            <w:pPr>
              <w:pStyle w:val="TableContents"/>
              <w:spacing w:before="0" w:after="0"/>
              <w:ind w:left="0" w:right="0" w:hanging="0"/>
              <w:rPr>
                <w:rFonts w:ascii="symbol" w:hAnsi="symbol"/>
              </w:rPr>
            </w:pPr>
            <w:r>
              <w:rPr>
                <w:rFonts w:ascii="symbol" w:hAnsi="symbol"/>
              </w:rPr>
              <w:t>·</w:t>
            </w:r>
          </w:p>
        </w:tc>
        <w:tc>
          <w:tcPr>
            <w:tcW w:w="9945" w:type="dxa"/>
            <w:tcBorders/>
            <w:shd w:fill="auto" w:val="clear"/>
            <w:vAlign w:val="center"/>
          </w:tcPr>
          <w:p>
            <w:pPr>
              <w:pStyle w:val="TableContents"/>
              <w:spacing w:before="0" w:after="283"/>
              <w:rPr/>
            </w:pPr>
            <w:r>
              <w:rPr/>
              <w:t>Analyzing the 2020 quarterly reports on claims quality assurance prepared by the Company’s external claims consultant and the June 30, 2020 and December 31, 2020 reports on unpaid claim liabilities prepared by the independent actuarial firm engaged by the Company.</w:t>
            </w:r>
          </w:p>
        </w:tc>
      </w:tr>
      <w:tr>
        <w:trPr/>
        <w:tc>
          <w:tcPr>
            <w:tcW w:w="105" w:type="dxa"/>
            <w:tcBorders/>
            <w:shd w:fill="auto" w:val="clear"/>
            <w:vAlign w:val="center"/>
          </w:tcPr>
          <w:p>
            <w:pPr>
              <w:pStyle w:val="TableContents"/>
              <w:spacing w:before="0" w:after="0"/>
              <w:ind w:left="0" w:right="0" w:hanging="0"/>
              <w:rPr/>
            </w:pPr>
            <w:r>
              <w:rPr/>
              <w:t> </w:t>
            </w:r>
          </w:p>
        </w:tc>
        <w:tc>
          <w:tcPr>
            <w:tcW w:w="155" w:type="dxa"/>
            <w:tcBorders/>
            <w:shd w:fill="auto" w:val="clear"/>
            <w:vAlign w:val="center"/>
          </w:tcPr>
          <w:p>
            <w:pPr>
              <w:pStyle w:val="TableContents"/>
              <w:spacing w:before="0" w:after="0"/>
              <w:ind w:left="0" w:right="0" w:hanging="0"/>
              <w:rPr/>
            </w:pPr>
            <w:r>
              <w:rPr/>
              <w:t> </w:t>
            </w:r>
          </w:p>
        </w:tc>
        <w:tc>
          <w:tcPr>
            <w:tcW w:w="9945" w:type="dxa"/>
            <w:tcBorders/>
            <w:shd w:fill="auto" w:val="clear"/>
            <w:vAlign w:val="center"/>
          </w:tcPr>
          <w:p>
            <w:pPr>
              <w:pStyle w:val="TableContents"/>
              <w:spacing w:before="0" w:after="0"/>
              <w:ind w:left="0" w:right="0" w:hanging="0"/>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155" w:type="dxa"/>
            <w:tcBorders/>
            <w:shd w:fill="auto" w:val="clear"/>
            <w:vAlign w:val="center"/>
          </w:tcPr>
          <w:p>
            <w:pPr>
              <w:pStyle w:val="TableContents"/>
              <w:spacing w:before="0" w:after="0"/>
              <w:ind w:left="0" w:right="0" w:hanging="0"/>
              <w:rPr>
                <w:rFonts w:ascii="symbol" w:hAnsi="symbol"/>
              </w:rPr>
            </w:pPr>
            <w:r>
              <w:rPr>
                <w:rFonts w:ascii="symbol" w:hAnsi="symbol"/>
              </w:rPr>
              <w:t>·</w:t>
            </w:r>
          </w:p>
        </w:tc>
        <w:tc>
          <w:tcPr>
            <w:tcW w:w="9945" w:type="dxa"/>
            <w:tcBorders/>
            <w:shd w:fill="auto" w:val="clear"/>
            <w:vAlign w:val="center"/>
          </w:tcPr>
          <w:p>
            <w:pPr>
              <w:pStyle w:val="TableContents"/>
              <w:spacing w:before="0" w:after="283"/>
              <w:rPr/>
            </w:pPr>
            <w:r>
              <w:rPr/>
              <w:t>Testing the claims handling process, including the establishment of individual case reserves and the settlement of claims.</w:t>
            </w:r>
          </w:p>
        </w:tc>
      </w:tr>
      <w:tr>
        <w:trPr/>
        <w:tc>
          <w:tcPr>
            <w:tcW w:w="105" w:type="dxa"/>
            <w:tcBorders/>
            <w:shd w:fill="auto" w:val="clear"/>
            <w:vAlign w:val="center"/>
          </w:tcPr>
          <w:p>
            <w:pPr>
              <w:pStyle w:val="TableContents"/>
              <w:spacing w:before="0" w:after="0"/>
              <w:ind w:left="0" w:right="0" w:hanging="0"/>
              <w:rPr/>
            </w:pPr>
            <w:r>
              <w:rPr/>
              <w:t> </w:t>
            </w:r>
          </w:p>
        </w:tc>
        <w:tc>
          <w:tcPr>
            <w:tcW w:w="155" w:type="dxa"/>
            <w:tcBorders/>
            <w:shd w:fill="auto" w:val="clear"/>
            <w:vAlign w:val="center"/>
          </w:tcPr>
          <w:p>
            <w:pPr>
              <w:pStyle w:val="TableContents"/>
              <w:spacing w:before="0" w:after="0"/>
              <w:ind w:left="0" w:right="0" w:hanging="0"/>
              <w:rPr/>
            </w:pPr>
            <w:r>
              <w:rPr/>
              <w:t> </w:t>
            </w:r>
          </w:p>
        </w:tc>
        <w:tc>
          <w:tcPr>
            <w:tcW w:w="9945" w:type="dxa"/>
            <w:tcBorders/>
            <w:shd w:fill="auto" w:val="clear"/>
            <w:vAlign w:val="center"/>
          </w:tcPr>
          <w:p>
            <w:pPr>
              <w:pStyle w:val="TableContents"/>
              <w:spacing w:before="0" w:after="0"/>
              <w:ind w:left="0" w:right="0" w:hanging="0"/>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155" w:type="dxa"/>
            <w:tcBorders/>
            <w:shd w:fill="auto" w:val="clear"/>
            <w:vAlign w:val="center"/>
          </w:tcPr>
          <w:p>
            <w:pPr>
              <w:pStyle w:val="TableContents"/>
              <w:spacing w:before="0" w:after="0"/>
              <w:ind w:left="0" w:right="0" w:hanging="0"/>
              <w:rPr>
                <w:rFonts w:ascii="symbol" w:hAnsi="symbol"/>
              </w:rPr>
            </w:pPr>
            <w:r>
              <w:rPr>
                <w:rFonts w:ascii="symbol" w:hAnsi="symbol"/>
              </w:rPr>
              <w:t>·</w:t>
            </w:r>
          </w:p>
        </w:tc>
        <w:tc>
          <w:tcPr>
            <w:tcW w:w="9945" w:type="dxa"/>
            <w:tcBorders/>
            <w:shd w:fill="auto" w:val="clear"/>
            <w:vAlign w:val="center"/>
          </w:tcPr>
          <w:p>
            <w:pPr>
              <w:pStyle w:val="TableContents"/>
              <w:spacing w:before="0" w:after="283"/>
              <w:rPr/>
            </w:pPr>
            <w:r>
              <w:rPr/>
              <w:t>Verifying the accuracy and completeness of the data provided to the independent actuarial firm engaged by the Company for the purpose of preparing the actuarial report at December 31, 2020.</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20"/>
        </w:rPr>
      </w:pPr>
      <w:r>
        <w:rPr>
          <w:rFonts w:ascii="times new roman" w:hAnsi="times new roman"/>
          <w:sz w:val="20"/>
        </w:rPr>
        <w:t>/s/ Marcum LLP</w:t>
      </w:r>
    </w:p>
    <w:p>
      <w:pPr>
        <w:pStyle w:val="TextBody"/>
        <w:spacing w:before="0" w:after="0"/>
        <w:ind w:left="0" w:right="0" w:hanging="0"/>
        <w:rPr/>
      </w:pPr>
      <w:r>
        <w:rPr/>
        <w:t> </w:t>
      </w:r>
    </w:p>
    <w:p>
      <w:pPr>
        <w:pStyle w:val="TextBody"/>
        <w:spacing w:before="0" w:after="0"/>
        <w:ind w:left="0" w:right="0" w:hanging="0"/>
        <w:rPr>
          <w:rFonts w:ascii="times new roman" w:hAnsi="times new roman"/>
          <w:sz w:val="20"/>
        </w:rPr>
      </w:pPr>
      <w:r>
        <w:rPr>
          <w:rFonts w:ascii="times new roman" w:hAnsi="times new roman"/>
          <w:sz w:val="20"/>
        </w:rPr>
        <w:t>Marcum LLP</w:t>
      </w:r>
    </w:p>
    <w:p>
      <w:pPr>
        <w:pStyle w:val="TextBody"/>
        <w:spacing w:before="0" w:after="0"/>
        <w:ind w:left="0" w:right="0" w:hanging="0"/>
        <w:rPr>
          <w:rFonts w:ascii="times new roman" w:hAnsi="times new roman"/>
          <w:sz w:val="20"/>
        </w:rPr>
      </w:pPr>
      <w:r>
        <w:rPr>
          <w:rFonts w:ascii="times new roman" w:hAnsi="times new roman"/>
          <w:sz w:val="20"/>
        </w:rPr>
        <w:t>Hartford, CT</w:t>
      </w:r>
    </w:p>
    <w:p>
      <w:pPr>
        <w:pStyle w:val="TextBody"/>
        <w:spacing w:before="0" w:after="0"/>
        <w:ind w:left="0" w:right="0" w:hanging="0"/>
        <w:rPr>
          <w:rFonts w:ascii="times new roman" w:hAnsi="times new roman"/>
          <w:sz w:val="20"/>
        </w:rPr>
      </w:pPr>
      <w:r>
        <w:rPr>
          <w:rFonts w:ascii="times new roman" w:hAnsi="times new roman"/>
          <w:sz w:val="20"/>
        </w:rPr>
        <w:t>March 31, 2021</w:t>
      </w:r>
    </w:p>
    <w:p>
      <w:pPr>
        <w:pStyle w:val="TextBody"/>
        <w:spacing w:before="0" w:after="0"/>
        <w:ind w:left="0" w:right="0" w:hanging="0"/>
        <w:rPr/>
      </w:pPr>
      <w:r>
        <w:rPr/>
        <w:t> </w:t>
      </w:r>
    </w:p>
    <w:p>
      <w:pPr>
        <w:pStyle w:val="TextBody"/>
        <w:spacing w:before="0" w:after="0"/>
        <w:ind w:left="0" w:right="0" w:hanging="0"/>
        <w:rPr>
          <w:rFonts w:ascii="times new roman" w:hAnsi="times new roman"/>
          <w:sz w:val="20"/>
        </w:rPr>
      </w:pPr>
      <w:r>
        <w:rPr>
          <w:rFonts w:ascii="times new roman" w:hAnsi="times new roman"/>
          <w:sz w:val="20"/>
        </w:rPr>
        <w:t>We have served as the Company’s auditor since 2012.</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F-3</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6687"/>
        <w:gridCol w:w="90"/>
        <w:gridCol w:w="181"/>
        <w:gridCol w:w="1339"/>
        <w:gridCol w:w="125"/>
        <w:gridCol w:w="90"/>
        <w:gridCol w:w="181"/>
        <w:gridCol w:w="1339"/>
        <w:gridCol w:w="173"/>
      </w:tblGrid>
      <w:tr>
        <w:trPr/>
        <w:tc>
          <w:tcPr>
            <w:tcW w:w="10205" w:type="dxa"/>
            <w:gridSpan w:val="9"/>
            <w:tcBorders/>
            <w:shd w:fill="auto" w:val="clear"/>
            <w:vAlign w:val="center"/>
          </w:tcPr>
          <w:p>
            <w:pPr>
              <w:pStyle w:val="TableContents"/>
              <w:spacing w:before="0" w:after="0"/>
              <w:ind w:left="0" w:right="0" w:hanging="0"/>
              <w:jc w:val="right"/>
              <w:rPr/>
            </w:pPr>
            <w:r>
              <w:rPr>
                <w:rStyle w:val="StrongEmphasis"/>
              </w:rPr>
              <w:t xml:space="preserve">KINGSTONE COMPANIES, INC. AND SUBSIDIARIES </w:t>
            </w:r>
          </w:p>
        </w:tc>
      </w:tr>
      <w:tr>
        <w:trPr/>
        <w:tc>
          <w:tcPr>
            <w:tcW w:w="6687" w:type="dxa"/>
            <w:tcBorders>
              <w:bottom w:val="single" w:sz="2" w:space="0" w:color="000000"/>
            </w:tcBorders>
            <w:shd w:fill="auto" w:val="clear"/>
            <w:tcMar>
              <w:bottom w:w="28" w:type="dxa"/>
            </w:tcMar>
            <w:vAlign w:val="center"/>
          </w:tcPr>
          <w:p>
            <w:pPr>
              <w:pStyle w:val="TableContents"/>
              <w:spacing w:before="0" w:after="0"/>
              <w:ind w:left="0" w:right="0" w:hanging="0"/>
              <w:rPr/>
            </w:pPr>
            <w:bookmarkStart w:id="24" w:name="BS"/>
            <w:bookmarkEnd w:id="24"/>
            <w:r>
              <w:rPr>
                <w:rStyle w:val="StrongEmphasis"/>
              </w:rPr>
              <w:t>Consolidated Balance Sheets</w:t>
            </w:r>
          </w:p>
        </w:tc>
        <w:tc>
          <w:tcPr>
            <w:tcW w:w="9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520" w:type="dxa"/>
            <w:gridSpan w:val="2"/>
            <w:tcBorders>
              <w:bottom w:val="single" w:sz="2"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5"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520" w:type="dxa"/>
            <w:gridSpan w:val="2"/>
            <w:tcBorders>
              <w:bottom w:val="single" w:sz="2"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73"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r>
      <w:tr>
        <w:trPr/>
        <w:tc>
          <w:tcPr>
            <w:tcW w:w="6687"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52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Pr>
              <w:t xml:space="preserve">December 31,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52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Pr>
              <w:t xml:space="preserve">December 31, </w:t>
            </w:r>
          </w:p>
        </w:tc>
        <w:tc>
          <w:tcPr>
            <w:tcW w:w="173" w:type="dxa"/>
            <w:tcBorders/>
            <w:shd w:fill="auto" w:val="clear"/>
            <w:vAlign w:val="center"/>
          </w:tcPr>
          <w:p>
            <w:pPr>
              <w:pStyle w:val="TableContents"/>
              <w:spacing w:before="0" w:after="0"/>
              <w:ind w:left="0" w:right="0" w:hanging="0"/>
              <w:rPr/>
            </w:pPr>
            <w:r>
              <w:rPr/>
              <w:t> </w:t>
            </w:r>
          </w:p>
        </w:tc>
      </w:tr>
      <w:tr>
        <w:trPr/>
        <w:tc>
          <w:tcPr>
            <w:tcW w:w="6687"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5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2020</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5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2019</w:t>
            </w:r>
          </w:p>
        </w:tc>
        <w:tc>
          <w:tcPr>
            <w:tcW w:w="173" w:type="dxa"/>
            <w:tcBorders/>
            <w:shd w:fill="auto" w:val="clear"/>
            <w:vAlign w:val="center"/>
          </w:tcPr>
          <w:p>
            <w:pPr>
              <w:pStyle w:val="TableContents"/>
              <w:spacing w:before="0" w:after="0"/>
              <w:ind w:left="0" w:right="0" w:hanging="0"/>
              <w:rPr/>
            </w:pPr>
            <w:r>
              <w:rPr/>
              <w:t> </w:t>
            </w:r>
          </w:p>
        </w:tc>
      </w:tr>
      <w:tr>
        <w:trPr/>
        <w:tc>
          <w:tcPr>
            <w:tcW w:w="6687"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520" w:type="dxa"/>
            <w:gridSpan w:val="2"/>
            <w:tcBorders/>
            <w:shd w:fill="auto" w:val="clear"/>
            <w:vAlign w:val="center"/>
          </w:tcPr>
          <w:p>
            <w:pPr>
              <w:pStyle w:val="TableContents"/>
              <w:spacing w:before="0" w:after="0"/>
              <w:ind w:left="0" w:right="0" w:hanging="0"/>
              <w:jc w:val="center"/>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520" w:type="dxa"/>
            <w:gridSpan w:val="2"/>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0"/>
              <w:ind w:left="0" w:right="0" w:hanging="0"/>
              <w:rPr/>
            </w:pPr>
            <w:r>
              <w:rPr/>
              <w:t> </w:t>
            </w:r>
          </w:p>
        </w:tc>
      </w:tr>
      <w:tr>
        <w:trPr/>
        <w:tc>
          <w:tcPr>
            <w:tcW w:w="6687" w:type="dxa"/>
            <w:tcBorders/>
            <w:shd w:fill="auto" w:val="clear"/>
            <w:vAlign w:val="center"/>
          </w:tcPr>
          <w:p>
            <w:pPr>
              <w:pStyle w:val="TableContents"/>
              <w:spacing w:before="0" w:after="0"/>
              <w:ind w:left="0" w:right="0" w:hanging="0"/>
              <w:rPr/>
            </w:pPr>
            <w:r>
              <w:rPr>
                <w:rStyle w:val="StrongEmphasis"/>
              </w:rPr>
              <w:t xml:space="preserve">Assets </w:t>
            </w:r>
          </w:p>
        </w:tc>
        <w:tc>
          <w:tcPr>
            <w:tcW w:w="90" w:type="dxa"/>
            <w:tcBorders/>
            <w:shd w:fill="auto" w:val="clear"/>
            <w:vAlign w:val="center"/>
          </w:tcPr>
          <w:p>
            <w:pPr>
              <w:pStyle w:val="TableContents"/>
              <w:spacing w:before="0" w:after="0"/>
              <w:ind w:left="0" w:right="0" w:hanging="0"/>
              <w:rPr/>
            </w:pPr>
            <w:r>
              <w:rPr/>
              <w:t> </w:t>
            </w:r>
          </w:p>
        </w:tc>
        <w:tc>
          <w:tcPr>
            <w:tcW w:w="1520"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520" w:type="dxa"/>
            <w:gridSpan w:val="2"/>
            <w:tcBorders/>
            <w:shd w:fill="auto" w:val="clear"/>
            <w:vAlign w:val="center"/>
          </w:tcPr>
          <w:p>
            <w:pPr>
              <w:pStyle w:val="TableContents"/>
              <w:spacing w:before="0" w:after="0"/>
              <w:ind w:left="0" w:right="0" w:hanging="0"/>
              <w:rPr/>
            </w:pPr>
            <w:r>
              <w:rPr/>
              <w:t> </w:t>
            </w:r>
          </w:p>
        </w:tc>
        <w:tc>
          <w:tcPr>
            <w:tcW w:w="173" w:type="dxa"/>
            <w:tcBorders/>
            <w:shd w:fill="auto" w:val="clear"/>
            <w:vAlign w:val="center"/>
          </w:tcPr>
          <w:p>
            <w:pPr>
              <w:pStyle w:val="TableContents"/>
              <w:spacing w:before="0" w:after="0"/>
              <w:ind w:left="0" w:right="0" w:hanging="0"/>
              <w:rPr/>
            </w:pPr>
            <w:r>
              <w:rPr/>
              <w:t> </w:t>
            </w:r>
          </w:p>
        </w:tc>
      </w:tr>
      <w:tr>
        <w:trPr/>
        <w:tc>
          <w:tcPr>
            <w:tcW w:w="6687" w:type="dxa"/>
            <w:tcBorders/>
            <w:shd w:fill="auto" w:val="clear"/>
            <w:vAlign w:val="center"/>
          </w:tcPr>
          <w:p>
            <w:pPr>
              <w:pStyle w:val="TableContents"/>
              <w:spacing w:before="0" w:after="0"/>
              <w:ind w:left="0" w:right="0" w:firstLine="200"/>
              <w:rPr/>
            </w:pPr>
            <w:r>
              <w:rPr/>
              <w:t xml:space="preserve">Fixed-maturity securities, held-to-maturity, at amortized cost (fair value of </w:t>
            </w:r>
          </w:p>
        </w:tc>
        <w:tc>
          <w:tcPr>
            <w:tcW w:w="90" w:type="dxa"/>
            <w:tcBorders/>
            <w:shd w:fill="auto" w:val="clear"/>
            <w:vAlign w:val="center"/>
          </w:tcPr>
          <w:p>
            <w:pPr>
              <w:pStyle w:val="TableContents"/>
              <w:spacing w:before="0" w:after="0"/>
              <w:ind w:left="0" w:right="0" w:hanging="0"/>
              <w:rPr/>
            </w:pPr>
            <w:r>
              <w:rPr/>
              <w:t> </w:t>
            </w:r>
          </w:p>
        </w:tc>
        <w:tc>
          <w:tcPr>
            <w:tcW w:w="1520"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520" w:type="dxa"/>
            <w:gridSpan w:val="2"/>
            <w:tcBorders/>
            <w:shd w:fill="auto" w:val="clear"/>
            <w:vAlign w:val="center"/>
          </w:tcPr>
          <w:p>
            <w:pPr>
              <w:pStyle w:val="TableContents"/>
              <w:spacing w:before="0" w:after="0"/>
              <w:ind w:left="0" w:right="0" w:hanging="0"/>
              <w:rPr/>
            </w:pPr>
            <w:r>
              <w:rPr/>
              <w:t> </w:t>
            </w:r>
          </w:p>
        </w:tc>
        <w:tc>
          <w:tcPr>
            <w:tcW w:w="173" w:type="dxa"/>
            <w:tcBorders/>
            <w:shd w:fill="auto" w:val="clear"/>
            <w:vAlign w:val="center"/>
          </w:tcPr>
          <w:p>
            <w:pPr>
              <w:pStyle w:val="TableContents"/>
              <w:spacing w:before="0" w:after="0"/>
              <w:ind w:left="0" w:right="0" w:hanging="0"/>
              <w:rPr/>
            </w:pPr>
            <w:r>
              <w:rPr/>
              <w:t> </w:t>
            </w:r>
          </w:p>
        </w:tc>
      </w:tr>
      <w:tr>
        <w:trPr/>
        <w:tc>
          <w:tcPr>
            <w:tcW w:w="6687" w:type="dxa"/>
            <w:tcBorders/>
            <w:shd w:fill="CCEEFF" w:val="clear"/>
            <w:vAlign w:val="center"/>
          </w:tcPr>
          <w:p>
            <w:pPr>
              <w:pStyle w:val="TableContents"/>
              <w:spacing w:before="0" w:after="0"/>
              <w:ind w:left="0" w:right="0" w:firstLine="400"/>
              <w:rPr/>
            </w:pPr>
            <w:r>
              <w:rPr/>
              <w:t xml:space="preserve">$8,194,824 at December 31, 2020 and $4,124,767 at December 31, 2019) </w:t>
            </w:r>
          </w:p>
        </w:tc>
        <w:tc>
          <w:tcPr>
            <w:tcW w:w="90" w:type="dxa"/>
            <w:tcBorders/>
            <w:shd w:fill="CCEEFF" w:val="clear"/>
            <w:vAlign w:val="center"/>
          </w:tcPr>
          <w:p>
            <w:pPr>
              <w:pStyle w:val="TableContents"/>
              <w:spacing w:before="0" w:after="0"/>
              <w:ind w:left="0" w:right="0" w:hanging="0"/>
              <w:rPr/>
            </w:pPr>
            <w:r>
              <w:rPr/>
              <w:t> </w:t>
            </w:r>
          </w:p>
        </w:tc>
        <w:tc>
          <w:tcPr>
            <w:tcW w:w="181" w:type="dxa"/>
            <w:tcBorders/>
            <w:shd w:fill="CCEEFF" w:val="clear"/>
            <w:vAlign w:val="center"/>
          </w:tcPr>
          <w:p>
            <w:pPr>
              <w:pStyle w:val="TableContents"/>
              <w:spacing w:before="0" w:after="283"/>
              <w:rPr/>
            </w:pPr>
            <w:r>
              <w:rPr/>
              <w:t>$</w:t>
            </w:r>
          </w:p>
        </w:tc>
        <w:tc>
          <w:tcPr>
            <w:tcW w:w="1339" w:type="dxa"/>
            <w:tcBorders/>
            <w:shd w:fill="CCEEFF" w:val="clear"/>
            <w:vAlign w:val="center"/>
          </w:tcPr>
          <w:p>
            <w:pPr>
              <w:pStyle w:val="TableContents"/>
              <w:spacing w:before="0" w:after="283"/>
              <w:jc w:val="right"/>
              <w:rPr/>
            </w:pPr>
            <w:r>
              <w:rPr/>
              <w:t>7,368,815</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1" w:type="dxa"/>
            <w:tcBorders/>
            <w:shd w:fill="CCEEFF" w:val="clear"/>
            <w:vAlign w:val="center"/>
          </w:tcPr>
          <w:p>
            <w:pPr>
              <w:pStyle w:val="TableContents"/>
              <w:spacing w:before="0" w:after="283"/>
              <w:rPr/>
            </w:pPr>
            <w:r>
              <w:rPr/>
              <w:t>$</w:t>
            </w:r>
          </w:p>
        </w:tc>
        <w:tc>
          <w:tcPr>
            <w:tcW w:w="1339" w:type="dxa"/>
            <w:tcBorders/>
            <w:shd w:fill="CCEEFF" w:val="clear"/>
            <w:vAlign w:val="center"/>
          </w:tcPr>
          <w:p>
            <w:pPr>
              <w:pStyle w:val="TableContents"/>
              <w:spacing w:before="0" w:after="283"/>
              <w:jc w:val="right"/>
              <w:rPr/>
            </w:pPr>
            <w:r>
              <w:rPr/>
              <w:t>3,825,952</w:t>
            </w:r>
          </w:p>
        </w:tc>
        <w:tc>
          <w:tcPr>
            <w:tcW w:w="173" w:type="dxa"/>
            <w:tcBorders/>
            <w:shd w:fill="CCEEFF" w:val="clear"/>
            <w:vAlign w:val="center"/>
          </w:tcPr>
          <w:p>
            <w:pPr>
              <w:pStyle w:val="TableContents"/>
              <w:spacing w:before="0" w:after="0"/>
              <w:ind w:left="0" w:right="0" w:hanging="0"/>
              <w:rPr/>
            </w:pPr>
            <w:r>
              <w:rPr/>
              <w:t> </w:t>
            </w:r>
          </w:p>
        </w:tc>
      </w:tr>
      <w:tr>
        <w:trPr/>
        <w:tc>
          <w:tcPr>
            <w:tcW w:w="6687" w:type="dxa"/>
            <w:tcBorders/>
            <w:shd w:fill="FFFFFF" w:val="clear"/>
            <w:vAlign w:val="center"/>
          </w:tcPr>
          <w:p>
            <w:pPr>
              <w:pStyle w:val="TableContents"/>
              <w:spacing w:before="0" w:after="0"/>
              <w:ind w:left="0" w:right="0" w:firstLine="200"/>
              <w:rPr/>
            </w:pPr>
            <w:r>
              <w:rPr/>
              <w:t xml:space="preserve">Fixed-maturity securities, available-for-sale, at fair value (amortized cost of </w:t>
            </w:r>
          </w:p>
        </w:tc>
        <w:tc>
          <w:tcPr>
            <w:tcW w:w="90" w:type="dxa"/>
            <w:tcBorders/>
            <w:shd w:fill="FFFFFF" w:val="clear"/>
            <w:vAlign w:val="center"/>
          </w:tcPr>
          <w:p>
            <w:pPr>
              <w:pStyle w:val="TableContents"/>
              <w:spacing w:before="0" w:after="0"/>
              <w:ind w:left="0" w:right="0" w:hanging="0"/>
              <w:rPr/>
            </w:pPr>
            <w:r>
              <w:rPr/>
              <w:t> </w:t>
            </w:r>
          </w:p>
        </w:tc>
        <w:tc>
          <w:tcPr>
            <w:tcW w:w="181" w:type="dxa"/>
            <w:tcBorders/>
            <w:shd w:fill="FFFFFF" w:val="clear"/>
            <w:vAlign w:val="center"/>
          </w:tcPr>
          <w:p>
            <w:pPr>
              <w:pStyle w:val="TableContents"/>
              <w:spacing w:before="0" w:after="0"/>
              <w:ind w:left="0" w:right="0" w:hanging="0"/>
              <w:rPr/>
            </w:pPr>
            <w:r>
              <w:rPr/>
              <w:t> </w:t>
            </w:r>
          </w:p>
        </w:tc>
        <w:tc>
          <w:tcPr>
            <w:tcW w:w="1339"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1" w:type="dxa"/>
            <w:tcBorders/>
            <w:shd w:fill="FFFFFF" w:val="clear"/>
            <w:vAlign w:val="center"/>
          </w:tcPr>
          <w:p>
            <w:pPr>
              <w:pStyle w:val="TableContents"/>
              <w:spacing w:before="0" w:after="0"/>
              <w:ind w:left="0" w:right="0" w:hanging="0"/>
              <w:rPr/>
            </w:pPr>
            <w:r>
              <w:rPr/>
              <w:t> </w:t>
            </w:r>
          </w:p>
        </w:tc>
        <w:tc>
          <w:tcPr>
            <w:tcW w:w="1339" w:type="dxa"/>
            <w:tcBorders/>
            <w:shd w:fill="FFFFFF" w:val="clear"/>
            <w:vAlign w:val="center"/>
          </w:tcPr>
          <w:p>
            <w:pPr>
              <w:pStyle w:val="TableContents"/>
              <w:spacing w:before="0" w:after="0"/>
              <w:ind w:left="0" w:right="0" w:hanging="0"/>
              <w:rPr/>
            </w:pPr>
            <w:r>
              <w:rPr/>
              <w:t> </w:t>
            </w:r>
          </w:p>
        </w:tc>
        <w:tc>
          <w:tcPr>
            <w:tcW w:w="173" w:type="dxa"/>
            <w:tcBorders/>
            <w:shd w:fill="FFFFFF" w:val="clear"/>
            <w:vAlign w:val="center"/>
          </w:tcPr>
          <w:p>
            <w:pPr>
              <w:pStyle w:val="TableContents"/>
              <w:spacing w:before="0" w:after="0"/>
              <w:ind w:left="0" w:right="0" w:hanging="0"/>
              <w:rPr/>
            </w:pPr>
            <w:r>
              <w:rPr/>
              <w:t> </w:t>
            </w:r>
          </w:p>
        </w:tc>
      </w:tr>
      <w:tr>
        <w:trPr/>
        <w:tc>
          <w:tcPr>
            <w:tcW w:w="6687" w:type="dxa"/>
            <w:tcBorders/>
            <w:shd w:fill="CCEEFF" w:val="clear"/>
            <w:vAlign w:val="center"/>
          </w:tcPr>
          <w:p>
            <w:pPr>
              <w:pStyle w:val="TableContents"/>
              <w:spacing w:before="0" w:after="0"/>
              <w:ind w:left="0" w:right="0" w:firstLine="400"/>
              <w:rPr/>
            </w:pPr>
            <w:r>
              <w:rPr/>
              <w:t xml:space="preserve">$145,045,584 at December 31, 2020 and $162,202,355 at December 31, 2019) </w:t>
            </w:r>
          </w:p>
        </w:tc>
        <w:tc>
          <w:tcPr>
            <w:tcW w:w="90" w:type="dxa"/>
            <w:tcBorders/>
            <w:shd w:fill="CCEEFF" w:val="clear"/>
            <w:vAlign w:val="center"/>
          </w:tcPr>
          <w:p>
            <w:pPr>
              <w:pStyle w:val="TableContents"/>
              <w:spacing w:before="0" w:after="0"/>
              <w:ind w:left="0" w:right="0" w:hanging="0"/>
              <w:rPr/>
            </w:pPr>
            <w:r>
              <w:rPr/>
              <w:t> </w:t>
            </w:r>
          </w:p>
        </w:tc>
        <w:tc>
          <w:tcPr>
            <w:tcW w:w="181" w:type="dxa"/>
            <w:tcBorders/>
            <w:shd w:fill="CCEEFF" w:val="clear"/>
            <w:vAlign w:val="center"/>
          </w:tcPr>
          <w:p>
            <w:pPr>
              <w:pStyle w:val="TableContents"/>
              <w:spacing w:before="0" w:after="0"/>
              <w:ind w:left="0" w:right="0" w:hanging="0"/>
              <w:rPr/>
            </w:pPr>
            <w:r>
              <w:rPr/>
              <w:t> </w:t>
            </w:r>
          </w:p>
        </w:tc>
        <w:tc>
          <w:tcPr>
            <w:tcW w:w="1339" w:type="dxa"/>
            <w:tcBorders/>
            <w:shd w:fill="CCEEFF" w:val="clear"/>
            <w:vAlign w:val="center"/>
          </w:tcPr>
          <w:p>
            <w:pPr>
              <w:pStyle w:val="TableContents"/>
              <w:spacing w:before="0" w:after="283"/>
              <w:jc w:val="right"/>
              <w:rPr/>
            </w:pPr>
            <w:r>
              <w:rPr/>
              <w:t>157,549,272</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1" w:type="dxa"/>
            <w:tcBorders/>
            <w:shd w:fill="CCEEFF" w:val="clear"/>
            <w:vAlign w:val="center"/>
          </w:tcPr>
          <w:p>
            <w:pPr>
              <w:pStyle w:val="TableContents"/>
              <w:spacing w:before="0" w:after="0"/>
              <w:ind w:left="0" w:right="0" w:hanging="0"/>
              <w:rPr/>
            </w:pPr>
            <w:r>
              <w:rPr/>
              <w:t> </w:t>
            </w:r>
          </w:p>
        </w:tc>
        <w:tc>
          <w:tcPr>
            <w:tcW w:w="1339" w:type="dxa"/>
            <w:tcBorders/>
            <w:shd w:fill="CCEEFF" w:val="clear"/>
            <w:vAlign w:val="center"/>
          </w:tcPr>
          <w:p>
            <w:pPr>
              <w:pStyle w:val="TableContents"/>
              <w:spacing w:before="0" w:after="283"/>
              <w:jc w:val="right"/>
              <w:rPr/>
            </w:pPr>
            <w:r>
              <w:rPr/>
              <w:t>168,236,181</w:t>
            </w:r>
          </w:p>
        </w:tc>
        <w:tc>
          <w:tcPr>
            <w:tcW w:w="173" w:type="dxa"/>
            <w:tcBorders/>
            <w:shd w:fill="CCEEFF" w:val="clear"/>
            <w:vAlign w:val="center"/>
          </w:tcPr>
          <w:p>
            <w:pPr>
              <w:pStyle w:val="TableContents"/>
              <w:spacing w:before="0" w:after="0"/>
              <w:ind w:left="0" w:right="0" w:hanging="0"/>
              <w:rPr/>
            </w:pPr>
            <w:r>
              <w:rPr/>
              <w:t> </w:t>
            </w:r>
          </w:p>
        </w:tc>
      </w:tr>
      <w:tr>
        <w:trPr/>
        <w:tc>
          <w:tcPr>
            <w:tcW w:w="6687" w:type="dxa"/>
            <w:tcBorders/>
            <w:shd w:fill="FFFFFF" w:val="clear"/>
            <w:vAlign w:val="center"/>
          </w:tcPr>
          <w:p>
            <w:pPr>
              <w:pStyle w:val="TableContents"/>
              <w:spacing w:before="0" w:after="0"/>
              <w:ind w:left="0" w:right="0" w:firstLine="200"/>
              <w:rPr/>
            </w:pPr>
            <w:r>
              <w:rPr/>
              <w:t xml:space="preserve">Equity securities, at fair value (cost of $32,571,166 at December 31, 2020 and </w:t>
            </w:r>
          </w:p>
        </w:tc>
        <w:tc>
          <w:tcPr>
            <w:tcW w:w="90" w:type="dxa"/>
            <w:tcBorders/>
            <w:shd w:fill="FFFFFF" w:val="clear"/>
            <w:vAlign w:val="center"/>
          </w:tcPr>
          <w:p>
            <w:pPr>
              <w:pStyle w:val="TableContents"/>
              <w:spacing w:before="0" w:after="0"/>
              <w:ind w:left="0" w:right="0" w:hanging="0"/>
              <w:rPr/>
            </w:pPr>
            <w:r>
              <w:rPr/>
              <w:t> </w:t>
            </w:r>
          </w:p>
        </w:tc>
        <w:tc>
          <w:tcPr>
            <w:tcW w:w="181" w:type="dxa"/>
            <w:tcBorders/>
            <w:shd w:fill="FFFFFF" w:val="clear"/>
            <w:vAlign w:val="center"/>
          </w:tcPr>
          <w:p>
            <w:pPr>
              <w:pStyle w:val="TableContents"/>
              <w:spacing w:before="0" w:after="0"/>
              <w:ind w:left="0" w:right="0" w:hanging="0"/>
              <w:rPr/>
            </w:pPr>
            <w:r>
              <w:rPr/>
              <w:t> </w:t>
            </w:r>
          </w:p>
        </w:tc>
        <w:tc>
          <w:tcPr>
            <w:tcW w:w="1339"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1" w:type="dxa"/>
            <w:tcBorders/>
            <w:shd w:fill="FFFFFF" w:val="clear"/>
            <w:vAlign w:val="center"/>
          </w:tcPr>
          <w:p>
            <w:pPr>
              <w:pStyle w:val="TableContents"/>
              <w:spacing w:before="0" w:after="0"/>
              <w:ind w:left="0" w:right="0" w:hanging="0"/>
              <w:rPr/>
            </w:pPr>
            <w:r>
              <w:rPr/>
              <w:t> </w:t>
            </w:r>
          </w:p>
        </w:tc>
        <w:tc>
          <w:tcPr>
            <w:tcW w:w="1339" w:type="dxa"/>
            <w:tcBorders/>
            <w:shd w:fill="FFFFFF" w:val="clear"/>
            <w:vAlign w:val="center"/>
          </w:tcPr>
          <w:p>
            <w:pPr>
              <w:pStyle w:val="TableContents"/>
              <w:spacing w:before="0" w:after="0"/>
              <w:ind w:left="0" w:right="0" w:hanging="0"/>
              <w:rPr/>
            </w:pPr>
            <w:r>
              <w:rPr/>
              <w:t> </w:t>
            </w:r>
          </w:p>
        </w:tc>
        <w:tc>
          <w:tcPr>
            <w:tcW w:w="173" w:type="dxa"/>
            <w:tcBorders/>
            <w:shd w:fill="FFFFFF" w:val="clear"/>
            <w:vAlign w:val="center"/>
          </w:tcPr>
          <w:p>
            <w:pPr>
              <w:pStyle w:val="TableContents"/>
              <w:spacing w:before="0" w:after="0"/>
              <w:ind w:left="0" w:right="0" w:hanging="0"/>
              <w:rPr/>
            </w:pPr>
            <w:r>
              <w:rPr/>
              <w:t> </w:t>
            </w:r>
          </w:p>
        </w:tc>
      </w:tr>
      <w:tr>
        <w:trPr/>
        <w:tc>
          <w:tcPr>
            <w:tcW w:w="6687" w:type="dxa"/>
            <w:tcBorders/>
            <w:shd w:fill="CCEEFF" w:val="clear"/>
            <w:vAlign w:val="center"/>
          </w:tcPr>
          <w:p>
            <w:pPr>
              <w:pStyle w:val="TableContents"/>
              <w:spacing w:before="0" w:after="0"/>
              <w:ind w:left="0" w:right="0" w:firstLine="400"/>
              <w:rPr/>
            </w:pPr>
            <w:r>
              <w:rPr/>
              <w:t xml:space="preserve">$22,624,668 at December 31, 2019) </w:t>
            </w:r>
          </w:p>
        </w:tc>
        <w:tc>
          <w:tcPr>
            <w:tcW w:w="90" w:type="dxa"/>
            <w:tcBorders/>
            <w:shd w:fill="CCEEFF" w:val="clear"/>
            <w:vAlign w:val="center"/>
          </w:tcPr>
          <w:p>
            <w:pPr>
              <w:pStyle w:val="TableContents"/>
              <w:spacing w:before="0" w:after="0"/>
              <w:ind w:left="0" w:right="0" w:hanging="0"/>
              <w:rPr/>
            </w:pPr>
            <w:r>
              <w:rPr/>
              <w:t> </w:t>
            </w:r>
          </w:p>
        </w:tc>
        <w:tc>
          <w:tcPr>
            <w:tcW w:w="181" w:type="dxa"/>
            <w:tcBorders/>
            <w:shd w:fill="CCEEFF" w:val="clear"/>
            <w:vAlign w:val="center"/>
          </w:tcPr>
          <w:p>
            <w:pPr>
              <w:pStyle w:val="TableContents"/>
              <w:spacing w:before="0" w:after="0"/>
              <w:ind w:left="0" w:right="0" w:hanging="0"/>
              <w:rPr/>
            </w:pPr>
            <w:r>
              <w:rPr/>
              <w:t> </w:t>
            </w:r>
          </w:p>
        </w:tc>
        <w:tc>
          <w:tcPr>
            <w:tcW w:w="1339" w:type="dxa"/>
            <w:tcBorders/>
            <w:shd w:fill="CCEEFF" w:val="clear"/>
            <w:vAlign w:val="center"/>
          </w:tcPr>
          <w:p>
            <w:pPr>
              <w:pStyle w:val="TableContents"/>
              <w:spacing w:before="0" w:after="283"/>
              <w:jc w:val="right"/>
              <w:rPr/>
            </w:pPr>
            <w:r>
              <w:rPr/>
              <w:t>34,413,313</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1" w:type="dxa"/>
            <w:tcBorders/>
            <w:shd w:fill="CCEEFF" w:val="clear"/>
            <w:vAlign w:val="center"/>
          </w:tcPr>
          <w:p>
            <w:pPr>
              <w:pStyle w:val="TableContents"/>
              <w:spacing w:before="0" w:after="0"/>
              <w:ind w:left="0" w:right="0" w:hanging="0"/>
              <w:rPr/>
            </w:pPr>
            <w:r>
              <w:rPr/>
              <w:t> </w:t>
            </w:r>
          </w:p>
        </w:tc>
        <w:tc>
          <w:tcPr>
            <w:tcW w:w="1339" w:type="dxa"/>
            <w:tcBorders/>
            <w:shd w:fill="CCEEFF" w:val="clear"/>
            <w:vAlign w:val="center"/>
          </w:tcPr>
          <w:p>
            <w:pPr>
              <w:pStyle w:val="TableContents"/>
              <w:spacing w:before="0" w:after="283"/>
              <w:jc w:val="right"/>
              <w:rPr/>
            </w:pPr>
            <w:r>
              <w:rPr/>
              <w:t>24,661,382</w:t>
            </w:r>
          </w:p>
        </w:tc>
        <w:tc>
          <w:tcPr>
            <w:tcW w:w="173" w:type="dxa"/>
            <w:tcBorders/>
            <w:shd w:fill="CCEEFF" w:val="clear"/>
            <w:vAlign w:val="center"/>
          </w:tcPr>
          <w:p>
            <w:pPr>
              <w:pStyle w:val="TableContents"/>
              <w:spacing w:before="0" w:after="0"/>
              <w:ind w:left="0" w:right="0" w:hanging="0"/>
              <w:rPr/>
            </w:pPr>
            <w:r>
              <w:rPr/>
              <w:t> </w:t>
            </w:r>
          </w:p>
        </w:tc>
      </w:tr>
      <w:tr>
        <w:trPr/>
        <w:tc>
          <w:tcPr>
            <w:tcW w:w="6687" w:type="dxa"/>
            <w:tcBorders/>
            <w:shd w:fill="FFFFFF" w:val="clear"/>
            <w:vAlign w:val="center"/>
          </w:tcPr>
          <w:p>
            <w:pPr>
              <w:pStyle w:val="TableContents"/>
              <w:spacing w:before="0" w:after="0"/>
              <w:ind w:left="0" w:right="0" w:firstLine="200"/>
              <w:rPr/>
            </w:pPr>
            <w:r>
              <w:rPr/>
              <w:t xml:space="preserve">Other investments </w:t>
            </w:r>
          </w:p>
        </w:tc>
        <w:tc>
          <w:tcPr>
            <w:tcW w:w="90" w:type="dxa"/>
            <w:tcBorders/>
            <w:shd w:fill="FFFFFF" w:val="clear"/>
            <w:vAlign w:val="center"/>
          </w:tcPr>
          <w:p>
            <w:pPr>
              <w:pStyle w:val="TableContents"/>
              <w:spacing w:before="0" w:after="0"/>
              <w:ind w:left="0" w:right="0" w:hanging="0"/>
              <w:rPr/>
            </w:pPr>
            <w:r>
              <w:rPr/>
              <w:t> </w:t>
            </w:r>
          </w:p>
        </w:tc>
        <w:tc>
          <w:tcPr>
            <w:tcW w:w="181"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339" w:type="dxa"/>
            <w:tcBorders>
              <w:bottom w:val="single" w:sz="2" w:space="0" w:color="000000"/>
            </w:tcBorders>
            <w:shd w:fill="FFFFFF" w:val="clear"/>
            <w:tcMar>
              <w:bottom w:w="28" w:type="dxa"/>
            </w:tcMar>
            <w:vAlign w:val="center"/>
          </w:tcPr>
          <w:p>
            <w:pPr>
              <w:pStyle w:val="TableContents"/>
              <w:spacing w:before="0" w:after="283"/>
              <w:jc w:val="right"/>
              <w:rPr/>
            </w:pPr>
            <w:r>
              <w:rPr/>
              <w:t>3,518,626</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1"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339" w:type="dxa"/>
            <w:tcBorders>
              <w:bottom w:val="single" w:sz="2" w:space="0" w:color="000000"/>
            </w:tcBorders>
            <w:shd w:fill="FFFFFF" w:val="clear"/>
            <w:tcMar>
              <w:bottom w:w="28" w:type="dxa"/>
            </w:tcMar>
            <w:vAlign w:val="center"/>
          </w:tcPr>
          <w:p>
            <w:pPr>
              <w:pStyle w:val="TableContents"/>
              <w:spacing w:before="0" w:after="283"/>
              <w:jc w:val="right"/>
              <w:rPr/>
            </w:pPr>
            <w:r>
              <w:rPr/>
              <w:t>2,584,913</w:t>
            </w:r>
          </w:p>
        </w:tc>
        <w:tc>
          <w:tcPr>
            <w:tcW w:w="173" w:type="dxa"/>
            <w:tcBorders/>
            <w:shd w:fill="FFFFFF" w:val="clear"/>
            <w:vAlign w:val="center"/>
          </w:tcPr>
          <w:p>
            <w:pPr>
              <w:pStyle w:val="TableContents"/>
              <w:spacing w:before="0" w:after="0"/>
              <w:ind w:left="0" w:right="0" w:hanging="0"/>
              <w:rPr/>
            </w:pPr>
            <w:r>
              <w:rPr/>
              <w:t> </w:t>
            </w:r>
          </w:p>
        </w:tc>
      </w:tr>
      <w:tr>
        <w:trPr/>
        <w:tc>
          <w:tcPr>
            <w:tcW w:w="6687" w:type="dxa"/>
            <w:tcBorders/>
            <w:shd w:fill="CCEEFF" w:val="clear"/>
            <w:vAlign w:val="center"/>
          </w:tcPr>
          <w:p>
            <w:pPr>
              <w:pStyle w:val="TableContents"/>
              <w:spacing w:before="0" w:after="0"/>
              <w:ind w:left="0" w:right="0" w:firstLine="400"/>
              <w:rPr/>
            </w:pPr>
            <w:r>
              <w:rPr/>
              <w:t xml:space="preserve">Total investments </w:t>
            </w:r>
          </w:p>
        </w:tc>
        <w:tc>
          <w:tcPr>
            <w:tcW w:w="90" w:type="dxa"/>
            <w:tcBorders/>
            <w:shd w:fill="CCEEFF" w:val="clear"/>
            <w:vAlign w:val="center"/>
          </w:tcPr>
          <w:p>
            <w:pPr>
              <w:pStyle w:val="TableContents"/>
              <w:spacing w:before="0" w:after="0"/>
              <w:ind w:left="0" w:right="0" w:hanging="0"/>
              <w:rPr/>
            </w:pPr>
            <w:r>
              <w:rPr/>
              <w:t> </w:t>
            </w:r>
          </w:p>
        </w:tc>
        <w:tc>
          <w:tcPr>
            <w:tcW w:w="181" w:type="dxa"/>
            <w:tcBorders/>
            <w:shd w:fill="CCEEFF" w:val="clear"/>
            <w:vAlign w:val="center"/>
          </w:tcPr>
          <w:p>
            <w:pPr>
              <w:pStyle w:val="TableContents"/>
              <w:spacing w:before="0" w:after="0"/>
              <w:ind w:left="0" w:right="0" w:hanging="0"/>
              <w:rPr/>
            </w:pPr>
            <w:r>
              <w:rPr/>
              <w:t> </w:t>
            </w:r>
          </w:p>
        </w:tc>
        <w:tc>
          <w:tcPr>
            <w:tcW w:w="1339" w:type="dxa"/>
            <w:tcBorders/>
            <w:shd w:fill="CCEEFF" w:val="clear"/>
            <w:vAlign w:val="center"/>
          </w:tcPr>
          <w:p>
            <w:pPr>
              <w:pStyle w:val="TableContents"/>
              <w:spacing w:before="0" w:after="283"/>
              <w:jc w:val="right"/>
              <w:rPr/>
            </w:pPr>
            <w:r>
              <w:rPr/>
              <w:t>202,850,026</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1" w:type="dxa"/>
            <w:tcBorders/>
            <w:shd w:fill="CCEEFF" w:val="clear"/>
            <w:vAlign w:val="center"/>
          </w:tcPr>
          <w:p>
            <w:pPr>
              <w:pStyle w:val="TableContents"/>
              <w:spacing w:before="0" w:after="0"/>
              <w:ind w:left="0" w:right="0" w:hanging="0"/>
              <w:rPr/>
            </w:pPr>
            <w:r>
              <w:rPr/>
              <w:t> </w:t>
            </w:r>
          </w:p>
        </w:tc>
        <w:tc>
          <w:tcPr>
            <w:tcW w:w="1339" w:type="dxa"/>
            <w:tcBorders/>
            <w:shd w:fill="CCEEFF" w:val="clear"/>
            <w:vAlign w:val="center"/>
          </w:tcPr>
          <w:p>
            <w:pPr>
              <w:pStyle w:val="TableContents"/>
              <w:spacing w:before="0" w:after="283"/>
              <w:jc w:val="right"/>
              <w:rPr/>
            </w:pPr>
            <w:r>
              <w:rPr/>
              <w:t>199,308,428</w:t>
            </w:r>
          </w:p>
        </w:tc>
        <w:tc>
          <w:tcPr>
            <w:tcW w:w="173" w:type="dxa"/>
            <w:tcBorders/>
            <w:shd w:fill="CCEEFF" w:val="clear"/>
            <w:vAlign w:val="center"/>
          </w:tcPr>
          <w:p>
            <w:pPr>
              <w:pStyle w:val="TableContents"/>
              <w:spacing w:before="0" w:after="0"/>
              <w:ind w:left="0" w:right="0" w:hanging="0"/>
              <w:rPr/>
            </w:pPr>
            <w:r>
              <w:rPr/>
              <w:t> </w:t>
            </w:r>
          </w:p>
        </w:tc>
      </w:tr>
      <w:tr>
        <w:trPr/>
        <w:tc>
          <w:tcPr>
            <w:tcW w:w="6687" w:type="dxa"/>
            <w:tcBorders/>
            <w:shd w:fill="FFFFFF" w:val="clear"/>
            <w:vAlign w:val="center"/>
          </w:tcPr>
          <w:p>
            <w:pPr>
              <w:pStyle w:val="TableContents"/>
              <w:spacing w:before="0" w:after="0"/>
              <w:ind w:left="0" w:right="0" w:firstLine="200"/>
              <w:rPr/>
            </w:pPr>
            <w:r>
              <w:rPr/>
              <w:t xml:space="preserve">Cash and cash equivalents </w:t>
            </w:r>
          </w:p>
        </w:tc>
        <w:tc>
          <w:tcPr>
            <w:tcW w:w="90" w:type="dxa"/>
            <w:tcBorders/>
            <w:shd w:fill="FFFFFF" w:val="clear"/>
            <w:vAlign w:val="center"/>
          </w:tcPr>
          <w:p>
            <w:pPr>
              <w:pStyle w:val="TableContents"/>
              <w:spacing w:before="0" w:after="0"/>
              <w:ind w:left="0" w:right="0" w:hanging="0"/>
              <w:rPr/>
            </w:pPr>
            <w:r>
              <w:rPr/>
              <w:t> </w:t>
            </w:r>
          </w:p>
        </w:tc>
        <w:tc>
          <w:tcPr>
            <w:tcW w:w="181" w:type="dxa"/>
            <w:tcBorders/>
            <w:shd w:fill="FFFFFF" w:val="clear"/>
            <w:vAlign w:val="center"/>
          </w:tcPr>
          <w:p>
            <w:pPr>
              <w:pStyle w:val="TableContents"/>
              <w:spacing w:before="0" w:after="0"/>
              <w:ind w:left="0" w:right="0" w:hanging="0"/>
              <w:rPr/>
            </w:pPr>
            <w:r>
              <w:rPr/>
              <w:t> </w:t>
            </w:r>
          </w:p>
        </w:tc>
        <w:tc>
          <w:tcPr>
            <w:tcW w:w="1339" w:type="dxa"/>
            <w:tcBorders/>
            <w:shd w:fill="FFFFFF" w:val="clear"/>
            <w:vAlign w:val="center"/>
          </w:tcPr>
          <w:p>
            <w:pPr>
              <w:pStyle w:val="TableContents"/>
              <w:spacing w:before="0" w:after="283"/>
              <w:jc w:val="right"/>
              <w:rPr/>
            </w:pPr>
            <w:r>
              <w:rPr/>
              <w:t>19,463,742</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1" w:type="dxa"/>
            <w:tcBorders/>
            <w:shd w:fill="FFFFFF" w:val="clear"/>
            <w:vAlign w:val="center"/>
          </w:tcPr>
          <w:p>
            <w:pPr>
              <w:pStyle w:val="TableContents"/>
              <w:spacing w:before="0" w:after="0"/>
              <w:ind w:left="0" w:right="0" w:hanging="0"/>
              <w:rPr/>
            </w:pPr>
            <w:r>
              <w:rPr/>
              <w:t> </w:t>
            </w:r>
          </w:p>
        </w:tc>
        <w:tc>
          <w:tcPr>
            <w:tcW w:w="1339" w:type="dxa"/>
            <w:tcBorders/>
            <w:shd w:fill="FFFFFF" w:val="clear"/>
            <w:vAlign w:val="center"/>
          </w:tcPr>
          <w:p>
            <w:pPr>
              <w:pStyle w:val="TableContents"/>
              <w:spacing w:before="0" w:after="283"/>
              <w:jc w:val="right"/>
              <w:rPr/>
            </w:pPr>
            <w:r>
              <w:rPr/>
              <w:t>32,391,485</w:t>
            </w:r>
          </w:p>
        </w:tc>
        <w:tc>
          <w:tcPr>
            <w:tcW w:w="173" w:type="dxa"/>
            <w:tcBorders/>
            <w:shd w:fill="FFFFFF" w:val="clear"/>
            <w:vAlign w:val="center"/>
          </w:tcPr>
          <w:p>
            <w:pPr>
              <w:pStyle w:val="TableContents"/>
              <w:spacing w:before="0" w:after="0"/>
              <w:ind w:left="0" w:right="0" w:hanging="0"/>
              <w:rPr/>
            </w:pPr>
            <w:r>
              <w:rPr/>
              <w:t> </w:t>
            </w:r>
          </w:p>
        </w:tc>
      </w:tr>
      <w:tr>
        <w:trPr/>
        <w:tc>
          <w:tcPr>
            <w:tcW w:w="6687" w:type="dxa"/>
            <w:tcBorders/>
            <w:shd w:fill="CCEEFF" w:val="clear"/>
            <w:vAlign w:val="center"/>
          </w:tcPr>
          <w:p>
            <w:pPr>
              <w:pStyle w:val="TableContents"/>
              <w:spacing w:before="0" w:after="0"/>
              <w:ind w:left="0" w:right="0" w:firstLine="200"/>
              <w:rPr/>
            </w:pPr>
            <w:r>
              <w:rPr/>
              <w:t xml:space="preserve">Premiums receivable, net </w:t>
            </w:r>
          </w:p>
        </w:tc>
        <w:tc>
          <w:tcPr>
            <w:tcW w:w="90" w:type="dxa"/>
            <w:tcBorders/>
            <w:shd w:fill="CCEEFF" w:val="clear"/>
            <w:vAlign w:val="center"/>
          </w:tcPr>
          <w:p>
            <w:pPr>
              <w:pStyle w:val="TableContents"/>
              <w:spacing w:before="0" w:after="0"/>
              <w:ind w:left="0" w:right="0" w:hanging="0"/>
              <w:rPr/>
            </w:pPr>
            <w:r>
              <w:rPr/>
              <w:t> </w:t>
            </w:r>
          </w:p>
        </w:tc>
        <w:tc>
          <w:tcPr>
            <w:tcW w:w="181" w:type="dxa"/>
            <w:tcBorders/>
            <w:shd w:fill="CCEEFF" w:val="clear"/>
            <w:vAlign w:val="center"/>
          </w:tcPr>
          <w:p>
            <w:pPr>
              <w:pStyle w:val="TableContents"/>
              <w:spacing w:before="0" w:after="0"/>
              <w:ind w:left="0" w:right="0" w:hanging="0"/>
              <w:rPr/>
            </w:pPr>
            <w:r>
              <w:rPr/>
              <w:t> </w:t>
            </w:r>
          </w:p>
        </w:tc>
        <w:tc>
          <w:tcPr>
            <w:tcW w:w="1339" w:type="dxa"/>
            <w:tcBorders/>
            <w:shd w:fill="CCEEFF" w:val="clear"/>
            <w:vAlign w:val="center"/>
          </w:tcPr>
          <w:p>
            <w:pPr>
              <w:pStyle w:val="TableContents"/>
              <w:spacing w:before="0" w:after="283"/>
              <w:jc w:val="right"/>
              <w:rPr/>
            </w:pPr>
            <w:r>
              <w:rPr/>
              <w:t>11,819,639</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1" w:type="dxa"/>
            <w:tcBorders/>
            <w:shd w:fill="CCEEFF" w:val="clear"/>
            <w:vAlign w:val="center"/>
          </w:tcPr>
          <w:p>
            <w:pPr>
              <w:pStyle w:val="TableContents"/>
              <w:spacing w:before="0" w:after="0"/>
              <w:ind w:left="0" w:right="0" w:hanging="0"/>
              <w:rPr/>
            </w:pPr>
            <w:r>
              <w:rPr/>
              <w:t> </w:t>
            </w:r>
          </w:p>
        </w:tc>
        <w:tc>
          <w:tcPr>
            <w:tcW w:w="1339" w:type="dxa"/>
            <w:tcBorders/>
            <w:shd w:fill="CCEEFF" w:val="clear"/>
            <w:vAlign w:val="center"/>
          </w:tcPr>
          <w:p>
            <w:pPr>
              <w:pStyle w:val="TableContents"/>
              <w:spacing w:before="0" w:after="283"/>
              <w:jc w:val="right"/>
              <w:rPr/>
            </w:pPr>
            <w:r>
              <w:rPr/>
              <w:t>12,706,411</w:t>
            </w:r>
          </w:p>
        </w:tc>
        <w:tc>
          <w:tcPr>
            <w:tcW w:w="173" w:type="dxa"/>
            <w:tcBorders/>
            <w:shd w:fill="CCEEFF" w:val="clear"/>
            <w:vAlign w:val="center"/>
          </w:tcPr>
          <w:p>
            <w:pPr>
              <w:pStyle w:val="TableContents"/>
              <w:spacing w:before="0" w:after="0"/>
              <w:ind w:left="0" w:right="0" w:hanging="0"/>
              <w:rPr/>
            </w:pPr>
            <w:r>
              <w:rPr/>
              <w:t> </w:t>
            </w:r>
          </w:p>
        </w:tc>
      </w:tr>
      <w:tr>
        <w:trPr/>
        <w:tc>
          <w:tcPr>
            <w:tcW w:w="6687" w:type="dxa"/>
            <w:tcBorders/>
            <w:shd w:fill="FFFFFF" w:val="clear"/>
            <w:vAlign w:val="center"/>
          </w:tcPr>
          <w:p>
            <w:pPr>
              <w:pStyle w:val="TableContents"/>
              <w:spacing w:before="0" w:after="0"/>
              <w:ind w:left="0" w:right="0" w:firstLine="200"/>
              <w:rPr/>
            </w:pPr>
            <w:r>
              <w:rPr/>
              <w:t xml:space="preserve">Reinsurance receivables, net </w:t>
            </w:r>
          </w:p>
        </w:tc>
        <w:tc>
          <w:tcPr>
            <w:tcW w:w="90" w:type="dxa"/>
            <w:tcBorders/>
            <w:shd w:fill="FFFFFF" w:val="clear"/>
            <w:vAlign w:val="center"/>
          </w:tcPr>
          <w:p>
            <w:pPr>
              <w:pStyle w:val="TableContents"/>
              <w:spacing w:before="0" w:after="0"/>
              <w:ind w:left="0" w:right="0" w:hanging="0"/>
              <w:rPr/>
            </w:pPr>
            <w:r>
              <w:rPr/>
              <w:t> </w:t>
            </w:r>
          </w:p>
        </w:tc>
        <w:tc>
          <w:tcPr>
            <w:tcW w:w="181" w:type="dxa"/>
            <w:tcBorders/>
            <w:shd w:fill="FFFFFF" w:val="clear"/>
            <w:vAlign w:val="center"/>
          </w:tcPr>
          <w:p>
            <w:pPr>
              <w:pStyle w:val="TableContents"/>
              <w:spacing w:before="0" w:after="0"/>
              <w:ind w:left="0" w:right="0" w:hanging="0"/>
              <w:rPr/>
            </w:pPr>
            <w:r>
              <w:rPr/>
              <w:t> </w:t>
            </w:r>
          </w:p>
        </w:tc>
        <w:tc>
          <w:tcPr>
            <w:tcW w:w="1339" w:type="dxa"/>
            <w:tcBorders/>
            <w:shd w:fill="FFFFFF" w:val="clear"/>
            <w:vAlign w:val="center"/>
          </w:tcPr>
          <w:p>
            <w:pPr>
              <w:pStyle w:val="TableContents"/>
              <w:spacing w:before="0" w:after="283"/>
              <w:jc w:val="right"/>
              <w:rPr/>
            </w:pPr>
            <w:r>
              <w:rPr/>
              <w:t>45,460,729</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1" w:type="dxa"/>
            <w:tcBorders/>
            <w:shd w:fill="FFFFFF" w:val="clear"/>
            <w:vAlign w:val="center"/>
          </w:tcPr>
          <w:p>
            <w:pPr>
              <w:pStyle w:val="TableContents"/>
              <w:spacing w:before="0" w:after="0"/>
              <w:ind w:left="0" w:right="0" w:hanging="0"/>
              <w:rPr/>
            </w:pPr>
            <w:r>
              <w:rPr/>
              <w:t> </w:t>
            </w:r>
          </w:p>
        </w:tc>
        <w:tc>
          <w:tcPr>
            <w:tcW w:w="1339" w:type="dxa"/>
            <w:tcBorders/>
            <w:shd w:fill="FFFFFF" w:val="clear"/>
            <w:vAlign w:val="center"/>
          </w:tcPr>
          <w:p>
            <w:pPr>
              <w:pStyle w:val="TableContents"/>
              <w:spacing w:before="0" w:after="283"/>
              <w:jc w:val="right"/>
              <w:rPr/>
            </w:pPr>
            <w:r>
              <w:rPr/>
              <w:t>40,750,538</w:t>
            </w:r>
          </w:p>
        </w:tc>
        <w:tc>
          <w:tcPr>
            <w:tcW w:w="173" w:type="dxa"/>
            <w:tcBorders/>
            <w:shd w:fill="FFFFFF" w:val="clear"/>
            <w:vAlign w:val="center"/>
          </w:tcPr>
          <w:p>
            <w:pPr>
              <w:pStyle w:val="TableContents"/>
              <w:spacing w:before="0" w:after="0"/>
              <w:ind w:left="0" w:right="0" w:hanging="0"/>
              <w:rPr/>
            </w:pPr>
            <w:r>
              <w:rPr/>
              <w:t> </w:t>
            </w:r>
          </w:p>
        </w:tc>
      </w:tr>
      <w:tr>
        <w:trPr/>
        <w:tc>
          <w:tcPr>
            <w:tcW w:w="6687" w:type="dxa"/>
            <w:tcBorders/>
            <w:shd w:fill="CCEEFF" w:val="clear"/>
            <w:vAlign w:val="center"/>
          </w:tcPr>
          <w:p>
            <w:pPr>
              <w:pStyle w:val="TableContents"/>
              <w:spacing w:before="0" w:after="0"/>
              <w:ind w:left="0" w:right="0" w:firstLine="200"/>
              <w:rPr/>
            </w:pPr>
            <w:r>
              <w:rPr/>
              <w:t xml:space="preserve">Deferred policy acquisition costs </w:t>
            </w:r>
          </w:p>
        </w:tc>
        <w:tc>
          <w:tcPr>
            <w:tcW w:w="90" w:type="dxa"/>
            <w:tcBorders/>
            <w:shd w:fill="CCEEFF" w:val="clear"/>
            <w:vAlign w:val="center"/>
          </w:tcPr>
          <w:p>
            <w:pPr>
              <w:pStyle w:val="TableContents"/>
              <w:spacing w:before="0" w:after="0"/>
              <w:ind w:left="0" w:right="0" w:hanging="0"/>
              <w:rPr/>
            </w:pPr>
            <w:r>
              <w:rPr/>
              <w:t> </w:t>
            </w:r>
          </w:p>
        </w:tc>
        <w:tc>
          <w:tcPr>
            <w:tcW w:w="181" w:type="dxa"/>
            <w:tcBorders/>
            <w:shd w:fill="CCEEFF" w:val="clear"/>
            <w:vAlign w:val="center"/>
          </w:tcPr>
          <w:p>
            <w:pPr>
              <w:pStyle w:val="TableContents"/>
              <w:spacing w:before="0" w:after="0"/>
              <w:ind w:left="0" w:right="0" w:hanging="0"/>
              <w:rPr/>
            </w:pPr>
            <w:r>
              <w:rPr/>
              <w:t> </w:t>
            </w:r>
          </w:p>
        </w:tc>
        <w:tc>
          <w:tcPr>
            <w:tcW w:w="1339" w:type="dxa"/>
            <w:tcBorders/>
            <w:shd w:fill="CCEEFF" w:val="clear"/>
            <w:vAlign w:val="center"/>
          </w:tcPr>
          <w:p>
            <w:pPr>
              <w:pStyle w:val="TableContents"/>
              <w:spacing w:before="0" w:after="283"/>
              <w:jc w:val="right"/>
              <w:rPr/>
            </w:pPr>
            <w:r>
              <w:rPr/>
              <w:t>20,142,515</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1" w:type="dxa"/>
            <w:tcBorders/>
            <w:shd w:fill="CCEEFF" w:val="clear"/>
            <w:vAlign w:val="center"/>
          </w:tcPr>
          <w:p>
            <w:pPr>
              <w:pStyle w:val="TableContents"/>
              <w:spacing w:before="0" w:after="0"/>
              <w:ind w:left="0" w:right="0" w:hanging="0"/>
              <w:rPr/>
            </w:pPr>
            <w:r>
              <w:rPr/>
              <w:t> </w:t>
            </w:r>
          </w:p>
        </w:tc>
        <w:tc>
          <w:tcPr>
            <w:tcW w:w="1339" w:type="dxa"/>
            <w:tcBorders/>
            <w:shd w:fill="CCEEFF" w:val="clear"/>
            <w:vAlign w:val="center"/>
          </w:tcPr>
          <w:p>
            <w:pPr>
              <w:pStyle w:val="TableContents"/>
              <w:spacing w:before="0" w:after="283"/>
              <w:jc w:val="right"/>
              <w:rPr/>
            </w:pPr>
            <w:r>
              <w:rPr/>
              <w:t>20,634,378</w:t>
            </w:r>
          </w:p>
        </w:tc>
        <w:tc>
          <w:tcPr>
            <w:tcW w:w="173" w:type="dxa"/>
            <w:tcBorders/>
            <w:shd w:fill="CCEEFF" w:val="clear"/>
            <w:vAlign w:val="center"/>
          </w:tcPr>
          <w:p>
            <w:pPr>
              <w:pStyle w:val="TableContents"/>
              <w:spacing w:before="0" w:after="0"/>
              <w:ind w:left="0" w:right="0" w:hanging="0"/>
              <w:rPr/>
            </w:pPr>
            <w:r>
              <w:rPr/>
              <w:t> </w:t>
            </w:r>
          </w:p>
        </w:tc>
      </w:tr>
      <w:tr>
        <w:trPr/>
        <w:tc>
          <w:tcPr>
            <w:tcW w:w="6687" w:type="dxa"/>
            <w:tcBorders/>
            <w:shd w:fill="FFFFFF" w:val="clear"/>
            <w:vAlign w:val="center"/>
          </w:tcPr>
          <w:p>
            <w:pPr>
              <w:pStyle w:val="TableContents"/>
              <w:spacing w:before="0" w:after="0"/>
              <w:ind w:left="0" w:right="0" w:firstLine="200"/>
              <w:rPr/>
            </w:pPr>
            <w:r>
              <w:rPr/>
              <w:t xml:space="preserve">Intangible assets </w:t>
            </w:r>
          </w:p>
        </w:tc>
        <w:tc>
          <w:tcPr>
            <w:tcW w:w="90" w:type="dxa"/>
            <w:tcBorders/>
            <w:shd w:fill="FFFFFF" w:val="clear"/>
            <w:vAlign w:val="center"/>
          </w:tcPr>
          <w:p>
            <w:pPr>
              <w:pStyle w:val="TableContents"/>
              <w:spacing w:before="0" w:after="0"/>
              <w:ind w:left="0" w:right="0" w:hanging="0"/>
              <w:rPr/>
            </w:pPr>
            <w:r>
              <w:rPr/>
              <w:t> </w:t>
            </w:r>
          </w:p>
        </w:tc>
        <w:tc>
          <w:tcPr>
            <w:tcW w:w="181" w:type="dxa"/>
            <w:tcBorders/>
            <w:shd w:fill="FFFFFF" w:val="clear"/>
            <w:vAlign w:val="center"/>
          </w:tcPr>
          <w:p>
            <w:pPr>
              <w:pStyle w:val="TableContents"/>
              <w:spacing w:before="0" w:after="0"/>
              <w:ind w:left="0" w:right="0" w:hanging="0"/>
              <w:rPr/>
            </w:pPr>
            <w:r>
              <w:rPr/>
              <w:t> </w:t>
            </w:r>
          </w:p>
        </w:tc>
        <w:tc>
          <w:tcPr>
            <w:tcW w:w="1339" w:type="dxa"/>
            <w:tcBorders/>
            <w:shd w:fill="FFFFFF" w:val="clear"/>
            <w:vAlign w:val="center"/>
          </w:tcPr>
          <w:p>
            <w:pPr>
              <w:pStyle w:val="TableContents"/>
              <w:spacing w:before="0" w:after="283"/>
              <w:jc w:val="right"/>
              <w:rPr/>
            </w:pPr>
            <w:r>
              <w:rPr/>
              <w:t>500,000</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1" w:type="dxa"/>
            <w:tcBorders/>
            <w:shd w:fill="FFFFFF" w:val="clear"/>
            <w:vAlign w:val="center"/>
          </w:tcPr>
          <w:p>
            <w:pPr>
              <w:pStyle w:val="TableContents"/>
              <w:spacing w:before="0" w:after="0"/>
              <w:ind w:left="0" w:right="0" w:hanging="0"/>
              <w:rPr/>
            </w:pPr>
            <w:r>
              <w:rPr/>
              <w:t> </w:t>
            </w:r>
          </w:p>
        </w:tc>
        <w:tc>
          <w:tcPr>
            <w:tcW w:w="1339" w:type="dxa"/>
            <w:tcBorders/>
            <w:shd w:fill="FFFFFF" w:val="clear"/>
            <w:vAlign w:val="center"/>
          </w:tcPr>
          <w:p>
            <w:pPr>
              <w:pStyle w:val="TableContents"/>
              <w:spacing w:before="0" w:after="283"/>
              <w:jc w:val="right"/>
              <w:rPr/>
            </w:pPr>
            <w:r>
              <w:rPr/>
              <w:t>500,000</w:t>
            </w:r>
          </w:p>
        </w:tc>
        <w:tc>
          <w:tcPr>
            <w:tcW w:w="173" w:type="dxa"/>
            <w:tcBorders/>
            <w:shd w:fill="FFFFFF" w:val="clear"/>
            <w:vAlign w:val="center"/>
          </w:tcPr>
          <w:p>
            <w:pPr>
              <w:pStyle w:val="TableContents"/>
              <w:spacing w:before="0" w:after="0"/>
              <w:ind w:left="0" w:right="0" w:hanging="0"/>
              <w:rPr/>
            </w:pPr>
            <w:r>
              <w:rPr/>
              <w:t> </w:t>
            </w:r>
          </w:p>
        </w:tc>
      </w:tr>
      <w:tr>
        <w:trPr/>
        <w:tc>
          <w:tcPr>
            <w:tcW w:w="6687" w:type="dxa"/>
            <w:tcBorders/>
            <w:shd w:fill="CCEEFF" w:val="clear"/>
            <w:vAlign w:val="center"/>
          </w:tcPr>
          <w:p>
            <w:pPr>
              <w:pStyle w:val="TableContents"/>
              <w:spacing w:before="0" w:after="0"/>
              <w:ind w:left="0" w:right="0" w:firstLine="200"/>
              <w:rPr/>
            </w:pPr>
            <w:r>
              <w:rPr/>
              <w:t xml:space="preserve">Property and equipment, net </w:t>
            </w:r>
          </w:p>
        </w:tc>
        <w:tc>
          <w:tcPr>
            <w:tcW w:w="90" w:type="dxa"/>
            <w:tcBorders/>
            <w:shd w:fill="CCEEFF" w:val="clear"/>
            <w:vAlign w:val="center"/>
          </w:tcPr>
          <w:p>
            <w:pPr>
              <w:pStyle w:val="TableContents"/>
              <w:spacing w:before="0" w:after="0"/>
              <w:ind w:left="0" w:right="0" w:hanging="0"/>
              <w:rPr/>
            </w:pPr>
            <w:r>
              <w:rPr/>
              <w:t> </w:t>
            </w:r>
          </w:p>
        </w:tc>
        <w:tc>
          <w:tcPr>
            <w:tcW w:w="181" w:type="dxa"/>
            <w:tcBorders/>
            <w:shd w:fill="CCEEFF" w:val="clear"/>
            <w:vAlign w:val="center"/>
          </w:tcPr>
          <w:p>
            <w:pPr>
              <w:pStyle w:val="TableContents"/>
              <w:spacing w:before="0" w:after="0"/>
              <w:ind w:left="0" w:right="0" w:hanging="0"/>
              <w:rPr/>
            </w:pPr>
            <w:r>
              <w:rPr/>
              <w:t> </w:t>
            </w:r>
          </w:p>
        </w:tc>
        <w:tc>
          <w:tcPr>
            <w:tcW w:w="1339" w:type="dxa"/>
            <w:tcBorders/>
            <w:shd w:fill="CCEEFF" w:val="clear"/>
            <w:vAlign w:val="center"/>
          </w:tcPr>
          <w:p>
            <w:pPr>
              <w:pStyle w:val="TableContents"/>
              <w:spacing w:before="0" w:after="283"/>
              <w:jc w:val="right"/>
              <w:rPr/>
            </w:pPr>
            <w:r>
              <w:rPr/>
              <w:t>8,083,123</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1" w:type="dxa"/>
            <w:tcBorders/>
            <w:shd w:fill="CCEEFF" w:val="clear"/>
            <w:vAlign w:val="center"/>
          </w:tcPr>
          <w:p>
            <w:pPr>
              <w:pStyle w:val="TableContents"/>
              <w:spacing w:before="0" w:after="0"/>
              <w:ind w:left="0" w:right="0" w:hanging="0"/>
              <w:rPr/>
            </w:pPr>
            <w:r>
              <w:rPr/>
              <w:t> </w:t>
            </w:r>
          </w:p>
        </w:tc>
        <w:tc>
          <w:tcPr>
            <w:tcW w:w="1339" w:type="dxa"/>
            <w:tcBorders/>
            <w:shd w:fill="CCEEFF" w:val="clear"/>
            <w:vAlign w:val="center"/>
          </w:tcPr>
          <w:p>
            <w:pPr>
              <w:pStyle w:val="TableContents"/>
              <w:spacing w:before="0" w:after="283"/>
              <w:jc w:val="right"/>
              <w:rPr/>
            </w:pPr>
            <w:r>
              <w:rPr/>
              <w:t>7,620,636</w:t>
            </w:r>
          </w:p>
        </w:tc>
        <w:tc>
          <w:tcPr>
            <w:tcW w:w="173" w:type="dxa"/>
            <w:tcBorders/>
            <w:shd w:fill="CCEEFF" w:val="clear"/>
            <w:vAlign w:val="center"/>
          </w:tcPr>
          <w:p>
            <w:pPr>
              <w:pStyle w:val="TableContents"/>
              <w:spacing w:before="0" w:after="0"/>
              <w:ind w:left="0" w:right="0" w:hanging="0"/>
              <w:rPr/>
            </w:pPr>
            <w:r>
              <w:rPr/>
              <w:t> </w:t>
            </w:r>
          </w:p>
        </w:tc>
      </w:tr>
      <w:tr>
        <w:trPr/>
        <w:tc>
          <w:tcPr>
            <w:tcW w:w="6687" w:type="dxa"/>
            <w:tcBorders/>
            <w:shd w:fill="FFFFFF" w:val="clear"/>
            <w:vAlign w:val="center"/>
          </w:tcPr>
          <w:p>
            <w:pPr>
              <w:pStyle w:val="TableContents"/>
              <w:spacing w:before="0" w:after="0"/>
              <w:ind w:left="0" w:right="0" w:firstLine="200"/>
              <w:rPr/>
            </w:pPr>
            <w:r>
              <w:rPr/>
              <w:t xml:space="preserve">Deferred income taxes, net </w:t>
            </w:r>
          </w:p>
        </w:tc>
        <w:tc>
          <w:tcPr>
            <w:tcW w:w="90" w:type="dxa"/>
            <w:tcBorders/>
            <w:shd w:fill="FFFFFF" w:val="clear"/>
            <w:vAlign w:val="center"/>
          </w:tcPr>
          <w:p>
            <w:pPr>
              <w:pStyle w:val="TableContents"/>
              <w:spacing w:before="0" w:after="0"/>
              <w:ind w:left="0" w:right="0" w:hanging="0"/>
              <w:rPr/>
            </w:pPr>
            <w:r>
              <w:rPr/>
              <w:t> </w:t>
            </w:r>
          </w:p>
        </w:tc>
        <w:tc>
          <w:tcPr>
            <w:tcW w:w="181" w:type="dxa"/>
            <w:tcBorders/>
            <w:shd w:fill="FFFFFF" w:val="clear"/>
            <w:vAlign w:val="center"/>
          </w:tcPr>
          <w:p>
            <w:pPr>
              <w:pStyle w:val="TableContents"/>
              <w:spacing w:before="0" w:after="0"/>
              <w:ind w:left="0" w:right="0" w:hanging="0"/>
              <w:rPr/>
            </w:pPr>
            <w:r>
              <w:rPr/>
              <w:t> </w:t>
            </w:r>
          </w:p>
        </w:tc>
        <w:tc>
          <w:tcPr>
            <w:tcW w:w="1339"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1" w:type="dxa"/>
            <w:tcBorders/>
            <w:shd w:fill="FFFFFF" w:val="clear"/>
            <w:vAlign w:val="center"/>
          </w:tcPr>
          <w:p>
            <w:pPr>
              <w:pStyle w:val="TableContents"/>
              <w:spacing w:before="0" w:after="0"/>
              <w:ind w:left="0" w:right="0" w:hanging="0"/>
              <w:rPr/>
            </w:pPr>
            <w:r>
              <w:rPr/>
              <w:t> </w:t>
            </w:r>
          </w:p>
        </w:tc>
        <w:tc>
          <w:tcPr>
            <w:tcW w:w="1339" w:type="dxa"/>
            <w:tcBorders/>
            <w:shd w:fill="FFFFFF" w:val="clear"/>
            <w:vAlign w:val="center"/>
          </w:tcPr>
          <w:p>
            <w:pPr>
              <w:pStyle w:val="TableContents"/>
              <w:spacing w:before="0" w:after="283"/>
              <w:jc w:val="right"/>
              <w:rPr/>
            </w:pPr>
            <w:r>
              <w:rPr/>
              <w:t>311,052</w:t>
            </w:r>
          </w:p>
        </w:tc>
        <w:tc>
          <w:tcPr>
            <w:tcW w:w="173" w:type="dxa"/>
            <w:tcBorders/>
            <w:shd w:fill="FFFFFF" w:val="clear"/>
            <w:vAlign w:val="center"/>
          </w:tcPr>
          <w:p>
            <w:pPr>
              <w:pStyle w:val="TableContents"/>
              <w:spacing w:before="0" w:after="0"/>
              <w:ind w:left="0" w:right="0" w:hanging="0"/>
              <w:rPr/>
            </w:pPr>
            <w:r>
              <w:rPr/>
              <w:t> </w:t>
            </w:r>
          </w:p>
        </w:tc>
      </w:tr>
      <w:tr>
        <w:trPr/>
        <w:tc>
          <w:tcPr>
            <w:tcW w:w="6687" w:type="dxa"/>
            <w:tcBorders/>
            <w:shd w:fill="CCEEFF" w:val="clear"/>
            <w:vAlign w:val="center"/>
          </w:tcPr>
          <w:p>
            <w:pPr>
              <w:pStyle w:val="TableContents"/>
              <w:spacing w:before="0" w:after="0"/>
              <w:ind w:left="0" w:right="0" w:firstLine="200"/>
              <w:rPr/>
            </w:pPr>
            <w:r>
              <w:rPr/>
              <w:t xml:space="preserve">Other assets </w:t>
            </w:r>
          </w:p>
        </w:tc>
        <w:tc>
          <w:tcPr>
            <w:tcW w:w="90" w:type="dxa"/>
            <w:tcBorders/>
            <w:shd w:fill="CCEEFF" w:val="clear"/>
            <w:vAlign w:val="center"/>
          </w:tcPr>
          <w:p>
            <w:pPr>
              <w:pStyle w:val="TableContents"/>
              <w:spacing w:before="0" w:after="0"/>
              <w:ind w:left="0" w:right="0" w:hanging="0"/>
              <w:rPr/>
            </w:pPr>
            <w:r>
              <w:rPr/>
              <w:t> </w:t>
            </w:r>
          </w:p>
        </w:tc>
        <w:tc>
          <w:tcPr>
            <w:tcW w:w="18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339" w:type="dxa"/>
            <w:tcBorders>
              <w:bottom w:val="single" w:sz="2" w:space="0" w:color="000000"/>
            </w:tcBorders>
            <w:shd w:fill="CCEEFF" w:val="clear"/>
            <w:tcMar>
              <w:bottom w:w="28" w:type="dxa"/>
            </w:tcMar>
            <w:vAlign w:val="center"/>
          </w:tcPr>
          <w:p>
            <w:pPr>
              <w:pStyle w:val="TableContents"/>
              <w:spacing w:before="0" w:after="283"/>
              <w:jc w:val="right"/>
              <w:rPr/>
            </w:pPr>
            <w:r>
              <w:rPr/>
              <w:t>9,262,493</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339" w:type="dxa"/>
            <w:tcBorders>
              <w:bottom w:val="single" w:sz="2" w:space="0" w:color="000000"/>
            </w:tcBorders>
            <w:shd w:fill="CCEEFF" w:val="clear"/>
            <w:tcMar>
              <w:bottom w:w="28" w:type="dxa"/>
            </w:tcMar>
            <w:vAlign w:val="center"/>
          </w:tcPr>
          <w:p>
            <w:pPr>
              <w:pStyle w:val="TableContents"/>
              <w:spacing w:before="0" w:after="283"/>
              <w:jc w:val="right"/>
              <w:rPr/>
            </w:pPr>
            <w:r>
              <w:rPr/>
              <w:t>6,979,884</w:t>
            </w:r>
          </w:p>
        </w:tc>
        <w:tc>
          <w:tcPr>
            <w:tcW w:w="173" w:type="dxa"/>
            <w:tcBorders/>
            <w:shd w:fill="CCEEFF" w:val="clear"/>
            <w:vAlign w:val="center"/>
          </w:tcPr>
          <w:p>
            <w:pPr>
              <w:pStyle w:val="TableContents"/>
              <w:spacing w:before="0" w:after="0"/>
              <w:ind w:left="0" w:right="0" w:hanging="0"/>
              <w:rPr/>
            </w:pPr>
            <w:r>
              <w:rPr/>
              <w:t> </w:t>
            </w:r>
          </w:p>
        </w:tc>
      </w:tr>
      <w:tr>
        <w:trPr/>
        <w:tc>
          <w:tcPr>
            <w:tcW w:w="6687" w:type="dxa"/>
            <w:tcBorders/>
            <w:shd w:fill="FFFFFF" w:val="clear"/>
            <w:vAlign w:val="center"/>
          </w:tcPr>
          <w:p>
            <w:pPr>
              <w:pStyle w:val="TableContents"/>
              <w:spacing w:before="0" w:after="0"/>
              <w:ind w:left="0" w:right="0" w:hanging="0"/>
              <w:rPr/>
            </w:pPr>
            <w:r>
              <w:rPr>
                <w:rStyle w:val="StrongEmphasis"/>
              </w:rPr>
              <w:t xml:space="preserve">Total assets </w:t>
            </w:r>
          </w:p>
        </w:tc>
        <w:tc>
          <w:tcPr>
            <w:tcW w:w="90" w:type="dxa"/>
            <w:tcBorders/>
            <w:shd w:fill="FFFFFF" w:val="clear"/>
            <w:vAlign w:val="center"/>
          </w:tcPr>
          <w:p>
            <w:pPr>
              <w:pStyle w:val="TableContents"/>
              <w:spacing w:before="0" w:after="0"/>
              <w:ind w:left="0" w:right="0" w:hanging="0"/>
              <w:rPr/>
            </w:pPr>
            <w:r>
              <w:rPr/>
              <w:t> </w:t>
            </w:r>
          </w:p>
        </w:tc>
        <w:tc>
          <w:tcPr>
            <w:tcW w:w="181" w:type="dxa"/>
            <w:tcBorders>
              <w:bottom w:val="double" w:sz="6" w:space="0" w:color="000000"/>
            </w:tcBorders>
            <w:shd w:fill="FFFFFF" w:val="clear"/>
            <w:tcMar>
              <w:bottom w:w="28" w:type="dxa"/>
            </w:tcMar>
            <w:vAlign w:val="center"/>
          </w:tcPr>
          <w:p>
            <w:pPr>
              <w:pStyle w:val="TableContents"/>
              <w:spacing w:before="0" w:after="283"/>
              <w:rPr/>
            </w:pPr>
            <w:r>
              <w:rPr/>
              <w:t>$</w:t>
            </w:r>
          </w:p>
        </w:tc>
        <w:tc>
          <w:tcPr>
            <w:tcW w:w="1339" w:type="dxa"/>
            <w:tcBorders>
              <w:bottom w:val="double" w:sz="6" w:space="0" w:color="000000"/>
            </w:tcBorders>
            <w:shd w:fill="FFFFFF" w:val="clear"/>
            <w:tcMar>
              <w:bottom w:w="28" w:type="dxa"/>
            </w:tcMar>
            <w:vAlign w:val="center"/>
          </w:tcPr>
          <w:p>
            <w:pPr>
              <w:pStyle w:val="TableContents"/>
              <w:spacing w:before="0" w:after="283"/>
              <w:jc w:val="right"/>
              <w:rPr/>
            </w:pPr>
            <w:r>
              <w:rPr/>
              <w:t>317,582,267</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1" w:type="dxa"/>
            <w:tcBorders>
              <w:bottom w:val="double" w:sz="6" w:space="0" w:color="000000"/>
            </w:tcBorders>
            <w:shd w:fill="FFFFFF" w:val="clear"/>
            <w:tcMar>
              <w:bottom w:w="28" w:type="dxa"/>
            </w:tcMar>
            <w:vAlign w:val="center"/>
          </w:tcPr>
          <w:p>
            <w:pPr>
              <w:pStyle w:val="TableContents"/>
              <w:spacing w:before="0" w:after="283"/>
              <w:rPr/>
            </w:pPr>
            <w:r>
              <w:rPr/>
              <w:t>$</w:t>
            </w:r>
          </w:p>
        </w:tc>
        <w:tc>
          <w:tcPr>
            <w:tcW w:w="1339" w:type="dxa"/>
            <w:tcBorders>
              <w:bottom w:val="double" w:sz="6" w:space="0" w:color="000000"/>
            </w:tcBorders>
            <w:shd w:fill="FFFFFF" w:val="clear"/>
            <w:tcMar>
              <w:bottom w:w="28" w:type="dxa"/>
            </w:tcMar>
            <w:vAlign w:val="center"/>
          </w:tcPr>
          <w:p>
            <w:pPr>
              <w:pStyle w:val="TableContents"/>
              <w:spacing w:before="0" w:after="283"/>
              <w:jc w:val="right"/>
              <w:rPr/>
            </w:pPr>
            <w:r>
              <w:rPr/>
              <w:t>321,202,812</w:t>
            </w:r>
          </w:p>
        </w:tc>
        <w:tc>
          <w:tcPr>
            <w:tcW w:w="173" w:type="dxa"/>
            <w:tcBorders/>
            <w:shd w:fill="FFFFFF" w:val="clear"/>
            <w:vAlign w:val="center"/>
          </w:tcPr>
          <w:p>
            <w:pPr>
              <w:pStyle w:val="TableContents"/>
              <w:spacing w:before="0" w:after="0"/>
              <w:ind w:left="0" w:right="0" w:hanging="0"/>
              <w:rPr/>
            </w:pPr>
            <w:r>
              <w:rPr/>
              <w:t> </w:t>
            </w:r>
          </w:p>
        </w:tc>
      </w:tr>
      <w:tr>
        <w:trPr/>
        <w:tc>
          <w:tcPr>
            <w:tcW w:w="6687"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1" w:type="dxa"/>
            <w:tcBorders/>
            <w:shd w:fill="CCEEFF" w:val="clear"/>
            <w:vAlign w:val="center"/>
          </w:tcPr>
          <w:p>
            <w:pPr>
              <w:pStyle w:val="TableContents"/>
              <w:spacing w:before="0" w:after="0"/>
              <w:ind w:left="0" w:right="0" w:hanging="0"/>
              <w:rPr/>
            </w:pPr>
            <w:r>
              <w:rPr/>
              <w:t> </w:t>
            </w:r>
          </w:p>
        </w:tc>
        <w:tc>
          <w:tcPr>
            <w:tcW w:w="1339"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1" w:type="dxa"/>
            <w:tcBorders/>
            <w:shd w:fill="CCEEFF" w:val="clear"/>
            <w:vAlign w:val="center"/>
          </w:tcPr>
          <w:p>
            <w:pPr>
              <w:pStyle w:val="TableContents"/>
              <w:spacing w:before="0" w:after="0"/>
              <w:ind w:left="0" w:right="0" w:hanging="0"/>
              <w:rPr/>
            </w:pPr>
            <w:r>
              <w:rPr/>
              <w:t> </w:t>
            </w:r>
          </w:p>
        </w:tc>
        <w:tc>
          <w:tcPr>
            <w:tcW w:w="1339" w:type="dxa"/>
            <w:tcBorders/>
            <w:shd w:fill="CCEEFF" w:val="clear"/>
            <w:vAlign w:val="center"/>
          </w:tcPr>
          <w:p>
            <w:pPr>
              <w:pStyle w:val="TableContents"/>
              <w:spacing w:before="0" w:after="0"/>
              <w:ind w:left="0" w:right="0" w:hanging="0"/>
              <w:rPr/>
            </w:pPr>
            <w:r>
              <w:rPr/>
              <w:t> </w:t>
            </w:r>
          </w:p>
        </w:tc>
        <w:tc>
          <w:tcPr>
            <w:tcW w:w="173" w:type="dxa"/>
            <w:tcBorders/>
            <w:shd w:fill="CCEEFF" w:val="clear"/>
            <w:vAlign w:val="center"/>
          </w:tcPr>
          <w:p>
            <w:pPr>
              <w:pStyle w:val="TableContents"/>
              <w:spacing w:before="0" w:after="0"/>
              <w:ind w:left="0" w:right="0" w:hanging="0"/>
              <w:rPr/>
            </w:pPr>
            <w:r>
              <w:rPr/>
              <w:t> </w:t>
            </w:r>
          </w:p>
        </w:tc>
      </w:tr>
      <w:tr>
        <w:trPr/>
        <w:tc>
          <w:tcPr>
            <w:tcW w:w="6687" w:type="dxa"/>
            <w:tcBorders/>
            <w:shd w:fill="FFFFFF" w:val="clear"/>
            <w:vAlign w:val="center"/>
          </w:tcPr>
          <w:p>
            <w:pPr>
              <w:pStyle w:val="TableContents"/>
              <w:spacing w:before="0" w:after="0"/>
              <w:ind w:left="0" w:right="0" w:hanging="0"/>
              <w:rPr/>
            </w:pPr>
            <w:r>
              <w:rPr>
                <w:rStyle w:val="StrongEmphasis"/>
              </w:rPr>
              <w:t xml:space="preserve">Liabilities </w:t>
            </w:r>
          </w:p>
        </w:tc>
        <w:tc>
          <w:tcPr>
            <w:tcW w:w="90" w:type="dxa"/>
            <w:tcBorders/>
            <w:shd w:fill="FFFFFF" w:val="clear"/>
            <w:vAlign w:val="center"/>
          </w:tcPr>
          <w:p>
            <w:pPr>
              <w:pStyle w:val="TableContents"/>
              <w:spacing w:before="0" w:after="0"/>
              <w:ind w:left="0" w:right="0" w:hanging="0"/>
              <w:rPr/>
            </w:pPr>
            <w:r>
              <w:rPr/>
              <w:t> </w:t>
            </w:r>
          </w:p>
        </w:tc>
        <w:tc>
          <w:tcPr>
            <w:tcW w:w="181" w:type="dxa"/>
            <w:tcBorders/>
            <w:shd w:fill="FFFFFF" w:val="clear"/>
            <w:vAlign w:val="center"/>
          </w:tcPr>
          <w:p>
            <w:pPr>
              <w:pStyle w:val="TableContents"/>
              <w:spacing w:before="0" w:after="0"/>
              <w:ind w:left="0" w:right="0" w:hanging="0"/>
              <w:rPr/>
            </w:pPr>
            <w:r>
              <w:rPr/>
              <w:t> </w:t>
            </w:r>
          </w:p>
        </w:tc>
        <w:tc>
          <w:tcPr>
            <w:tcW w:w="1339"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1" w:type="dxa"/>
            <w:tcBorders/>
            <w:shd w:fill="FFFFFF" w:val="clear"/>
            <w:vAlign w:val="center"/>
          </w:tcPr>
          <w:p>
            <w:pPr>
              <w:pStyle w:val="TableContents"/>
              <w:spacing w:before="0" w:after="0"/>
              <w:ind w:left="0" w:right="0" w:hanging="0"/>
              <w:rPr/>
            </w:pPr>
            <w:r>
              <w:rPr/>
              <w:t> </w:t>
            </w:r>
          </w:p>
        </w:tc>
        <w:tc>
          <w:tcPr>
            <w:tcW w:w="1339" w:type="dxa"/>
            <w:tcBorders/>
            <w:shd w:fill="FFFFFF" w:val="clear"/>
            <w:vAlign w:val="center"/>
          </w:tcPr>
          <w:p>
            <w:pPr>
              <w:pStyle w:val="TableContents"/>
              <w:spacing w:before="0" w:after="0"/>
              <w:ind w:left="0" w:right="0" w:hanging="0"/>
              <w:rPr/>
            </w:pPr>
            <w:r>
              <w:rPr/>
              <w:t> </w:t>
            </w:r>
          </w:p>
        </w:tc>
        <w:tc>
          <w:tcPr>
            <w:tcW w:w="173" w:type="dxa"/>
            <w:tcBorders/>
            <w:shd w:fill="FFFFFF" w:val="clear"/>
            <w:vAlign w:val="center"/>
          </w:tcPr>
          <w:p>
            <w:pPr>
              <w:pStyle w:val="TableContents"/>
              <w:spacing w:before="0" w:after="0"/>
              <w:ind w:left="0" w:right="0" w:hanging="0"/>
              <w:rPr/>
            </w:pPr>
            <w:r>
              <w:rPr/>
              <w:t> </w:t>
            </w:r>
          </w:p>
        </w:tc>
      </w:tr>
      <w:tr>
        <w:trPr/>
        <w:tc>
          <w:tcPr>
            <w:tcW w:w="6687" w:type="dxa"/>
            <w:tcBorders/>
            <w:shd w:fill="CCEEFF" w:val="clear"/>
            <w:vAlign w:val="center"/>
          </w:tcPr>
          <w:p>
            <w:pPr>
              <w:pStyle w:val="TableContents"/>
              <w:spacing w:before="0" w:after="0"/>
              <w:ind w:left="0" w:right="0" w:firstLine="200"/>
              <w:rPr/>
            </w:pPr>
            <w:r>
              <w:rPr/>
              <w:t xml:space="preserve">Loss and loss adjustment expense reserves </w:t>
            </w:r>
          </w:p>
        </w:tc>
        <w:tc>
          <w:tcPr>
            <w:tcW w:w="90" w:type="dxa"/>
            <w:tcBorders/>
            <w:shd w:fill="CCEEFF" w:val="clear"/>
            <w:vAlign w:val="center"/>
          </w:tcPr>
          <w:p>
            <w:pPr>
              <w:pStyle w:val="TableContents"/>
              <w:spacing w:before="0" w:after="0"/>
              <w:ind w:left="0" w:right="0" w:hanging="0"/>
              <w:rPr/>
            </w:pPr>
            <w:r>
              <w:rPr/>
              <w:t> </w:t>
            </w:r>
          </w:p>
        </w:tc>
        <w:tc>
          <w:tcPr>
            <w:tcW w:w="181" w:type="dxa"/>
            <w:tcBorders/>
            <w:shd w:fill="CCEEFF" w:val="clear"/>
            <w:vAlign w:val="center"/>
          </w:tcPr>
          <w:p>
            <w:pPr>
              <w:pStyle w:val="TableContents"/>
              <w:spacing w:before="0" w:after="283"/>
              <w:rPr/>
            </w:pPr>
            <w:r>
              <w:rPr/>
              <w:t>$</w:t>
            </w:r>
          </w:p>
        </w:tc>
        <w:tc>
          <w:tcPr>
            <w:tcW w:w="1339" w:type="dxa"/>
            <w:tcBorders/>
            <w:shd w:fill="CCEEFF" w:val="clear"/>
            <w:vAlign w:val="center"/>
          </w:tcPr>
          <w:p>
            <w:pPr>
              <w:pStyle w:val="TableContents"/>
              <w:spacing w:before="0" w:after="283"/>
              <w:jc w:val="right"/>
              <w:rPr/>
            </w:pPr>
            <w:r>
              <w:rPr/>
              <w:t>82,801,228</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1" w:type="dxa"/>
            <w:tcBorders/>
            <w:shd w:fill="CCEEFF" w:val="clear"/>
            <w:vAlign w:val="center"/>
          </w:tcPr>
          <w:p>
            <w:pPr>
              <w:pStyle w:val="TableContents"/>
              <w:spacing w:before="0" w:after="283"/>
              <w:rPr/>
            </w:pPr>
            <w:r>
              <w:rPr/>
              <w:t>$</w:t>
            </w:r>
          </w:p>
        </w:tc>
        <w:tc>
          <w:tcPr>
            <w:tcW w:w="1339" w:type="dxa"/>
            <w:tcBorders/>
            <w:shd w:fill="CCEEFF" w:val="clear"/>
            <w:vAlign w:val="center"/>
          </w:tcPr>
          <w:p>
            <w:pPr>
              <w:pStyle w:val="TableContents"/>
              <w:spacing w:before="0" w:after="283"/>
              <w:jc w:val="right"/>
              <w:rPr/>
            </w:pPr>
            <w:r>
              <w:rPr/>
              <w:t>80,498,611</w:t>
            </w:r>
          </w:p>
        </w:tc>
        <w:tc>
          <w:tcPr>
            <w:tcW w:w="173" w:type="dxa"/>
            <w:tcBorders/>
            <w:shd w:fill="CCEEFF" w:val="clear"/>
            <w:vAlign w:val="center"/>
          </w:tcPr>
          <w:p>
            <w:pPr>
              <w:pStyle w:val="TableContents"/>
              <w:spacing w:before="0" w:after="0"/>
              <w:ind w:left="0" w:right="0" w:hanging="0"/>
              <w:rPr/>
            </w:pPr>
            <w:r>
              <w:rPr/>
              <w:t> </w:t>
            </w:r>
          </w:p>
        </w:tc>
      </w:tr>
      <w:tr>
        <w:trPr/>
        <w:tc>
          <w:tcPr>
            <w:tcW w:w="6687" w:type="dxa"/>
            <w:tcBorders/>
            <w:shd w:fill="FFFFFF" w:val="clear"/>
            <w:vAlign w:val="center"/>
          </w:tcPr>
          <w:p>
            <w:pPr>
              <w:pStyle w:val="TableContents"/>
              <w:spacing w:before="0" w:after="0"/>
              <w:ind w:left="0" w:right="0" w:firstLine="200"/>
              <w:rPr/>
            </w:pPr>
            <w:r>
              <w:rPr/>
              <w:t xml:space="preserve">Unearned premiums </w:t>
            </w:r>
          </w:p>
        </w:tc>
        <w:tc>
          <w:tcPr>
            <w:tcW w:w="90" w:type="dxa"/>
            <w:tcBorders/>
            <w:shd w:fill="FFFFFF" w:val="clear"/>
            <w:vAlign w:val="center"/>
          </w:tcPr>
          <w:p>
            <w:pPr>
              <w:pStyle w:val="TableContents"/>
              <w:spacing w:before="0" w:after="0"/>
              <w:ind w:left="0" w:right="0" w:hanging="0"/>
              <w:rPr/>
            </w:pPr>
            <w:r>
              <w:rPr/>
              <w:t> </w:t>
            </w:r>
          </w:p>
        </w:tc>
        <w:tc>
          <w:tcPr>
            <w:tcW w:w="181" w:type="dxa"/>
            <w:tcBorders/>
            <w:shd w:fill="FFFFFF" w:val="clear"/>
            <w:vAlign w:val="center"/>
          </w:tcPr>
          <w:p>
            <w:pPr>
              <w:pStyle w:val="TableContents"/>
              <w:spacing w:before="0" w:after="0"/>
              <w:ind w:left="0" w:right="0" w:hanging="0"/>
              <w:rPr/>
            </w:pPr>
            <w:r>
              <w:rPr/>
              <w:t> </w:t>
            </w:r>
          </w:p>
        </w:tc>
        <w:tc>
          <w:tcPr>
            <w:tcW w:w="1339" w:type="dxa"/>
            <w:tcBorders/>
            <w:shd w:fill="FFFFFF" w:val="clear"/>
            <w:vAlign w:val="center"/>
          </w:tcPr>
          <w:p>
            <w:pPr>
              <w:pStyle w:val="TableContents"/>
              <w:spacing w:before="0" w:after="283"/>
              <w:jc w:val="right"/>
              <w:rPr/>
            </w:pPr>
            <w:r>
              <w:rPr/>
              <w:t>90,009,272</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1" w:type="dxa"/>
            <w:tcBorders/>
            <w:shd w:fill="FFFFFF" w:val="clear"/>
            <w:vAlign w:val="center"/>
          </w:tcPr>
          <w:p>
            <w:pPr>
              <w:pStyle w:val="TableContents"/>
              <w:spacing w:before="0" w:after="0"/>
              <w:ind w:left="0" w:right="0" w:hanging="0"/>
              <w:rPr/>
            </w:pPr>
            <w:r>
              <w:rPr/>
              <w:t> </w:t>
            </w:r>
          </w:p>
        </w:tc>
        <w:tc>
          <w:tcPr>
            <w:tcW w:w="1339" w:type="dxa"/>
            <w:tcBorders/>
            <w:shd w:fill="FFFFFF" w:val="clear"/>
            <w:vAlign w:val="center"/>
          </w:tcPr>
          <w:p>
            <w:pPr>
              <w:pStyle w:val="TableContents"/>
              <w:spacing w:before="0" w:after="283"/>
              <w:jc w:val="right"/>
              <w:rPr/>
            </w:pPr>
            <w:r>
              <w:rPr/>
              <w:t>90,383,238</w:t>
            </w:r>
          </w:p>
        </w:tc>
        <w:tc>
          <w:tcPr>
            <w:tcW w:w="173" w:type="dxa"/>
            <w:tcBorders/>
            <w:shd w:fill="FFFFFF" w:val="clear"/>
            <w:vAlign w:val="center"/>
          </w:tcPr>
          <w:p>
            <w:pPr>
              <w:pStyle w:val="TableContents"/>
              <w:spacing w:before="0" w:after="0"/>
              <w:ind w:left="0" w:right="0" w:hanging="0"/>
              <w:rPr/>
            </w:pPr>
            <w:r>
              <w:rPr/>
              <w:t> </w:t>
            </w:r>
          </w:p>
        </w:tc>
      </w:tr>
      <w:tr>
        <w:trPr/>
        <w:tc>
          <w:tcPr>
            <w:tcW w:w="6687" w:type="dxa"/>
            <w:tcBorders/>
            <w:shd w:fill="CCEEFF" w:val="clear"/>
            <w:vAlign w:val="center"/>
          </w:tcPr>
          <w:p>
            <w:pPr>
              <w:pStyle w:val="TableContents"/>
              <w:spacing w:before="0" w:after="0"/>
              <w:ind w:left="0" w:right="0" w:firstLine="200"/>
              <w:rPr/>
            </w:pPr>
            <w:r>
              <w:rPr/>
              <w:t xml:space="preserve">Advance premiums </w:t>
            </w:r>
          </w:p>
        </w:tc>
        <w:tc>
          <w:tcPr>
            <w:tcW w:w="90" w:type="dxa"/>
            <w:tcBorders/>
            <w:shd w:fill="CCEEFF" w:val="clear"/>
            <w:vAlign w:val="center"/>
          </w:tcPr>
          <w:p>
            <w:pPr>
              <w:pStyle w:val="TableContents"/>
              <w:spacing w:before="0" w:after="0"/>
              <w:ind w:left="0" w:right="0" w:hanging="0"/>
              <w:rPr/>
            </w:pPr>
            <w:r>
              <w:rPr/>
              <w:t> </w:t>
            </w:r>
          </w:p>
        </w:tc>
        <w:tc>
          <w:tcPr>
            <w:tcW w:w="181" w:type="dxa"/>
            <w:tcBorders/>
            <w:shd w:fill="CCEEFF" w:val="clear"/>
            <w:vAlign w:val="center"/>
          </w:tcPr>
          <w:p>
            <w:pPr>
              <w:pStyle w:val="TableContents"/>
              <w:spacing w:before="0" w:after="0"/>
              <w:ind w:left="0" w:right="0" w:hanging="0"/>
              <w:rPr/>
            </w:pPr>
            <w:r>
              <w:rPr/>
              <w:t> </w:t>
            </w:r>
          </w:p>
        </w:tc>
        <w:tc>
          <w:tcPr>
            <w:tcW w:w="1339" w:type="dxa"/>
            <w:tcBorders/>
            <w:shd w:fill="CCEEFF" w:val="clear"/>
            <w:vAlign w:val="center"/>
          </w:tcPr>
          <w:p>
            <w:pPr>
              <w:pStyle w:val="TableContents"/>
              <w:spacing w:before="0" w:after="283"/>
              <w:jc w:val="right"/>
              <w:rPr/>
            </w:pPr>
            <w:r>
              <w:rPr/>
              <w:t>2,660,354</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1" w:type="dxa"/>
            <w:tcBorders/>
            <w:shd w:fill="CCEEFF" w:val="clear"/>
            <w:vAlign w:val="center"/>
          </w:tcPr>
          <w:p>
            <w:pPr>
              <w:pStyle w:val="TableContents"/>
              <w:spacing w:before="0" w:after="0"/>
              <w:ind w:left="0" w:right="0" w:hanging="0"/>
              <w:rPr/>
            </w:pPr>
            <w:r>
              <w:rPr/>
              <w:t> </w:t>
            </w:r>
          </w:p>
        </w:tc>
        <w:tc>
          <w:tcPr>
            <w:tcW w:w="1339" w:type="dxa"/>
            <w:tcBorders/>
            <w:shd w:fill="CCEEFF" w:val="clear"/>
            <w:vAlign w:val="center"/>
          </w:tcPr>
          <w:p>
            <w:pPr>
              <w:pStyle w:val="TableContents"/>
              <w:spacing w:before="0" w:after="283"/>
              <w:jc w:val="right"/>
              <w:rPr/>
            </w:pPr>
            <w:r>
              <w:rPr/>
              <w:t>3,191,512</w:t>
            </w:r>
          </w:p>
        </w:tc>
        <w:tc>
          <w:tcPr>
            <w:tcW w:w="173" w:type="dxa"/>
            <w:tcBorders/>
            <w:shd w:fill="CCEEFF" w:val="clear"/>
            <w:vAlign w:val="center"/>
          </w:tcPr>
          <w:p>
            <w:pPr>
              <w:pStyle w:val="TableContents"/>
              <w:spacing w:before="0" w:after="0"/>
              <w:ind w:left="0" w:right="0" w:hanging="0"/>
              <w:rPr/>
            </w:pPr>
            <w:r>
              <w:rPr/>
              <w:t> </w:t>
            </w:r>
          </w:p>
        </w:tc>
      </w:tr>
      <w:tr>
        <w:trPr/>
        <w:tc>
          <w:tcPr>
            <w:tcW w:w="6687" w:type="dxa"/>
            <w:tcBorders/>
            <w:shd w:fill="FFFFFF" w:val="clear"/>
            <w:vAlign w:val="center"/>
          </w:tcPr>
          <w:p>
            <w:pPr>
              <w:pStyle w:val="TableContents"/>
              <w:spacing w:before="0" w:after="0"/>
              <w:ind w:left="0" w:right="0" w:firstLine="200"/>
              <w:rPr/>
            </w:pPr>
            <w:r>
              <w:rPr/>
              <w:t xml:space="preserve">Reinsurance balances payable </w:t>
            </w:r>
          </w:p>
        </w:tc>
        <w:tc>
          <w:tcPr>
            <w:tcW w:w="90" w:type="dxa"/>
            <w:tcBorders/>
            <w:shd w:fill="FFFFFF" w:val="clear"/>
            <w:vAlign w:val="center"/>
          </w:tcPr>
          <w:p>
            <w:pPr>
              <w:pStyle w:val="TableContents"/>
              <w:spacing w:before="0" w:after="0"/>
              <w:ind w:left="0" w:right="0" w:hanging="0"/>
              <w:rPr/>
            </w:pPr>
            <w:r>
              <w:rPr/>
              <w:t> </w:t>
            </w:r>
          </w:p>
        </w:tc>
        <w:tc>
          <w:tcPr>
            <w:tcW w:w="181" w:type="dxa"/>
            <w:tcBorders/>
            <w:shd w:fill="FFFFFF" w:val="clear"/>
            <w:vAlign w:val="center"/>
          </w:tcPr>
          <w:p>
            <w:pPr>
              <w:pStyle w:val="TableContents"/>
              <w:spacing w:before="0" w:after="0"/>
              <w:ind w:left="0" w:right="0" w:hanging="0"/>
              <w:rPr/>
            </w:pPr>
            <w:r>
              <w:rPr/>
              <w:t> </w:t>
            </w:r>
          </w:p>
        </w:tc>
        <w:tc>
          <w:tcPr>
            <w:tcW w:w="1339" w:type="dxa"/>
            <w:tcBorders/>
            <w:shd w:fill="FFFFFF" w:val="clear"/>
            <w:vAlign w:val="center"/>
          </w:tcPr>
          <w:p>
            <w:pPr>
              <w:pStyle w:val="TableContents"/>
              <w:spacing w:before="0" w:after="283"/>
              <w:jc w:val="right"/>
              <w:rPr/>
            </w:pPr>
            <w:r>
              <w:rPr/>
              <w:t>6,979,735</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1" w:type="dxa"/>
            <w:tcBorders/>
            <w:shd w:fill="FFFFFF" w:val="clear"/>
            <w:vAlign w:val="center"/>
          </w:tcPr>
          <w:p>
            <w:pPr>
              <w:pStyle w:val="TableContents"/>
              <w:spacing w:before="0" w:after="0"/>
              <w:ind w:left="0" w:right="0" w:hanging="0"/>
              <w:rPr/>
            </w:pPr>
            <w:r>
              <w:rPr/>
              <w:t> </w:t>
            </w:r>
          </w:p>
        </w:tc>
        <w:tc>
          <w:tcPr>
            <w:tcW w:w="1339" w:type="dxa"/>
            <w:tcBorders/>
            <w:shd w:fill="FFFFFF" w:val="clear"/>
            <w:vAlign w:val="center"/>
          </w:tcPr>
          <w:p>
            <w:pPr>
              <w:pStyle w:val="TableContents"/>
              <w:spacing w:before="0" w:after="283"/>
              <w:jc w:val="right"/>
              <w:rPr/>
            </w:pPr>
            <w:r>
              <w:rPr/>
              <w:t>11,714,724</w:t>
            </w:r>
          </w:p>
        </w:tc>
        <w:tc>
          <w:tcPr>
            <w:tcW w:w="173" w:type="dxa"/>
            <w:tcBorders/>
            <w:shd w:fill="FFFFFF" w:val="clear"/>
            <w:vAlign w:val="center"/>
          </w:tcPr>
          <w:p>
            <w:pPr>
              <w:pStyle w:val="TableContents"/>
              <w:spacing w:before="0" w:after="0"/>
              <w:ind w:left="0" w:right="0" w:hanging="0"/>
              <w:rPr/>
            </w:pPr>
            <w:r>
              <w:rPr/>
              <w:t> </w:t>
            </w:r>
          </w:p>
        </w:tc>
      </w:tr>
      <w:tr>
        <w:trPr/>
        <w:tc>
          <w:tcPr>
            <w:tcW w:w="6687" w:type="dxa"/>
            <w:tcBorders/>
            <w:shd w:fill="CCEEFF" w:val="clear"/>
            <w:vAlign w:val="center"/>
          </w:tcPr>
          <w:p>
            <w:pPr>
              <w:pStyle w:val="TableContents"/>
              <w:spacing w:before="0" w:after="0"/>
              <w:ind w:left="0" w:right="0" w:firstLine="200"/>
              <w:rPr/>
            </w:pPr>
            <w:r>
              <w:rPr/>
              <w:t xml:space="preserve">Deferred ceding commission revenue </w:t>
            </w:r>
          </w:p>
        </w:tc>
        <w:tc>
          <w:tcPr>
            <w:tcW w:w="90" w:type="dxa"/>
            <w:tcBorders/>
            <w:shd w:fill="CCEEFF" w:val="clear"/>
            <w:vAlign w:val="center"/>
          </w:tcPr>
          <w:p>
            <w:pPr>
              <w:pStyle w:val="TableContents"/>
              <w:spacing w:before="0" w:after="0"/>
              <w:ind w:left="0" w:right="0" w:hanging="0"/>
              <w:rPr/>
            </w:pPr>
            <w:r>
              <w:rPr/>
              <w:t> </w:t>
            </w:r>
          </w:p>
        </w:tc>
        <w:tc>
          <w:tcPr>
            <w:tcW w:w="181" w:type="dxa"/>
            <w:tcBorders/>
            <w:shd w:fill="CCEEFF" w:val="clear"/>
            <w:vAlign w:val="center"/>
          </w:tcPr>
          <w:p>
            <w:pPr>
              <w:pStyle w:val="TableContents"/>
              <w:spacing w:before="0" w:after="0"/>
              <w:ind w:left="0" w:right="0" w:hanging="0"/>
              <w:rPr/>
            </w:pPr>
            <w:r>
              <w:rPr/>
              <w:t> </w:t>
            </w:r>
          </w:p>
        </w:tc>
        <w:tc>
          <w:tcPr>
            <w:tcW w:w="1339" w:type="dxa"/>
            <w:tcBorders/>
            <w:shd w:fill="CCEEFF" w:val="clear"/>
            <w:vAlign w:val="center"/>
          </w:tcPr>
          <w:p>
            <w:pPr>
              <w:pStyle w:val="TableContents"/>
              <w:spacing w:before="0" w:after="283"/>
              <w:jc w:val="right"/>
              <w:rPr/>
            </w:pPr>
            <w:r>
              <w:rPr/>
              <w:t>93,519</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1" w:type="dxa"/>
            <w:tcBorders/>
            <w:shd w:fill="CCEEFF" w:val="clear"/>
            <w:vAlign w:val="center"/>
          </w:tcPr>
          <w:p>
            <w:pPr>
              <w:pStyle w:val="TableContents"/>
              <w:spacing w:before="0" w:after="0"/>
              <w:ind w:left="0" w:right="0" w:hanging="0"/>
              <w:rPr/>
            </w:pPr>
            <w:r>
              <w:rPr/>
              <w:t> </w:t>
            </w:r>
          </w:p>
        </w:tc>
        <w:tc>
          <w:tcPr>
            <w:tcW w:w="1339" w:type="dxa"/>
            <w:tcBorders/>
            <w:shd w:fill="CCEEFF" w:val="clear"/>
            <w:vAlign w:val="center"/>
          </w:tcPr>
          <w:p>
            <w:pPr>
              <w:pStyle w:val="TableContents"/>
              <w:spacing w:before="0" w:after="283"/>
              <w:jc w:val="right"/>
              <w:rPr/>
            </w:pPr>
            <w:r>
              <w:rPr/>
              <w:t>7,735,398</w:t>
            </w:r>
          </w:p>
        </w:tc>
        <w:tc>
          <w:tcPr>
            <w:tcW w:w="173" w:type="dxa"/>
            <w:tcBorders/>
            <w:shd w:fill="CCEEFF" w:val="clear"/>
            <w:vAlign w:val="center"/>
          </w:tcPr>
          <w:p>
            <w:pPr>
              <w:pStyle w:val="TableContents"/>
              <w:spacing w:before="0" w:after="0"/>
              <w:ind w:left="0" w:right="0" w:hanging="0"/>
              <w:rPr/>
            </w:pPr>
            <w:r>
              <w:rPr/>
              <w:t> </w:t>
            </w:r>
          </w:p>
        </w:tc>
      </w:tr>
      <w:tr>
        <w:trPr/>
        <w:tc>
          <w:tcPr>
            <w:tcW w:w="6687" w:type="dxa"/>
            <w:tcBorders/>
            <w:shd w:fill="FFFFFF" w:val="clear"/>
            <w:vAlign w:val="center"/>
          </w:tcPr>
          <w:p>
            <w:pPr>
              <w:pStyle w:val="TableContents"/>
              <w:spacing w:before="0" w:after="0"/>
              <w:ind w:left="0" w:right="0" w:firstLine="200"/>
              <w:rPr/>
            </w:pPr>
            <w:r>
              <w:rPr/>
              <w:t xml:space="preserve">Accounts payable, accrued expenses and other liabilities </w:t>
            </w:r>
          </w:p>
        </w:tc>
        <w:tc>
          <w:tcPr>
            <w:tcW w:w="90" w:type="dxa"/>
            <w:tcBorders/>
            <w:shd w:fill="FFFFFF" w:val="clear"/>
            <w:vAlign w:val="center"/>
          </w:tcPr>
          <w:p>
            <w:pPr>
              <w:pStyle w:val="TableContents"/>
              <w:spacing w:before="0" w:after="0"/>
              <w:ind w:left="0" w:right="0" w:hanging="0"/>
              <w:rPr/>
            </w:pPr>
            <w:r>
              <w:rPr/>
              <w:t> </w:t>
            </w:r>
          </w:p>
        </w:tc>
        <w:tc>
          <w:tcPr>
            <w:tcW w:w="181" w:type="dxa"/>
            <w:tcBorders/>
            <w:shd w:fill="FFFFFF" w:val="clear"/>
            <w:vAlign w:val="center"/>
          </w:tcPr>
          <w:p>
            <w:pPr>
              <w:pStyle w:val="TableContents"/>
              <w:spacing w:before="0" w:after="0"/>
              <w:ind w:left="0" w:right="0" w:hanging="0"/>
              <w:rPr/>
            </w:pPr>
            <w:r>
              <w:rPr/>
              <w:t> </w:t>
            </w:r>
          </w:p>
        </w:tc>
        <w:tc>
          <w:tcPr>
            <w:tcW w:w="1339" w:type="dxa"/>
            <w:tcBorders/>
            <w:shd w:fill="FFFFFF" w:val="clear"/>
            <w:vAlign w:val="center"/>
          </w:tcPr>
          <w:p>
            <w:pPr>
              <w:pStyle w:val="TableContents"/>
              <w:spacing w:before="0" w:after="283"/>
              <w:jc w:val="right"/>
              <w:rPr/>
            </w:pPr>
            <w:r>
              <w:rPr/>
              <w:t>8,433,233</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1" w:type="dxa"/>
            <w:tcBorders/>
            <w:shd w:fill="FFFFFF" w:val="clear"/>
            <w:vAlign w:val="center"/>
          </w:tcPr>
          <w:p>
            <w:pPr>
              <w:pStyle w:val="TableContents"/>
              <w:spacing w:before="0" w:after="0"/>
              <w:ind w:left="0" w:right="0" w:hanging="0"/>
              <w:rPr/>
            </w:pPr>
            <w:r>
              <w:rPr/>
              <w:t> </w:t>
            </w:r>
          </w:p>
        </w:tc>
        <w:tc>
          <w:tcPr>
            <w:tcW w:w="1339" w:type="dxa"/>
            <w:tcBorders/>
            <w:shd w:fill="FFFFFF" w:val="clear"/>
            <w:vAlign w:val="center"/>
          </w:tcPr>
          <w:p>
            <w:pPr>
              <w:pStyle w:val="TableContents"/>
              <w:spacing w:before="0" w:after="283"/>
              <w:jc w:val="right"/>
              <w:rPr/>
            </w:pPr>
            <w:r>
              <w:rPr/>
              <w:t>9,986,317</w:t>
            </w:r>
          </w:p>
        </w:tc>
        <w:tc>
          <w:tcPr>
            <w:tcW w:w="173" w:type="dxa"/>
            <w:tcBorders/>
            <w:shd w:fill="FFFFFF" w:val="clear"/>
            <w:vAlign w:val="center"/>
          </w:tcPr>
          <w:p>
            <w:pPr>
              <w:pStyle w:val="TableContents"/>
              <w:spacing w:before="0" w:after="0"/>
              <w:ind w:left="0" w:right="0" w:hanging="0"/>
              <w:rPr/>
            </w:pPr>
            <w:r>
              <w:rPr/>
              <w:t> </w:t>
            </w:r>
          </w:p>
        </w:tc>
      </w:tr>
      <w:tr>
        <w:trPr/>
        <w:tc>
          <w:tcPr>
            <w:tcW w:w="6687" w:type="dxa"/>
            <w:tcBorders/>
            <w:shd w:fill="CCEEFF" w:val="clear"/>
            <w:vAlign w:val="center"/>
          </w:tcPr>
          <w:p>
            <w:pPr>
              <w:pStyle w:val="TableContents"/>
              <w:spacing w:before="0" w:after="0"/>
              <w:ind w:left="0" w:right="0" w:firstLine="200"/>
              <w:rPr/>
            </w:pPr>
            <w:r>
              <w:rPr/>
              <w:t xml:space="preserve">Deferred income taxes, net </w:t>
            </w:r>
          </w:p>
        </w:tc>
        <w:tc>
          <w:tcPr>
            <w:tcW w:w="90" w:type="dxa"/>
            <w:tcBorders/>
            <w:shd w:fill="CCEEFF" w:val="clear"/>
            <w:vAlign w:val="center"/>
          </w:tcPr>
          <w:p>
            <w:pPr>
              <w:pStyle w:val="TableContents"/>
              <w:spacing w:before="0" w:after="0"/>
              <w:ind w:left="0" w:right="0" w:hanging="0"/>
              <w:rPr/>
            </w:pPr>
            <w:r>
              <w:rPr/>
              <w:t> </w:t>
            </w:r>
          </w:p>
        </w:tc>
        <w:tc>
          <w:tcPr>
            <w:tcW w:w="181" w:type="dxa"/>
            <w:tcBorders/>
            <w:shd w:fill="CCEEFF" w:val="clear"/>
            <w:vAlign w:val="center"/>
          </w:tcPr>
          <w:p>
            <w:pPr>
              <w:pStyle w:val="TableContents"/>
              <w:spacing w:before="0" w:after="0"/>
              <w:ind w:left="0" w:right="0" w:hanging="0"/>
              <w:rPr/>
            </w:pPr>
            <w:r>
              <w:rPr/>
              <w:t> </w:t>
            </w:r>
          </w:p>
        </w:tc>
        <w:tc>
          <w:tcPr>
            <w:tcW w:w="1339" w:type="dxa"/>
            <w:tcBorders/>
            <w:shd w:fill="CCEEFF" w:val="clear"/>
            <w:vAlign w:val="center"/>
          </w:tcPr>
          <w:p>
            <w:pPr>
              <w:pStyle w:val="TableContents"/>
              <w:spacing w:before="0" w:after="283"/>
              <w:jc w:val="right"/>
              <w:rPr/>
            </w:pPr>
            <w:r>
              <w:rPr/>
              <w:t>4,156,913</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1" w:type="dxa"/>
            <w:tcBorders/>
            <w:shd w:fill="CCEEFF" w:val="clear"/>
            <w:vAlign w:val="center"/>
          </w:tcPr>
          <w:p>
            <w:pPr>
              <w:pStyle w:val="TableContents"/>
              <w:spacing w:before="0" w:after="0"/>
              <w:ind w:left="0" w:right="0" w:hanging="0"/>
              <w:rPr/>
            </w:pPr>
            <w:r>
              <w:rPr/>
              <w:t> </w:t>
            </w:r>
          </w:p>
        </w:tc>
        <w:tc>
          <w:tcPr>
            <w:tcW w:w="1339" w:type="dxa"/>
            <w:tcBorders/>
            <w:shd w:fill="CCEEFF" w:val="clear"/>
            <w:vAlign w:val="center"/>
          </w:tcPr>
          <w:p>
            <w:pPr>
              <w:pStyle w:val="TableContents"/>
              <w:spacing w:before="0" w:after="283"/>
              <w:jc w:val="right"/>
              <w:rPr/>
            </w:pPr>
            <w:r>
              <w:rPr/>
              <w:t>-</w:t>
            </w:r>
          </w:p>
        </w:tc>
        <w:tc>
          <w:tcPr>
            <w:tcW w:w="173" w:type="dxa"/>
            <w:tcBorders/>
            <w:shd w:fill="CCEEFF" w:val="clear"/>
            <w:vAlign w:val="center"/>
          </w:tcPr>
          <w:p>
            <w:pPr>
              <w:pStyle w:val="TableContents"/>
              <w:spacing w:before="0" w:after="0"/>
              <w:ind w:left="0" w:right="0" w:hanging="0"/>
              <w:rPr/>
            </w:pPr>
            <w:r>
              <w:rPr/>
              <w:t> </w:t>
            </w:r>
          </w:p>
        </w:tc>
      </w:tr>
      <w:tr>
        <w:trPr/>
        <w:tc>
          <w:tcPr>
            <w:tcW w:w="6687" w:type="dxa"/>
            <w:tcBorders/>
            <w:shd w:fill="FFFFFF" w:val="clear"/>
            <w:vAlign w:val="center"/>
          </w:tcPr>
          <w:p>
            <w:pPr>
              <w:pStyle w:val="TableContents"/>
              <w:spacing w:before="0" w:after="0"/>
              <w:ind w:left="0" w:right="0" w:firstLine="200"/>
              <w:rPr/>
            </w:pPr>
            <w:r>
              <w:rPr/>
              <w:t xml:space="preserve">Long-term debt, net </w:t>
            </w:r>
          </w:p>
        </w:tc>
        <w:tc>
          <w:tcPr>
            <w:tcW w:w="90" w:type="dxa"/>
            <w:tcBorders/>
            <w:shd w:fill="FFFFFF" w:val="clear"/>
            <w:vAlign w:val="center"/>
          </w:tcPr>
          <w:p>
            <w:pPr>
              <w:pStyle w:val="TableContents"/>
              <w:spacing w:before="0" w:after="0"/>
              <w:ind w:left="0" w:right="0" w:hanging="0"/>
              <w:rPr/>
            </w:pPr>
            <w:r>
              <w:rPr/>
              <w:t> </w:t>
            </w:r>
          </w:p>
        </w:tc>
        <w:tc>
          <w:tcPr>
            <w:tcW w:w="181"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339" w:type="dxa"/>
            <w:tcBorders>
              <w:bottom w:val="single" w:sz="2" w:space="0" w:color="000000"/>
            </w:tcBorders>
            <w:shd w:fill="FFFFFF" w:val="clear"/>
            <w:tcMar>
              <w:bottom w:w="28" w:type="dxa"/>
            </w:tcMar>
            <w:vAlign w:val="center"/>
          </w:tcPr>
          <w:p>
            <w:pPr>
              <w:pStyle w:val="TableContents"/>
              <w:spacing w:before="0" w:after="283"/>
              <w:jc w:val="right"/>
              <w:rPr/>
            </w:pPr>
            <w:r>
              <w:rPr/>
              <w:t>29,647,611</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1"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339" w:type="dxa"/>
            <w:tcBorders>
              <w:bottom w:val="single" w:sz="2" w:space="0" w:color="000000"/>
            </w:tcBorders>
            <w:shd w:fill="FFFFFF" w:val="clear"/>
            <w:tcMar>
              <w:bottom w:w="28" w:type="dxa"/>
            </w:tcMar>
            <w:vAlign w:val="center"/>
          </w:tcPr>
          <w:p>
            <w:pPr>
              <w:pStyle w:val="TableContents"/>
              <w:spacing w:before="0" w:after="283"/>
              <w:jc w:val="right"/>
              <w:rPr/>
            </w:pPr>
            <w:r>
              <w:rPr/>
              <w:t>29,471,431</w:t>
            </w:r>
          </w:p>
        </w:tc>
        <w:tc>
          <w:tcPr>
            <w:tcW w:w="173" w:type="dxa"/>
            <w:tcBorders/>
            <w:shd w:fill="FFFFFF" w:val="clear"/>
            <w:vAlign w:val="center"/>
          </w:tcPr>
          <w:p>
            <w:pPr>
              <w:pStyle w:val="TableContents"/>
              <w:spacing w:before="0" w:after="0"/>
              <w:ind w:left="0" w:right="0" w:hanging="0"/>
              <w:rPr/>
            </w:pPr>
            <w:r>
              <w:rPr/>
              <w:t> </w:t>
            </w:r>
          </w:p>
        </w:tc>
      </w:tr>
      <w:tr>
        <w:trPr/>
        <w:tc>
          <w:tcPr>
            <w:tcW w:w="6687" w:type="dxa"/>
            <w:tcBorders/>
            <w:shd w:fill="CCEEFF" w:val="clear"/>
            <w:vAlign w:val="center"/>
          </w:tcPr>
          <w:p>
            <w:pPr>
              <w:pStyle w:val="TableContents"/>
              <w:spacing w:before="0" w:after="0"/>
              <w:ind w:left="0" w:right="0" w:hanging="0"/>
              <w:rPr/>
            </w:pPr>
            <w:r>
              <w:rPr>
                <w:rStyle w:val="StrongEmphasis"/>
              </w:rPr>
              <w:t xml:space="preserve">Total liabilities </w:t>
            </w:r>
          </w:p>
        </w:tc>
        <w:tc>
          <w:tcPr>
            <w:tcW w:w="90" w:type="dxa"/>
            <w:tcBorders/>
            <w:shd w:fill="CCEEFF" w:val="clear"/>
            <w:vAlign w:val="center"/>
          </w:tcPr>
          <w:p>
            <w:pPr>
              <w:pStyle w:val="TableContents"/>
              <w:spacing w:before="0" w:after="0"/>
              <w:ind w:left="0" w:right="0" w:hanging="0"/>
              <w:rPr/>
            </w:pPr>
            <w:r>
              <w:rPr/>
              <w:t> </w:t>
            </w:r>
          </w:p>
        </w:tc>
        <w:tc>
          <w:tcPr>
            <w:tcW w:w="18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339" w:type="dxa"/>
            <w:tcBorders>
              <w:bottom w:val="single" w:sz="2" w:space="0" w:color="000000"/>
            </w:tcBorders>
            <w:shd w:fill="CCEEFF" w:val="clear"/>
            <w:tcMar>
              <w:bottom w:w="28" w:type="dxa"/>
            </w:tcMar>
            <w:vAlign w:val="center"/>
          </w:tcPr>
          <w:p>
            <w:pPr>
              <w:pStyle w:val="TableContents"/>
              <w:spacing w:before="0" w:after="283"/>
              <w:jc w:val="right"/>
              <w:rPr/>
            </w:pPr>
            <w:r>
              <w:rPr/>
              <w:t>224,781,865</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339" w:type="dxa"/>
            <w:tcBorders>
              <w:bottom w:val="single" w:sz="2" w:space="0" w:color="000000"/>
            </w:tcBorders>
            <w:shd w:fill="CCEEFF" w:val="clear"/>
            <w:tcMar>
              <w:bottom w:w="28" w:type="dxa"/>
            </w:tcMar>
            <w:vAlign w:val="center"/>
          </w:tcPr>
          <w:p>
            <w:pPr>
              <w:pStyle w:val="TableContents"/>
              <w:spacing w:before="0" w:after="283"/>
              <w:jc w:val="right"/>
              <w:rPr/>
            </w:pPr>
            <w:r>
              <w:rPr/>
              <w:t>232,981,231</w:t>
            </w:r>
          </w:p>
        </w:tc>
        <w:tc>
          <w:tcPr>
            <w:tcW w:w="173" w:type="dxa"/>
            <w:tcBorders/>
            <w:shd w:fill="CCEEFF" w:val="clear"/>
            <w:vAlign w:val="center"/>
          </w:tcPr>
          <w:p>
            <w:pPr>
              <w:pStyle w:val="TableContents"/>
              <w:spacing w:before="0" w:after="0"/>
              <w:ind w:left="0" w:right="0" w:hanging="0"/>
              <w:rPr/>
            </w:pPr>
            <w:r>
              <w:rPr/>
              <w:t> </w:t>
            </w:r>
          </w:p>
        </w:tc>
      </w:tr>
      <w:tr>
        <w:trPr/>
        <w:tc>
          <w:tcPr>
            <w:tcW w:w="6687"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1" w:type="dxa"/>
            <w:tcBorders/>
            <w:shd w:fill="FFFFFF" w:val="clear"/>
            <w:vAlign w:val="center"/>
          </w:tcPr>
          <w:p>
            <w:pPr>
              <w:pStyle w:val="TableContents"/>
              <w:spacing w:before="0" w:after="0"/>
              <w:ind w:left="0" w:right="0" w:hanging="0"/>
              <w:rPr/>
            </w:pPr>
            <w:r>
              <w:rPr/>
              <w:t> </w:t>
            </w:r>
          </w:p>
        </w:tc>
        <w:tc>
          <w:tcPr>
            <w:tcW w:w="1339"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1" w:type="dxa"/>
            <w:tcBorders/>
            <w:shd w:fill="FFFFFF" w:val="clear"/>
            <w:vAlign w:val="center"/>
          </w:tcPr>
          <w:p>
            <w:pPr>
              <w:pStyle w:val="TableContents"/>
              <w:spacing w:before="0" w:after="0"/>
              <w:ind w:left="0" w:right="0" w:hanging="0"/>
              <w:rPr/>
            </w:pPr>
            <w:r>
              <w:rPr/>
              <w:t> </w:t>
            </w:r>
          </w:p>
        </w:tc>
        <w:tc>
          <w:tcPr>
            <w:tcW w:w="1339" w:type="dxa"/>
            <w:tcBorders/>
            <w:shd w:fill="FFFFFF" w:val="clear"/>
            <w:vAlign w:val="center"/>
          </w:tcPr>
          <w:p>
            <w:pPr>
              <w:pStyle w:val="TableContents"/>
              <w:spacing w:before="0" w:after="0"/>
              <w:ind w:left="0" w:right="0" w:hanging="0"/>
              <w:rPr/>
            </w:pPr>
            <w:r>
              <w:rPr/>
              <w:t> </w:t>
            </w:r>
          </w:p>
        </w:tc>
        <w:tc>
          <w:tcPr>
            <w:tcW w:w="173" w:type="dxa"/>
            <w:tcBorders/>
            <w:shd w:fill="FFFFFF" w:val="clear"/>
            <w:vAlign w:val="center"/>
          </w:tcPr>
          <w:p>
            <w:pPr>
              <w:pStyle w:val="TableContents"/>
              <w:spacing w:before="0" w:after="0"/>
              <w:ind w:left="0" w:right="0" w:hanging="0"/>
              <w:rPr/>
            </w:pPr>
            <w:r>
              <w:rPr/>
              <w:t> </w:t>
            </w:r>
          </w:p>
        </w:tc>
      </w:tr>
      <w:tr>
        <w:trPr/>
        <w:tc>
          <w:tcPr>
            <w:tcW w:w="6687" w:type="dxa"/>
            <w:tcBorders/>
            <w:shd w:fill="CCEEFF" w:val="clear"/>
            <w:vAlign w:val="center"/>
          </w:tcPr>
          <w:p>
            <w:pPr>
              <w:pStyle w:val="TableContents"/>
              <w:spacing w:before="0" w:after="0"/>
              <w:ind w:left="0" w:right="0" w:hanging="0"/>
              <w:rPr/>
            </w:pPr>
            <w:r>
              <w:rPr>
                <w:rStyle w:val="StrongEmphasis"/>
              </w:rPr>
              <w:t xml:space="preserve">Commitments and Contingencies (Note 17) </w:t>
            </w:r>
          </w:p>
        </w:tc>
        <w:tc>
          <w:tcPr>
            <w:tcW w:w="90" w:type="dxa"/>
            <w:tcBorders/>
            <w:shd w:fill="CCEEFF" w:val="clear"/>
            <w:vAlign w:val="center"/>
          </w:tcPr>
          <w:p>
            <w:pPr>
              <w:pStyle w:val="TableContents"/>
              <w:spacing w:before="0" w:after="0"/>
              <w:ind w:left="0" w:right="0" w:hanging="0"/>
              <w:rPr/>
            </w:pPr>
            <w:r>
              <w:rPr/>
              <w:t> </w:t>
            </w:r>
          </w:p>
        </w:tc>
        <w:tc>
          <w:tcPr>
            <w:tcW w:w="181" w:type="dxa"/>
            <w:tcBorders/>
            <w:shd w:fill="CCEEFF" w:val="clear"/>
            <w:vAlign w:val="center"/>
          </w:tcPr>
          <w:p>
            <w:pPr>
              <w:pStyle w:val="TableContents"/>
              <w:spacing w:before="0" w:after="0"/>
              <w:ind w:left="0" w:right="0" w:hanging="0"/>
              <w:rPr/>
            </w:pPr>
            <w:r>
              <w:rPr/>
              <w:t> </w:t>
            </w:r>
          </w:p>
        </w:tc>
        <w:tc>
          <w:tcPr>
            <w:tcW w:w="1339" w:type="dxa"/>
            <w:tcBorders/>
            <w:shd w:fill="CCEEFF" w:val="clear"/>
            <w:vAlign w:val="center"/>
          </w:tcPr>
          <w:p>
            <w:pPr>
              <w:pStyle w:val="TableContents"/>
              <w:spacing w:before="0" w:after="0"/>
              <w:ind w:left="0" w:right="0" w:hanging="0"/>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1" w:type="dxa"/>
            <w:tcBorders/>
            <w:shd w:fill="CCEEFF" w:val="clear"/>
            <w:vAlign w:val="center"/>
          </w:tcPr>
          <w:p>
            <w:pPr>
              <w:pStyle w:val="TableContents"/>
              <w:spacing w:before="0" w:after="0"/>
              <w:ind w:left="0" w:right="0" w:hanging="0"/>
              <w:rPr/>
            </w:pPr>
            <w:r>
              <w:rPr/>
              <w:t> </w:t>
            </w:r>
          </w:p>
        </w:tc>
        <w:tc>
          <w:tcPr>
            <w:tcW w:w="1339" w:type="dxa"/>
            <w:tcBorders/>
            <w:shd w:fill="CCEEFF" w:val="clear"/>
            <w:vAlign w:val="center"/>
          </w:tcPr>
          <w:p>
            <w:pPr>
              <w:pStyle w:val="TableContents"/>
              <w:spacing w:before="0" w:after="0"/>
              <w:ind w:left="0" w:right="0" w:hanging="0"/>
              <w:jc w:val="right"/>
              <w:rPr/>
            </w:pPr>
            <w:r>
              <w:rPr/>
              <w:t>-</w:t>
            </w:r>
          </w:p>
        </w:tc>
        <w:tc>
          <w:tcPr>
            <w:tcW w:w="173" w:type="dxa"/>
            <w:tcBorders/>
            <w:shd w:fill="CCEEFF" w:val="clear"/>
            <w:vAlign w:val="center"/>
          </w:tcPr>
          <w:p>
            <w:pPr>
              <w:pStyle w:val="TableContents"/>
              <w:spacing w:before="0" w:after="0"/>
              <w:ind w:left="0" w:right="0" w:hanging="0"/>
              <w:rPr/>
            </w:pPr>
            <w:r>
              <w:rPr/>
              <w:t> </w:t>
            </w:r>
          </w:p>
        </w:tc>
      </w:tr>
      <w:tr>
        <w:trPr/>
        <w:tc>
          <w:tcPr>
            <w:tcW w:w="6687"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1" w:type="dxa"/>
            <w:tcBorders/>
            <w:shd w:fill="FFFFFF" w:val="clear"/>
            <w:vAlign w:val="center"/>
          </w:tcPr>
          <w:p>
            <w:pPr>
              <w:pStyle w:val="TableContents"/>
              <w:spacing w:before="0" w:after="0"/>
              <w:ind w:left="0" w:right="0" w:hanging="0"/>
              <w:rPr/>
            </w:pPr>
            <w:r>
              <w:rPr/>
              <w:t> </w:t>
            </w:r>
          </w:p>
        </w:tc>
        <w:tc>
          <w:tcPr>
            <w:tcW w:w="1339"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1" w:type="dxa"/>
            <w:tcBorders/>
            <w:shd w:fill="FFFFFF" w:val="clear"/>
            <w:vAlign w:val="center"/>
          </w:tcPr>
          <w:p>
            <w:pPr>
              <w:pStyle w:val="TableContents"/>
              <w:spacing w:before="0" w:after="0"/>
              <w:ind w:left="0" w:right="0" w:hanging="0"/>
              <w:rPr/>
            </w:pPr>
            <w:r>
              <w:rPr/>
              <w:t> </w:t>
            </w:r>
          </w:p>
        </w:tc>
        <w:tc>
          <w:tcPr>
            <w:tcW w:w="1339" w:type="dxa"/>
            <w:tcBorders/>
            <w:shd w:fill="FFFFFF" w:val="clear"/>
            <w:vAlign w:val="center"/>
          </w:tcPr>
          <w:p>
            <w:pPr>
              <w:pStyle w:val="TableContents"/>
              <w:spacing w:before="0" w:after="0"/>
              <w:ind w:left="0" w:right="0" w:hanging="0"/>
              <w:rPr/>
            </w:pPr>
            <w:r>
              <w:rPr/>
              <w:t> </w:t>
            </w:r>
          </w:p>
        </w:tc>
        <w:tc>
          <w:tcPr>
            <w:tcW w:w="173" w:type="dxa"/>
            <w:tcBorders/>
            <w:shd w:fill="FFFFFF" w:val="clear"/>
            <w:vAlign w:val="center"/>
          </w:tcPr>
          <w:p>
            <w:pPr>
              <w:pStyle w:val="TableContents"/>
              <w:spacing w:before="0" w:after="0"/>
              <w:ind w:left="0" w:right="0" w:hanging="0"/>
              <w:rPr/>
            </w:pPr>
            <w:r>
              <w:rPr/>
              <w:t> </w:t>
            </w:r>
          </w:p>
        </w:tc>
      </w:tr>
      <w:tr>
        <w:trPr/>
        <w:tc>
          <w:tcPr>
            <w:tcW w:w="6687" w:type="dxa"/>
            <w:tcBorders/>
            <w:shd w:fill="CCEEFF" w:val="clear"/>
            <w:vAlign w:val="center"/>
          </w:tcPr>
          <w:p>
            <w:pPr>
              <w:pStyle w:val="TableContents"/>
              <w:spacing w:before="0" w:after="0"/>
              <w:ind w:left="0" w:right="0" w:hanging="0"/>
              <w:rPr/>
            </w:pPr>
            <w:r>
              <w:rPr>
                <w:rStyle w:val="StrongEmphasis"/>
              </w:rPr>
              <w:t xml:space="preserve">Stockholders' Equity </w:t>
            </w:r>
          </w:p>
        </w:tc>
        <w:tc>
          <w:tcPr>
            <w:tcW w:w="90" w:type="dxa"/>
            <w:tcBorders/>
            <w:shd w:fill="CCEEFF" w:val="clear"/>
            <w:vAlign w:val="center"/>
          </w:tcPr>
          <w:p>
            <w:pPr>
              <w:pStyle w:val="TableContents"/>
              <w:spacing w:before="0" w:after="0"/>
              <w:ind w:left="0" w:right="0" w:hanging="0"/>
              <w:rPr/>
            </w:pPr>
            <w:r>
              <w:rPr/>
              <w:t> </w:t>
            </w:r>
          </w:p>
        </w:tc>
        <w:tc>
          <w:tcPr>
            <w:tcW w:w="181" w:type="dxa"/>
            <w:tcBorders/>
            <w:shd w:fill="CCEEFF" w:val="clear"/>
            <w:vAlign w:val="center"/>
          </w:tcPr>
          <w:p>
            <w:pPr>
              <w:pStyle w:val="TableContents"/>
              <w:spacing w:before="0" w:after="0"/>
              <w:ind w:left="0" w:right="0" w:hanging="0"/>
              <w:rPr/>
            </w:pPr>
            <w:r>
              <w:rPr/>
              <w:t> </w:t>
            </w:r>
          </w:p>
        </w:tc>
        <w:tc>
          <w:tcPr>
            <w:tcW w:w="1339"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1" w:type="dxa"/>
            <w:tcBorders/>
            <w:shd w:fill="CCEEFF" w:val="clear"/>
            <w:vAlign w:val="center"/>
          </w:tcPr>
          <w:p>
            <w:pPr>
              <w:pStyle w:val="TableContents"/>
              <w:spacing w:before="0" w:after="0"/>
              <w:ind w:left="0" w:right="0" w:hanging="0"/>
              <w:rPr/>
            </w:pPr>
            <w:r>
              <w:rPr/>
              <w:t> </w:t>
            </w:r>
          </w:p>
        </w:tc>
        <w:tc>
          <w:tcPr>
            <w:tcW w:w="1339" w:type="dxa"/>
            <w:tcBorders/>
            <w:shd w:fill="CCEEFF" w:val="clear"/>
            <w:vAlign w:val="center"/>
          </w:tcPr>
          <w:p>
            <w:pPr>
              <w:pStyle w:val="TableContents"/>
              <w:spacing w:before="0" w:after="0"/>
              <w:ind w:left="0" w:right="0" w:hanging="0"/>
              <w:rPr/>
            </w:pPr>
            <w:r>
              <w:rPr/>
              <w:t> </w:t>
            </w:r>
          </w:p>
        </w:tc>
        <w:tc>
          <w:tcPr>
            <w:tcW w:w="173" w:type="dxa"/>
            <w:tcBorders/>
            <w:shd w:fill="CCEEFF" w:val="clear"/>
            <w:vAlign w:val="center"/>
          </w:tcPr>
          <w:p>
            <w:pPr>
              <w:pStyle w:val="TableContents"/>
              <w:spacing w:before="0" w:after="0"/>
              <w:ind w:left="0" w:right="0" w:hanging="0"/>
              <w:rPr/>
            </w:pPr>
            <w:r>
              <w:rPr/>
              <w:t> </w:t>
            </w:r>
          </w:p>
        </w:tc>
      </w:tr>
      <w:tr>
        <w:trPr/>
        <w:tc>
          <w:tcPr>
            <w:tcW w:w="6687" w:type="dxa"/>
            <w:tcBorders/>
            <w:shd w:fill="FFFFFF" w:val="clear"/>
            <w:vAlign w:val="center"/>
          </w:tcPr>
          <w:p>
            <w:pPr>
              <w:pStyle w:val="TableContents"/>
              <w:spacing w:before="0" w:after="0"/>
              <w:ind w:left="0" w:right="0" w:firstLine="200"/>
              <w:rPr/>
            </w:pPr>
            <w:r>
              <w:rPr/>
              <w:t xml:space="preserve">Preferred stock, $.01 par value; authorized 2,500,000 shares </w:t>
            </w:r>
          </w:p>
        </w:tc>
        <w:tc>
          <w:tcPr>
            <w:tcW w:w="90" w:type="dxa"/>
            <w:tcBorders/>
            <w:shd w:fill="FFFFFF" w:val="clear"/>
            <w:vAlign w:val="center"/>
          </w:tcPr>
          <w:p>
            <w:pPr>
              <w:pStyle w:val="TableContents"/>
              <w:spacing w:before="0" w:after="0"/>
              <w:ind w:left="0" w:right="0" w:hanging="0"/>
              <w:rPr/>
            </w:pPr>
            <w:r>
              <w:rPr/>
              <w:t> </w:t>
            </w:r>
          </w:p>
        </w:tc>
        <w:tc>
          <w:tcPr>
            <w:tcW w:w="181" w:type="dxa"/>
            <w:tcBorders/>
            <w:shd w:fill="FFFFFF" w:val="clear"/>
            <w:vAlign w:val="center"/>
          </w:tcPr>
          <w:p>
            <w:pPr>
              <w:pStyle w:val="TableContents"/>
              <w:spacing w:before="0" w:after="0"/>
              <w:ind w:left="0" w:right="0" w:hanging="0"/>
              <w:rPr/>
            </w:pPr>
            <w:r>
              <w:rPr/>
              <w:t> </w:t>
            </w:r>
          </w:p>
        </w:tc>
        <w:tc>
          <w:tcPr>
            <w:tcW w:w="1339"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1" w:type="dxa"/>
            <w:tcBorders/>
            <w:shd w:fill="FFFFFF" w:val="clear"/>
            <w:vAlign w:val="center"/>
          </w:tcPr>
          <w:p>
            <w:pPr>
              <w:pStyle w:val="TableContents"/>
              <w:spacing w:before="0" w:after="0"/>
              <w:ind w:left="0" w:right="0" w:hanging="0"/>
              <w:rPr/>
            </w:pPr>
            <w:r>
              <w:rPr/>
              <w:t> </w:t>
            </w:r>
          </w:p>
        </w:tc>
        <w:tc>
          <w:tcPr>
            <w:tcW w:w="1339" w:type="dxa"/>
            <w:tcBorders/>
            <w:shd w:fill="FFFFFF" w:val="clear"/>
            <w:vAlign w:val="center"/>
          </w:tcPr>
          <w:p>
            <w:pPr>
              <w:pStyle w:val="TableContents"/>
              <w:spacing w:before="0" w:after="283"/>
              <w:jc w:val="right"/>
              <w:rPr/>
            </w:pPr>
            <w:r>
              <w:rPr/>
              <w:t>-</w:t>
            </w:r>
          </w:p>
        </w:tc>
        <w:tc>
          <w:tcPr>
            <w:tcW w:w="173" w:type="dxa"/>
            <w:tcBorders/>
            <w:shd w:fill="FFFFFF" w:val="clear"/>
            <w:vAlign w:val="center"/>
          </w:tcPr>
          <w:p>
            <w:pPr>
              <w:pStyle w:val="TableContents"/>
              <w:spacing w:before="0" w:after="0"/>
              <w:ind w:left="0" w:right="0" w:hanging="0"/>
              <w:rPr/>
            </w:pPr>
            <w:r>
              <w:rPr/>
              <w:t> </w:t>
            </w:r>
          </w:p>
        </w:tc>
      </w:tr>
      <w:tr>
        <w:trPr/>
        <w:tc>
          <w:tcPr>
            <w:tcW w:w="6687" w:type="dxa"/>
            <w:tcBorders/>
            <w:shd w:fill="CCEEFF" w:val="clear"/>
            <w:vAlign w:val="center"/>
          </w:tcPr>
          <w:p>
            <w:pPr>
              <w:pStyle w:val="TableContents"/>
              <w:spacing w:before="0" w:after="0"/>
              <w:ind w:left="0" w:right="0" w:firstLine="200"/>
              <w:rPr/>
            </w:pPr>
            <w:r>
              <w:rPr/>
              <w:t xml:space="preserve">Common stock, $.01 par value; authorized 20,000,000 shares; issued 11,871,307 shares </w:t>
            </w:r>
          </w:p>
        </w:tc>
        <w:tc>
          <w:tcPr>
            <w:tcW w:w="90" w:type="dxa"/>
            <w:tcBorders/>
            <w:shd w:fill="CCEEFF" w:val="clear"/>
            <w:vAlign w:val="center"/>
          </w:tcPr>
          <w:p>
            <w:pPr>
              <w:pStyle w:val="TableContents"/>
              <w:spacing w:before="0" w:after="0"/>
              <w:ind w:left="0" w:right="0" w:hanging="0"/>
              <w:rPr/>
            </w:pPr>
            <w:r>
              <w:rPr/>
              <w:t> </w:t>
            </w:r>
          </w:p>
        </w:tc>
        <w:tc>
          <w:tcPr>
            <w:tcW w:w="181" w:type="dxa"/>
            <w:tcBorders/>
            <w:shd w:fill="CCEEFF" w:val="clear"/>
            <w:vAlign w:val="center"/>
          </w:tcPr>
          <w:p>
            <w:pPr>
              <w:pStyle w:val="TableContents"/>
              <w:spacing w:before="0" w:after="0"/>
              <w:ind w:left="0" w:right="0" w:hanging="0"/>
              <w:rPr/>
            </w:pPr>
            <w:r>
              <w:rPr/>
              <w:t> </w:t>
            </w:r>
          </w:p>
        </w:tc>
        <w:tc>
          <w:tcPr>
            <w:tcW w:w="1339"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1" w:type="dxa"/>
            <w:tcBorders/>
            <w:shd w:fill="CCEEFF" w:val="clear"/>
            <w:vAlign w:val="center"/>
          </w:tcPr>
          <w:p>
            <w:pPr>
              <w:pStyle w:val="TableContents"/>
              <w:spacing w:before="0" w:after="0"/>
              <w:ind w:left="0" w:right="0" w:hanging="0"/>
              <w:rPr/>
            </w:pPr>
            <w:r>
              <w:rPr/>
              <w:t> </w:t>
            </w:r>
          </w:p>
        </w:tc>
        <w:tc>
          <w:tcPr>
            <w:tcW w:w="1339" w:type="dxa"/>
            <w:tcBorders/>
            <w:shd w:fill="CCEEFF" w:val="clear"/>
            <w:vAlign w:val="center"/>
          </w:tcPr>
          <w:p>
            <w:pPr>
              <w:pStyle w:val="TableContents"/>
              <w:spacing w:before="0" w:after="0"/>
              <w:ind w:left="0" w:right="0" w:hanging="0"/>
              <w:rPr/>
            </w:pPr>
            <w:r>
              <w:rPr/>
              <w:t> </w:t>
            </w:r>
          </w:p>
        </w:tc>
        <w:tc>
          <w:tcPr>
            <w:tcW w:w="173" w:type="dxa"/>
            <w:tcBorders/>
            <w:shd w:fill="CCEEFF" w:val="clear"/>
            <w:vAlign w:val="center"/>
          </w:tcPr>
          <w:p>
            <w:pPr>
              <w:pStyle w:val="TableContents"/>
              <w:spacing w:before="0" w:after="0"/>
              <w:ind w:left="0" w:right="0" w:hanging="0"/>
              <w:rPr/>
            </w:pPr>
            <w:r>
              <w:rPr/>
              <w:t> </w:t>
            </w:r>
          </w:p>
        </w:tc>
      </w:tr>
      <w:tr>
        <w:trPr/>
        <w:tc>
          <w:tcPr>
            <w:tcW w:w="6687" w:type="dxa"/>
            <w:tcBorders/>
            <w:shd w:fill="FFFFFF" w:val="clear"/>
            <w:vAlign w:val="center"/>
          </w:tcPr>
          <w:p>
            <w:pPr>
              <w:pStyle w:val="TableContents"/>
              <w:spacing w:before="0" w:after="0"/>
              <w:ind w:left="0" w:right="0" w:firstLine="400"/>
              <w:rPr/>
            </w:pPr>
            <w:r>
              <w:rPr/>
              <w:t xml:space="preserve">at December 31, 2020 and 11,824,889 at December 31, 2019; outstanding </w:t>
            </w:r>
          </w:p>
        </w:tc>
        <w:tc>
          <w:tcPr>
            <w:tcW w:w="90" w:type="dxa"/>
            <w:tcBorders/>
            <w:shd w:fill="FFFFFF" w:val="clear"/>
            <w:vAlign w:val="center"/>
          </w:tcPr>
          <w:p>
            <w:pPr>
              <w:pStyle w:val="TableContents"/>
              <w:spacing w:before="0" w:after="0"/>
              <w:ind w:left="0" w:right="0" w:hanging="0"/>
              <w:rPr/>
            </w:pPr>
            <w:r>
              <w:rPr/>
              <w:t> </w:t>
            </w:r>
          </w:p>
        </w:tc>
        <w:tc>
          <w:tcPr>
            <w:tcW w:w="181" w:type="dxa"/>
            <w:tcBorders/>
            <w:shd w:fill="FFFFFF" w:val="clear"/>
            <w:vAlign w:val="center"/>
          </w:tcPr>
          <w:p>
            <w:pPr>
              <w:pStyle w:val="TableContents"/>
              <w:spacing w:before="0" w:after="0"/>
              <w:ind w:left="0" w:right="0" w:hanging="0"/>
              <w:rPr/>
            </w:pPr>
            <w:r>
              <w:rPr/>
              <w:t> </w:t>
            </w:r>
          </w:p>
        </w:tc>
        <w:tc>
          <w:tcPr>
            <w:tcW w:w="1339"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1" w:type="dxa"/>
            <w:tcBorders/>
            <w:shd w:fill="FFFFFF" w:val="clear"/>
            <w:vAlign w:val="center"/>
          </w:tcPr>
          <w:p>
            <w:pPr>
              <w:pStyle w:val="TableContents"/>
              <w:spacing w:before="0" w:after="0"/>
              <w:ind w:left="0" w:right="0" w:hanging="0"/>
              <w:rPr/>
            </w:pPr>
            <w:r>
              <w:rPr/>
              <w:t> </w:t>
            </w:r>
          </w:p>
        </w:tc>
        <w:tc>
          <w:tcPr>
            <w:tcW w:w="1339" w:type="dxa"/>
            <w:tcBorders/>
            <w:shd w:fill="FFFFFF" w:val="clear"/>
            <w:vAlign w:val="center"/>
          </w:tcPr>
          <w:p>
            <w:pPr>
              <w:pStyle w:val="TableContents"/>
              <w:spacing w:before="0" w:after="0"/>
              <w:ind w:left="0" w:right="0" w:hanging="0"/>
              <w:rPr/>
            </w:pPr>
            <w:r>
              <w:rPr/>
              <w:t> </w:t>
            </w:r>
          </w:p>
        </w:tc>
        <w:tc>
          <w:tcPr>
            <w:tcW w:w="173" w:type="dxa"/>
            <w:tcBorders/>
            <w:shd w:fill="FFFFFF" w:val="clear"/>
            <w:vAlign w:val="center"/>
          </w:tcPr>
          <w:p>
            <w:pPr>
              <w:pStyle w:val="TableContents"/>
              <w:spacing w:before="0" w:after="0"/>
              <w:ind w:left="0" w:right="0" w:hanging="0"/>
              <w:rPr/>
            </w:pPr>
            <w:r>
              <w:rPr/>
              <w:t> </w:t>
            </w:r>
          </w:p>
        </w:tc>
      </w:tr>
      <w:tr>
        <w:trPr/>
        <w:tc>
          <w:tcPr>
            <w:tcW w:w="6687" w:type="dxa"/>
            <w:tcBorders/>
            <w:shd w:fill="CCEEFF" w:val="clear"/>
            <w:vAlign w:val="center"/>
          </w:tcPr>
          <w:p>
            <w:pPr>
              <w:pStyle w:val="TableContents"/>
              <w:spacing w:before="0" w:after="0"/>
              <w:ind w:left="0" w:right="0" w:firstLine="400"/>
              <w:rPr/>
            </w:pPr>
            <w:r>
              <w:rPr/>
              <w:t xml:space="preserve">10,616,815 shares at December 31, 2020 and 10,797,450 shares at December 31, 2019 </w:t>
            </w:r>
          </w:p>
        </w:tc>
        <w:tc>
          <w:tcPr>
            <w:tcW w:w="90" w:type="dxa"/>
            <w:tcBorders/>
            <w:shd w:fill="CCEEFF" w:val="clear"/>
            <w:vAlign w:val="center"/>
          </w:tcPr>
          <w:p>
            <w:pPr>
              <w:pStyle w:val="TableContents"/>
              <w:spacing w:before="0" w:after="0"/>
              <w:ind w:left="0" w:right="0" w:hanging="0"/>
              <w:rPr/>
            </w:pPr>
            <w:r>
              <w:rPr/>
              <w:t> </w:t>
            </w:r>
          </w:p>
        </w:tc>
        <w:tc>
          <w:tcPr>
            <w:tcW w:w="181" w:type="dxa"/>
            <w:tcBorders/>
            <w:shd w:fill="CCEEFF" w:val="clear"/>
            <w:vAlign w:val="center"/>
          </w:tcPr>
          <w:p>
            <w:pPr>
              <w:pStyle w:val="TableContents"/>
              <w:spacing w:before="0" w:after="0"/>
              <w:ind w:left="0" w:right="0" w:hanging="0"/>
              <w:rPr/>
            </w:pPr>
            <w:r>
              <w:rPr/>
              <w:t> </w:t>
            </w:r>
          </w:p>
        </w:tc>
        <w:tc>
          <w:tcPr>
            <w:tcW w:w="1339" w:type="dxa"/>
            <w:tcBorders/>
            <w:shd w:fill="CCEEFF" w:val="clear"/>
            <w:vAlign w:val="center"/>
          </w:tcPr>
          <w:p>
            <w:pPr>
              <w:pStyle w:val="TableContents"/>
              <w:spacing w:before="0" w:after="283"/>
              <w:jc w:val="right"/>
              <w:rPr/>
            </w:pPr>
            <w:r>
              <w:rPr/>
              <w:t>118,713</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1" w:type="dxa"/>
            <w:tcBorders/>
            <w:shd w:fill="CCEEFF" w:val="clear"/>
            <w:vAlign w:val="center"/>
          </w:tcPr>
          <w:p>
            <w:pPr>
              <w:pStyle w:val="TableContents"/>
              <w:spacing w:before="0" w:after="0"/>
              <w:ind w:left="0" w:right="0" w:hanging="0"/>
              <w:rPr/>
            </w:pPr>
            <w:r>
              <w:rPr/>
              <w:t> </w:t>
            </w:r>
          </w:p>
        </w:tc>
        <w:tc>
          <w:tcPr>
            <w:tcW w:w="1339" w:type="dxa"/>
            <w:tcBorders/>
            <w:shd w:fill="CCEEFF" w:val="clear"/>
            <w:vAlign w:val="center"/>
          </w:tcPr>
          <w:p>
            <w:pPr>
              <w:pStyle w:val="TableContents"/>
              <w:spacing w:before="0" w:after="283"/>
              <w:jc w:val="right"/>
              <w:rPr/>
            </w:pPr>
            <w:r>
              <w:rPr/>
              <w:t>118,248</w:t>
            </w:r>
          </w:p>
        </w:tc>
        <w:tc>
          <w:tcPr>
            <w:tcW w:w="173" w:type="dxa"/>
            <w:tcBorders/>
            <w:shd w:fill="CCEEFF" w:val="clear"/>
            <w:vAlign w:val="center"/>
          </w:tcPr>
          <w:p>
            <w:pPr>
              <w:pStyle w:val="TableContents"/>
              <w:spacing w:before="0" w:after="0"/>
              <w:ind w:left="0" w:right="0" w:hanging="0"/>
              <w:rPr/>
            </w:pPr>
            <w:r>
              <w:rPr/>
              <w:t> </w:t>
            </w:r>
          </w:p>
        </w:tc>
      </w:tr>
      <w:tr>
        <w:trPr/>
        <w:tc>
          <w:tcPr>
            <w:tcW w:w="6687" w:type="dxa"/>
            <w:tcBorders/>
            <w:shd w:fill="FFFFFF" w:val="clear"/>
            <w:vAlign w:val="center"/>
          </w:tcPr>
          <w:p>
            <w:pPr>
              <w:pStyle w:val="TableContents"/>
              <w:spacing w:before="0" w:after="0"/>
              <w:ind w:left="0" w:right="0" w:firstLine="200"/>
              <w:rPr/>
            </w:pPr>
            <w:r>
              <w:rPr/>
              <w:t xml:space="preserve">Capital in excess of par </w:t>
            </w:r>
          </w:p>
        </w:tc>
        <w:tc>
          <w:tcPr>
            <w:tcW w:w="90" w:type="dxa"/>
            <w:tcBorders/>
            <w:shd w:fill="FFFFFF" w:val="clear"/>
            <w:vAlign w:val="center"/>
          </w:tcPr>
          <w:p>
            <w:pPr>
              <w:pStyle w:val="TableContents"/>
              <w:spacing w:before="0" w:after="0"/>
              <w:ind w:left="0" w:right="0" w:hanging="0"/>
              <w:rPr/>
            </w:pPr>
            <w:r>
              <w:rPr/>
              <w:t> </w:t>
            </w:r>
          </w:p>
        </w:tc>
        <w:tc>
          <w:tcPr>
            <w:tcW w:w="181" w:type="dxa"/>
            <w:tcBorders/>
            <w:shd w:fill="FFFFFF" w:val="clear"/>
            <w:vAlign w:val="center"/>
          </w:tcPr>
          <w:p>
            <w:pPr>
              <w:pStyle w:val="TableContents"/>
              <w:spacing w:before="0" w:after="0"/>
              <w:ind w:left="0" w:right="0" w:hanging="0"/>
              <w:rPr/>
            </w:pPr>
            <w:r>
              <w:rPr/>
              <w:t> </w:t>
            </w:r>
          </w:p>
        </w:tc>
        <w:tc>
          <w:tcPr>
            <w:tcW w:w="1339" w:type="dxa"/>
            <w:tcBorders/>
            <w:shd w:fill="FFFFFF" w:val="clear"/>
            <w:vAlign w:val="center"/>
          </w:tcPr>
          <w:p>
            <w:pPr>
              <w:pStyle w:val="TableContents"/>
              <w:spacing w:before="0" w:after="283"/>
              <w:jc w:val="right"/>
              <w:rPr/>
            </w:pPr>
            <w:r>
              <w:rPr/>
              <w:t>70,769,165</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1" w:type="dxa"/>
            <w:tcBorders/>
            <w:shd w:fill="FFFFFF" w:val="clear"/>
            <w:vAlign w:val="center"/>
          </w:tcPr>
          <w:p>
            <w:pPr>
              <w:pStyle w:val="TableContents"/>
              <w:spacing w:before="0" w:after="0"/>
              <w:ind w:left="0" w:right="0" w:hanging="0"/>
              <w:rPr/>
            </w:pPr>
            <w:r>
              <w:rPr/>
              <w:t> </w:t>
            </w:r>
          </w:p>
        </w:tc>
        <w:tc>
          <w:tcPr>
            <w:tcW w:w="1339" w:type="dxa"/>
            <w:tcBorders/>
            <w:shd w:fill="FFFFFF" w:val="clear"/>
            <w:vAlign w:val="center"/>
          </w:tcPr>
          <w:p>
            <w:pPr>
              <w:pStyle w:val="TableContents"/>
              <w:spacing w:before="0" w:after="283"/>
              <w:jc w:val="right"/>
              <w:rPr/>
            </w:pPr>
            <w:r>
              <w:rPr/>
              <w:t>69,133,918</w:t>
            </w:r>
          </w:p>
        </w:tc>
        <w:tc>
          <w:tcPr>
            <w:tcW w:w="173" w:type="dxa"/>
            <w:tcBorders/>
            <w:shd w:fill="FFFFFF" w:val="clear"/>
            <w:vAlign w:val="center"/>
          </w:tcPr>
          <w:p>
            <w:pPr>
              <w:pStyle w:val="TableContents"/>
              <w:spacing w:before="0" w:after="0"/>
              <w:ind w:left="0" w:right="0" w:hanging="0"/>
              <w:rPr/>
            </w:pPr>
            <w:r>
              <w:rPr/>
              <w:t> </w:t>
            </w:r>
          </w:p>
        </w:tc>
      </w:tr>
      <w:tr>
        <w:trPr/>
        <w:tc>
          <w:tcPr>
            <w:tcW w:w="6687" w:type="dxa"/>
            <w:tcBorders/>
            <w:shd w:fill="CCEEFF" w:val="clear"/>
            <w:vAlign w:val="center"/>
          </w:tcPr>
          <w:p>
            <w:pPr>
              <w:pStyle w:val="TableContents"/>
              <w:spacing w:before="0" w:after="0"/>
              <w:ind w:left="0" w:right="0" w:firstLine="200"/>
              <w:rPr/>
            </w:pPr>
            <w:r>
              <w:rPr/>
              <w:t xml:space="preserve">Accumulated other comprehensive income </w:t>
            </w:r>
          </w:p>
        </w:tc>
        <w:tc>
          <w:tcPr>
            <w:tcW w:w="90" w:type="dxa"/>
            <w:tcBorders/>
            <w:shd w:fill="CCEEFF" w:val="clear"/>
            <w:vAlign w:val="center"/>
          </w:tcPr>
          <w:p>
            <w:pPr>
              <w:pStyle w:val="TableContents"/>
              <w:spacing w:before="0" w:after="0"/>
              <w:ind w:left="0" w:right="0" w:hanging="0"/>
              <w:rPr/>
            </w:pPr>
            <w:r>
              <w:rPr/>
              <w:t> </w:t>
            </w:r>
          </w:p>
        </w:tc>
        <w:tc>
          <w:tcPr>
            <w:tcW w:w="181" w:type="dxa"/>
            <w:tcBorders/>
            <w:shd w:fill="CCEEFF" w:val="clear"/>
            <w:vAlign w:val="center"/>
          </w:tcPr>
          <w:p>
            <w:pPr>
              <w:pStyle w:val="TableContents"/>
              <w:spacing w:before="0" w:after="0"/>
              <w:ind w:left="0" w:right="0" w:hanging="0"/>
              <w:rPr/>
            </w:pPr>
            <w:r>
              <w:rPr/>
              <w:t> </w:t>
            </w:r>
          </w:p>
        </w:tc>
        <w:tc>
          <w:tcPr>
            <w:tcW w:w="1339" w:type="dxa"/>
            <w:tcBorders/>
            <w:shd w:fill="CCEEFF" w:val="clear"/>
            <w:vAlign w:val="center"/>
          </w:tcPr>
          <w:p>
            <w:pPr>
              <w:pStyle w:val="TableContents"/>
              <w:spacing w:before="0" w:after="283"/>
              <w:jc w:val="right"/>
              <w:rPr/>
            </w:pPr>
            <w:r>
              <w:rPr/>
              <w:t>9,880,062</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1" w:type="dxa"/>
            <w:tcBorders/>
            <w:shd w:fill="CCEEFF" w:val="clear"/>
            <w:vAlign w:val="center"/>
          </w:tcPr>
          <w:p>
            <w:pPr>
              <w:pStyle w:val="TableContents"/>
              <w:spacing w:before="0" w:after="0"/>
              <w:ind w:left="0" w:right="0" w:hanging="0"/>
              <w:rPr/>
            </w:pPr>
            <w:r>
              <w:rPr/>
              <w:t> </w:t>
            </w:r>
          </w:p>
        </w:tc>
        <w:tc>
          <w:tcPr>
            <w:tcW w:w="1339" w:type="dxa"/>
            <w:tcBorders/>
            <w:shd w:fill="CCEEFF" w:val="clear"/>
            <w:vAlign w:val="center"/>
          </w:tcPr>
          <w:p>
            <w:pPr>
              <w:pStyle w:val="TableContents"/>
              <w:spacing w:before="0" w:after="283"/>
              <w:jc w:val="right"/>
              <w:rPr/>
            </w:pPr>
            <w:r>
              <w:rPr/>
              <w:t>4,768,870</w:t>
            </w:r>
          </w:p>
        </w:tc>
        <w:tc>
          <w:tcPr>
            <w:tcW w:w="173" w:type="dxa"/>
            <w:tcBorders/>
            <w:shd w:fill="CCEEFF" w:val="clear"/>
            <w:vAlign w:val="center"/>
          </w:tcPr>
          <w:p>
            <w:pPr>
              <w:pStyle w:val="TableContents"/>
              <w:spacing w:before="0" w:after="0"/>
              <w:ind w:left="0" w:right="0" w:hanging="0"/>
              <w:rPr/>
            </w:pPr>
            <w:r>
              <w:rPr/>
              <w:t> </w:t>
            </w:r>
          </w:p>
        </w:tc>
      </w:tr>
      <w:tr>
        <w:trPr/>
        <w:tc>
          <w:tcPr>
            <w:tcW w:w="6687" w:type="dxa"/>
            <w:tcBorders/>
            <w:shd w:fill="FFFFFF" w:val="clear"/>
            <w:vAlign w:val="center"/>
          </w:tcPr>
          <w:p>
            <w:pPr>
              <w:pStyle w:val="TableContents"/>
              <w:spacing w:before="0" w:after="0"/>
              <w:ind w:left="0" w:right="0" w:firstLine="200"/>
              <w:rPr/>
            </w:pPr>
            <w:r>
              <w:rPr/>
              <w:t xml:space="preserve">Retained earnings </w:t>
            </w:r>
          </w:p>
        </w:tc>
        <w:tc>
          <w:tcPr>
            <w:tcW w:w="90" w:type="dxa"/>
            <w:tcBorders/>
            <w:shd w:fill="FFFFFF" w:val="clear"/>
            <w:vAlign w:val="center"/>
          </w:tcPr>
          <w:p>
            <w:pPr>
              <w:pStyle w:val="TableContents"/>
              <w:spacing w:before="0" w:after="0"/>
              <w:ind w:left="0" w:right="0" w:hanging="0"/>
              <w:rPr/>
            </w:pPr>
            <w:r>
              <w:rPr/>
              <w:t> </w:t>
            </w:r>
          </w:p>
        </w:tc>
        <w:tc>
          <w:tcPr>
            <w:tcW w:w="181"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339" w:type="dxa"/>
            <w:tcBorders>
              <w:bottom w:val="single" w:sz="2" w:space="0" w:color="000000"/>
            </w:tcBorders>
            <w:shd w:fill="FFFFFF" w:val="clear"/>
            <w:tcMar>
              <w:bottom w:w="28" w:type="dxa"/>
            </w:tcMar>
            <w:vAlign w:val="center"/>
          </w:tcPr>
          <w:p>
            <w:pPr>
              <w:pStyle w:val="TableContents"/>
              <w:spacing w:before="0" w:after="283"/>
              <w:jc w:val="right"/>
              <w:rPr/>
            </w:pPr>
            <w:r>
              <w:rPr/>
              <w:t>15,928,345</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1"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339" w:type="dxa"/>
            <w:tcBorders>
              <w:bottom w:val="single" w:sz="2" w:space="0" w:color="000000"/>
            </w:tcBorders>
            <w:shd w:fill="FFFFFF" w:val="clear"/>
            <w:tcMar>
              <w:bottom w:w="28" w:type="dxa"/>
            </w:tcMar>
            <w:vAlign w:val="center"/>
          </w:tcPr>
          <w:p>
            <w:pPr>
              <w:pStyle w:val="TableContents"/>
              <w:spacing w:before="0" w:after="283"/>
              <w:jc w:val="right"/>
              <w:rPr/>
            </w:pPr>
            <w:r>
              <w:rPr/>
              <w:t>16,913,097</w:t>
            </w:r>
          </w:p>
        </w:tc>
        <w:tc>
          <w:tcPr>
            <w:tcW w:w="173" w:type="dxa"/>
            <w:tcBorders/>
            <w:shd w:fill="FFFFFF" w:val="clear"/>
            <w:vAlign w:val="center"/>
          </w:tcPr>
          <w:p>
            <w:pPr>
              <w:pStyle w:val="TableContents"/>
              <w:spacing w:before="0" w:after="0"/>
              <w:ind w:left="0" w:right="0" w:hanging="0"/>
              <w:rPr/>
            </w:pPr>
            <w:r>
              <w:rPr/>
              <w:t> </w:t>
            </w:r>
          </w:p>
        </w:tc>
      </w:tr>
      <w:tr>
        <w:trPr/>
        <w:tc>
          <w:tcPr>
            <w:tcW w:w="6687"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1" w:type="dxa"/>
            <w:tcBorders/>
            <w:shd w:fill="CCEEFF" w:val="clear"/>
            <w:vAlign w:val="center"/>
          </w:tcPr>
          <w:p>
            <w:pPr>
              <w:pStyle w:val="TableContents"/>
              <w:spacing w:before="0" w:after="0"/>
              <w:ind w:left="0" w:right="0" w:hanging="0"/>
              <w:rPr/>
            </w:pPr>
            <w:r>
              <w:rPr/>
              <w:t> </w:t>
            </w:r>
          </w:p>
        </w:tc>
        <w:tc>
          <w:tcPr>
            <w:tcW w:w="1339" w:type="dxa"/>
            <w:tcBorders/>
            <w:shd w:fill="CCEEFF" w:val="clear"/>
            <w:vAlign w:val="center"/>
          </w:tcPr>
          <w:p>
            <w:pPr>
              <w:pStyle w:val="TableContents"/>
              <w:spacing w:before="0" w:after="283"/>
              <w:jc w:val="right"/>
              <w:rPr/>
            </w:pPr>
            <w:r>
              <w:rPr/>
              <w:t>96,696,285</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1" w:type="dxa"/>
            <w:tcBorders/>
            <w:shd w:fill="CCEEFF" w:val="clear"/>
            <w:vAlign w:val="center"/>
          </w:tcPr>
          <w:p>
            <w:pPr>
              <w:pStyle w:val="TableContents"/>
              <w:spacing w:before="0" w:after="0"/>
              <w:ind w:left="0" w:right="0" w:hanging="0"/>
              <w:rPr/>
            </w:pPr>
            <w:r>
              <w:rPr/>
              <w:t> </w:t>
            </w:r>
          </w:p>
        </w:tc>
        <w:tc>
          <w:tcPr>
            <w:tcW w:w="1339" w:type="dxa"/>
            <w:tcBorders/>
            <w:shd w:fill="CCEEFF" w:val="clear"/>
            <w:vAlign w:val="center"/>
          </w:tcPr>
          <w:p>
            <w:pPr>
              <w:pStyle w:val="TableContents"/>
              <w:spacing w:before="0" w:after="283"/>
              <w:jc w:val="right"/>
              <w:rPr/>
            </w:pPr>
            <w:r>
              <w:rPr/>
              <w:t>90,934,133</w:t>
            </w:r>
          </w:p>
        </w:tc>
        <w:tc>
          <w:tcPr>
            <w:tcW w:w="173" w:type="dxa"/>
            <w:tcBorders/>
            <w:shd w:fill="CCEEFF" w:val="clear"/>
            <w:vAlign w:val="center"/>
          </w:tcPr>
          <w:p>
            <w:pPr>
              <w:pStyle w:val="TableContents"/>
              <w:spacing w:before="0" w:after="0"/>
              <w:ind w:left="0" w:right="0" w:hanging="0"/>
              <w:rPr/>
            </w:pPr>
            <w:r>
              <w:rPr/>
              <w:t> </w:t>
            </w:r>
          </w:p>
        </w:tc>
      </w:tr>
      <w:tr>
        <w:trPr/>
        <w:tc>
          <w:tcPr>
            <w:tcW w:w="6687" w:type="dxa"/>
            <w:tcBorders/>
            <w:shd w:fill="FFFFFF" w:val="clear"/>
            <w:vAlign w:val="center"/>
          </w:tcPr>
          <w:p>
            <w:pPr>
              <w:pStyle w:val="TableContents"/>
              <w:spacing w:before="0" w:after="0"/>
              <w:ind w:left="0" w:right="0" w:firstLine="200"/>
              <w:rPr/>
            </w:pPr>
            <w:r>
              <w:rPr/>
              <w:t xml:space="preserve">Treasury stock, at cost, 1,254,492 shares at December 31, 2020 </w:t>
            </w:r>
          </w:p>
        </w:tc>
        <w:tc>
          <w:tcPr>
            <w:tcW w:w="90" w:type="dxa"/>
            <w:tcBorders/>
            <w:shd w:fill="FFFFFF" w:val="clear"/>
            <w:vAlign w:val="center"/>
          </w:tcPr>
          <w:p>
            <w:pPr>
              <w:pStyle w:val="TableContents"/>
              <w:spacing w:before="0" w:after="0"/>
              <w:ind w:left="0" w:right="0" w:hanging="0"/>
              <w:rPr/>
            </w:pPr>
            <w:r>
              <w:rPr/>
              <w:t> </w:t>
            </w:r>
          </w:p>
        </w:tc>
        <w:tc>
          <w:tcPr>
            <w:tcW w:w="181" w:type="dxa"/>
            <w:tcBorders/>
            <w:shd w:fill="FFFFFF" w:val="clear"/>
            <w:vAlign w:val="center"/>
          </w:tcPr>
          <w:p>
            <w:pPr>
              <w:pStyle w:val="TableContents"/>
              <w:spacing w:before="0" w:after="0"/>
              <w:ind w:left="0" w:right="0" w:hanging="0"/>
              <w:rPr/>
            </w:pPr>
            <w:r>
              <w:rPr/>
              <w:t> </w:t>
            </w:r>
          </w:p>
        </w:tc>
        <w:tc>
          <w:tcPr>
            <w:tcW w:w="1339"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1" w:type="dxa"/>
            <w:tcBorders/>
            <w:shd w:fill="FFFFFF" w:val="clear"/>
            <w:vAlign w:val="center"/>
          </w:tcPr>
          <w:p>
            <w:pPr>
              <w:pStyle w:val="TableContents"/>
              <w:spacing w:before="0" w:after="0"/>
              <w:ind w:left="0" w:right="0" w:hanging="0"/>
              <w:rPr/>
            </w:pPr>
            <w:r>
              <w:rPr/>
              <w:t> </w:t>
            </w:r>
          </w:p>
        </w:tc>
        <w:tc>
          <w:tcPr>
            <w:tcW w:w="1339" w:type="dxa"/>
            <w:tcBorders/>
            <w:shd w:fill="FFFFFF" w:val="clear"/>
            <w:vAlign w:val="center"/>
          </w:tcPr>
          <w:p>
            <w:pPr>
              <w:pStyle w:val="TableContents"/>
              <w:spacing w:before="0" w:after="0"/>
              <w:ind w:left="0" w:right="0" w:hanging="0"/>
              <w:rPr/>
            </w:pPr>
            <w:r>
              <w:rPr/>
              <w:t> </w:t>
            </w:r>
          </w:p>
        </w:tc>
        <w:tc>
          <w:tcPr>
            <w:tcW w:w="173" w:type="dxa"/>
            <w:tcBorders/>
            <w:shd w:fill="FFFFFF" w:val="clear"/>
            <w:vAlign w:val="center"/>
          </w:tcPr>
          <w:p>
            <w:pPr>
              <w:pStyle w:val="TableContents"/>
              <w:spacing w:before="0" w:after="0"/>
              <w:ind w:left="0" w:right="0" w:hanging="0"/>
              <w:rPr/>
            </w:pPr>
            <w:r>
              <w:rPr/>
              <w:t> </w:t>
            </w:r>
          </w:p>
        </w:tc>
      </w:tr>
      <w:tr>
        <w:trPr/>
        <w:tc>
          <w:tcPr>
            <w:tcW w:w="6687" w:type="dxa"/>
            <w:tcBorders/>
            <w:shd w:fill="CCEEFF" w:val="clear"/>
            <w:vAlign w:val="center"/>
          </w:tcPr>
          <w:p>
            <w:pPr>
              <w:pStyle w:val="TableContents"/>
              <w:spacing w:before="0" w:after="0"/>
              <w:ind w:left="0" w:right="0" w:firstLine="400"/>
              <w:rPr/>
            </w:pPr>
            <w:r>
              <w:rPr/>
              <w:t xml:space="preserve">and 1,027,439 shares at December 31, 2019 </w:t>
            </w:r>
          </w:p>
        </w:tc>
        <w:tc>
          <w:tcPr>
            <w:tcW w:w="90" w:type="dxa"/>
            <w:tcBorders/>
            <w:shd w:fill="CCEEFF" w:val="clear"/>
            <w:vAlign w:val="center"/>
          </w:tcPr>
          <w:p>
            <w:pPr>
              <w:pStyle w:val="TableContents"/>
              <w:spacing w:before="0" w:after="0"/>
              <w:ind w:left="0" w:right="0" w:hanging="0"/>
              <w:rPr/>
            </w:pPr>
            <w:r>
              <w:rPr/>
              <w:t> </w:t>
            </w:r>
          </w:p>
        </w:tc>
        <w:tc>
          <w:tcPr>
            <w:tcW w:w="18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339" w:type="dxa"/>
            <w:tcBorders>
              <w:bottom w:val="single" w:sz="2" w:space="0" w:color="000000"/>
            </w:tcBorders>
            <w:shd w:fill="CCEEFF" w:val="clear"/>
            <w:tcMar>
              <w:bottom w:w="28" w:type="dxa"/>
            </w:tcMar>
            <w:vAlign w:val="center"/>
          </w:tcPr>
          <w:p>
            <w:pPr>
              <w:pStyle w:val="TableContents"/>
              <w:spacing w:before="0" w:after="283"/>
              <w:jc w:val="right"/>
              <w:rPr/>
            </w:pPr>
            <w:r>
              <w:rPr/>
              <w:t>(3,895,883</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8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339" w:type="dxa"/>
            <w:tcBorders>
              <w:bottom w:val="single" w:sz="2" w:space="0" w:color="000000"/>
            </w:tcBorders>
            <w:shd w:fill="CCEEFF" w:val="clear"/>
            <w:tcMar>
              <w:bottom w:w="28" w:type="dxa"/>
            </w:tcMar>
            <w:vAlign w:val="center"/>
          </w:tcPr>
          <w:p>
            <w:pPr>
              <w:pStyle w:val="TableContents"/>
              <w:spacing w:before="0" w:after="283"/>
              <w:jc w:val="right"/>
              <w:rPr/>
            </w:pPr>
            <w:r>
              <w:rPr/>
              <w:t>(2,712,552</w:t>
            </w:r>
          </w:p>
        </w:tc>
        <w:tc>
          <w:tcPr>
            <w:tcW w:w="173" w:type="dxa"/>
            <w:tcBorders/>
            <w:shd w:fill="CCEEFF" w:val="clear"/>
            <w:vAlign w:val="center"/>
          </w:tcPr>
          <w:p>
            <w:pPr>
              <w:pStyle w:val="TableContents"/>
              <w:spacing w:before="0" w:after="283"/>
              <w:rPr/>
            </w:pPr>
            <w:r>
              <w:rPr/>
              <w:t>)</w:t>
            </w:r>
          </w:p>
        </w:tc>
      </w:tr>
      <w:tr>
        <w:trPr/>
        <w:tc>
          <w:tcPr>
            <w:tcW w:w="6687" w:type="dxa"/>
            <w:tcBorders/>
            <w:shd w:fill="FFFFFF" w:val="clear"/>
            <w:vAlign w:val="center"/>
          </w:tcPr>
          <w:p>
            <w:pPr>
              <w:pStyle w:val="TableContents"/>
              <w:spacing w:before="0" w:after="0"/>
              <w:ind w:left="0" w:right="0" w:hanging="0"/>
              <w:rPr/>
            </w:pPr>
            <w:r>
              <w:rPr>
                <w:rStyle w:val="StrongEmphasis"/>
              </w:rPr>
              <w:t xml:space="preserve">Total stockholders' equity </w:t>
            </w:r>
          </w:p>
        </w:tc>
        <w:tc>
          <w:tcPr>
            <w:tcW w:w="90" w:type="dxa"/>
            <w:tcBorders/>
            <w:shd w:fill="FFFFFF" w:val="clear"/>
            <w:vAlign w:val="center"/>
          </w:tcPr>
          <w:p>
            <w:pPr>
              <w:pStyle w:val="TableContents"/>
              <w:spacing w:before="0" w:after="0"/>
              <w:ind w:left="0" w:right="0" w:hanging="0"/>
              <w:rPr/>
            </w:pPr>
            <w:r>
              <w:rPr/>
              <w:t> </w:t>
            </w:r>
          </w:p>
        </w:tc>
        <w:tc>
          <w:tcPr>
            <w:tcW w:w="181"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339" w:type="dxa"/>
            <w:tcBorders>
              <w:bottom w:val="single" w:sz="2" w:space="0" w:color="000000"/>
            </w:tcBorders>
            <w:shd w:fill="FFFFFF" w:val="clear"/>
            <w:tcMar>
              <w:bottom w:w="28" w:type="dxa"/>
            </w:tcMar>
            <w:vAlign w:val="center"/>
          </w:tcPr>
          <w:p>
            <w:pPr>
              <w:pStyle w:val="TableContents"/>
              <w:spacing w:before="0" w:after="283"/>
              <w:jc w:val="right"/>
              <w:rPr/>
            </w:pPr>
            <w:r>
              <w:rPr/>
              <w:t>92,800,402</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1"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339" w:type="dxa"/>
            <w:tcBorders>
              <w:bottom w:val="single" w:sz="2" w:space="0" w:color="000000"/>
            </w:tcBorders>
            <w:shd w:fill="FFFFFF" w:val="clear"/>
            <w:tcMar>
              <w:bottom w:w="28" w:type="dxa"/>
            </w:tcMar>
            <w:vAlign w:val="center"/>
          </w:tcPr>
          <w:p>
            <w:pPr>
              <w:pStyle w:val="TableContents"/>
              <w:spacing w:before="0" w:after="283"/>
              <w:jc w:val="right"/>
              <w:rPr/>
            </w:pPr>
            <w:r>
              <w:rPr/>
              <w:t>88,221,581</w:t>
            </w:r>
          </w:p>
        </w:tc>
        <w:tc>
          <w:tcPr>
            <w:tcW w:w="173" w:type="dxa"/>
            <w:tcBorders/>
            <w:shd w:fill="FFFFFF" w:val="clear"/>
            <w:vAlign w:val="center"/>
          </w:tcPr>
          <w:p>
            <w:pPr>
              <w:pStyle w:val="TableContents"/>
              <w:spacing w:before="0" w:after="0"/>
              <w:ind w:left="0" w:right="0" w:hanging="0"/>
              <w:rPr/>
            </w:pPr>
            <w:r>
              <w:rPr/>
              <w:t> </w:t>
            </w:r>
          </w:p>
        </w:tc>
      </w:tr>
      <w:tr>
        <w:trPr/>
        <w:tc>
          <w:tcPr>
            <w:tcW w:w="6687"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1" w:type="dxa"/>
            <w:tcBorders/>
            <w:shd w:fill="CCEEFF" w:val="clear"/>
            <w:vAlign w:val="center"/>
          </w:tcPr>
          <w:p>
            <w:pPr>
              <w:pStyle w:val="TableContents"/>
              <w:spacing w:before="0" w:after="0"/>
              <w:ind w:left="0" w:right="0" w:hanging="0"/>
              <w:rPr/>
            </w:pPr>
            <w:r>
              <w:rPr/>
              <w:t> </w:t>
            </w:r>
          </w:p>
        </w:tc>
        <w:tc>
          <w:tcPr>
            <w:tcW w:w="1339"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1" w:type="dxa"/>
            <w:tcBorders/>
            <w:shd w:fill="CCEEFF" w:val="clear"/>
            <w:vAlign w:val="center"/>
          </w:tcPr>
          <w:p>
            <w:pPr>
              <w:pStyle w:val="TableContents"/>
              <w:spacing w:before="0" w:after="0"/>
              <w:ind w:left="0" w:right="0" w:hanging="0"/>
              <w:rPr/>
            </w:pPr>
            <w:r>
              <w:rPr/>
              <w:t> </w:t>
            </w:r>
          </w:p>
        </w:tc>
        <w:tc>
          <w:tcPr>
            <w:tcW w:w="1339" w:type="dxa"/>
            <w:tcBorders/>
            <w:shd w:fill="CCEEFF" w:val="clear"/>
            <w:vAlign w:val="center"/>
          </w:tcPr>
          <w:p>
            <w:pPr>
              <w:pStyle w:val="TableContents"/>
              <w:spacing w:before="0" w:after="0"/>
              <w:ind w:left="0" w:right="0" w:hanging="0"/>
              <w:rPr/>
            </w:pPr>
            <w:r>
              <w:rPr/>
              <w:t> </w:t>
            </w:r>
          </w:p>
        </w:tc>
        <w:tc>
          <w:tcPr>
            <w:tcW w:w="173" w:type="dxa"/>
            <w:tcBorders/>
            <w:shd w:fill="CCEEFF" w:val="clear"/>
            <w:vAlign w:val="center"/>
          </w:tcPr>
          <w:p>
            <w:pPr>
              <w:pStyle w:val="TableContents"/>
              <w:spacing w:before="0" w:after="0"/>
              <w:ind w:left="0" w:right="0" w:hanging="0"/>
              <w:rPr/>
            </w:pPr>
            <w:r>
              <w:rPr/>
              <w:t> </w:t>
            </w:r>
          </w:p>
        </w:tc>
      </w:tr>
      <w:tr>
        <w:trPr/>
        <w:tc>
          <w:tcPr>
            <w:tcW w:w="6687" w:type="dxa"/>
            <w:tcBorders/>
            <w:shd w:fill="FFFFFF" w:val="clear"/>
            <w:vAlign w:val="center"/>
          </w:tcPr>
          <w:p>
            <w:pPr>
              <w:pStyle w:val="TableContents"/>
              <w:spacing w:before="0" w:after="0"/>
              <w:ind w:left="0" w:right="0" w:hanging="0"/>
              <w:rPr/>
            </w:pPr>
            <w:r>
              <w:rPr>
                <w:rStyle w:val="StrongEmphasis"/>
              </w:rPr>
              <w:t xml:space="preserve">Total liabilities and stockholders' equity </w:t>
            </w:r>
          </w:p>
        </w:tc>
        <w:tc>
          <w:tcPr>
            <w:tcW w:w="90" w:type="dxa"/>
            <w:tcBorders/>
            <w:shd w:fill="FFFFFF" w:val="clear"/>
            <w:vAlign w:val="center"/>
          </w:tcPr>
          <w:p>
            <w:pPr>
              <w:pStyle w:val="TableContents"/>
              <w:spacing w:before="0" w:after="0"/>
              <w:ind w:left="0" w:right="0" w:hanging="0"/>
              <w:rPr/>
            </w:pPr>
            <w:r>
              <w:rPr/>
              <w:t> </w:t>
            </w:r>
          </w:p>
        </w:tc>
        <w:tc>
          <w:tcPr>
            <w:tcW w:w="181" w:type="dxa"/>
            <w:tcBorders>
              <w:bottom w:val="double" w:sz="6" w:space="0" w:color="000000"/>
            </w:tcBorders>
            <w:shd w:fill="FFFFFF" w:val="clear"/>
            <w:tcMar>
              <w:bottom w:w="28" w:type="dxa"/>
            </w:tcMar>
            <w:vAlign w:val="center"/>
          </w:tcPr>
          <w:p>
            <w:pPr>
              <w:pStyle w:val="TableContents"/>
              <w:spacing w:before="0" w:after="283"/>
              <w:rPr/>
            </w:pPr>
            <w:r>
              <w:rPr/>
              <w:t>$</w:t>
            </w:r>
          </w:p>
        </w:tc>
        <w:tc>
          <w:tcPr>
            <w:tcW w:w="1339" w:type="dxa"/>
            <w:tcBorders>
              <w:bottom w:val="double" w:sz="6" w:space="0" w:color="000000"/>
            </w:tcBorders>
            <w:shd w:fill="FFFFFF" w:val="clear"/>
            <w:tcMar>
              <w:bottom w:w="28" w:type="dxa"/>
            </w:tcMar>
            <w:vAlign w:val="center"/>
          </w:tcPr>
          <w:p>
            <w:pPr>
              <w:pStyle w:val="TableContents"/>
              <w:spacing w:before="0" w:after="283"/>
              <w:jc w:val="right"/>
              <w:rPr/>
            </w:pPr>
            <w:r>
              <w:rPr/>
              <w:t>317,582,267</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1" w:type="dxa"/>
            <w:tcBorders>
              <w:bottom w:val="double" w:sz="6" w:space="0" w:color="000000"/>
            </w:tcBorders>
            <w:shd w:fill="FFFFFF" w:val="clear"/>
            <w:tcMar>
              <w:bottom w:w="28" w:type="dxa"/>
            </w:tcMar>
            <w:vAlign w:val="center"/>
          </w:tcPr>
          <w:p>
            <w:pPr>
              <w:pStyle w:val="TableContents"/>
              <w:spacing w:before="0" w:after="283"/>
              <w:rPr/>
            </w:pPr>
            <w:r>
              <w:rPr/>
              <w:t>$</w:t>
            </w:r>
          </w:p>
        </w:tc>
        <w:tc>
          <w:tcPr>
            <w:tcW w:w="1339" w:type="dxa"/>
            <w:tcBorders>
              <w:bottom w:val="double" w:sz="6" w:space="0" w:color="000000"/>
            </w:tcBorders>
            <w:shd w:fill="FFFFFF" w:val="clear"/>
            <w:tcMar>
              <w:bottom w:w="28" w:type="dxa"/>
            </w:tcMar>
            <w:vAlign w:val="center"/>
          </w:tcPr>
          <w:p>
            <w:pPr>
              <w:pStyle w:val="TableContents"/>
              <w:spacing w:before="0" w:after="283"/>
              <w:jc w:val="right"/>
              <w:rPr/>
            </w:pPr>
            <w:r>
              <w:rPr/>
              <w:t>321,202,812</w:t>
            </w:r>
          </w:p>
        </w:tc>
        <w:tc>
          <w:tcPr>
            <w:tcW w:w="173" w:type="dxa"/>
            <w:tcBorders/>
            <w:shd w:fill="FFFF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tbl>
      <w:tblPr>
        <w:tblW w:w="6485" w:type="dxa"/>
        <w:jc w:val="left"/>
        <w:tblInd w:w="0" w:type="dxa"/>
        <w:tblCellMar>
          <w:top w:w="28" w:type="dxa"/>
          <w:left w:w="0" w:type="dxa"/>
          <w:bottom w:w="0" w:type="dxa"/>
          <w:right w:w="0" w:type="dxa"/>
        </w:tblCellMar>
      </w:tblPr>
      <w:tblGrid>
        <w:gridCol w:w="6485"/>
      </w:tblGrid>
      <w:tr>
        <w:trPr/>
        <w:tc>
          <w:tcPr>
            <w:tcW w:w="6485" w:type="dxa"/>
            <w:tcBorders>
              <w:top w:val="single" w:sz="2" w:space="0" w:color="000000"/>
            </w:tcBorders>
            <w:shd w:fill="auto" w:val="clear"/>
            <w:vAlign w:val="center"/>
          </w:tcPr>
          <w:p>
            <w:pPr>
              <w:pStyle w:val="TableContents"/>
              <w:spacing w:before="0" w:after="0"/>
              <w:ind w:left="0" w:right="0" w:hanging="0"/>
              <w:rPr/>
            </w:pPr>
            <w:r>
              <w:rPr>
                <w:rStyle w:val="Emphasis"/>
              </w:rPr>
              <w:t>See accompanying notes to these consolidated financial statements.</w:t>
            </w:r>
          </w:p>
        </w:tc>
      </w:tr>
    </w:tbl>
    <w:p>
      <w:pPr>
        <w:pStyle w:val="TextBody"/>
        <w:spacing w:before="0" w:after="0"/>
        <w:ind w:left="0" w:right="0" w:hanging="0"/>
        <w:jc w:val="both"/>
        <w:rPr/>
      </w:pPr>
      <w:r>
        <w:rPr>
          <w:rStyle w:val="Emphasis"/>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F-4</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jc w:val="both"/>
        <w:rPr/>
      </w:pPr>
      <w:r>
        <w:rPr/>
        <w:t> </w:t>
      </w:r>
    </w:p>
    <w:tbl>
      <w:tblPr>
        <w:tblW w:w="8240" w:type="dxa"/>
        <w:jc w:val="left"/>
        <w:tblInd w:w="0" w:type="dxa"/>
        <w:tblCellMar>
          <w:top w:w="0" w:type="dxa"/>
          <w:left w:w="0" w:type="dxa"/>
          <w:bottom w:w="0" w:type="dxa"/>
          <w:right w:w="0" w:type="dxa"/>
        </w:tblCellMar>
      </w:tblPr>
      <w:tblGrid>
        <w:gridCol w:w="4925"/>
        <w:gridCol w:w="90"/>
        <w:gridCol w:w="170"/>
        <w:gridCol w:w="1250"/>
        <w:gridCol w:w="125"/>
        <w:gridCol w:w="90"/>
        <w:gridCol w:w="170"/>
        <w:gridCol w:w="1250"/>
        <w:gridCol w:w="170"/>
      </w:tblGrid>
      <w:tr>
        <w:trPr/>
        <w:tc>
          <w:tcPr>
            <w:tcW w:w="8240" w:type="dxa"/>
            <w:gridSpan w:val="9"/>
            <w:tcBorders/>
            <w:shd w:fill="auto" w:val="clear"/>
            <w:vAlign w:val="center"/>
          </w:tcPr>
          <w:p>
            <w:pPr>
              <w:pStyle w:val="TableContents"/>
              <w:spacing w:before="0" w:after="0"/>
              <w:ind w:left="0" w:right="0" w:hanging="0"/>
              <w:jc w:val="right"/>
              <w:rPr/>
            </w:pPr>
            <w:r>
              <w:rPr>
                <w:rStyle w:val="StrongEmphasis"/>
              </w:rPr>
              <w:t xml:space="preserve">KINGSTONE COMPANIES, INC. AND SUBSIDIARIES </w:t>
            </w:r>
          </w:p>
        </w:tc>
      </w:tr>
      <w:tr>
        <w:trPr/>
        <w:tc>
          <w:tcPr>
            <w:tcW w:w="49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0"/>
              <w:ind w:left="0" w:right="0" w:hanging="0"/>
              <w:rPr/>
            </w:pPr>
            <w:r>
              <w:rPr/>
              <w:t> </w:t>
            </w:r>
          </w:p>
        </w:tc>
      </w:tr>
      <w:tr>
        <w:trPr/>
        <w:tc>
          <w:tcPr>
            <w:tcW w:w="8240" w:type="dxa"/>
            <w:gridSpan w:val="9"/>
            <w:tcBorders>
              <w:bottom w:val="single" w:sz="2" w:space="0" w:color="000000"/>
            </w:tcBorders>
            <w:shd w:fill="auto" w:val="clear"/>
            <w:tcMar>
              <w:bottom w:w="28" w:type="dxa"/>
            </w:tcMar>
            <w:vAlign w:val="center"/>
          </w:tcPr>
          <w:p>
            <w:pPr>
              <w:pStyle w:val="TableContents"/>
              <w:spacing w:before="0" w:after="0"/>
              <w:ind w:left="0" w:right="0" w:hanging="0"/>
              <w:rPr/>
            </w:pPr>
            <w:bookmarkStart w:id="25" w:name="SO"/>
            <w:bookmarkEnd w:id="25"/>
            <w:r>
              <w:rPr>
                <w:rStyle w:val="StrongEmphasis"/>
              </w:rPr>
              <w:t>Consolidated Statements of Operations and Comprehensive Income</w:t>
            </w:r>
          </w:p>
        </w:tc>
      </w:tr>
      <w:tr>
        <w:trPr/>
        <w:tc>
          <w:tcPr>
            <w:tcW w:w="4925"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Emphasis"/>
              </w:rPr>
              <w:t>Years ended December 31,</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2020</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2019</w:t>
            </w:r>
          </w:p>
        </w:tc>
        <w:tc>
          <w:tcPr>
            <w:tcW w:w="170" w:type="dxa"/>
            <w:tcBorders/>
            <w:shd w:fill="auto" w:val="clear"/>
            <w:vAlign w:val="center"/>
          </w:tcPr>
          <w:p>
            <w:pPr>
              <w:pStyle w:val="TableContents"/>
              <w:spacing w:before="0" w:after="0"/>
              <w:ind w:left="0" w:right="0" w:hanging="0"/>
              <w:rPr/>
            </w:pPr>
            <w:r>
              <w:rPr/>
              <w:t> </w:t>
            </w:r>
          </w:p>
        </w:tc>
      </w:tr>
      <w:tr>
        <w:trPr/>
        <w:tc>
          <w:tcPr>
            <w:tcW w:w="49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r>
      <w:tr>
        <w:trPr/>
        <w:tc>
          <w:tcPr>
            <w:tcW w:w="4925" w:type="dxa"/>
            <w:tcBorders/>
            <w:shd w:fill="auto" w:val="clear"/>
            <w:vAlign w:val="center"/>
          </w:tcPr>
          <w:p>
            <w:pPr>
              <w:pStyle w:val="TableContents"/>
              <w:spacing w:before="0" w:after="0"/>
              <w:ind w:left="0" w:right="0" w:hanging="0"/>
              <w:rPr/>
            </w:pPr>
            <w:r>
              <w:rPr>
                <w:rStyle w:val="StrongEmphasis"/>
              </w:rPr>
              <w:t xml:space="preserve">Revenues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r>
      <w:tr>
        <w:trPr/>
        <w:tc>
          <w:tcPr>
            <w:tcW w:w="4925" w:type="dxa"/>
            <w:tcBorders/>
            <w:shd w:fill="CCEEFF" w:val="clear"/>
            <w:vAlign w:val="center"/>
          </w:tcPr>
          <w:p>
            <w:pPr>
              <w:pStyle w:val="TableContents"/>
              <w:spacing w:before="0" w:after="0"/>
              <w:ind w:left="0" w:right="0" w:firstLine="200"/>
              <w:rPr/>
            </w:pPr>
            <w:r>
              <w:rPr/>
              <w:t xml:space="preserve">Net premiums earned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108,080,629</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127,623,442</w:t>
            </w:r>
          </w:p>
        </w:tc>
        <w:tc>
          <w:tcPr>
            <w:tcW w:w="170" w:type="dxa"/>
            <w:tcBorders/>
            <w:shd w:fill="CCEEFF" w:val="clear"/>
            <w:vAlign w:val="center"/>
          </w:tcPr>
          <w:p>
            <w:pPr>
              <w:pStyle w:val="TableContents"/>
              <w:spacing w:before="0" w:after="0"/>
              <w:ind w:left="0" w:right="0" w:hanging="0"/>
              <w:rPr/>
            </w:pPr>
            <w:r>
              <w:rPr/>
              <w:t> </w:t>
            </w:r>
          </w:p>
        </w:tc>
      </w:tr>
      <w:tr>
        <w:trPr/>
        <w:tc>
          <w:tcPr>
            <w:tcW w:w="4925" w:type="dxa"/>
            <w:tcBorders/>
            <w:shd w:fill="FFFFFF" w:val="clear"/>
            <w:vAlign w:val="center"/>
          </w:tcPr>
          <w:p>
            <w:pPr>
              <w:pStyle w:val="TableContents"/>
              <w:spacing w:before="0" w:after="0"/>
              <w:ind w:left="0" w:right="0" w:firstLine="200"/>
              <w:rPr/>
            </w:pPr>
            <w:r>
              <w:rPr/>
              <w:t xml:space="preserve">Ceding commission revenue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14,202,353</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4,650,851</w:t>
            </w:r>
          </w:p>
        </w:tc>
        <w:tc>
          <w:tcPr>
            <w:tcW w:w="170" w:type="dxa"/>
            <w:tcBorders/>
            <w:shd w:fill="FFFFFF" w:val="clear"/>
            <w:vAlign w:val="center"/>
          </w:tcPr>
          <w:p>
            <w:pPr>
              <w:pStyle w:val="TableContents"/>
              <w:spacing w:before="0" w:after="0"/>
              <w:ind w:left="0" w:right="0" w:hanging="0"/>
              <w:rPr/>
            </w:pPr>
            <w:r>
              <w:rPr/>
              <w:t> </w:t>
            </w:r>
          </w:p>
        </w:tc>
      </w:tr>
      <w:tr>
        <w:trPr/>
        <w:tc>
          <w:tcPr>
            <w:tcW w:w="4925" w:type="dxa"/>
            <w:tcBorders/>
            <w:shd w:fill="CCEEFF" w:val="clear"/>
            <w:vAlign w:val="center"/>
          </w:tcPr>
          <w:p>
            <w:pPr>
              <w:pStyle w:val="TableContents"/>
              <w:spacing w:before="0" w:after="0"/>
              <w:ind w:left="0" w:right="0" w:firstLine="200"/>
              <w:rPr/>
            </w:pPr>
            <w:r>
              <w:rPr/>
              <w:t xml:space="preserve">Net investment income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6,505,603</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6,869,346</w:t>
            </w:r>
          </w:p>
        </w:tc>
        <w:tc>
          <w:tcPr>
            <w:tcW w:w="170" w:type="dxa"/>
            <w:tcBorders/>
            <w:shd w:fill="CCEEFF" w:val="clear"/>
            <w:vAlign w:val="center"/>
          </w:tcPr>
          <w:p>
            <w:pPr>
              <w:pStyle w:val="TableContents"/>
              <w:spacing w:before="0" w:after="0"/>
              <w:ind w:left="0" w:right="0" w:hanging="0"/>
              <w:rPr/>
            </w:pPr>
            <w:r>
              <w:rPr/>
              <w:t> </w:t>
            </w:r>
          </w:p>
        </w:tc>
      </w:tr>
      <w:tr>
        <w:trPr/>
        <w:tc>
          <w:tcPr>
            <w:tcW w:w="4925" w:type="dxa"/>
            <w:tcBorders/>
            <w:shd w:fill="FFFFFF" w:val="clear"/>
            <w:vAlign w:val="center"/>
          </w:tcPr>
          <w:p>
            <w:pPr>
              <w:pStyle w:val="TableContents"/>
              <w:spacing w:before="0" w:after="0"/>
              <w:ind w:left="0" w:right="0" w:firstLine="200"/>
              <w:rPr/>
            </w:pPr>
            <w:r>
              <w:rPr/>
              <w:t xml:space="preserve">Net gains on investments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1,590,616</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4,591,019</w:t>
            </w:r>
          </w:p>
        </w:tc>
        <w:tc>
          <w:tcPr>
            <w:tcW w:w="170" w:type="dxa"/>
            <w:tcBorders/>
            <w:shd w:fill="FFFFFF" w:val="clear"/>
            <w:vAlign w:val="center"/>
          </w:tcPr>
          <w:p>
            <w:pPr>
              <w:pStyle w:val="TableContents"/>
              <w:spacing w:before="0" w:after="0"/>
              <w:ind w:left="0" w:right="0" w:hanging="0"/>
              <w:rPr/>
            </w:pPr>
            <w:r>
              <w:rPr/>
              <w:t> </w:t>
            </w:r>
          </w:p>
        </w:tc>
      </w:tr>
      <w:tr>
        <w:trPr/>
        <w:tc>
          <w:tcPr>
            <w:tcW w:w="4925" w:type="dxa"/>
            <w:tcBorders/>
            <w:shd w:fill="CCEEFF" w:val="clear"/>
            <w:vAlign w:val="center"/>
          </w:tcPr>
          <w:p>
            <w:pPr>
              <w:pStyle w:val="TableContents"/>
              <w:spacing w:before="0" w:after="0"/>
              <w:ind w:left="0" w:right="0" w:firstLine="200"/>
              <w:rPr/>
            </w:pPr>
            <w:r>
              <w:rPr/>
              <w:t xml:space="preserve">Other income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990,550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1,385,308</w:t>
            </w:r>
          </w:p>
        </w:tc>
        <w:tc>
          <w:tcPr>
            <w:tcW w:w="170" w:type="dxa"/>
            <w:tcBorders/>
            <w:shd w:fill="CCEEFF" w:val="clear"/>
            <w:vAlign w:val="center"/>
          </w:tcPr>
          <w:p>
            <w:pPr>
              <w:pStyle w:val="TableContents"/>
              <w:spacing w:before="0" w:after="0"/>
              <w:ind w:left="0" w:right="0" w:hanging="0"/>
              <w:rPr/>
            </w:pPr>
            <w:r>
              <w:rPr/>
              <w:t> </w:t>
            </w:r>
          </w:p>
        </w:tc>
      </w:tr>
      <w:tr>
        <w:trPr/>
        <w:tc>
          <w:tcPr>
            <w:tcW w:w="4925" w:type="dxa"/>
            <w:tcBorders/>
            <w:shd w:fill="FFFFFF" w:val="clear"/>
            <w:vAlign w:val="center"/>
          </w:tcPr>
          <w:p>
            <w:pPr>
              <w:pStyle w:val="TableContents"/>
              <w:spacing w:before="0" w:after="0"/>
              <w:ind w:left="0" w:right="0" w:firstLine="400"/>
              <w:rPr/>
            </w:pPr>
            <w:r>
              <w:rPr/>
              <w:t xml:space="preserve">Total revenues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131,369,751</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145,119,966</w:t>
            </w:r>
          </w:p>
        </w:tc>
        <w:tc>
          <w:tcPr>
            <w:tcW w:w="170" w:type="dxa"/>
            <w:tcBorders/>
            <w:shd w:fill="FFFFFF" w:val="clear"/>
            <w:vAlign w:val="center"/>
          </w:tcPr>
          <w:p>
            <w:pPr>
              <w:pStyle w:val="TableContents"/>
              <w:spacing w:before="0" w:after="0"/>
              <w:ind w:left="0" w:right="0" w:hanging="0"/>
              <w:rPr/>
            </w:pPr>
            <w:r>
              <w:rPr/>
              <w:t> </w:t>
            </w:r>
          </w:p>
        </w:tc>
      </w:tr>
      <w:tr>
        <w:trPr/>
        <w:tc>
          <w:tcPr>
            <w:tcW w:w="49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4925" w:type="dxa"/>
            <w:tcBorders/>
            <w:shd w:fill="FFFFFF" w:val="clear"/>
            <w:vAlign w:val="center"/>
          </w:tcPr>
          <w:p>
            <w:pPr>
              <w:pStyle w:val="TableContents"/>
              <w:spacing w:before="0" w:after="0"/>
              <w:ind w:left="0" w:right="0" w:hanging="0"/>
              <w:rPr/>
            </w:pPr>
            <w:r>
              <w:rPr>
                <w:rStyle w:val="StrongEmphasis"/>
              </w:rPr>
              <w:t xml:space="preserve">Expenses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4925" w:type="dxa"/>
            <w:tcBorders/>
            <w:shd w:fill="CCEEFF" w:val="clear"/>
            <w:vAlign w:val="center"/>
          </w:tcPr>
          <w:p>
            <w:pPr>
              <w:pStyle w:val="TableContents"/>
              <w:spacing w:before="0" w:after="0"/>
              <w:ind w:left="0" w:right="0" w:firstLine="200"/>
              <w:rPr/>
            </w:pPr>
            <w:r>
              <w:rPr/>
              <w:t xml:space="preserve">Loss and loss adjustment expenses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66,431,072</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90,182,324</w:t>
            </w:r>
          </w:p>
        </w:tc>
        <w:tc>
          <w:tcPr>
            <w:tcW w:w="170" w:type="dxa"/>
            <w:tcBorders/>
            <w:shd w:fill="CCEEFF" w:val="clear"/>
            <w:vAlign w:val="center"/>
          </w:tcPr>
          <w:p>
            <w:pPr>
              <w:pStyle w:val="TableContents"/>
              <w:spacing w:before="0" w:after="0"/>
              <w:ind w:left="0" w:right="0" w:hanging="0"/>
              <w:rPr/>
            </w:pPr>
            <w:r>
              <w:rPr/>
              <w:t> </w:t>
            </w:r>
          </w:p>
        </w:tc>
      </w:tr>
      <w:tr>
        <w:trPr/>
        <w:tc>
          <w:tcPr>
            <w:tcW w:w="4925" w:type="dxa"/>
            <w:tcBorders/>
            <w:shd w:fill="FFFFFF" w:val="clear"/>
            <w:vAlign w:val="center"/>
          </w:tcPr>
          <w:p>
            <w:pPr>
              <w:pStyle w:val="TableContents"/>
              <w:spacing w:before="0" w:after="0"/>
              <w:ind w:left="0" w:right="0" w:firstLine="200"/>
              <w:rPr/>
            </w:pPr>
            <w:r>
              <w:rPr/>
              <w:t xml:space="preserve">Commission expense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31,828,174</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30,093,106</w:t>
            </w:r>
          </w:p>
        </w:tc>
        <w:tc>
          <w:tcPr>
            <w:tcW w:w="170" w:type="dxa"/>
            <w:tcBorders/>
            <w:shd w:fill="FFFFFF" w:val="clear"/>
            <w:vAlign w:val="center"/>
          </w:tcPr>
          <w:p>
            <w:pPr>
              <w:pStyle w:val="TableContents"/>
              <w:spacing w:before="0" w:after="0"/>
              <w:ind w:left="0" w:right="0" w:hanging="0"/>
              <w:rPr/>
            </w:pPr>
            <w:r>
              <w:rPr/>
              <w:t> </w:t>
            </w:r>
          </w:p>
        </w:tc>
      </w:tr>
      <w:tr>
        <w:trPr/>
        <w:tc>
          <w:tcPr>
            <w:tcW w:w="4925" w:type="dxa"/>
            <w:tcBorders/>
            <w:shd w:fill="CCEEFF" w:val="clear"/>
            <w:vAlign w:val="center"/>
          </w:tcPr>
          <w:p>
            <w:pPr>
              <w:pStyle w:val="TableContents"/>
              <w:spacing w:before="0" w:after="0"/>
              <w:ind w:left="0" w:right="0" w:firstLine="200"/>
              <w:rPr/>
            </w:pPr>
            <w:r>
              <w:rPr/>
              <w:t xml:space="preserve">Other underwriting expenses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25,424,779</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24,420,208</w:t>
            </w:r>
          </w:p>
        </w:tc>
        <w:tc>
          <w:tcPr>
            <w:tcW w:w="170" w:type="dxa"/>
            <w:tcBorders/>
            <w:shd w:fill="CCEEFF" w:val="clear"/>
            <w:vAlign w:val="center"/>
          </w:tcPr>
          <w:p>
            <w:pPr>
              <w:pStyle w:val="TableContents"/>
              <w:spacing w:before="0" w:after="0"/>
              <w:ind w:left="0" w:right="0" w:hanging="0"/>
              <w:rPr/>
            </w:pPr>
            <w:r>
              <w:rPr/>
              <w:t> </w:t>
            </w:r>
          </w:p>
        </w:tc>
      </w:tr>
      <w:tr>
        <w:trPr/>
        <w:tc>
          <w:tcPr>
            <w:tcW w:w="4925" w:type="dxa"/>
            <w:tcBorders/>
            <w:shd w:fill="FFFFFF" w:val="clear"/>
            <w:vAlign w:val="center"/>
          </w:tcPr>
          <w:p>
            <w:pPr>
              <w:pStyle w:val="TableContents"/>
              <w:spacing w:before="0" w:after="0"/>
              <w:ind w:left="0" w:right="0" w:firstLine="200"/>
              <w:rPr/>
            </w:pPr>
            <w:r>
              <w:rPr/>
              <w:t xml:space="preserve">Other operating expenses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4,282,773</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3,834,746</w:t>
            </w:r>
          </w:p>
        </w:tc>
        <w:tc>
          <w:tcPr>
            <w:tcW w:w="170" w:type="dxa"/>
            <w:tcBorders/>
            <w:shd w:fill="FFFFFF" w:val="clear"/>
            <w:vAlign w:val="center"/>
          </w:tcPr>
          <w:p>
            <w:pPr>
              <w:pStyle w:val="TableContents"/>
              <w:spacing w:before="0" w:after="0"/>
              <w:ind w:left="0" w:right="0" w:hanging="0"/>
              <w:rPr/>
            </w:pPr>
            <w:r>
              <w:rPr/>
              <w:t> </w:t>
            </w:r>
          </w:p>
        </w:tc>
      </w:tr>
      <w:tr>
        <w:trPr/>
        <w:tc>
          <w:tcPr>
            <w:tcW w:w="4925" w:type="dxa"/>
            <w:tcBorders/>
            <w:shd w:fill="CCEEFF" w:val="clear"/>
            <w:vAlign w:val="center"/>
          </w:tcPr>
          <w:p>
            <w:pPr>
              <w:pStyle w:val="TableContents"/>
              <w:spacing w:before="0" w:after="0"/>
              <w:ind w:left="0" w:right="0" w:firstLine="200"/>
              <w:rPr/>
            </w:pPr>
            <w:r>
              <w:rPr/>
              <w:t xml:space="preserve">Depreciation and amortization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2,864,583</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2,545,946</w:t>
            </w:r>
          </w:p>
        </w:tc>
        <w:tc>
          <w:tcPr>
            <w:tcW w:w="170" w:type="dxa"/>
            <w:tcBorders/>
            <w:shd w:fill="CCEEFF" w:val="clear"/>
            <w:vAlign w:val="center"/>
          </w:tcPr>
          <w:p>
            <w:pPr>
              <w:pStyle w:val="TableContents"/>
              <w:spacing w:before="0" w:after="0"/>
              <w:ind w:left="0" w:right="0" w:hanging="0"/>
              <w:rPr/>
            </w:pPr>
            <w:r>
              <w:rPr/>
              <w:t> </w:t>
            </w:r>
          </w:p>
        </w:tc>
      </w:tr>
      <w:tr>
        <w:trPr/>
        <w:tc>
          <w:tcPr>
            <w:tcW w:w="4925" w:type="dxa"/>
            <w:tcBorders/>
            <w:shd w:fill="FFFFFF" w:val="clear"/>
            <w:vAlign w:val="center"/>
          </w:tcPr>
          <w:p>
            <w:pPr>
              <w:pStyle w:val="TableContents"/>
              <w:spacing w:before="0" w:after="0"/>
              <w:ind w:left="0" w:right="0" w:firstLine="200"/>
              <w:rPr/>
            </w:pPr>
            <w:r>
              <w:rPr/>
              <w:t xml:space="preserve">Interest expense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1,826,180</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1,826,180</w:t>
            </w:r>
          </w:p>
        </w:tc>
        <w:tc>
          <w:tcPr>
            <w:tcW w:w="170" w:type="dxa"/>
            <w:tcBorders/>
            <w:shd w:fill="FFFFFF" w:val="clear"/>
            <w:vAlign w:val="center"/>
          </w:tcPr>
          <w:p>
            <w:pPr>
              <w:pStyle w:val="TableContents"/>
              <w:spacing w:before="0" w:after="0"/>
              <w:ind w:left="0" w:right="0" w:hanging="0"/>
              <w:rPr/>
            </w:pPr>
            <w:r>
              <w:rPr/>
              <w:t> </w:t>
            </w:r>
          </w:p>
        </w:tc>
      </w:tr>
      <w:tr>
        <w:trPr/>
        <w:tc>
          <w:tcPr>
            <w:tcW w:w="4925" w:type="dxa"/>
            <w:tcBorders/>
            <w:shd w:fill="CCEEFF" w:val="clear"/>
            <w:vAlign w:val="center"/>
          </w:tcPr>
          <w:p>
            <w:pPr>
              <w:pStyle w:val="TableContents"/>
              <w:spacing w:before="0" w:after="0"/>
              <w:ind w:left="0" w:right="0" w:firstLine="400"/>
              <w:rPr/>
            </w:pPr>
            <w:r>
              <w:rPr/>
              <w:t xml:space="preserve">Total expenses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132,657,561</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152,902,510</w:t>
            </w:r>
          </w:p>
        </w:tc>
        <w:tc>
          <w:tcPr>
            <w:tcW w:w="170" w:type="dxa"/>
            <w:tcBorders/>
            <w:shd w:fill="CCEEFF" w:val="clear"/>
            <w:vAlign w:val="center"/>
          </w:tcPr>
          <w:p>
            <w:pPr>
              <w:pStyle w:val="TableContents"/>
              <w:spacing w:before="0" w:after="0"/>
              <w:ind w:left="0" w:right="0" w:hanging="0"/>
              <w:rPr/>
            </w:pPr>
            <w:r>
              <w:rPr/>
              <w:t> </w:t>
            </w:r>
          </w:p>
        </w:tc>
      </w:tr>
      <w:tr>
        <w:trPr/>
        <w:tc>
          <w:tcPr>
            <w:tcW w:w="49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4925" w:type="dxa"/>
            <w:tcBorders/>
            <w:shd w:fill="CCEEFF" w:val="clear"/>
            <w:vAlign w:val="center"/>
          </w:tcPr>
          <w:p>
            <w:pPr>
              <w:pStyle w:val="TableContents"/>
              <w:spacing w:before="0" w:after="0"/>
              <w:ind w:left="0" w:right="0" w:firstLine="200"/>
              <w:rPr/>
            </w:pPr>
            <w:r>
              <w:rPr/>
              <w:t xml:space="preserve">Loss from operations before taxes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(1,287,810</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(7,782,544</w:t>
            </w:r>
          </w:p>
        </w:tc>
        <w:tc>
          <w:tcPr>
            <w:tcW w:w="170" w:type="dxa"/>
            <w:tcBorders/>
            <w:shd w:fill="CCEEFF" w:val="clear"/>
            <w:vAlign w:val="center"/>
          </w:tcPr>
          <w:p>
            <w:pPr>
              <w:pStyle w:val="TableContents"/>
              <w:spacing w:before="0" w:after="283"/>
              <w:rPr/>
            </w:pPr>
            <w:r>
              <w:rPr/>
              <w:t>)</w:t>
            </w:r>
          </w:p>
        </w:tc>
      </w:tr>
      <w:tr>
        <w:trPr/>
        <w:tc>
          <w:tcPr>
            <w:tcW w:w="4925" w:type="dxa"/>
            <w:tcBorders/>
            <w:shd w:fill="FFFFFF" w:val="clear"/>
            <w:vAlign w:val="center"/>
          </w:tcPr>
          <w:p>
            <w:pPr>
              <w:pStyle w:val="TableContents"/>
              <w:spacing w:before="0" w:after="0"/>
              <w:ind w:left="0" w:right="0" w:firstLine="200"/>
              <w:rPr/>
            </w:pPr>
            <w:r>
              <w:rPr/>
              <w:t xml:space="preserve">Income tax benefit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(2,260,200</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(1,816,191</w:t>
            </w:r>
          </w:p>
        </w:tc>
        <w:tc>
          <w:tcPr>
            <w:tcW w:w="170" w:type="dxa"/>
            <w:tcBorders/>
            <w:shd w:fill="FFFFFF" w:val="clear"/>
            <w:vAlign w:val="center"/>
          </w:tcPr>
          <w:p>
            <w:pPr>
              <w:pStyle w:val="TableContents"/>
              <w:spacing w:before="0" w:after="283"/>
              <w:rPr/>
            </w:pPr>
            <w:r>
              <w:rPr/>
              <w:t>)</w:t>
            </w:r>
          </w:p>
        </w:tc>
      </w:tr>
      <w:tr>
        <w:trPr/>
        <w:tc>
          <w:tcPr>
            <w:tcW w:w="4925" w:type="dxa"/>
            <w:tcBorders/>
            <w:shd w:fill="CCEEFF" w:val="clear"/>
            <w:vAlign w:val="center"/>
          </w:tcPr>
          <w:p>
            <w:pPr>
              <w:pStyle w:val="TableContents"/>
              <w:spacing w:before="0" w:after="0"/>
              <w:ind w:left="0" w:right="0" w:hanging="0"/>
              <w:rPr/>
            </w:pPr>
            <w:r>
              <w:rPr>
                <w:rStyle w:val="StrongEmphasis"/>
              </w:rPr>
              <w:t xml:space="preserve">Net income (loss)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972,390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(5,966,353</w:t>
            </w:r>
          </w:p>
        </w:tc>
        <w:tc>
          <w:tcPr>
            <w:tcW w:w="170" w:type="dxa"/>
            <w:tcBorders/>
            <w:shd w:fill="CCEEFF" w:val="clear"/>
            <w:vAlign w:val="center"/>
          </w:tcPr>
          <w:p>
            <w:pPr>
              <w:pStyle w:val="TableContents"/>
              <w:spacing w:before="0" w:after="283"/>
              <w:rPr/>
            </w:pPr>
            <w:r>
              <w:rPr/>
              <w:t>)</w:t>
            </w:r>
          </w:p>
        </w:tc>
      </w:tr>
      <w:tr>
        <w:trPr/>
        <w:tc>
          <w:tcPr>
            <w:tcW w:w="49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4925" w:type="dxa"/>
            <w:tcBorders/>
            <w:shd w:fill="CCEEFF" w:val="clear"/>
            <w:vAlign w:val="center"/>
          </w:tcPr>
          <w:p>
            <w:pPr>
              <w:pStyle w:val="TableContents"/>
              <w:spacing w:before="0" w:after="0"/>
              <w:ind w:left="0" w:right="0" w:hanging="0"/>
              <w:rPr/>
            </w:pPr>
            <w:r>
              <w:rPr>
                <w:rStyle w:val="StrongEmphasis"/>
              </w:rPr>
              <w:t xml:space="preserve">Other comprehensive income, net of tax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4925" w:type="dxa"/>
            <w:tcBorders/>
            <w:shd w:fill="FFFFFF" w:val="clear"/>
            <w:vAlign w:val="center"/>
          </w:tcPr>
          <w:p>
            <w:pPr>
              <w:pStyle w:val="TableContents"/>
              <w:spacing w:before="0" w:after="0"/>
              <w:ind w:left="0" w:right="0" w:firstLine="200"/>
              <w:rPr/>
            </w:pPr>
            <w:r>
              <w:rPr/>
              <w:t xml:space="preserve">Gross change in unrealized gains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4925" w:type="dxa"/>
            <w:tcBorders/>
            <w:shd w:fill="CCEEFF" w:val="clear"/>
            <w:vAlign w:val="center"/>
          </w:tcPr>
          <w:p>
            <w:pPr>
              <w:pStyle w:val="TableContents"/>
              <w:spacing w:before="0" w:after="0"/>
              <w:ind w:left="0" w:right="0" w:firstLine="400"/>
              <w:rPr/>
            </w:pPr>
            <w:r>
              <w:rPr/>
              <w:t xml:space="preserve">on available-for-sale-securities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7,148,205</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9,564,647</w:t>
            </w:r>
          </w:p>
        </w:tc>
        <w:tc>
          <w:tcPr>
            <w:tcW w:w="170" w:type="dxa"/>
            <w:tcBorders/>
            <w:shd w:fill="CCEEFF" w:val="clear"/>
            <w:vAlign w:val="center"/>
          </w:tcPr>
          <w:p>
            <w:pPr>
              <w:pStyle w:val="TableContents"/>
              <w:spacing w:before="0" w:after="0"/>
              <w:ind w:left="0" w:right="0" w:hanging="0"/>
              <w:rPr/>
            </w:pPr>
            <w:r>
              <w:rPr/>
              <w:t> </w:t>
            </w:r>
          </w:p>
        </w:tc>
      </w:tr>
      <w:tr>
        <w:trPr/>
        <w:tc>
          <w:tcPr>
            <w:tcW w:w="49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4925" w:type="dxa"/>
            <w:tcBorders/>
            <w:shd w:fill="CCEEFF" w:val="clear"/>
            <w:vAlign w:val="center"/>
          </w:tcPr>
          <w:p>
            <w:pPr>
              <w:pStyle w:val="TableContents"/>
              <w:spacing w:before="0" w:after="0"/>
              <w:ind w:left="0" w:right="0" w:firstLine="200"/>
              <w:rPr/>
            </w:pPr>
            <w:r>
              <w:rPr/>
              <w:t xml:space="preserve">Reclassification adjustment for (gains) losses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4925" w:type="dxa"/>
            <w:tcBorders/>
            <w:shd w:fill="FFFFFF" w:val="clear"/>
            <w:vAlign w:val="center"/>
          </w:tcPr>
          <w:p>
            <w:pPr>
              <w:pStyle w:val="TableContents"/>
              <w:spacing w:before="0" w:after="0"/>
              <w:ind w:left="0" w:right="0" w:firstLine="400"/>
              <w:rPr/>
            </w:pPr>
            <w:r>
              <w:rPr/>
              <w:t xml:space="preserve">included in net income (loss)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(678,343</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122,925</w:t>
            </w:r>
          </w:p>
        </w:tc>
        <w:tc>
          <w:tcPr>
            <w:tcW w:w="170" w:type="dxa"/>
            <w:tcBorders/>
            <w:shd w:fill="FFFFFF" w:val="clear"/>
            <w:vAlign w:val="center"/>
          </w:tcPr>
          <w:p>
            <w:pPr>
              <w:pStyle w:val="TableContents"/>
              <w:spacing w:before="0" w:after="0"/>
              <w:ind w:left="0" w:right="0" w:hanging="0"/>
              <w:rPr/>
            </w:pPr>
            <w:r>
              <w:rPr/>
              <w:t> </w:t>
            </w:r>
          </w:p>
        </w:tc>
      </w:tr>
      <w:tr>
        <w:trPr/>
        <w:tc>
          <w:tcPr>
            <w:tcW w:w="4925" w:type="dxa"/>
            <w:tcBorders/>
            <w:shd w:fill="CCEEFF" w:val="clear"/>
            <w:vAlign w:val="center"/>
          </w:tcPr>
          <w:p>
            <w:pPr>
              <w:pStyle w:val="TableContents"/>
              <w:spacing w:before="0" w:after="0"/>
              <w:ind w:left="0" w:right="0" w:firstLine="600"/>
              <w:rPr/>
            </w:pPr>
            <w:r>
              <w:rPr/>
              <w:t xml:space="preserve">Net change in unrealized gains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6,469,862</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9,687,572</w:t>
            </w:r>
          </w:p>
        </w:tc>
        <w:tc>
          <w:tcPr>
            <w:tcW w:w="170" w:type="dxa"/>
            <w:tcBorders/>
            <w:shd w:fill="CCEEFF" w:val="clear"/>
            <w:vAlign w:val="center"/>
          </w:tcPr>
          <w:p>
            <w:pPr>
              <w:pStyle w:val="TableContents"/>
              <w:spacing w:before="0" w:after="0"/>
              <w:ind w:left="0" w:right="0" w:hanging="0"/>
              <w:rPr/>
            </w:pPr>
            <w:r>
              <w:rPr/>
              <w:t> </w:t>
            </w:r>
          </w:p>
        </w:tc>
      </w:tr>
      <w:tr>
        <w:trPr/>
        <w:tc>
          <w:tcPr>
            <w:tcW w:w="4925" w:type="dxa"/>
            <w:tcBorders/>
            <w:shd w:fill="FFFFFF" w:val="clear"/>
            <w:vAlign w:val="center"/>
          </w:tcPr>
          <w:p>
            <w:pPr>
              <w:pStyle w:val="TableContents"/>
              <w:spacing w:before="0" w:after="0"/>
              <w:ind w:left="0" w:right="0" w:firstLine="200"/>
              <w:rPr/>
            </w:pPr>
            <w:r>
              <w:rPr/>
              <w:t xml:space="preserve">Income tax expense related to items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4925" w:type="dxa"/>
            <w:tcBorders/>
            <w:shd w:fill="CCEEFF" w:val="clear"/>
            <w:vAlign w:val="center"/>
          </w:tcPr>
          <w:p>
            <w:pPr>
              <w:pStyle w:val="TableContents"/>
              <w:spacing w:before="0" w:after="0"/>
              <w:ind w:left="0" w:right="0" w:firstLine="400"/>
              <w:rPr/>
            </w:pPr>
            <w:r>
              <w:rPr/>
              <w:t xml:space="preserve">of other comprehensive income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(1,358,670</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(2,034,389</w:t>
            </w:r>
          </w:p>
        </w:tc>
        <w:tc>
          <w:tcPr>
            <w:tcW w:w="170" w:type="dxa"/>
            <w:tcBorders/>
            <w:shd w:fill="CCEEFF" w:val="clear"/>
            <w:vAlign w:val="center"/>
          </w:tcPr>
          <w:p>
            <w:pPr>
              <w:pStyle w:val="TableContents"/>
              <w:spacing w:before="0" w:after="283"/>
              <w:rPr/>
            </w:pPr>
            <w:r>
              <w:rPr/>
              <w:t>)</w:t>
            </w:r>
          </w:p>
        </w:tc>
      </w:tr>
      <w:tr>
        <w:trPr/>
        <w:tc>
          <w:tcPr>
            <w:tcW w:w="4925" w:type="dxa"/>
            <w:tcBorders/>
            <w:shd w:fill="FFFFFF" w:val="clear"/>
            <w:vAlign w:val="center"/>
          </w:tcPr>
          <w:p>
            <w:pPr>
              <w:pStyle w:val="TableContents"/>
              <w:spacing w:before="0" w:after="0"/>
              <w:ind w:left="0" w:right="0" w:hanging="0"/>
              <w:rPr/>
            </w:pPr>
            <w:r>
              <w:rPr>
                <w:rStyle w:val="StrongEmphasis"/>
              </w:rPr>
              <w:t xml:space="preserve">Other comprehensive income, net of tax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5,111,192</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7,653,183</w:t>
            </w:r>
          </w:p>
        </w:tc>
        <w:tc>
          <w:tcPr>
            <w:tcW w:w="170" w:type="dxa"/>
            <w:tcBorders/>
            <w:shd w:fill="FFFFFF" w:val="clear"/>
            <w:vAlign w:val="center"/>
          </w:tcPr>
          <w:p>
            <w:pPr>
              <w:pStyle w:val="TableContents"/>
              <w:spacing w:before="0" w:after="0"/>
              <w:ind w:left="0" w:right="0" w:hanging="0"/>
              <w:rPr/>
            </w:pPr>
            <w:r>
              <w:rPr/>
              <w:t> </w:t>
            </w:r>
          </w:p>
        </w:tc>
      </w:tr>
      <w:tr>
        <w:trPr/>
        <w:tc>
          <w:tcPr>
            <w:tcW w:w="49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4925" w:type="dxa"/>
            <w:tcBorders/>
            <w:shd w:fill="FFFFFF" w:val="clear"/>
            <w:vAlign w:val="center"/>
          </w:tcPr>
          <w:p>
            <w:pPr>
              <w:pStyle w:val="TableContents"/>
              <w:spacing w:before="0" w:after="0"/>
              <w:ind w:left="0" w:right="0" w:hanging="0"/>
              <w:rPr/>
            </w:pPr>
            <w:r>
              <w:rPr>
                <w:rStyle w:val="StrongEmphasis"/>
              </w:rPr>
              <w:t xml:space="preserve">Comprehensive income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6,083,582</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1,686,830</w:t>
            </w:r>
          </w:p>
        </w:tc>
        <w:tc>
          <w:tcPr>
            <w:tcW w:w="170" w:type="dxa"/>
            <w:tcBorders/>
            <w:shd w:fill="FFFFFF" w:val="clear"/>
            <w:vAlign w:val="center"/>
          </w:tcPr>
          <w:p>
            <w:pPr>
              <w:pStyle w:val="TableContents"/>
              <w:spacing w:before="0" w:after="0"/>
              <w:ind w:left="0" w:right="0" w:hanging="0"/>
              <w:rPr/>
            </w:pPr>
            <w:r>
              <w:rPr/>
              <w:t> </w:t>
            </w:r>
          </w:p>
        </w:tc>
      </w:tr>
      <w:tr>
        <w:trPr/>
        <w:tc>
          <w:tcPr>
            <w:tcW w:w="49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4925" w:type="dxa"/>
            <w:tcBorders/>
            <w:shd w:fill="FFFFFF" w:val="clear"/>
            <w:vAlign w:val="center"/>
          </w:tcPr>
          <w:p>
            <w:pPr>
              <w:pStyle w:val="TableContents"/>
              <w:spacing w:before="0" w:after="0"/>
              <w:ind w:left="0" w:right="0" w:hanging="0"/>
              <w:rPr/>
            </w:pPr>
            <w:r>
              <w:rPr>
                <w:rStyle w:val="StrongEmphasis"/>
              </w:rPr>
              <w:t>Earnings (loss) per common share:</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4925" w:type="dxa"/>
            <w:tcBorders/>
            <w:shd w:fill="CCEEFF" w:val="clear"/>
            <w:vAlign w:val="center"/>
          </w:tcPr>
          <w:p>
            <w:pPr>
              <w:pStyle w:val="TableContents"/>
              <w:spacing w:before="0" w:after="0"/>
              <w:ind w:left="0" w:right="0" w:firstLine="200"/>
              <w:rPr/>
            </w:pPr>
            <w:r>
              <w:rPr/>
              <w:t>Basic</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0.09</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(0.55</w:t>
            </w:r>
          </w:p>
        </w:tc>
        <w:tc>
          <w:tcPr>
            <w:tcW w:w="170" w:type="dxa"/>
            <w:tcBorders/>
            <w:shd w:fill="CCEEFF" w:val="clear"/>
            <w:vAlign w:val="center"/>
          </w:tcPr>
          <w:p>
            <w:pPr>
              <w:pStyle w:val="TableContents"/>
              <w:spacing w:before="0" w:after="283"/>
              <w:rPr/>
            </w:pPr>
            <w:r>
              <w:rPr/>
              <w:t>)</w:t>
            </w:r>
          </w:p>
        </w:tc>
      </w:tr>
      <w:tr>
        <w:trPr/>
        <w:tc>
          <w:tcPr>
            <w:tcW w:w="4925" w:type="dxa"/>
            <w:tcBorders/>
            <w:shd w:fill="FFFFFF" w:val="clear"/>
            <w:vAlign w:val="center"/>
          </w:tcPr>
          <w:p>
            <w:pPr>
              <w:pStyle w:val="TableContents"/>
              <w:spacing w:before="0" w:after="0"/>
              <w:ind w:left="0" w:right="0" w:firstLine="200"/>
              <w:rPr/>
            </w:pPr>
            <w:r>
              <w:rPr/>
              <w:t>Diluted</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0.09</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(0.55</w:t>
            </w:r>
          </w:p>
        </w:tc>
        <w:tc>
          <w:tcPr>
            <w:tcW w:w="170" w:type="dxa"/>
            <w:tcBorders/>
            <w:shd w:fill="FFFFFF" w:val="clear"/>
            <w:vAlign w:val="center"/>
          </w:tcPr>
          <w:p>
            <w:pPr>
              <w:pStyle w:val="TableContents"/>
              <w:spacing w:before="0" w:after="283"/>
              <w:rPr/>
            </w:pPr>
            <w:r>
              <w:rPr/>
              <w:t>)</w:t>
            </w:r>
          </w:p>
        </w:tc>
      </w:tr>
      <w:tr>
        <w:trPr/>
        <w:tc>
          <w:tcPr>
            <w:tcW w:w="49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4925" w:type="dxa"/>
            <w:tcBorders/>
            <w:shd w:fill="FFFFFF" w:val="clear"/>
            <w:vAlign w:val="center"/>
          </w:tcPr>
          <w:p>
            <w:pPr>
              <w:pStyle w:val="TableContents"/>
              <w:spacing w:before="0" w:after="0"/>
              <w:ind w:left="0" w:right="0" w:hanging="0"/>
              <w:rPr/>
            </w:pPr>
            <w:r>
              <w:rPr>
                <w:rStyle w:val="StrongEmphasis"/>
              </w:rPr>
              <w:t>Weighted average common shares outstanding</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4925" w:type="dxa"/>
            <w:tcBorders/>
            <w:shd w:fill="CCEEFF" w:val="clear"/>
            <w:vAlign w:val="center"/>
          </w:tcPr>
          <w:p>
            <w:pPr>
              <w:pStyle w:val="TableContents"/>
              <w:spacing w:before="0" w:after="0"/>
              <w:ind w:left="0" w:right="0" w:firstLine="200"/>
              <w:rPr/>
            </w:pPr>
            <w:r>
              <w:rPr/>
              <w:t>Basic</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10,721,342</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10,773,623</w:t>
            </w:r>
          </w:p>
        </w:tc>
        <w:tc>
          <w:tcPr>
            <w:tcW w:w="170" w:type="dxa"/>
            <w:tcBorders/>
            <w:shd w:fill="CCEEFF" w:val="clear"/>
            <w:vAlign w:val="center"/>
          </w:tcPr>
          <w:p>
            <w:pPr>
              <w:pStyle w:val="TableContents"/>
              <w:spacing w:before="0" w:after="0"/>
              <w:ind w:left="0" w:right="0" w:hanging="0"/>
              <w:rPr/>
            </w:pPr>
            <w:r>
              <w:rPr/>
              <w:t> </w:t>
            </w:r>
          </w:p>
        </w:tc>
      </w:tr>
      <w:tr>
        <w:trPr/>
        <w:tc>
          <w:tcPr>
            <w:tcW w:w="4925" w:type="dxa"/>
            <w:tcBorders/>
            <w:shd w:fill="FFFFFF" w:val="clear"/>
            <w:vAlign w:val="center"/>
          </w:tcPr>
          <w:p>
            <w:pPr>
              <w:pStyle w:val="TableContents"/>
              <w:spacing w:before="0" w:after="0"/>
              <w:ind w:left="0" w:right="0" w:firstLine="200"/>
              <w:rPr/>
            </w:pPr>
            <w:r>
              <w:rPr/>
              <w:t>Diluted</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10,730,737</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10,773,623</w:t>
            </w:r>
          </w:p>
        </w:tc>
        <w:tc>
          <w:tcPr>
            <w:tcW w:w="170" w:type="dxa"/>
            <w:tcBorders/>
            <w:shd w:fill="FFFFFF" w:val="clear"/>
            <w:vAlign w:val="center"/>
          </w:tcPr>
          <w:p>
            <w:pPr>
              <w:pStyle w:val="TableContents"/>
              <w:spacing w:before="0" w:after="0"/>
              <w:ind w:left="0" w:right="0" w:hanging="0"/>
              <w:rPr/>
            </w:pPr>
            <w:r>
              <w:rPr/>
              <w:t> </w:t>
            </w:r>
          </w:p>
        </w:tc>
      </w:tr>
      <w:tr>
        <w:trPr/>
        <w:tc>
          <w:tcPr>
            <w:tcW w:w="49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4925" w:type="dxa"/>
            <w:tcBorders/>
            <w:shd w:fill="FFFFFF" w:val="clear"/>
            <w:vAlign w:val="center"/>
          </w:tcPr>
          <w:p>
            <w:pPr>
              <w:pStyle w:val="TableContents"/>
              <w:spacing w:before="0" w:after="0"/>
              <w:ind w:left="0" w:right="0" w:hanging="0"/>
              <w:rPr/>
            </w:pPr>
            <w:r>
              <w:rPr>
                <w:rStyle w:val="StrongEmphasis"/>
              </w:rPr>
              <w:t>Dividends declared and paid per common share</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0.1825</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0.3250</w:t>
            </w:r>
          </w:p>
        </w:tc>
        <w:tc>
          <w:tcPr>
            <w:tcW w:w="170" w:type="dxa"/>
            <w:tcBorders/>
            <w:shd w:fill="FFFF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tbl>
      <w:tblPr>
        <w:tblW w:w="6485" w:type="dxa"/>
        <w:jc w:val="left"/>
        <w:tblInd w:w="0" w:type="dxa"/>
        <w:tblCellMar>
          <w:top w:w="28" w:type="dxa"/>
          <w:left w:w="0" w:type="dxa"/>
          <w:bottom w:w="0" w:type="dxa"/>
          <w:right w:w="0" w:type="dxa"/>
        </w:tblCellMar>
      </w:tblPr>
      <w:tblGrid>
        <w:gridCol w:w="6485"/>
      </w:tblGrid>
      <w:tr>
        <w:trPr/>
        <w:tc>
          <w:tcPr>
            <w:tcW w:w="6485" w:type="dxa"/>
            <w:tcBorders>
              <w:top w:val="single" w:sz="2" w:space="0" w:color="000000"/>
            </w:tcBorders>
            <w:shd w:fill="auto" w:val="clear"/>
            <w:vAlign w:val="center"/>
          </w:tcPr>
          <w:p>
            <w:pPr>
              <w:pStyle w:val="TableContents"/>
              <w:spacing w:before="0" w:after="0"/>
              <w:ind w:left="0" w:right="0" w:hanging="0"/>
              <w:rPr/>
            </w:pPr>
            <w:r>
              <w:rPr>
                <w:rStyle w:val="Emphasis"/>
              </w:rPr>
              <w:t>See accompanying notes to these consolidated financial statements.</w:t>
            </w:r>
          </w:p>
        </w:tc>
      </w:tr>
    </w:tbl>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F-5</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jc w:val="both"/>
        <w:rPr/>
      </w:pPr>
      <w:r>
        <w:rPr/>
        <w:t> </w:t>
      </w:r>
    </w:p>
    <w:tbl>
      <w:tblPr>
        <w:tblW w:w="6185" w:type="dxa"/>
        <w:jc w:val="left"/>
        <w:tblInd w:w="0" w:type="dxa"/>
        <w:tblCellMar>
          <w:top w:w="0" w:type="dxa"/>
          <w:left w:w="0" w:type="dxa"/>
          <w:bottom w:w="0" w:type="dxa"/>
          <w:right w:w="0" w:type="dxa"/>
        </w:tblCellMar>
      </w:tblPr>
      <w:tblGrid>
        <w:gridCol w:w="6185"/>
      </w:tblGrid>
      <w:tr>
        <w:trPr/>
        <w:tc>
          <w:tcPr>
            <w:tcW w:w="6185" w:type="dxa"/>
            <w:tcBorders/>
            <w:shd w:fill="auto" w:val="clear"/>
            <w:vAlign w:val="center"/>
          </w:tcPr>
          <w:p>
            <w:pPr>
              <w:pStyle w:val="TableContents"/>
              <w:spacing w:before="0" w:after="0"/>
              <w:ind w:left="0" w:right="0" w:hanging="0"/>
              <w:jc w:val="right"/>
              <w:rPr/>
            </w:pPr>
            <w:r>
              <w:rPr>
                <w:rStyle w:val="StrongEmphasis"/>
              </w:rPr>
              <w:t xml:space="preserve">KINGSTONE COMPANIES, INC. AND SUBSIDIARIES </w:t>
            </w:r>
          </w:p>
        </w:tc>
      </w:tr>
      <w:tr>
        <w:trPr/>
        <w:tc>
          <w:tcPr>
            <w:tcW w:w="6185" w:type="dxa"/>
            <w:tcBorders/>
            <w:shd w:fill="auto" w:val="clear"/>
            <w:vAlign w:val="center"/>
          </w:tcPr>
          <w:p>
            <w:pPr>
              <w:pStyle w:val="TableContents"/>
              <w:spacing w:before="0" w:after="0"/>
              <w:ind w:left="0" w:right="0" w:hanging="0"/>
              <w:rPr/>
            </w:pPr>
            <w:r>
              <w:rPr/>
              <w:t> </w:t>
            </w:r>
          </w:p>
        </w:tc>
      </w:tr>
      <w:tr>
        <w:trPr/>
        <w:tc>
          <w:tcPr>
            <w:tcW w:w="6185" w:type="dxa"/>
            <w:tcBorders>
              <w:bottom w:val="single" w:sz="2" w:space="0" w:color="000000"/>
            </w:tcBorders>
            <w:shd w:fill="auto" w:val="clear"/>
            <w:tcMar>
              <w:bottom w:w="28" w:type="dxa"/>
            </w:tcMar>
            <w:vAlign w:val="center"/>
          </w:tcPr>
          <w:p>
            <w:pPr>
              <w:pStyle w:val="TableContents"/>
              <w:spacing w:before="0" w:after="0"/>
              <w:ind w:left="0" w:right="0" w:hanging="0"/>
              <w:rPr/>
            </w:pPr>
            <w:bookmarkStart w:id="26" w:name="SSE"/>
            <w:bookmarkEnd w:id="26"/>
            <w:r>
              <w:rPr>
                <w:rStyle w:val="StrongEmphasis"/>
              </w:rPr>
              <w:t>Consolidated Statements of Stockholders' Equity</w:t>
            </w:r>
          </w:p>
        </w:tc>
      </w:tr>
      <w:tr>
        <w:trPr/>
        <w:tc>
          <w:tcPr>
            <w:tcW w:w="6185" w:type="dxa"/>
            <w:tcBorders/>
            <w:shd w:fill="auto" w:val="clear"/>
            <w:vAlign w:val="center"/>
          </w:tcPr>
          <w:p>
            <w:pPr>
              <w:pStyle w:val="TableContents"/>
              <w:spacing w:before="0" w:after="0"/>
              <w:ind w:left="0" w:right="0" w:hanging="0"/>
              <w:rPr/>
            </w:pPr>
            <w:r>
              <w:rPr>
                <w:rStyle w:val="Emphasis"/>
              </w:rPr>
              <w:t>Years ended December 31, 2020 and 2019</w:t>
            </w:r>
          </w:p>
        </w:tc>
      </w:tr>
    </w:tbl>
    <w:p>
      <w:pPr>
        <w:pStyle w:val="TextBody"/>
        <w:spacing w:before="0" w:after="0"/>
        <w:ind w:left="0" w:right="0" w:hanging="0"/>
        <w:jc w:val="both"/>
        <w:rPr/>
      </w:pPr>
      <w:r>
        <w:rPr/>
        <w:t> </w:t>
      </w:r>
    </w:p>
    <w:tbl>
      <w:tblPr>
        <w:tblW w:w="15024" w:type="dxa"/>
        <w:jc w:val="left"/>
        <w:tblInd w:w="0" w:type="dxa"/>
        <w:tblCellMar>
          <w:top w:w="0" w:type="dxa"/>
          <w:left w:w="0" w:type="dxa"/>
          <w:bottom w:w="0" w:type="dxa"/>
          <w:right w:w="0" w:type="dxa"/>
        </w:tblCellMar>
      </w:tblPr>
      <w:tblGrid>
        <w:gridCol w:w="1385"/>
        <w:gridCol w:w="90"/>
        <w:gridCol w:w="309"/>
        <w:gridCol w:w="431"/>
        <w:gridCol w:w="127"/>
        <w:gridCol w:w="127"/>
        <w:gridCol w:w="508"/>
        <w:gridCol w:w="382"/>
        <w:gridCol w:w="90"/>
        <w:gridCol w:w="90"/>
        <w:gridCol w:w="90"/>
        <w:gridCol w:w="1130"/>
        <w:gridCol w:w="125"/>
        <w:gridCol w:w="90"/>
        <w:gridCol w:w="170"/>
        <w:gridCol w:w="830"/>
        <w:gridCol w:w="125"/>
        <w:gridCol w:w="90"/>
        <w:gridCol w:w="170"/>
        <w:gridCol w:w="1130"/>
        <w:gridCol w:w="125"/>
        <w:gridCol w:w="90"/>
        <w:gridCol w:w="185"/>
        <w:gridCol w:w="1185"/>
        <w:gridCol w:w="125"/>
        <w:gridCol w:w="90"/>
        <w:gridCol w:w="170"/>
        <w:gridCol w:w="1130"/>
        <w:gridCol w:w="125"/>
        <w:gridCol w:w="90"/>
        <w:gridCol w:w="90"/>
        <w:gridCol w:w="1010"/>
        <w:gridCol w:w="90"/>
        <w:gridCol w:w="90"/>
        <w:gridCol w:w="170"/>
        <w:gridCol w:w="1085"/>
        <w:gridCol w:w="125"/>
        <w:gridCol w:w="90"/>
        <w:gridCol w:w="170"/>
        <w:gridCol w:w="1130"/>
        <w:gridCol w:w="170"/>
      </w:tblGrid>
      <w:tr>
        <w:trPr/>
        <w:tc>
          <w:tcPr>
            <w:tcW w:w="138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884"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t xml:space="preserve">Preferred Stock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435"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t xml:space="preserve">Common Stock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jc w:val="center"/>
              <w:rPr/>
            </w:pPr>
            <w:r>
              <w:rPr/>
              <w:t> </w:t>
            </w:r>
            <w:r>
              <w:rPr>
                <w:rFonts w:ascii="times new roman" w:hAnsi="times new roman"/>
                <w:sz w:val="20"/>
              </w:rPr>
              <w:t xml:space="preserve">Capital </w:t>
            </w:r>
          </w:p>
          <w:p>
            <w:pPr>
              <w:pStyle w:val="TableContents"/>
              <w:spacing w:before="0" w:after="0"/>
              <w:ind w:left="0" w:right="0" w:hanging="0"/>
              <w:jc w:val="center"/>
              <w:rPr/>
            </w:pPr>
            <w:r>
              <w:rPr/>
              <w:t> </w:t>
            </w:r>
            <w:r>
              <w:rPr>
                <w:rFonts w:ascii="times new roman" w:hAnsi="times new roman"/>
                <w:sz w:val="20"/>
              </w:rPr>
              <w:t xml:space="preserve">in Excess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0" w:type="dxa"/>
            <w:gridSpan w:val="2"/>
            <w:tcBorders/>
            <w:shd w:fill="auto" w:val="clear"/>
            <w:vAlign w:val="center"/>
          </w:tcPr>
          <w:p>
            <w:pPr>
              <w:pStyle w:val="TableContents"/>
              <w:spacing w:before="0" w:after="0"/>
              <w:ind w:left="0" w:right="0" w:hanging="0"/>
              <w:jc w:val="center"/>
              <w:rPr/>
            </w:pPr>
            <w:r>
              <w:rPr/>
              <w:t>Accumulated </w:t>
            </w:r>
          </w:p>
          <w:p>
            <w:pPr>
              <w:pStyle w:val="TableContents"/>
              <w:spacing w:before="0" w:after="0"/>
              <w:ind w:left="0" w:right="0" w:hanging="0"/>
              <w:jc w:val="center"/>
              <w:rPr/>
            </w:pPr>
            <w:r>
              <w:rPr/>
              <w:t xml:space="preserve">Other </w:t>
            </w:r>
          </w:p>
          <w:p>
            <w:pPr>
              <w:pStyle w:val="TableContents"/>
              <w:spacing w:before="0" w:after="0"/>
              <w:ind w:left="0" w:right="0" w:hanging="0"/>
              <w:jc w:val="center"/>
              <w:rPr>
                <w:rFonts w:ascii="times new roman" w:hAnsi="times new roman"/>
                <w:sz w:val="20"/>
              </w:rPr>
            </w:pPr>
            <w:r>
              <w:rPr>
                <w:rFonts w:ascii="times new roman" w:hAnsi="times new roman"/>
                <w:sz w:val="20"/>
              </w:rPr>
              <w:t xml:space="preserve">Comprehensive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jc w:val="center"/>
              <w:rPr/>
            </w:pPr>
            <w:r>
              <w:rPr/>
              <w:t> </w:t>
            </w:r>
            <w:r>
              <w:rPr/>
              <w:t xml:space="preserve">Retained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535"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t xml:space="preserve">Treasury Stock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0"/>
              <w:ind w:left="0" w:right="0" w:hanging="0"/>
              <w:rPr/>
            </w:pPr>
            <w:r>
              <w:rPr/>
              <w:t> </w:t>
            </w:r>
          </w:p>
        </w:tc>
      </w:tr>
      <w:tr>
        <w:trPr/>
        <w:tc>
          <w:tcPr>
            <w:tcW w:w="138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t xml:space="preserve">Shares </w:t>
            </w:r>
          </w:p>
        </w:tc>
        <w:tc>
          <w:tcPr>
            <w:tcW w:w="127" w:type="dxa"/>
            <w:tcBorders/>
            <w:shd w:fill="auto" w:val="clear"/>
            <w:vAlign w:val="center"/>
          </w:tcPr>
          <w:p>
            <w:pPr>
              <w:pStyle w:val="TableContents"/>
              <w:spacing w:before="0" w:after="0"/>
              <w:ind w:left="0" w:right="0" w:hanging="0"/>
              <w:rPr/>
            </w:pPr>
            <w:r>
              <w:rPr/>
              <w:t> </w:t>
            </w:r>
          </w:p>
        </w:tc>
        <w:tc>
          <w:tcPr>
            <w:tcW w:w="127" w:type="dxa"/>
            <w:tcBorders/>
            <w:shd w:fill="auto" w:val="clear"/>
            <w:vAlign w:val="center"/>
          </w:tcPr>
          <w:p>
            <w:pPr>
              <w:pStyle w:val="TableContents"/>
              <w:spacing w:before="0" w:after="0"/>
              <w:ind w:left="0" w:right="0" w:hanging="0"/>
              <w:rPr/>
            </w:pPr>
            <w:r>
              <w:rPr/>
              <w:t> </w:t>
            </w:r>
          </w:p>
        </w:tc>
        <w:tc>
          <w:tcPr>
            <w:tcW w:w="89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t xml:space="preserve">Amount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t xml:space="preserve">Shares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t xml:space="preserve">Amount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t xml:space="preserve">of Par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t xml:space="preserve">Income (Loss)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t xml:space="preserve">Earnings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t xml:space="preserve">Shares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5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t xml:space="preserve">Amount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t xml:space="preserve">Total </w:t>
            </w:r>
          </w:p>
        </w:tc>
        <w:tc>
          <w:tcPr>
            <w:tcW w:w="170" w:type="dxa"/>
            <w:tcBorders/>
            <w:shd w:fill="auto" w:val="clear"/>
            <w:vAlign w:val="center"/>
          </w:tcPr>
          <w:p>
            <w:pPr>
              <w:pStyle w:val="TableContents"/>
              <w:spacing w:before="0" w:after="0"/>
              <w:ind w:left="0" w:right="0" w:hanging="0"/>
              <w:rPr/>
            </w:pPr>
            <w:r>
              <w:rPr/>
              <w:t> </w:t>
            </w:r>
          </w:p>
        </w:tc>
      </w:tr>
      <w:tr>
        <w:trPr/>
        <w:tc>
          <w:tcPr>
            <w:tcW w:w="1385" w:type="dxa"/>
            <w:tcBorders/>
            <w:shd w:fill="CCEEFF" w:val="clear"/>
            <w:vAlign w:val="center"/>
          </w:tcPr>
          <w:p>
            <w:pPr>
              <w:pStyle w:val="TableContents"/>
              <w:spacing w:before="0" w:after="0"/>
              <w:ind w:left="0" w:right="0" w:hanging="0"/>
              <w:rPr/>
            </w:pPr>
            <w:r>
              <w:rPr/>
              <w:t>Balance, January 1, 2019</w:t>
            </w:r>
          </w:p>
        </w:tc>
        <w:tc>
          <w:tcPr>
            <w:tcW w:w="90" w:type="dxa"/>
            <w:tcBorders/>
            <w:shd w:fill="CCEEFF" w:val="clear"/>
            <w:vAlign w:val="center"/>
          </w:tcPr>
          <w:p>
            <w:pPr>
              <w:pStyle w:val="TableContents"/>
              <w:spacing w:before="0" w:after="0"/>
              <w:ind w:left="0" w:right="0" w:hanging="0"/>
              <w:rPr/>
            </w:pPr>
            <w:r>
              <w:rPr/>
              <w:t> </w:t>
            </w:r>
          </w:p>
        </w:tc>
        <w:tc>
          <w:tcPr>
            <w:tcW w:w="309" w:type="dxa"/>
            <w:tcBorders/>
            <w:shd w:fill="CCEEFF" w:val="clear"/>
            <w:vAlign w:val="center"/>
          </w:tcPr>
          <w:p>
            <w:pPr>
              <w:pStyle w:val="TableContents"/>
              <w:spacing w:before="0" w:after="0"/>
              <w:ind w:left="0" w:right="0" w:hanging="0"/>
              <w:rPr/>
            </w:pPr>
            <w:r>
              <w:rPr/>
              <w:t> </w:t>
            </w:r>
          </w:p>
        </w:tc>
        <w:tc>
          <w:tcPr>
            <w:tcW w:w="431" w:type="dxa"/>
            <w:tcBorders/>
            <w:shd w:fill="CCEEFF" w:val="clear"/>
            <w:vAlign w:val="center"/>
          </w:tcPr>
          <w:p>
            <w:pPr>
              <w:pStyle w:val="TableContents"/>
              <w:spacing w:before="0" w:after="283"/>
              <w:jc w:val="right"/>
              <w:rPr/>
            </w:pPr>
            <w:r>
              <w:rPr/>
              <w:t>-</w:t>
            </w:r>
          </w:p>
        </w:tc>
        <w:tc>
          <w:tcPr>
            <w:tcW w:w="127" w:type="dxa"/>
            <w:tcBorders/>
            <w:shd w:fill="CCEEFF" w:val="clear"/>
            <w:vAlign w:val="center"/>
          </w:tcPr>
          <w:p>
            <w:pPr>
              <w:pStyle w:val="TableContents"/>
              <w:spacing w:before="0" w:after="0"/>
              <w:ind w:left="0" w:right="0" w:hanging="0"/>
              <w:rPr/>
            </w:pPr>
            <w:r>
              <w:rPr/>
              <w:t> </w:t>
            </w:r>
          </w:p>
        </w:tc>
        <w:tc>
          <w:tcPr>
            <w:tcW w:w="127" w:type="dxa"/>
            <w:tcBorders/>
            <w:shd w:fill="CCEEFF" w:val="clear"/>
            <w:vAlign w:val="center"/>
          </w:tcPr>
          <w:p>
            <w:pPr>
              <w:pStyle w:val="TableContents"/>
              <w:spacing w:before="0" w:after="0"/>
              <w:ind w:left="0" w:right="0" w:hanging="0"/>
              <w:rPr/>
            </w:pPr>
            <w:r>
              <w:rPr/>
              <w:t> </w:t>
            </w:r>
          </w:p>
        </w:tc>
        <w:tc>
          <w:tcPr>
            <w:tcW w:w="508" w:type="dxa"/>
            <w:tcBorders/>
            <w:shd w:fill="CCEEFF" w:val="clear"/>
            <w:vAlign w:val="center"/>
          </w:tcPr>
          <w:p>
            <w:pPr>
              <w:pStyle w:val="TableContents"/>
              <w:spacing w:before="0" w:after="283"/>
              <w:rPr/>
            </w:pPr>
            <w:r>
              <w:rPr/>
              <w:t>$</w:t>
            </w:r>
          </w:p>
        </w:tc>
        <w:tc>
          <w:tcPr>
            <w:tcW w:w="382"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11,775,148</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830" w:type="dxa"/>
            <w:tcBorders/>
            <w:shd w:fill="CCEEFF" w:val="clear"/>
            <w:vAlign w:val="center"/>
          </w:tcPr>
          <w:p>
            <w:pPr>
              <w:pStyle w:val="TableContents"/>
              <w:spacing w:before="0" w:after="283"/>
              <w:jc w:val="right"/>
              <w:rPr/>
            </w:pPr>
            <w:r>
              <w:rPr/>
              <w:t>117,751</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67,763,940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5" w:type="dxa"/>
            <w:tcBorders/>
            <w:shd w:fill="CCEEFF" w:val="clear"/>
            <w:vAlign w:val="center"/>
          </w:tcPr>
          <w:p>
            <w:pPr>
              <w:pStyle w:val="TableContents"/>
              <w:spacing w:before="0" w:after="283"/>
              <w:rPr/>
            </w:pPr>
            <w:r>
              <w:rPr/>
              <w:t>$</w:t>
            </w:r>
          </w:p>
        </w:tc>
        <w:tc>
          <w:tcPr>
            <w:tcW w:w="1185" w:type="dxa"/>
            <w:tcBorders/>
            <w:shd w:fill="CCEEFF" w:val="clear"/>
            <w:vAlign w:val="center"/>
          </w:tcPr>
          <w:p>
            <w:pPr>
              <w:pStyle w:val="TableContents"/>
              <w:spacing w:before="0" w:after="283"/>
              <w:jc w:val="right"/>
              <w:rPr/>
            </w:pPr>
            <w:r>
              <w:rPr/>
              <w:t>(2,884,313</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26,380,816</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1,027,439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85" w:type="dxa"/>
            <w:tcBorders/>
            <w:shd w:fill="CCEEFF" w:val="clear"/>
            <w:vAlign w:val="center"/>
          </w:tcPr>
          <w:p>
            <w:pPr>
              <w:pStyle w:val="TableContents"/>
              <w:spacing w:before="0" w:after="283"/>
              <w:jc w:val="right"/>
              <w:rPr/>
            </w:pPr>
            <w:r>
              <w:rPr/>
              <w:t>(2,712,552</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88,665,642</w:t>
            </w:r>
          </w:p>
        </w:tc>
        <w:tc>
          <w:tcPr>
            <w:tcW w:w="170" w:type="dxa"/>
            <w:tcBorders/>
            <w:shd w:fill="CCEEFF" w:val="clear"/>
            <w:vAlign w:val="center"/>
          </w:tcPr>
          <w:p>
            <w:pPr>
              <w:pStyle w:val="TableContents"/>
              <w:spacing w:before="0" w:after="0"/>
              <w:ind w:left="0" w:right="0" w:hanging="0"/>
              <w:rPr/>
            </w:pPr>
            <w:r>
              <w:rPr/>
              <w:t> </w:t>
            </w:r>
          </w:p>
        </w:tc>
      </w:tr>
      <w:tr>
        <w:trPr/>
        <w:tc>
          <w:tcPr>
            <w:tcW w:w="1385" w:type="dxa"/>
            <w:tcBorders/>
            <w:shd w:fill="FFFFFF" w:val="clear"/>
            <w:vAlign w:val="center"/>
          </w:tcPr>
          <w:p>
            <w:pPr>
              <w:pStyle w:val="TableContents"/>
              <w:spacing w:before="0" w:after="0"/>
              <w:ind w:left="0" w:right="0" w:hanging="0"/>
              <w:rPr/>
            </w:pPr>
            <w:r>
              <w:rPr/>
              <w:t>Stock-based compensation</w:t>
            </w:r>
          </w:p>
        </w:tc>
        <w:tc>
          <w:tcPr>
            <w:tcW w:w="90" w:type="dxa"/>
            <w:tcBorders/>
            <w:shd w:fill="FFFFFF" w:val="clear"/>
            <w:vAlign w:val="center"/>
          </w:tcPr>
          <w:p>
            <w:pPr>
              <w:pStyle w:val="TableContents"/>
              <w:spacing w:before="0" w:after="0"/>
              <w:ind w:left="0" w:right="0" w:hanging="0"/>
              <w:rPr/>
            </w:pPr>
            <w:r>
              <w:rPr/>
              <w:t> </w:t>
            </w:r>
          </w:p>
        </w:tc>
        <w:tc>
          <w:tcPr>
            <w:tcW w:w="309" w:type="dxa"/>
            <w:tcBorders/>
            <w:shd w:fill="FFFFFF" w:val="clear"/>
            <w:vAlign w:val="center"/>
          </w:tcPr>
          <w:p>
            <w:pPr>
              <w:pStyle w:val="TableContents"/>
              <w:spacing w:before="0" w:after="0"/>
              <w:ind w:left="0" w:right="0" w:hanging="0"/>
              <w:rPr/>
            </w:pPr>
            <w:r>
              <w:rPr/>
              <w:t> </w:t>
            </w:r>
          </w:p>
        </w:tc>
        <w:tc>
          <w:tcPr>
            <w:tcW w:w="431" w:type="dxa"/>
            <w:tcBorders/>
            <w:shd w:fill="FFFFFF" w:val="clear"/>
            <w:vAlign w:val="center"/>
          </w:tcPr>
          <w:p>
            <w:pPr>
              <w:pStyle w:val="TableContents"/>
              <w:spacing w:before="0" w:after="283"/>
              <w:jc w:val="right"/>
              <w:rPr/>
            </w:pPr>
            <w:r>
              <w:rPr/>
              <w:t>-</w:t>
            </w:r>
          </w:p>
        </w:tc>
        <w:tc>
          <w:tcPr>
            <w:tcW w:w="127" w:type="dxa"/>
            <w:tcBorders/>
            <w:shd w:fill="FFFFFF" w:val="clear"/>
            <w:vAlign w:val="center"/>
          </w:tcPr>
          <w:p>
            <w:pPr>
              <w:pStyle w:val="TableContents"/>
              <w:spacing w:before="0" w:after="0"/>
              <w:ind w:left="0" w:right="0" w:hanging="0"/>
              <w:rPr/>
            </w:pPr>
            <w:r>
              <w:rPr/>
              <w:t> </w:t>
            </w:r>
          </w:p>
        </w:tc>
        <w:tc>
          <w:tcPr>
            <w:tcW w:w="127" w:type="dxa"/>
            <w:tcBorders/>
            <w:shd w:fill="FFFFFF" w:val="clear"/>
            <w:vAlign w:val="center"/>
          </w:tcPr>
          <w:p>
            <w:pPr>
              <w:pStyle w:val="TableContents"/>
              <w:spacing w:before="0" w:after="0"/>
              <w:ind w:left="0" w:right="0" w:hanging="0"/>
              <w:rPr/>
            </w:pPr>
            <w:r>
              <w:rPr/>
              <w:t> </w:t>
            </w:r>
          </w:p>
        </w:tc>
        <w:tc>
          <w:tcPr>
            <w:tcW w:w="508" w:type="dxa"/>
            <w:tcBorders/>
            <w:shd w:fill="FFFFFF" w:val="clear"/>
            <w:vAlign w:val="center"/>
          </w:tcPr>
          <w:p>
            <w:pPr>
              <w:pStyle w:val="TableContents"/>
              <w:spacing w:before="0" w:after="0"/>
              <w:ind w:left="0" w:right="0" w:hanging="0"/>
              <w:rPr/>
            </w:pPr>
            <w:r>
              <w:rPr/>
              <w:t> </w:t>
            </w:r>
          </w:p>
        </w:tc>
        <w:tc>
          <w:tcPr>
            <w:tcW w:w="382" w:type="dxa"/>
            <w:tcBorders/>
            <w:shd w:fill="FFFFFF" w:val="cle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1,501,377</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5" w:type="dxa"/>
            <w:tcBorders/>
            <w:shd w:fill="FFFFFF" w:val="clear"/>
            <w:vAlign w:val="center"/>
          </w:tcPr>
          <w:p>
            <w:pPr>
              <w:pStyle w:val="TableContents"/>
              <w:spacing w:before="0" w:after="0"/>
              <w:ind w:left="0" w:right="0" w:hanging="0"/>
              <w:rPr/>
            </w:pPr>
            <w:r>
              <w:rPr/>
              <w:t> </w:t>
            </w:r>
          </w:p>
        </w:tc>
        <w:tc>
          <w:tcPr>
            <w:tcW w:w="1185"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85"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1,501,377</w:t>
            </w:r>
          </w:p>
        </w:tc>
        <w:tc>
          <w:tcPr>
            <w:tcW w:w="170" w:type="dxa"/>
            <w:tcBorders/>
            <w:shd w:fill="FFFFFF" w:val="clear"/>
            <w:vAlign w:val="center"/>
          </w:tcPr>
          <w:p>
            <w:pPr>
              <w:pStyle w:val="TableContents"/>
              <w:spacing w:before="0" w:after="0"/>
              <w:ind w:left="0" w:right="0" w:hanging="0"/>
              <w:rPr/>
            </w:pPr>
            <w:r>
              <w:rPr/>
              <w:t> </w:t>
            </w:r>
          </w:p>
        </w:tc>
      </w:tr>
      <w:tr>
        <w:trPr/>
        <w:tc>
          <w:tcPr>
            <w:tcW w:w="1385" w:type="dxa"/>
            <w:tcBorders/>
            <w:shd w:fill="CCEEFF" w:val="clear"/>
            <w:vAlign w:val="center"/>
          </w:tcPr>
          <w:p>
            <w:pPr>
              <w:pStyle w:val="TableContents"/>
              <w:spacing w:before="0" w:after="0"/>
              <w:ind w:left="0" w:right="0" w:hanging="0"/>
              <w:rPr/>
            </w:pPr>
            <w:r>
              <w:rPr/>
              <w:t>Vesting of restricted stock awards</w:t>
            </w:r>
          </w:p>
        </w:tc>
        <w:tc>
          <w:tcPr>
            <w:tcW w:w="90" w:type="dxa"/>
            <w:tcBorders/>
            <w:shd w:fill="CCEEFF" w:val="clear"/>
            <w:vAlign w:val="center"/>
          </w:tcPr>
          <w:p>
            <w:pPr>
              <w:pStyle w:val="TableContents"/>
              <w:spacing w:before="0" w:after="0"/>
              <w:ind w:left="0" w:right="0" w:hanging="0"/>
              <w:rPr/>
            </w:pPr>
            <w:r>
              <w:rPr/>
              <w:t> </w:t>
            </w:r>
          </w:p>
        </w:tc>
        <w:tc>
          <w:tcPr>
            <w:tcW w:w="309" w:type="dxa"/>
            <w:tcBorders/>
            <w:shd w:fill="CCEEFF" w:val="clear"/>
            <w:vAlign w:val="center"/>
          </w:tcPr>
          <w:p>
            <w:pPr>
              <w:pStyle w:val="TableContents"/>
              <w:spacing w:before="0" w:after="0"/>
              <w:ind w:left="0" w:right="0" w:hanging="0"/>
              <w:rPr/>
            </w:pPr>
            <w:r>
              <w:rPr/>
              <w:t> </w:t>
            </w:r>
          </w:p>
        </w:tc>
        <w:tc>
          <w:tcPr>
            <w:tcW w:w="431" w:type="dxa"/>
            <w:tcBorders/>
            <w:shd w:fill="CCEEFF" w:val="clear"/>
            <w:vAlign w:val="center"/>
          </w:tcPr>
          <w:p>
            <w:pPr>
              <w:pStyle w:val="TableContents"/>
              <w:spacing w:before="0" w:after="283"/>
              <w:jc w:val="right"/>
              <w:rPr/>
            </w:pPr>
            <w:r>
              <w:rPr/>
              <w:t>-</w:t>
            </w:r>
          </w:p>
        </w:tc>
        <w:tc>
          <w:tcPr>
            <w:tcW w:w="127" w:type="dxa"/>
            <w:tcBorders/>
            <w:shd w:fill="CCEEFF" w:val="clear"/>
            <w:vAlign w:val="center"/>
          </w:tcPr>
          <w:p>
            <w:pPr>
              <w:pStyle w:val="TableContents"/>
              <w:spacing w:before="0" w:after="0"/>
              <w:ind w:left="0" w:right="0" w:hanging="0"/>
              <w:rPr/>
            </w:pPr>
            <w:r>
              <w:rPr/>
              <w:t> </w:t>
            </w:r>
          </w:p>
        </w:tc>
        <w:tc>
          <w:tcPr>
            <w:tcW w:w="127" w:type="dxa"/>
            <w:tcBorders/>
            <w:shd w:fill="CCEEFF" w:val="clear"/>
            <w:vAlign w:val="center"/>
          </w:tcPr>
          <w:p>
            <w:pPr>
              <w:pStyle w:val="TableContents"/>
              <w:spacing w:before="0" w:after="0"/>
              <w:ind w:left="0" w:right="0" w:hanging="0"/>
              <w:rPr/>
            </w:pPr>
            <w:r>
              <w:rPr/>
              <w:t> </w:t>
            </w:r>
          </w:p>
        </w:tc>
        <w:tc>
          <w:tcPr>
            <w:tcW w:w="508" w:type="dxa"/>
            <w:tcBorders/>
            <w:shd w:fill="CCEEFF" w:val="clear"/>
            <w:vAlign w:val="center"/>
          </w:tcPr>
          <w:p>
            <w:pPr>
              <w:pStyle w:val="TableContents"/>
              <w:spacing w:before="0" w:after="0"/>
              <w:ind w:left="0" w:right="0" w:hanging="0"/>
              <w:rPr/>
            </w:pPr>
            <w:r>
              <w:rPr/>
              <w:t> </w:t>
            </w:r>
          </w:p>
        </w:tc>
        <w:tc>
          <w:tcPr>
            <w:tcW w:w="382"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58,246</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580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(580</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85" w:type="dxa"/>
            <w:tcBorders/>
            <w:shd w:fill="CCEEFF" w:val="clear"/>
            <w:vAlign w:val="center"/>
          </w:tcPr>
          <w:p>
            <w:pPr>
              <w:pStyle w:val="TableContents"/>
              <w:spacing w:before="0" w:after="0"/>
              <w:ind w:left="0" w:right="0" w:hanging="0"/>
              <w:rPr/>
            </w:pPr>
            <w:r>
              <w:rPr/>
              <w:t> </w:t>
            </w:r>
          </w:p>
        </w:tc>
        <w:tc>
          <w:tcPr>
            <w:tcW w:w="1185"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85"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w:t>
            </w:r>
          </w:p>
        </w:tc>
        <w:tc>
          <w:tcPr>
            <w:tcW w:w="170" w:type="dxa"/>
            <w:tcBorders/>
            <w:shd w:fill="CCEEFF" w:val="clear"/>
            <w:vAlign w:val="center"/>
          </w:tcPr>
          <w:p>
            <w:pPr>
              <w:pStyle w:val="TableContents"/>
              <w:spacing w:before="0" w:after="0"/>
              <w:ind w:left="0" w:right="0" w:hanging="0"/>
              <w:rPr/>
            </w:pPr>
            <w:r>
              <w:rPr/>
              <w:t> </w:t>
            </w:r>
          </w:p>
        </w:tc>
      </w:tr>
      <w:tr>
        <w:trPr/>
        <w:tc>
          <w:tcPr>
            <w:tcW w:w="1385" w:type="dxa"/>
            <w:tcBorders/>
            <w:shd w:fill="FFFFFF" w:val="clear"/>
            <w:vAlign w:val="center"/>
          </w:tcPr>
          <w:p>
            <w:pPr>
              <w:pStyle w:val="TableContents"/>
              <w:spacing w:before="0" w:after="0"/>
              <w:ind w:left="0" w:right="0" w:hanging="0"/>
              <w:rPr/>
            </w:pPr>
            <w:r>
              <w:rPr/>
              <w:t>Shares deducted from restricted stock</w:t>
            </w:r>
          </w:p>
        </w:tc>
        <w:tc>
          <w:tcPr>
            <w:tcW w:w="90" w:type="dxa"/>
            <w:tcBorders/>
            <w:shd w:fill="FFFFFF" w:val="clear"/>
            <w:vAlign w:val="center"/>
          </w:tcPr>
          <w:p>
            <w:pPr>
              <w:pStyle w:val="TableContents"/>
              <w:spacing w:before="0" w:after="0"/>
              <w:ind w:left="0" w:right="0" w:hanging="0"/>
              <w:rPr/>
            </w:pPr>
            <w:r>
              <w:rPr/>
              <w:t> </w:t>
            </w:r>
          </w:p>
        </w:tc>
        <w:tc>
          <w:tcPr>
            <w:tcW w:w="309" w:type="dxa"/>
            <w:tcBorders/>
            <w:shd w:fill="FFFFFF" w:val="clear"/>
            <w:vAlign w:val="center"/>
          </w:tcPr>
          <w:p>
            <w:pPr>
              <w:pStyle w:val="TableContents"/>
              <w:spacing w:before="0" w:after="0"/>
              <w:ind w:left="0" w:right="0" w:hanging="0"/>
              <w:rPr/>
            </w:pPr>
            <w:r>
              <w:rPr/>
              <w:t> </w:t>
            </w:r>
          </w:p>
        </w:tc>
        <w:tc>
          <w:tcPr>
            <w:tcW w:w="431" w:type="dxa"/>
            <w:tcBorders/>
            <w:shd w:fill="FFFFFF" w:val="clear"/>
            <w:vAlign w:val="center"/>
          </w:tcPr>
          <w:p>
            <w:pPr>
              <w:pStyle w:val="TableContents"/>
              <w:spacing w:before="0" w:after="0"/>
              <w:ind w:left="0" w:right="0" w:hanging="0"/>
              <w:rPr/>
            </w:pPr>
            <w:r>
              <w:rPr/>
              <w:t> </w:t>
            </w:r>
          </w:p>
        </w:tc>
        <w:tc>
          <w:tcPr>
            <w:tcW w:w="127" w:type="dxa"/>
            <w:tcBorders/>
            <w:shd w:fill="FFFFFF" w:val="clear"/>
            <w:vAlign w:val="center"/>
          </w:tcPr>
          <w:p>
            <w:pPr>
              <w:pStyle w:val="TableContents"/>
              <w:spacing w:before="0" w:after="0"/>
              <w:ind w:left="0" w:right="0" w:hanging="0"/>
              <w:rPr/>
            </w:pPr>
            <w:r>
              <w:rPr/>
              <w:t> </w:t>
            </w:r>
          </w:p>
        </w:tc>
        <w:tc>
          <w:tcPr>
            <w:tcW w:w="127" w:type="dxa"/>
            <w:tcBorders/>
            <w:shd w:fill="FFFFFF" w:val="clear"/>
            <w:vAlign w:val="center"/>
          </w:tcPr>
          <w:p>
            <w:pPr>
              <w:pStyle w:val="TableContents"/>
              <w:spacing w:before="0" w:after="0"/>
              <w:ind w:left="0" w:right="0" w:hanging="0"/>
              <w:rPr/>
            </w:pPr>
            <w:r>
              <w:rPr/>
              <w:t> </w:t>
            </w:r>
          </w:p>
        </w:tc>
        <w:tc>
          <w:tcPr>
            <w:tcW w:w="508" w:type="dxa"/>
            <w:tcBorders/>
            <w:shd w:fill="FFFFFF" w:val="clear"/>
            <w:vAlign w:val="center"/>
          </w:tcPr>
          <w:p>
            <w:pPr>
              <w:pStyle w:val="TableContents"/>
              <w:spacing w:before="0" w:after="0"/>
              <w:ind w:left="0" w:right="0" w:hanging="0"/>
              <w:rPr/>
            </w:pPr>
            <w:r>
              <w:rPr/>
              <w:t> </w:t>
            </w:r>
          </w:p>
        </w:tc>
        <w:tc>
          <w:tcPr>
            <w:tcW w:w="382"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5" w:type="dxa"/>
            <w:tcBorders/>
            <w:shd w:fill="FFFFFF" w:val="clear"/>
            <w:vAlign w:val="center"/>
          </w:tcPr>
          <w:p>
            <w:pPr>
              <w:pStyle w:val="TableContents"/>
              <w:spacing w:before="0" w:after="0"/>
              <w:ind w:left="0" w:right="0" w:hanging="0"/>
              <w:rPr/>
            </w:pPr>
            <w:r>
              <w:rPr/>
              <w:t> </w:t>
            </w:r>
          </w:p>
        </w:tc>
        <w:tc>
          <w:tcPr>
            <w:tcW w:w="118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8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1385" w:type="dxa"/>
            <w:tcBorders/>
            <w:shd w:fill="CCEEFF" w:val="clear"/>
            <w:vAlign w:val="center"/>
          </w:tcPr>
          <w:p>
            <w:pPr>
              <w:pStyle w:val="TableContents"/>
              <w:spacing w:before="0" w:after="0"/>
              <w:ind w:left="0" w:right="0" w:firstLine="180"/>
              <w:rPr/>
            </w:pPr>
            <w:r>
              <w:rPr/>
              <w:t>awards for payment of withholding taxes</w:t>
            </w:r>
          </w:p>
        </w:tc>
        <w:tc>
          <w:tcPr>
            <w:tcW w:w="90" w:type="dxa"/>
            <w:tcBorders/>
            <w:shd w:fill="CCEEFF" w:val="clear"/>
            <w:vAlign w:val="center"/>
          </w:tcPr>
          <w:p>
            <w:pPr>
              <w:pStyle w:val="TableContents"/>
              <w:spacing w:before="0" w:after="0"/>
              <w:ind w:left="0" w:right="0" w:hanging="0"/>
              <w:rPr/>
            </w:pPr>
            <w:r>
              <w:rPr/>
              <w:t> </w:t>
            </w:r>
          </w:p>
        </w:tc>
        <w:tc>
          <w:tcPr>
            <w:tcW w:w="309" w:type="dxa"/>
            <w:tcBorders/>
            <w:shd w:fill="CCEEFF" w:val="clear"/>
            <w:vAlign w:val="center"/>
          </w:tcPr>
          <w:p>
            <w:pPr>
              <w:pStyle w:val="TableContents"/>
              <w:spacing w:before="0" w:after="0"/>
              <w:ind w:left="0" w:right="0" w:hanging="0"/>
              <w:rPr/>
            </w:pPr>
            <w:r>
              <w:rPr/>
              <w:t> </w:t>
            </w:r>
          </w:p>
        </w:tc>
        <w:tc>
          <w:tcPr>
            <w:tcW w:w="431" w:type="dxa"/>
            <w:tcBorders/>
            <w:shd w:fill="CCEEFF" w:val="clear"/>
            <w:vAlign w:val="center"/>
          </w:tcPr>
          <w:p>
            <w:pPr>
              <w:pStyle w:val="TableContents"/>
              <w:spacing w:before="0" w:after="283"/>
              <w:jc w:val="right"/>
              <w:rPr/>
            </w:pPr>
            <w:r>
              <w:rPr/>
              <w:t>-</w:t>
            </w:r>
          </w:p>
        </w:tc>
        <w:tc>
          <w:tcPr>
            <w:tcW w:w="127" w:type="dxa"/>
            <w:tcBorders/>
            <w:shd w:fill="CCEEFF" w:val="clear"/>
            <w:vAlign w:val="center"/>
          </w:tcPr>
          <w:p>
            <w:pPr>
              <w:pStyle w:val="TableContents"/>
              <w:spacing w:before="0" w:after="0"/>
              <w:ind w:left="0" w:right="0" w:hanging="0"/>
              <w:rPr/>
            </w:pPr>
            <w:r>
              <w:rPr/>
              <w:t> </w:t>
            </w:r>
          </w:p>
        </w:tc>
        <w:tc>
          <w:tcPr>
            <w:tcW w:w="127" w:type="dxa"/>
            <w:tcBorders/>
            <w:shd w:fill="CCEEFF" w:val="clear"/>
            <w:vAlign w:val="center"/>
          </w:tcPr>
          <w:p>
            <w:pPr>
              <w:pStyle w:val="TableContents"/>
              <w:spacing w:before="0" w:after="0"/>
              <w:ind w:left="0" w:right="0" w:hanging="0"/>
              <w:rPr/>
            </w:pPr>
            <w:r>
              <w:rPr/>
              <w:t> </w:t>
            </w:r>
          </w:p>
        </w:tc>
        <w:tc>
          <w:tcPr>
            <w:tcW w:w="508" w:type="dxa"/>
            <w:tcBorders/>
            <w:shd w:fill="CCEEFF" w:val="clear"/>
            <w:vAlign w:val="center"/>
          </w:tcPr>
          <w:p>
            <w:pPr>
              <w:pStyle w:val="TableContents"/>
              <w:spacing w:before="0" w:after="0"/>
              <w:ind w:left="0" w:right="0" w:hanging="0"/>
              <w:rPr/>
            </w:pPr>
            <w:r>
              <w:rPr/>
              <w:t> </w:t>
            </w:r>
          </w:p>
        </w:tc>
        <w:tc>
          <w:tcPr>
            <w:tcW w:w="382"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(11,505</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(113</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(154,339</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85" w:type="dxa"/>
            <w:tcBorders/>
            <w:shd w:fill="CCEEFF" w:val="clear"/>
            <w:vAlign w:val="center"/>
          </w:tcPr>
          <w:p>
            <w:pPr>
              <w:pStyle w:val="TableContents"/>
              <w:spacing w:before="0" w:after="0"/>
              <w:ind w:left="0" w:right="0" w:hanging="0"/>
              <w:rPr/>
            </w:pPr>
            <w:r>
              <w:rPr/>
              <w:t> </w:t>
            </w:r>
          </w:p>
        </w:tc>
        <w:tc>
          <w:tcPr>
            <w:tcW w:w="1185"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85"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(154,452</w:t>
            </w:r>
          </w:p>
        </w:tc>
        <w:tc>
          <w:tcPr>
            <w:tcW w:w="170" w:type="dxa"/>
            <w:tcBorders/>
            <w:shd w:fill="CCEEFF" w:val="clear"/>
            <w:vAlign w:val="center"/>
          </w:tcPr>
          <w:p>
            <w:pPr>
              <w:pStyle w:val="TableContents"/>
              <w:spacing w:before="0" w:after="283"/>
              <w:rPr/>
            </w:pPr>
            <w:r>
              <w:rPr/>
              <w:t>)</w:t>
            </w:r>
          </w:p>
        </w:tc>
      </w:tr>
      <w:tr>
        <w:trPr/>
        <w:tc>
          <w:tcPr>
            <w:tcW w:w="1385" w:type="dxa"/>
            <w:tcBorders/>
            <w:shd w:fill="FFFFFF" w:val="clear"/>
            <w:vAlign w:val="center"/>
          </w:tcPr>
          <w:p>
            <w:pPr>
              <w:pStyle w:val="TableContents"/>
              <w:spacing w:before="0" w:after="0"/>
              <w:ind w:left="0" w:right="0" w:hanging="0"/>
              <w:rPr/>
            </w:pPr>
            <w:r>
              <w:rPr/>
              <w:t>Exercise of stock options</w:t>
            </w:r>
          </w:p>
        </w:tc>
        <w:tc>
          <w:tcPr>
            <w:tcW w:w="90" w:type="dxa"/>
            <w:tcBorders/>
            <w:shd w:fill="FFFFFF" w:val="clear"/>
            <w:vAlign w:val="center"/>
          </w:tcPr>
          <w:p>
            <w:pPr>
              <w:pStyle w:val="TableContents"/>
              <w:spacing w:before="0" w:after="0"/>
              <w:ind w:left="0" w:right="0" w:hanging="0"/>
              <w:rPr/>
            </w:pPr>
            <w:r>
              <w:rPr/>
              <w:t> </w:t>
            </w:r>
          </w:p>
        </w:tc>
        <w:tc>
          <w:tcPr>
            <w:tcW w:w="309" w:type="dxa"/>
            <w:tcBorders/>
            <w:shd w:fill="FFFFFF" w:val="clear"/>
            <w:vAlign w:val="center"/>
          </w:tcPr>
          <w:p>
            <w:pPr>
              <w:pStyle w:val="TableContents"/>
              <w:spacing w:before="0" w:after="0"/>
              <w:ind w:left="0" w:right="0" w:hanging="0"/>
              <w:rPr/>
            </w:pPr>
            <w:r>
              <w:rPr/>
              <w:t> </w:t>
            </w:r>
          </w:p>
        </w:tc>
        <w:tc>
          <w:tcPr>
            <w:tcW w:w="431" w:type="dxa"/>
            <w:tcBorders/>
            <w:shd w:fill="FFFFFF" w:val="clear"/>
            <w:vAlign w:val="center"/>
          </w:tcPr>
          <w:p>
            <w:pPr>
              <w:pStyle w:val="TableContents"/>
              <w:spacing w:before="0" w:after="283"/>
              <w:jc w:val="right"/>
              <w:rPr/>
            </w:pPr>
            <w:r>
              <w:rPr/>
              <w:t>-</w:t>
            </w:r>
          </w:p>
        </w:tc>
        <w:tc>
          <w:tcPr>
            <w:tcW w:w="127" w:type="dxa"/>
            <w:tcBorders/>
            <w:shd w:fill="FFFFFF" w:val="clear"/>
            <w:vAlign w:val="center"/>
          </w:tcPr>
          <w:p>
            <w:pPr>
              <w:pStyle w:val="TableContents"/>
              <w:spacing w:before="0" w:after="0"/>
              <w:ind w:left="0" w:right="0" w:hanging="0"/>
              <w:rPr/>
            </w:pPr>
            <w:r>
              <w:rPr/>
              <w:t> </w:t>
            </w:r>
          </w:p>
        </w:tc>
        <w:tc>
          <w:tcPr>
            <w:tcW w:w="127" w:type="dxa"/>
            <w:tcBorders/>
            <w:shd w:fill="FFFFFF" w:val="clear"/>
            <w:vAlign w:val="center"/>
          </w:tcPr>
          <w:p>
            <w:pPr>
              <w:pStyle w:val="TableContents"/>
              <w:spacing w:before="0" w:after="0"/>
              <w:ind w:left="0" w:right="0" w:hanging="0"/>
              <w:rPr/>
            </w:pPr>
            <w:r>
              <w:rPr/>
              <w:t> </w:t>
            </w:r>
          </w:p>
        </w:tc>
        <w:tc>
          <w:tcPr>
            <w:tcW w:w="508" w:type="dxa"/>
            <w:tcBorders/>
            <w:shd w:fill="FFFFFF" w:val="clear"/>
            <w:vAlign w:val="center"/>
          </w:tcPr>
          <w:p>
            <w:pPr>
              <w:pStyle w:val="TableContents"/>
              <w:spacing w:before="0" w:after="0"/>
              <w:ind w:left="0" w:right="0" w:hanging="0"/>
              <w:rPr/>
            </w:pPr>
            <w:r>
              <w:rPr/>
              <w:t> </w:t>
            </w:r>
          </w:p>
        </w:tc>
        <w:tc>
          <w:tcPr>
            <w:tcW w:w="382" w:type="dxa"/>
            <w:tcBorders/>
            <w:shd w:fill="FFFFFF" w:val="cle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3,000</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30</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23,520</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5" w:type="dxa"/>
            <w:tcBorders/>
            <w:shd w:fill="FFFFFF" w:val="clear"/>
            <w:vAlign w:val="center"/>
          </w:tcPr>
          <w:p>
            <w:pPr>
              <w:pStyle w:val="TableContents"/>
              <w:spacing w:before="0" w:after="0"/>
              <w:ind w:left="0" w:right="0" w:hanging="0"/>
              <w:rPr/>
            </w:pPr>
            <w:r>
              <w:rPr/>
              <w:t> </w:t>
            </w:r>
          </w:p>
        </w:tc>
        <w:tc>
          <w:tcPr>
            <w:tcW w:w="1185"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85"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23,550</w:t>
            </w:r>
          </w:p>
        </w:tc>
        <w:tc>
          <w:tcPr>
            <w:tcW w:w="170" w:type="dxa"/>
            <w:tcBorders/>
            <w:shd w:fill="FFFFFF" w:val="clear"/>
            <w:vAlign w:val="center"/>
          </w:tcPr>
          <w:p>
            <w:pPr>
              <w:pStyle w:val="TableContents"/>
              <w:spacing w:before="0" w:after="0"/>
              <w:ind w:left="0" w:right="0" w:hanging="0"/>
              <w:rPr/>
            </w:pPr>
            <w:r>
              <w:rPr/>
              <w:t> </w:t>
            </w:r>
          </w:p>
        </w:tc>
      </w:tr>
      <w:tr>
        <w:trPr/>
        <w:tc>
          <w:tcPr>
            <w:tcW w:w="1385" w:type="dxa"/>
            <w:tcBorders/>
            <w:shd w:fill="CCEEFF" w:val="clear"/>
            <w:vAlign w:val="center"/>
          </w:tcPr>
          <w:p>
            <w:pPr>
              <w:pStyle w:val="TableContents"/>
              <w:spacing w:before="0" w:after="0"/>
              <w:ind w:left="0" w:right="0" w:hanging="0"/>
              <w:rPr/>
            </w:pPr>
            <w:r>
              <w:rPr/>
              <w:t>Dividends</w:t>
            </w:r>
          </w:p>
        </w:tc>
        <w:tc>
          <w:tcPr>
            <w:tcW w:w="90" w:type="dxa"/>
            <w:tcBorders/>
            <w:shd w:fill="CCEEFF" w:val="clear"/>
            <w:vAlign w:val="center"/>
          </w:tcPr>
          <w:p>
            <w:pPr>
              <w:pStyle w:val="TableContents"/>
              <w:spacing w:before="0" w:after="0"/>
              <w:ind w:left="0" w:right="0" w:hanging="0"/>
              <w:rPr/>
            </w:pPr>
            <w:r>
              <w:rPr/>
              <w:t> </w:t>
            </w:r>
          </w:p>
        </w:tc>
        <w:tc>
          <w:tcPr>
            <w:tcW w:w="309" w:type="dxa"/>
            <w:tcBorders/>
            <w:shd w:fill="CCEEFF" w:val="clear"/>
            <w:vAlign w:val="center"/>
          </w:tcPr>
          <w:p>
            <w:pPr>
              <w:pStyle w:val="TableContents"/>
              <w:spacing w:before="0" w:after="0"/>
              <w:ind w:left="0" w:right="0" w:hanging="0"/>
              <w:rPr/>
            </w:pPr>
            <w:r>
              <w:rPr/>
              <w:t> </w:t>
            </w:r>
          </w:p>
        </w:tc>
        <w:tc>
          <w:tcPr>
            <w:tcW w:w="431" w:type="dxa"/>
            <w:tcBorders/>
            <w:shd w:fill="CCEEFF" w:val="clear"/>
            <w:vAlign w:val="center"/>
          </w:tcPr>
          <w:p>
            <w:pPr>
              <w:pStyle w:val="TableContents"/>
              <w:spacing w:before="0" w:after="283"/>
              <w:jc w:val="right"/>
              <w:rPr/>
            </w:pPr>
            <w:r>
              <w:rPr/>
              <w:t>-</w:t>
            </w:r>
          </w:p>
        </w:tc>
        <w:tc>
          <w:tcPr>
            <w:tcW w:w="127" w:type="dxa"/>
            <w:tcBorders/>
            <w:shd w:fill="CCEEFF" w:val="clear"/>
            <w:vAlign w:val="center"/>
          </w:tcPr>
          <w:p>
            <w:pPr>
              <w:pStyle w:val="TableContents"/>
              <w:spacing w:before="0" w:after="0"/>
              <w:ind w:left="0" w:right="0" w:hanging="0"/>
              <w:rPr/>
            </w:pPr>
            <w:r>
              <w:rPr/>
              <w:t> </w:t>
            </w:r>
          </w:p>
        </w:tc>
        <w:tc>
          <w:tcPr>
            <w:tcW w:w="127" w:type="dxa"/>
            <w:tcBorders/>
            <w:shd w:fill="CCEEFF" w:val="clear"/>
            <w:vAlign w:val="center"/>
          </w:tcPr>
          <w:p>
            <w:pPr>
              <w:pStyle w:val="TableContents"/>
              <w:spacing w:before="0" w:after="0"/>
              <w:ind w:left="0" w:right="0" w:hanging="0"/>
              <w:rPr/>
            </w:pPr>
            <w:r>
              <w:rPr/>
              <w:t> </w:t>
            </w:r>
          </w:p>
        </w:tc>
        <w:tc>
          <w:tcPr>
            <w:tcW w:w="508" w:type="dxa"/>
            <w:tcBorders/>
            <w:shd w:fill="CCEEFF" w:val="clear"/>
            <w:vAlign w:val="center"/>
          </w:tcPr>
          <w:p>
            <w:pPr>
              <w:pStyle w:val="TableContents"/>
              <w:spacing w:before="0" w:after="0"/>
              <w:ind w:left="0" w:right="0" w:hanging="0"/>
              <w:rPr/>
            </w:pPr>
            <w:r>
              <w:rPr/>
              <w:t> </w:t>
            </w:r>
          </w:p>
        </w:tc>
        <w:tc>
          <w:tcPr>
            <w:tcW w:w="382"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5" w:type="dxa"/>
            <w:tcBorders/>
            <w:shd w:fill="CCEEFF" w:val="clear"/>
            <w:vAlign w:val="center"/>
          </w:tcPr>
          <w:p>
            <w:pPr>
              <w:pStyle w:val="TableContents"/>
              <w:spacing w:before="0" w:after="0"/>
              <w:ind w:left="0" w:right="0" w:hanging="0"/>
              <w:rPr/>
            </w:pPr>
            <w:r>
              <w:rPr/>
              <w:t> </w:t>
            </w:r>
          </w:p>
        </w:tc>
        <w:tc>
          <w:tcPr>
            <w:tcW w:w="1185"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(3,501,366</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85"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(3,501,366</w:t>
            </w:r>
          </w:p>
        </w:tc>
        <w:tc>
          <w:tcPr>
            <w:tcW w:w="170" w:type="dxa"/>
            <w:tcBorders/>
            <w:shd w:fill="CCEEFF" w:val="clear"/>
            <w:vAlign w:val="center"/>
          </w:tcPr>
          <w:p>
            <w:pPr>
              <w:pStyle w:val="TableContents"/>
              <w:spacing w:before="0" w:after="283"/>
              <w:rPr/>
            </w:pPr>
            <w:r>
              <w:rPr/>
              <w:t>)</w:t>
            </w:r>
          </w:p>
        </w:tc>
      </w:tr>
      <w:tr>
        <w:trPr/>
        <w:tc>
          <w:tcPr>
            <w:tcW w:w="1385" w:type="dxa"/>
            <w:tcBorders/>
            <w:shd w:fill="FFFFFF" w:val="clear"/>
            <w:vAlign w:val="center"/>
          </w:tcPr>
          <w:p>
            <w:pPr>
              <w:pStyle w:val="TableContents"/>
              <w:spacing w:before="0" w:after="0"/>
              <w:ind w:left="0" w:right="0" w:hanging="0"/>
              <w:rPr/>
            </w:pPr>
            <w:r>
              <w:rPr/>
              <w:t>Net loss</w:t>
            </w:r>
          </w:p>
        </w:tc>
        <w:tc>
          <w:tcPr>
            <w:tcW w:w="90" w:type="dxa"/>
            <w:tcBorders/>
            <w:shd w:fill="FFFFFF" w:val="clear"/>
            <w:vAlign w:val="center"/>
          </w:tcPr>
          <w:p>
            <w:pPr>
              <w:pStyle w:val="TableContents"/>
              <w:spacing w:before="0" w:after="0"/>
              <w:ind w:left="0" w:right="0" w:hanging="0"/>
              <w:rPr/>
            </w:pPr>
            <w:r>
              <w:rPr/>
              <w:t> </w:t>
            </w:r>
          </w:p>
        </w:tc>
        <w:tc>
          <w:tcPr>
            <w:tcW w:w="309" w:type="dxa"/>
            <w:tcBorders/>
            <w:shd w:fill="FFFFFF" w:val="clear"/>
            <w:vAlign w:val="center"/>
          </w:tcPr>
          <w:p>
            <w:pPr>
              <w:pStyle w:val="TableContents"/>
              <w:spacing w:before="0" w:after="0"/>
              <w:ind w:left="0" w:right="0" w:hanging="0"/>
              <w:rPr/>
            </w:pPr>
            <w:r>
              <w:rPr/>
              <w:t> </w:t>
            </w:r>
          </w:p>
        </w:tc>
        <w:tc>
          <w:tcPr>
            <w:tcW w:w="431" w:type="dxa"/>
            <w:tcBorders/>
            <w:shd w:fill="FFFFFF" w:val="clear"/>
            <w:vAlign w:val="center"/>
          </w:tcPr>
          <w:p>
            <w:pPr>
              <w:pStyle w:val="TableContents"/>
              <w:spacing w:before="0" w:after="283"/>
              <w:jc w:val="right"/>
              <w:rPr/>
            </w:pPr>
            <w:r>
              <w:rPr/>
              <w:t>-</w:t>
            </w:r>
          </w:p>
        </w:tc>
        <w:tc>
          <w:tcPr>
            <w:tcW w:w="127" w:type="dxa"/>
            <w:tcBorders/>
            <w:shd w:fill="FFFFFF" w:val="clear"/>
            <w:vAlign w:val="center"/>
          </w:tcPr>
          <w:p>
            <w:pPr>
              <w:pStyle w:val="TableContents"/>
              <w:spacing w:before="0" w:after="0"/>
              <w:ind w:left="0" w:right="0" w:hanging="0"/>
              <w:rPr/>
            </w:pPr>
            <w:r>
              <w:rPr/>
              <w:t> </w:t>
            </w:r>
          </w:p>
        </w:tc>
        <w:tc>
          <w:tcPr>
            <w:tcW w:w="127" w:type="dxa"/>
            <w:tcBorders/>
            <w:shd w:fill="FFFFFF" w:val="clear"/>
            <w:vAlign w:val="center"/>
          </w:tcPr>
          <w:p>
            <w:pPr>
              <w:pStyle w:val="TableContents"/>
              <w:spacing w:before="0" w:after="0"/>
              <w:ind w:left="0" w:right="0" w:hanging="0"/>
              <w:rPr/>
            </w:pPr>
            <w:r>
              <w:rPr/>
              <w:t> </w:t>
            </w:r>
          </w:p>
        </w:tc>
        <w:tc>
          <w:tcPr>
            <w:tcW w:w="508" w:type="dxa"/>
            <w:tcBorders/>
            <w:shd w:fill="FFFFFF" w:val="clear"/>
            <w:vAlign w:val="center"/>
          </w:tcPr>
          <w:p>
            <w:pPr>
              <w:pStyle w:val="TableContents"/>
              <w:spacing w:before="0" w:after="0"/>
              <w:ind w:left="0" w:right="0" w:hanging="0"/>
              <w:rPr/>
            </w:pPr>
            <w:r>
              <w:rPr/>
              <w:t> </w:t>
            </w:r>
          </w:p>
        </w:tc>
        <w:tc>
          <w:tcPr>
            <w:tcW w:w="382" w:type="dxa"/>
            <w:tcBorders/>
            <w:shd w:fill="FFFFFF" w:val="cle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5" w:type="dxa"/>
            <w:tcBorders/>
            <w:shd w:fill="FFFFFF" w:val="clear"/>
            <w:vAlign w:val="center"/>
          </w:tcPr>
          <w:p>
            <w:pPr>
              <w:pStyle w:val="TableContents"/>
              <w:spacing w:before="0" w:after="0"/>
              <w:ind w:left="0" w:right="0" w:hanging="0"/>
              <w:rPr/>
            </w:pPr>
            <w:r>
              <w:rPr/>
              <w:t> </w:t>
            </w:r>
          </w:p>
        </w:tc>
        <w:tc>
          <w:tcPr>
            <w:tcW w:w="1185"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(5,966,353</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85"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(5,966,353</w:t>
            </w:r>
          </w:p>
        </w:tc>
        <w:tc>
          <w:tcPr>
            <w:tcW w:w="170" w:type="dxa"/>
            <w:tcBorders/>
            <w:shd w:fill="FFFFFF" w:val="clear"/>
            <w:vAlign w:val="center"/>
          </w:tcPr>
          <w:p>
            <w:pPr>
              <w:pStyle w:val="TableContents"/>
              <w:spacing w:before="0" w:after="283"/>
              <w:rPr/>
            </w:pPr>
            <w:r>
              <w:rPr/>
              <w:t>)</w:t>
            </w:r>
          </w:p>
        </w:tc>
      </w:tr>
      <w:tr>
        <w:trPr/>
        <w:tc>
          <w:tcPr>
            <w:tcW w:w="1385" w:type="dxa"/>
            <w:tcBorders/>
            <w:shd w:fill="CCEEFF" w:val="clear"/>
            <w:vAlign w:val="center"/>
          </w:tcPr>
          <w:p>
            <w:pPr>
              <w:pStyle w:val="TableContents"/>
              <w:spacing w:before="0" w:after="0"/>
              <w:ind w:left="0" w:right="0" w:hanging="0"/>
              <w:rPr/>
            </w:pPr>
            <w:r>
              <w:rPr/>
              <w:t>Change in unrealized gains on available-</w:t>
            </w:r>
          </w:p>
        </w:tc>
        <w:tc>
          <w:tcPr>
            <w:tcW w:w="90" w:type="dxa"/>
            <w:tcBorders/>
            <w:shd w:fill="CCEEFF" w:val="clear"/>
            <w:vAlign w:val="center"/>
          </w:tcPr>
          <w:p>
            <w:pPr>
              <w:pStyle w:val="TableContents"/>
              <w:spacing w:before="0" w:after="0"/>
              <w:ind w:left="0" w:right="0" w:hanging="0"/>
              <w:rPr/>
            </w:pPr>
            <w:r>
              <w:rPr/>
              <w:t> </w:t>
            </w:r>
          </w:p>
        </w:tc>
        <w:tc>
          <w:tcPr>
            <w:tcW w:w="309" w:type="dxa"/>
            <w:tcBorders/>
            <w:shd w:fill="CCEEFF" w:val="clear"/>
            <w:vAlign w:val="center"/>
          </w:tcPr>
          <w:p>
            <w:pPr>
              <w:pStyle w:val="TableContents"/>
              <w:spacing w:before="0" w:after="0"/>
              <w:ind w:left="0" w:right="0" w:hanging="0"/>
              <w:rPr/>
            </w:pPr>
            <w:r>
              <w:rPr/>
              <w:t> </w:t>
            </w:r>
          </w:p>
        </w:tc>
        <w:tc>
          <w:tcPr>
            <w:tcW w:w="431" w:type="dxa"/>
            <w:tcBorders/>
            <w:shd w:fill="CCEEFF" w:val="clear"/>
            <w:vAlign w:val="center"/>
          </w:tcPr>
          <w:p>
            <w:pPr>
              <w:pStyle w:val="TableContents"/>
              <w:spacing w:before="0" w:after="0"/>
              <w:ind w:left="0" w:right="0" w:hanging="0"/>
              <w:rPr/>
            </w:pPr>
            <w:r>
              <w:rPr/>
              <w:t> </w:t>
            </w:r>
          </w:p>
        </w:tc>
        <w:tc>
          <w:tcPr>
            <w:tcW w:w="127" w:type="dxa"/>
            <w:tcBorders/>
            <w:shd w:fill="CCEEFF" w:val="clear"/>
            <w:vAlign w:val="center"/>
          </w:tcPr>
          <w:p>
            <w:pPr>
              <w:pStyle w:val="TableContents"/>
              <w:spacing w:before="0" w:after="0"/>
              <w:ind w:left="0" w:right="0" w:hanging="0"/>
              <w:rPr/>
            </w:pPr>
            <w:r>
              <w:rPr/>
              <w:t> </w:t>
            </w:r>
          </w:p>
        </w:tc>
        <w:tc>
          <w:tcPr>
            <w:tcW w:w="127" w:type="dxa"/>
            <w:tcBorders/>
            <w:shd w:fill="CCEEFF" w:val="clear"/>
            <w:vAlign w:val="center"/>
          </w:tcPr>
          <w:p>
            <w:pPr>
              <w:pStyle w:val="TableContents"/>
              <w:spacing w:before="0" w:after="0"/>
              <w:ind w:left="0" w:right="0" w:hanging="0"/>
              <w:rPr/>
            </w:pPr>
            <w:r>
              <w:rPr/>
              <w:t> </w:t>
            </w:r>
          </w:p>
        </w:tc>
        <w:tc>
          <w:tcPr>
            <w:tcW w:w="508" w:type="dxa"/>
            <w:tcBorders/>
            <w:shd w:fill="CCEEFF" w:val="clear"/>
            <w:vAlign w:val="center"/>
          </w:tcPr>
          <w:p>
            <w:pPr>
              <w:pStyle w:val="TableContents"/>
              <w:spacing w:before="0" w:after="0"/>
              <w:ind w:left="0" w:right="0" w:hanging="0"/>
              <w:rPr/>
            </w:pPr>
            <w:r>
              <w:rPr/>
              <w:t> </w:t>
            </w:r>
          </w:p>
        </w:tc>
        <w:tc>
          <w:tcPr>
            <w:tcW w:w="382"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5" w:type="dxa"/>
            <w:tcBorders/>
            <w:shd w:fill="CCEEFF" w:val="clear"/>
            <w:vAlign w:val="center"/>
          </w:tcPr>
          <w:p>
            <w:pPr>
              <w:pStyle w:val="TableContents"/>
              <w:spacing w:before="0" w:after="0"/>
              <w:ind w:left="0" w:right="0" w:hanging="0"/>
              <w:rPr/>
            </w:pPr>
            <w:r>
              <w:rPr/>
              <w:t> </w:t>
            </w:r>
          </w:p>
        </w:tc>
        <w:tc>
          <w:tcPr>
            <w:tcW w:w="118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8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1385" w:type="dxa"/>
            <w:tcBorders/>
            <w:shd w:fill="FFFFFF" w:val="clear"/>
            <w:vAlign w:val="center"/>
          </w:tcPr>
          <w:p>
            <w:pPr>
              <w:pStyle w:val="TableContents"/>
              <w:spacing w:before="0" w:after="0"/>
              <w:ind w:left="0" w:right="0" w:firstLine="180"/>
              <w:rPr/>
            </w:pPr>
            <w:r>
              <w:rPr/>
              <w:t>for-sale securities, net of tax</w:t>
            </w:r>
          </w:p>
        </w:tc>
        <w:tc>
          <w:tcPr>
            <w:tcW w:w="90" w:type="dxa"/>
            <w:tcBorders/>
            <w:shd w:fill="FFFFFF" w:val="clear"/>
            <w:vAlign w:val="center"/>
          </w:tcPr>
          <w:p>
            <w:pPr>
              <w:pStyle w:val="TableContents"/>
              <w:spacing w:before="0" w:after="0"/>
              <w:ind w:left="0" w:right="0" w:hanging="0"/>
              <w:rPr/>
            </w:pPr>
            <w:r>
              <w:rPr/>
              <w:t> </w:t>
            </w:r>
          </w:p>
        </w:tc>
        <w:tc>
          <w:tcPr>
            <w:tcW w:w="309"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431"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127" w:type="dxa"/>
            <w:tcBorders/>
            <w:shd w:fill="FFFFFF" w:val="clear"/>
            <w:vAlign w:val="center"/>
          </w:tcPr>
          <w:p>
            <w:pPr>
              <w:pStyle w:val="TableContents"/>
              <w:spacing w:before="0" w:after="0"/>
              <w:ind w:left="0" w:right="0" w:hanging="0"/>
              <w:rPr/>
            </w:pPr>
            <w:r>
              <w:rPr/>
              <w:t> </w:t>
            </w:r>
          </w:p>
        </w:tc>
        <w:tc>
          <w:tcPr>
            <w:tcW w:w="127" w:type="dxa"/>
            <w:tcBorders/>
            <w:shd w:fill="FFFFFF" w:val="clear"/>
            <w:vAlign w:val="center"/>
          </w:tcPr>
          <w:p>
            <w:pPr>
              <w:pStyle w:val="TableContents"/>
              <w:spacing w:before="0" w:after="0"/>
              <w:ind w:left="0" w:right="0" w:hanging="0"/>
              <w:rPr/>
            </w:pPr>
            <w:r>
              <w:rPr/>
              <w:t> </w:t>
            </w:r>
          </w:p>
        </w:tc>
        <w:tc>
          <w:tcPr>
            <w:tcW w:w="508"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382"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5"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85" w:type="dxa"/>
            <w:tcBorders>
              <w:bottom w:val="single" w:sz="2" w:space="0" w:color="000000"/>
            </w:tcBorders>
            <w:shd w:fill="FFFFFF" w:val="clear"/>
            <w:tcMar>
              <w:bottom w:w="28" w:type="dxa"/>
            </w:tcMar>
            <w:vAlign w:val="center"/>
          </w:tcPr>
          <w:p>
            <w:pPr>
              <w:pStyle w:val="TableContents"/>
              <w:spacing w:before="0" w:after="283"/>
              <w:jc w:val="right"/>
              <w:rPr/>
            </w:pPr>
            <w:r>
              <w:rPr/>
              <w:t>7,653,183</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85"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FFFFFF" w:val="clear"/>
            <w:tcMar>
              <w:bottom w:w="28" w:type="dxa"/>
            </w:tcMar>
            <w:vAlign w:val="center"/>
          </w:tcPr>
          <w:p>
            <w:pPr>
              <w:pStyle w:val="TableContents"/>
              <w:spacing w:before="0" w:after="283"/>
              <w:jc w:val="right"/>
              <w:rPr/>
            </w:pPr>
            <w:r>
              <w:rPr/>
              <w:t>7,653,183</w:t>
            </w:r>
          </w:p>
        </w:tc>
        <w:tc>
          <w:tcPr>
            <w:tcW w:w="170" w:type="dxa"/>
            <w:tcBorders/>
            <w:shd w:fill="FFFFFF" w:val="clear"/>
            <w:vAlign w:val="center"/>
          </w:tcPr>
          <w:p>
            <w:pPr>
              <w:pStyle w:val="TableContents"/>
              <w:spacing w:before="0" w:after="0"/>
              <w:ind w:left="0" w:right="0" w:hanging="0"/>
              <w:rPr/>
            </w:pPr>
            <w:r>
              <w:rPr/>
              <w:t> </w:t>
            </w:r>
          </w:p>
        </w:tc>
      </w:tr>
      <w:tr>
        <w:trPr/>
        <w:tc>
          <w:tcPr>
            <w:tcW w:w="1385" w:type="dxa"/>
            <w:tcBorders/>
            <w:shd w:fill="CCEEFF" w:val="clear"/>
            <w:vAlign w:val="center"/>
          </w:tcPr>
          <w:p>
            <w:pPr>
              <w:pStyle w:val="TableContents"/>
              <w:spacing w:before="0" w:after="0"/>
              <w:ind w:left="0" w:right="0" w:hanging="0"/>
              <w:rPr/>
            </w:pPr>
            <w:r>
              <w:rPr/>
              <w:t>Balance, December 31, 2019</w:t>
            </w:r>
          </w:p>
        </w:tc>
        <w:tc>
          <w:tcPr>
            <w:tcW w:w="90" w:type="dxa"/>
            <w:tcBorders/>
            <w:shd w:fill="CCEEFF" w:val="clear"/>
            <w:vAlign w:val="center"/>
          </w:tcPr>
          <w:p>
            <w:pPr>
              <w:pStyle w:val="TableContents"/>
              <w:spacing w:before="0" w:after="0"/>
              <w:ind w:left="0" w:right="0" w:hanging="0"/>
              <w:rPr/>
            </w:pPr>
            <w:r>
              <w:rPr/>
              <w:t> </w:t>
            </w:r>
          </w:p>
        </w:tc>
        <w:tc>
          <w:tcPr>
            <w:tcW w:w="309" w:type="dxa"/>
            <w:tcBorders/>
            <w:shd w:fill="CCEEFF" w:val="clear"/>
            <w:vAlign w:val="center"/>
          </w:tcPr>
          <w:p>
            <w:pPr>
              <w:pStyle w:val="TableContents"/>
              <w:spacing w:before="0" w:after="0"/>
              <w:ind w:left="0" w:right="0" w:hanging="0"/>
              <w:rPr/>
            </w:pPr>
            <w:r>
              <w:rPr/>
              <w:t> </w:t>
            </w:r>
          </w:p>
        </w:tc>
        <w:tc>
          <w:tcPr>
            <w:tcW w:w="431" w:type="dxa"/>
            <w:tcBorders/>
            <w:shd w:fill="CCEEFF" w:val="clear"/>
            <w:vAlign w:val="center"/>
          </w:tcPr>
          <w:p>
            <w:pPr>
              <w:pStyle w:val="TableContents"/>
              <w:spacing w:before="0" w:after="283"/>
              <w:jc w:val="right"/>
              <w:rPr/>
            </w:pPr>
            <w:r>
              <w:rPr/>
              <w:t>-</w:t>
            </w:r>
          </w:p>
        </w:tc>
        <w:tc>
          <w:tcPr>
            <w:tcW w:w="127" w:type="dxa"/>
            <w:tcBorders/>
            <w:shd w:fill="CCEEFF" w:val="clear"/>
            <w:vAlign w:val="center"/>
          </w:tcPr>
          <w:p>
            <w:pPr>
              <w:pStyle w:val="TableContents"/>
              <w:spacing w:before="0" w:after="0"/>
              <w:ind w:left="0" w:right="0" w:hanging="0"/>
              <w:rPr/>
            </w:pPr>
            <w:r>
              <w:rPr/>
              <w:t> </w:t>
            </w:r>
          </w:p>
        </w:tc>
        <w:tc>
          <w:tcPr>
            <w:tcW w:w="127" w:type="dxa"/>
            <w:tcBorders/>
            <w:shd w:fill="CCEEFF" w:val="clear"/>
            <w:vAlign w:val="center"/>
          </w:tcPr>
          <w:p>
            <w:pPr>
              <w:pStyle w:val="TableContents"/>
              <w:spacing w:before="0" w:after="0"/>
              <w:ind w:left="0" w:right="0" w:hanging="0"/>
              <w:rPr/>
            </w:pPr>
            <w:r>
              <w:rPr/>
              <w:t> </w:t>
            </w:r>
          </w:p>
        </w:tc>
        <w:tc>
          <w:tcPr>
            <w:tcW w:w="508" w:type="dxa"/>
            <w:tcBorders/>
            <w:shd w:fill="CCEEFF" w:val="clear"/>
            <w:vAlign w:val="center"/>
          </w:tcPr>
          <w:p>
            <w:pPr>
              <w:pStyle w:val="TableContents"/>
              <w:spacing w:before="0" w:after="0"/>
              <w:ind w:left="0" w:right="0" w:hanging="0"/>
              <w:rPr/>
            </w:pPr>
            <w:r>
              <w:rPr/>
              <w:t> </w:t>
            </w:r>
          </w:p>
        </w:tc>
        <w:tc>
          <w:tcPr>
            <w:tcW w:w="382"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11,824,889</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118,248</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69,133,918</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5" w:type="dxa"/>
            <w:tcBorders/>
            <w:shd w:fill="CCEEFF" w:val="clear"/>
            <w:vAlign w:val="center"/>
          </w:tcPr>
          <w:p>
            <w:pPr>
              <w:pStyle w:val="TableContents"/>
              <w:spacing w:before="0" w:after="0"/>
              <w:ind w:left="0" w:right="0" w:hanging="0"/>
              <w:rPr/>
            </w:pPr>
            <w:r>
              <w:rPr/>
              <w:t> </w:t>
            </w:r>
          </w:p>
        </w:tc>
        <w:tc>
          <w:tcPr>
            <w:tcW w:w="1185" w:type="dxa"/>
            <w:tcBorders/>
            <w:shd w:fill="CCEEFF" w:val="clear"/>
            <w:vAlign w:val="center"/>
          </w:tcPr>
          <w:p>
            <w:pPr>
              <w:pStyle w:val="TableContents"/>
              <w:spacing w:before="0" w:after="283"/>
              <w:jc w:val="right"/>
              <w:rPr/>
            </w:pPr>
            <w:r>
              <w:rPr/>
              <w:t>4,768,870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16,913,097</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1,027,439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85" w:type="dxa"/>
            <w:tcBorders/>
            <w:shd w:fill="CCEEFF" w:val="clear"/>
            <w:vAlign w:val="center"/>
          </w:tcPr>
          <w:p>
            <w:pPr>
              <w:pStyle w:val="TableContents"/>
              <w:spacing w:before="0" w:after="283"/>
              <w:jc w:val="right"/>
              <w:rPr/>
            </w:pPr>
            <w:r>
              <w:rPr/>
              <w:t>(2,712,552</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88,221,581</w:t>
            </w:r>
          </w:p>
        </w:tc>
        <w:tc>
          <w:tcPr>
            <w:tcW w:w="170" w:type="dxa"/>
            <w:tcBorders/>
            <w:shd w:fill="CCEEFF" w:val="clear"/>
            <w:vAlign w:val="center"/>
          </w:tcPr>
          <w:p>
            <w:pPr>
              <w:pStyle w:val="TableContents"/>
              <w:spacing w:before="0" w:after="0"/>
              <w:ind w:left="0" w:right="0" w:hanging="0"/>
              <w:rPr/>
            </w:pPr>
            <w:r>
              <w:rPr/>
              <w:t> </w:t>
            </w:r>
          </w:p>
        </w:tc>
      </w:tr>
      <w:tr>
        <w:trPr/>
        <w:tc>
          <w:tcPr>
            <w:tcW w:w="1385" w:type="dxa"/>
            <w:tcBorders/>
            <w:shd w:fill="FFFFFF" w:val="clear"/>
            <w:vAlign w:val="center"/>
          </w:tcPr>
          <w:p>
            <w:pPr>
              <w:pStyle w:val="TableContents"/>
              <w:spacing w:before="0" w:after="0"/>
              <w:ind w:left="0" w:right="0" w:hanging="0"/>
              <w:rPr/>
            </w:pPr>
            <w:r>
              <w:rPr/>
              <w:t>Stock-based compensation</w:t>
            </w:r>
          </w:p>
        </w:tc>
        <w:tc>
          <w:tcPr>
            <w:tcW w:w="90" w:type="dxa"/>
            <w:tcBorders/>
            <w:shd w:fill="FFFFFF" w:val="clear"/>
            <w:vAlign w:val="center"/>
          </w:tcPr>
          <w:p>
            <w:pPr>
              <w:pStyle w:val="TableContents"/>
              <w:spacing w:before="0" w:after="0"/>
              <w:ind w:left="0" w:right="0" w:hanging="0"/>
              <w:rPr/>
            </w:pPr>
            <w:r>
              <w:rPr/>
              <w:t> </w:t>
            </w:r>
          </w:p>
        </w:tc>
        <w:tc>
          <w:tcPr>
            <w:tcW w:w="309" w:type="dxa"/>
            <w:tcBorders/>
            <w:shd w:fill="FFFFFF" w:val="clear"/>
            <w:vAlign w:val="center"/>
          </w:tcPr>
          <w:p>
            <w:pPr>
              <w:pStyle w:val="TableContents"/>
              <w:spacing w:before="0" w:after="0"/>
              <w:ind w:left="0" w:right="0" w:hanging="0"/>
              <w:rPr/>
            </w:pPr>
            <w:r>
              <w:rPr/>
              <w:t> </w:t>
            </w:r>
          </w:p>
        </w:tc>
        <w:tc>
          <w:tcPr>
            <w:tcW w:w="431" w:type="dxa"/>
            <w:tcBorders/>
            <w:shd w:fill="FFFFFF" w:val="clear"/>
            <w:vAlign w:val="center"/>
          </w:tcPr>
          <w:p>
            <w:pPr>
              <w:pStyle w:val="TableContents"/>
              <w:spacing w:before="0" w:after="283"/>
              <w:jc w:val="right"/>
              <w:rPr/>
            </w:pPr>
            <w:r>
              <w:rPr/>
              <w:t>-</w:t>
            </w:r>
          </w:p>
        </w:tc>
        <w:tc>
          <w:tcPr>
            <w:tcW w:w="127" w:type="dxa"/>
            <w:tcBorders/>
            <w:shd w:fill="FFFFFF" w:val="clear"/>
            <w:vAlign w:val="center"/>
          </w:tcPr>
          <w:p>
            <w:pPr>
              <w:pStyle w:val="TableContents"/>
              <w:spacing w:before="0" w:after="0"/>
              <w:ind w:left="0" w:right="0" w:hanging="0"/>
              <w:rPr/>
            </w:pPr>
            <w:r>
              <w:rPr/>
              <w:t> </w:t>
            </w:r>
          </w:p>
        </w:tc>
        <w:tc>
          <w:tcPr>
            <w:tcW w:w="127" w:type="dxa"/>
            <w:tcBorders/>
            <w:shd w:fill="FFFFFF" w:val="clear"/>
            <w:vAlign w:val="center"/>
          </w:tcPr>
          <w:p>
            <w:pPr>
              <w:pStyle w:val="TableContents"/>
              <w:spacing w:before="0" w:after="0"/>
              <w:ind w:left="0" w:right="0" w:hanging="0"/>
              <w:rPr/>
            </w:pPr>
            <w:r>
              <w:rPr/>
              <w:t> </w:t>
            </w:r>
          </w:p>
        </w:tc>
        <w:tc>
          <w:tcPr>
            <w:tcW w:w="508" w:type="dxa"/>
            <w:tcBorders/>
            <w:shd w:fill="FFFFFF" w:val="clear"/>
            <w:vAlign w:val="center"/>
          </w:tcPr>
          <w:p>
            <w:pPr>
              <w:pStyle w:val="TableContents"/>
              <w:spacing w:before="0" w:after="0"/>
              <w:ind w:left="0" w:right="0" w:hanging="0"/>
              <w:rPr/>
            </w:pPr>
            <w:r>
              <w:rPr/>
              <w:t> </w:t>
            </w:r>
          </w:p>
        </w:tc>
        <w:tc>
          <w:tcPr>
            <w:tcW w:w="382" w:type="dxa"/>
            <w:tcBorders/>
            <w:shd w:fill="FFFFFF" w:val="cle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1,769,649</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5" w:type="dxa"/>
            <w:tcBorders/>
            <w:shd w:fill="FFFFFF" w:val="clear"/>
            <w:vAlign w:val="center"/>
          </w:tcPr>
          <w:p>
            <w:pPr>
              <w:pStyle w:val="TableContents"/>
              <w:spacing w:before="0" w:after="0"/>
              <w:ind w:left="0" w:right="0" w:hanging="0"/>
              <w:rPr/>
            </w:pPr>
            <w:r>
              <w:rPr/>
              <w:t> </w:t>
            </w:r>
          </w:p>
        </w:tc>
        <w:tc>
          <w:tcPr>
            <w:tcW w:w="1185"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85"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1,769,649</w:t>
            </w:r>
          </w:p>
        </w:tc>
        <w:tc>
          <w:tcPr>
            <w:tcW w:w="170" w:type="dxa"/>
            <w:tcBorders/>
            <w:shd w:fill="FFFFFF" w:val="clear"/>
            <w:vAlign w:val="center"/>
          </w:tcPr>
          <w:p>
            <w:pPr>
              <w:pStyle w:val="TableContents"/>
              <w:spacing w:before="0" w:after="0"/>
              <w:ind w:left="0" w:right="0" w:hanging="0"/>
              <w:rPr/>
            </w:pPr>
            <w:r>
              <w:rPr/>
              <w:t> </w:t>
            </w:r>
          </w:p>
        </w:tc>
      </w:tr>
      <w:tr>
        <w:trPr/>
        <w:tc>
          <w:tcPr>
            <w:tcW w:w="1385" w:type="dxa"/>
            <w:tcBorders/>
            <w:shd w:fill="CCEEFF" w:val="clear"/>
            <w:vAlign w:val="center"/>
          </w:tcPr>
          <w:p>
            <w:pPr>
              <w:pStyle w:val="TableContents"/>
              <w:spacing w:before="0" w:after="0"/>
              <w:ind w:left="0" w:right="0" w:hanging="0"/>
              <w:rPr/>
            </w:pPr>
            <w:r>
              <w:rPr/>
              <w:t>Vesting of restricted stock awards</w:t>
            </w:r>
          </w:p>
        </w:tc>
        <w:tc>
          <w:tcPr>
            <w:tcW w:w="90" w:type="dxa"/>
            <w:tcBorders/>
            <w:shd w:fill="CCEEFF" w:val="clear"/>
            <w:vAlign w:val="center"/>
          </w:tcPr>
          <w:p>
            <w:pPr>
              <w:pStyle w:val="TableContents"/>
              <w:spacing w:before="0" w:after="0"/>
              <w:ind w:left="0" w:right="0" w:hanging="0"/>
              <w:rPr/>
            </w:pPr>
            <w:r>
              <w:rPr/>
              <w:t> </w:t>
            </w:r>
          </w:p>
        </w:tc>
        <w:tc>
          <w:tcPr>
            <w:tcW w:w="309" w:type="dxa"/>
            <w:tcBorders/>
            <w:shd w:fill="CCEEFF" w:val="clear"/>
            <w:vAlign w:val="center"/>
          </w:tcPr>
          <w:p>
            <w:pPr>
              <w:pStyle w:val="TableContents"/>
              <w:spacing w:before="0" w:after="0"/>
              <w:ind w:left="0" w:right="0" w:hanging="0"/>
              <w:rPr/>
            </w:pPr>
            <w:r>
              <w:rPr/>
              <w:t> </w:t>
            </w:r>
          </w:p>
        </w:tc>
        <w:tc>
          <w:tcPr>
            <w:tcW w:w="431" w:type="dxa"/>
            <w:tcBorders/>
            <w:shd w:fill="CCEEFF" w:val="clear"/>
            <w:vAlign w:val="center"/>
          </w:tcPr>
          <w:p>
            <w:pPr>
              <w:pStyle w:val="TableContents"/>
              <w:spacing w:before="0" w:after="283"/>
              <w:jc w:val="right"/>
              <w:rPr/>
            </w:pPr>
            <w:r>
              <w:rPr/>
              <w:t>-</w:t>
            </w:r>
          </w:p>
        </w:tc>
        <w:tc>
          <w:tcPr>
            <w:tcW w:w="127" w:type="dxa"/>
            <w:tcBorders/>
            <w:shd w:fill="CCEEFF" w:val="clear"/>
            <w:vAlign w:val="center"/>
          </w:tcPr>
          <w:p>
            <w:pPr>
              <w:pStyle w:val="TableContents"/>
              <w:spacing w:before="0" w:after="0"/>
              <w:ind w:left="0" w:right="0" w:hanging="0"/>
              <w:rPr/>
            </w:pPr>
            <w:r>
              <w:rPr/>
              <w:t> </w:t>
            </w:r>
          </w:p>
        </w:tc>
        <w:tc>
          <w:tcPr>
            <w:tcW w:w="127" w:type="dxa"/>
            <w:tcBorders/>
            <w:shd w:fill="CCEEFF" w:val="clear"/>
            <w:vAlign w:val="center"/>
          </w:tcPr>
          <w:p>
            <w:pPr>
              <w:pStyle w:val="TableContents"/>
              <w:spacing w:before="0" w:after="0"/>
              <w:ind w:left="0" w:right="0" w:hanging="0"/>
              <w:rPr/>
            </w:pPr>
            <w:r>
              <w:rPr/>
              <w:t> </w:t>
            </w:r>
          </w:p>
        </w:tc>
        <w:tc>
          <w:tcPr>
            <w:tcW w:w="508" w:type="dxa"/>
            <w:tcBorders/>
            <w:shd w:fill="CCEEFF" w:val="clear"/>
            <w:vAlign w:val="center"/>
          </w:tcPr>
          <w:p>
            <w:pPr>
              <w:pStyle w:val="TableContents"/>
              <w:spacing w:before="0" w:after="0"/>
              <w:ind w:left="0" w:right="0" w:hanging="0"/>
              <w:rPr/>
            </w:pPr>
            <w:r>
              <w:rPr/>
              <w:t> </w:t>
            </w:r>
          </w:p>
        </w:tc>
        <w:tc>
          <w:tcPr>
            <w:tcW w:w="382"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67,686</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676</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(676</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85" w:type="dxa"/>
            <w:tcBorders/>
            <w:shd w:fill="CCEEFF" w:val="clear"/>
            <w:vAlign w:val="center"/>
          </w:tcPr>
          <w:p>
            <w:pPr>
              <w:pStyle w:val="TableContents"/>
              <w:spacing w:before="0" w:after="0"/>
              <w:ind w:left="0" w:right="0" w:hanging="0"/>
              <w:rPr/>
            </w:pPr>
            <w:r>
              <w:rPr/>
              <w:t> </w:t>
            </w:r>
          </w:p>
        </w:tc>
        <w:tc>
          <w:tcPr>
            <w:tcW w:w="1185"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85"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w:t>
            </w:r>
          </w:p>
        </w:tc>
        <w:tc>
          <w:tcPr>
            <w:tcW w:w="170" w:type="dxa"/>
            <w:tcBorders/>
            <w:shd w:fill="CCEEFF" w:val="clear"/>
            <w:vAlign w:val="center"/>
          </w:tcPr>
          <w:p>
            <w:pPr>
              <w:pStyle w:val="TableContents"/>
              <w:spacing w:before="0" w:after="0"/>
              <w:ind w:left="0" w:right="0" w:hanging="0"/>
              <w:rPr/>
            </w:pPr>
            <w:r>
              <w:rPr/>
              <w:t> </w:t>
            </w:r>
          </w:p>
        </w:tc>
      </w:tr>
      <w:tr>
        <w:trPr/>
        <w:tc>
          <w:tcPr>
            <w:tcW w:w="1385" w:type="dxa"/>
            <w:tcBorders/>
            <w:shd w:fill="FFFFFF" w:val="clear"/>
            <w:vAlign w:val="center"/>
          </w:tcPr>
          <w:p>
            <w:pPr>
              <w:pStyle w:val="TableContents"/>
              <w:spacing w:before="0" w:after="0"/>
              <w:ind w:left="0" w:right="0" w:hanging="0"/>
              <w:rPr/>
            </w:pPr>
            <w:r>
              <w:rPr/>
              <w:t>Shares deducted from restricted stock</w:t>
            </w:r>
          </w:p>
        </w:tc>
        <w:tc>
          <w:tcPr>
            <w:tcW w:w="90" w:type="dxa"/>
            <w:tcBorders/>
            <w:shd w:fill="FFFFFF" w:val="clear"/>
            <w:vAlign w:val="center"/>
          </w:tcPr>
          <w:p>
            <w:pPr>
              <w:pStyle w:val="TableContents"/>
              <w:spacing w:before="0" w:after="0"/>
              <w:ind w:left="0" w:right="0" w:hanging="0"/>
              <w:rPr/>
            </w:pPr>
            <w:r>
              <w:rPr/>
              <w:t> </w:t>
            </w:r>
          </w:p>
        </w:tc>
        <w:tc>
          <w:tcPr>
            <w:tcW w:w="309" w:type="dxa"/>
            <w:tcBorders/>
            <w:shd w:fill="FFFFFF" w:val="clear"/>
            <w:vAlign w:val="center"/>
          </w:tcPr>
          <w:p>
            <w:pPr>
              <w:pStyle w:val="TableContents"/>
              <w:spacing w:before="0" w:after="0"/>
              <w:ind w:left="0" w:right="0" w:hanging="0"/>
              <w:rPr/>
            </w:pPr>
            <w:r>
              <w:rPr/>
              <w:t> </w:t>
            </w:r>
          </w:p>
        </w:tc>
        <w:tc>
          <w:tcPr>
            <w:tcW w:w="431" w:type="dxa"/>
            <w:tcBorders/>
            <w:shd w:fill="FFFFFF" w:val="clear"/>
            <w:vAlign w:val="center"/>
          </w:tcPr>
          <w:p>
            <w:pPr>
              <w:pStyle w:val="TableContents"/>
              <w:spacing w:before="0" w:after="0"/>
              <w:ind w:left="0" w:right="0" w:hanging="0"/>
              <w:rPr/>
            </w:pPr>
            <w:r>
              <w:rPr/>
              <w:t> </w:t>
            </w:r>
          </w:p>
        </w:tc>
        <w:tc>
          <w:tcPr>
            <w:tcW w:w="127" w:type="dxa"/>
            <w:tcBorders/>
            <w:shd w:fill="FFFFFF" w:val="clear"/>
            <w:vAlign w:val="center"/>
          </w:tcPr>
          <w:p>
            <w:pPr>
              <w:pStyle w:val="TableContents"/>
              <w:spacing w:before="0" w:after="0"/>
              <w:ind w:left="0" w:right="0" w:hanging="0"/>
              <w:rPr/>
            </w:pPr>
            <w:r>
              <w:rPr/>
              <w:t> </w:t>
            </w:r>
          </w:p>
        </w:tc>
        <w:tc>
          <w:tcPr>
            <w:tcW w:w="127" w:type="dxa"/>
            <w:tcBorders/>
            <w:shd w:fill="FFFFFF" w:val="clear"/>
            <w:vAlign w:val="center"/>
          </w:tcPr>
          <w:p>
            <w:pPr>
              <w:pStyle w:val="TableContents"/>
              <w:spacing w:before="0" w:after="0"/>
              <w:ind w:left="0" w:right="0" w:hanging="0"/>
              <w:rPr/>
            </w:pPr>
            <w:r>
              <w:rPr/>
              <w:t> </w:t>
            </w:r>
          </w:p>
        </w:tc>
        <w:tc>
          <w:tcPr>
            <w:tcW w:w="508" w:type="dxa"/>
            <w:tcBorders/>
            <w:shd w:fill="FFFFFF" w:val="clear"/>
            <w:vAlign w:val="center"/>
          </w:tcPr>
          <w:p>
            <w:pPr>
              <w:pStyle w:val="TableContents"/>
              <w:spacing w:before="0" w:after="0"/>
              <w:ind w:left="0" w:right="0" w:hanging="0"/>
              <w:rPr/>
            </w:pPr>
            <w:r>
              <w:rPr/>
              <w:t> </w:t>
            </w:r>
          </w:p>
        </w:tc>
        <w:tc>
          <w:tcPr>
            <w:tcW w:w="382"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5" w:type="dxa"/>
            <w:tcBorders/>
            <w:shd w:fill="FFFFFF" w:val="clear"/>
            <w:vAlign w:val="center"/>
          </w:tcPr>
          <w:p>
            <w:pPr>
              <w:pStyle w:val="TableContents"/>
              <w:spacing w:before="0" w:after="0"/>
              <w:ind w:left="0" w:right="0" w:hanging="0"/>
              <w:rPr/>
            </w:pPr>
            <w:r>
              <w:rPr/>
              <w:t> </w:t>
            </w:r>
          </w:p>
        </w:tc>
        <w:tc>
          <w:tcPr>
            <w:tcW w:w="118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8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1385" w:type="dxa"/>
            <w:tcBorders/>
            <w:shd w:fill="CCEEFF" w:val="clear"/>
            <w:vAlign w:val="center"/>
          </w:tcPr>
          <w:p>
            <w:pPr>
              <w:pStyle w:val="TableContents"/>
              <w:spacing w:before="0" w:after="0"/>
              <w:ind w:left="0" w:right="0" w:firstLine="180"/>
              <w:rPr/>
            </w:pPr>
            <w:r>
              <w:rPr/>
              <w:t>awards for payment of withholding taxes</w:t>
            </w:r>
          </w:p>
        </w:tc>
        <w:tc>
          <w:tcPr>
            <w:tcW w:w="90" w:type="dxa"/>
            <w:tcBorders/>
            <w:shd w:fill="CCEEFF" w:val="clear"/>
            <w:vAlign w:val="center"/>
          </w:tcPr>
          <w:p>
            <w:pPr>
              <w:pStyle w:val="TableContents"/>
              <w:spacing w:before="0" w:after="0"/>
              <w:ind w:left="0" w:right="0" w:hanging="0"/>
              <w:rPr/>
            </w:pPr>
            <w:r>
              <w:rPr/>
              <w:t> </w:t>
            </w:r>
          </w:p>
        </w:tc>
        <w:tc>
          <w:tcPr>
            <w:tcW w:w="309" w:type="dxa"/>
            <w:tcBorders/>
            <w:shd w:fill="CCEEFF" w:val="clear"/>
            <w:vAlign w:val="center"/>
          </w:tcPr>
          <w:p>
            <w:pPr>
              <w:pStyle w:val="TableContents"/>
              <w:spacing w:before="0" w:after="0"/>
              <w:ind w:left="0" w:right="0" w:hanging="0"/>
              <w:rPr/>
            </w:pPr>
            <w:r>
              <w:rPr/>
              <w:t> </w:t>
            </w:r>
          </w:p>
        </w:tc>
        <w:tc>
          <w:tcPr>
            <w:tcW w:w="431" w:type="dxa"/>
            <w:tcBorders/>
            <w:shd w:fill="CCEEFF" w:val="clear"/>
            <w:vAlign w:val="center"/>
          </w:tcPr>
          <w:p>
            <w:pPr>
              <w:pStyle w:val="TableContents"/>
              <w:spacing w:before="0" w:after="283"/>
              <w:jc w:val="right"/>
              <w:rPr/>
            </w:pPr>
            <w:r>
              <w:rPr/>
              <w:t>-</w:t>
            </w:r>
          </w:p>
        </w:tc>
        <w:tc>
          <w:tcPr>
            <w:tcW w:w="127" w:type="dxa"/>
            <w:tcBorders/>
            <w:shd w:fill="CCEEFF" w:val="clear"/>
            <w:vAlign w:val="center"/>
          </w:tcPr>
          <w:p>
            <w:pPr>
              <w:pStyle w:val="TableContents"/>
              <w:spacing w:before="0" w:after="0"/>
              <w:ind w:left="0" w:right="0" w:hanging="0"/>
              <w:rPr/>
            </w:pPr>
            <w:r>
              <w:rPr/>
              <w:t> </w:t>
            </w:r>
          </w:p>
        </w:tc>
        <w:tc>
          <w:tcPr>
            <w:tcW w:w="127" w:type="dxa"/>
            <w:tcBorders/>
            <w:shd w:fill="CCEEFF" w:val="clear"/>
            <w:vAlign w:val="center"/>
          </w:tcPr>
          <w:p>
            <w:pPr>
              <w:pStyle w:val="TableContents"/>
              <w:spacing w:before="0" w:after="0"/>
              <w:ind w:left="0" w:right="0" w:hanging="0"/>
              <w:rPr/>
            </w:pPr>
            <w:r>
              <w:rPr/>
              <w:t> </w:t>
            </w:r>
          </w:p>
        </w:tc>
        <w:tc>
          <w:tcPr>
            <w:tcW w:w="508" w:type="dxa"/>
            <w:tcBorders/>
            <w:shd w:fill="CCEEFF" w:val="clear"/>
            <w:vAlign w:val="center"/>
          </w:tcPr>
          <w:p>
            <w:pPr>
              <w:pStyle w:val="TableContents"/>
              <w:spacing w:before="0" w:after="0"/>
              <w:ind w:left="0" w:right="0" w:hanging="0"/>
              <w:rPr/>
            </w:pPr>
            <w:r>
              <w:rPr/>
              <w:t> </w:t>
            </w:r>
          </w:p>
        </w:tc>
        <w:tc>
          <w:tcPr>
            <w:tcW w:w="382"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(21,268</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(211</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(133,726</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85" w:type="dxa"/>
            <w:tcBorders/>
            <w:shd w:fill="CCEEFF" w:val="clear"/>
            <w:vAlign w:val="center"/>
          </w:tcPr>
          <w:p>
            <w:pPr>
              <w:pStyle w:val="TableContents"/>
              <w:spacing w:before="0" w:after="0"/>
              <w:ind w:left="0" w:right="0" w:hanging="0"/>
              <w:rPr/>
            </w:pPr>
            <w:r>
              <w:rPr/>
              <w:t> </w:t>
            </w:r>
          </w:p>
        </w:tc>
        <w:tc>
          <w:tcPr>
            <w:tcW w:w="1185"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85"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(133,937</w:t>
            </w:r>
          </w:p>
        </w:tc>
        <w:tc>
          <w:tcPr>
            <w:tcW w:w="170" w:type="dxa"/>
            <w:tcBorders/>
            <w:shd w:fill="CCEEFF" w:val="clear"/>
            <w:vAlign w:val="center"/>
          </w:tcPr>
          <w:p>
            <w:pPr>
              <w:pStyle w:val="TableContents"/>
              <w:spacing w:before="0" w:after="283"/>
              <w:rPr/>
            </w:pPr>
            <w:r>
              <w:rPr/>
              <w:t>)</w:t>
            </w:r>
          </w:p>
        </w:tc>
      </w:tr>
      <w:tr>
        <w:trPr/>
        <w:tc>
          <w:tcPr>
            <w:tcW w:w="1385" w:type="dxa"/>
            <w:tcBorders/>
            <w:shd w:fill="FFFFFF" w:val="clear"/>
            <w:vAlign w:val="center"/>
          </w:tcPr>
          <w:p>
            <w:pPr>
              <w:pStyle w:val="TableContents"/>
              <w:spacing w:before="0" w:after="0"/>
              <w:ind w:left="0" w:right="0" w:hanging="0"/>
              <w:rPr/>
            </w:pPr>
            <w:r>
              <w:rPr/>
              <w:t>Acquisition of treasury stock</w:t>
            </w:r>
          </w:p>
        </w:tc>
        <w:tc>
          <w:tcPr>
            <w:tcW w:w="90" w:type="dxa"/>
            <w:tcBorders/>
            <w:shd w:fill="FFFFFF" w:val="clear"/>
            <w:vAlign w:val="center"/>
          </w:tcPr>
          <w:p>
            <w:pPr>
              <w:pStyle w:val="TableContents"/>
              <w:spacing w:before="0" w:after="0"/>
              <w:ind w:left="0" w:right="0" w:hanging="0"/>
              <w:rPr/>
            </w:pPr>
            <w:r>
              <w:rPr/>
              <w:t> </w:t>
            </w:r>
          </w:p>
        </w:tc>
        <w:tc>
          <w:tcPr>
            <w:tcW w:w="309" w:type="dxa"/>
            <w:tcBorders/>
            <w:shd w:fill="FFFFFF" w:val="clear"/>
            <w:vAlign w:val="center"/>
          </w:tcPr>
          <w:p>
            <w:pPr>
              <w:pStyle w:val="TableContents"/>
              <w:spacing w:before="0" w:after="0"/>
              <w:ind w:left="0" w:right="0" w:hanging="0"/>
              <w:rPr/>
            </w:pPr>
            <w:r>
              <w:rPr/>
              <w:t> </w:t>
            </w:r>
          </w:p>
        </w:tc>
        <w:tc>
          <w:tcPr>
            <w:tcW w:w="431" w:type="dxa"/>
            <w:tcBorders/>
            <w:shd w:fill="FFFFFF" w:val="clear"/>
            <w:vAlign w:val="center"/>
          </w:tcPr>
          <w:p>
            <w:pPr>
              <w:pStyle w:val="TableContents"/>
              <w:spacing w:before="0" w:after="283"/>
              <w:jc w:val="right"/>
              <w:rPr/>
            </w:pPr>
            <w:r>
              <w:rPr/>
              <w:t>-</w:t>
            </w:r>
          </w:p>
        </w:tc>
        <w:tc>
          <w:tcPr>
            <w:tcW w:w="127" w:type="dxa"/>
            <w:tcBorders/>
            <w:shd w:fill="FFFFFF" w:val="clear"/>
            <w:vAlign w:val="center"/>
          </w:tcPr>
          <w:p>
            <w:pPr>
              <w:pStyle w:val="TableContents"/>
              <w:spacing w:before="0" w:after="0"/>
              <w:ind w:left="0" w:right="0" w:hanging="0"/>
              <w:rPr/>
            </w:pPr>
            <w:r>
              <w:rPr/>
              <w:t> </w:t>
            </w:r>
          </w:p>
        </w:tc>
        <w:tc>
          <w:tcPr>
            <w:tcW w:w="127" w:type="dxa"/>
            <w:tcBorders/>
            <w:shd w:fill="FFFFFF" w:val="clear"/>
            <w:vAlign w:val="center"/>
          </w:tcPr>
          <w:p>
            <w:pPr>
              <w:pStyle w:val="TableContents"/>
              <w:spacing w:before="0" w:after="0"/>
              <w:ind w:left="0" w:right="0" w:hanging="0"/>
              <w:rPr/>
            </w:pPr>
            <w:r>
              <w:rPr/>
              <w:t> </w:t>
            </w:r>
          </w:p>
        </w:tc>
        <w:tc>
          <w:tcPr>
            <w:tcW w:w="508" w:type="dxa"/>
            <w:tcBorders/>
            <w:shd w:fill="FFFFFF" w:val="clear"/>
            <w:vAlign w:val="center"/>
          </w:tcPr>
          <w:p>
            <w:pPr>
              <w:pStyle w:val="TableContents"/>
              <w:spacing w:before="0" w:after="0"/>
              <w:ind w:left="0" w:right="0" w:hanging="0"/>
              <w:rPr/>
            </w:pPr>
            <w:r>
              <w:rPr/>
              <w:t> </w:t>
            </w:r>
          </w:p>
        </w:tc>
        <w:tc>
          <w:tcPr>
            <w:tcW w:w="382" w:type="dxa"/>
            <w:tcBorders/>
            <w:shd w:fill="FFFFFF" w:val="cle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5" w:type="dxa"/>
            <w:tcBorders/>
            <w:shd w:fill="FFFFFF" w:val="clear"/>
            <w:vAlign w:val="center"/>
          </w:tcPr>
          <w:p>
            <w:pPr>
              <w:pStyle w:val="TableContents"/>
              <w:spacing w:before="0" w:after="0"/>
              <w:ind w:left="0" w:right="0" w:hanging="0"/>
              <w:rPr/>
            </w:pPr>
            <w:r>
              <w:rPr/>
              <w:t> </w:t>
            </w:r>
          </w:p>
        </w:tc>
        <w:tc>
          <w:tcPr>
            <w:tcW w:w="1185"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227,053</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85" w:type="dxa"/>
            <w:tcBorders/>
            <w:shd w:fill="FFFFFF" w:val="clear"/>
            <w:vAlign w:val="center"/>
          </w:tcPr>
          <w:p>
            <w:pPr>
              <w:pStyle w:val="TableContents"/>
              <w:spacing w:before="0" w:after="283"/>
              <w:jc w:val="right"/>
              <w:rPr/>
            </w:pPr>
            <w:r>
              <w:rPr/>
              <w:t>(1,183,331</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(1,183,331</w:t>
            </w:r>
          </w:p>
        </w:tc>
        <w:tc>
          <w:tcPr>
            <w:tcW w:w="170" w:type="dxa"/>
            <w:tcBorders/>
            <w:shd w:fill="FFFFFF" w:val="clear"/>
            <w:vAlign w:val="center"/>
          </w:tcPr>
          <w:p>
            <w:pPr>
              <w:pStyle w:val="TableContents"/>
              <w:spacing w:before="0" w:after="283"/>
              <w:rPr/>
            </w:pPr>
            <w:r>
              <w:rPr/>
              <w:t>)</w:t>
            </w:r>
          </w:p>
        </w:tc>
      </w:tr>
      <w:tr>
        <w:trPr/>
        <w:tc>
          <w:tcPr>
            <w:tcW w:w="1385" w:type="dxa"/>
            <w:tcBorders/>
            <w:shd w:fill="CCEEFF" w:val="clear"/>
            <w:vAlign w:val="center"/>
          </w:tcPr>
          <w:p>
            <w:pPr>
              <w:pStyle w:val="TableContents"/>
              <w:spacing w:before="0" w:after="0"/>
              <w:ind w:left="0" w:right="0" w:hanging="0"/>
              <w:rPr/>
            </w:pPr>
            <w:r>
              <w:rPr/>
              <w:t>Dividends</w:t>
            </w:r>
          </w:p>
        </w:tc>
        <w:tc>
          <w:tcPr>
            <w:tcW w:w="90" w:type="dxa"/>
            <w:tcBorders/>
            <w:shd w:fill="CCEEFF" w:val="clear"/>
            <w:vAlign w:val="center"/>
          </w:tcPr>
          <w:p>
            <w:pPr>
              <w:pStyle w:val="TableContents"/>
              <w:spacing w:before="0" w:after="0"/>
              <w:ind w:left="0" w:right="0" w:hanging="0"/>
              <w:rPr/>
            </w:pPr>
            <w:r>
              <w:rPr/>
              <w:t> </w:t>
            </w:r>
          </w:p>
        </w:tc>
        <w:tc>
          <w:tcPr>
            <w:tcW w:w="309" w:type="dxa"/>
            <w:tcBorders/>
            <w:shd w:fill="CCEEFF" w:val="clear"/>
            <w:vAlign w:val="center"/>
          </w:tcPr>
          <w:p>
            <w:pPr>
              <w:pStyle w:val="TableContents"/>
              <w:spacing w:before="0" w:after="0"/>
              <w:ind w:left="0" w:right="0" w:hanging="0"/>
              <w:rPr/>
            </w:pPr>
            <w:r>
              <w:rPr/>
              <w:t> </w:t>
            </w:r>
          </w:p>
        </w:tc>
        <w:tc>
          <w:tcPr>
            <w:tcW w:w="431" w:type="dxa"/>
            <w:tcBorders/>
            <w:shd w:fill="CCEEFF" w:val="clear"/>
            <w:vAlign w:val="center"/>
          </w:tcPr>
          <w:p>
            <w:pPr>
              <w:pStyle w:val="TableContents"/>
              <w:spacing w:before="0" w:after="283"/>
              <w:jc w:val="right"/>
              <w:rPr/>
            </w:pPr>
            <w:r>
              <w:rPr/>
              <w:t>-</w:t>
            </w:r>
          </w:p>
        </w:tc>
        <w:tc>
          <w:tcPr>
            <w:tcW w:w="127" w:type="dxa"/>
            <w:tcBorders/>
            <w:shd w:fill="CCEEFF" w:val="clear"/>
            <w:vAlign w:val="center"/>
          </w:tcPr>
          <w:p>
            <w:pPr>
              <w:pStyle w:val="TableContents"/>
              <w:spacing w:before="0" w:after="0"/>
              <w:ind w:left="0" w:right="0" w:hanging="0"/>
              <w:rPr/>
            </w:pPr>
            <w:r>
              <w:rPr/>
              <w:t> </w:t>
            </w:r>
          </w:p>
        </w:tc>
        <w:tc>
          <w:tcPr>
            <w:tcW w:w="127" w:type="dxa"/>
            <w:tcBorders/>
            <w:shd w:fill="CCEEFF" w:val="clear"/>
            <w:vAlign w:val="center"/>
          </w:tcPr>
          <w:p>
            <w:pPr>
              <w:pStyle w:val="TableContents"/>
              <w:spacing w:before="0" w:after="0"/>
              <w:ind w:left="0" w:right="0" w:hanging="0"/>
              <w:rPr/>
            </w:pPr>
            <w:r>
              <w:rPr/>
              <w:t> </w:t>
            </w:r>
          </w:p>
        </w:tc>
        <w:tc>
          <w:tcPr>
            <w:tcW w:w="508" w:type="dxa"/>
            <w:tcBorders/>
            <w:shd w:fill="CCEEFF" w:val="clear"/>
            <w:vAlign w:val="center"/>
          </w:tcPr>
          <w:p>
            <w:pPr>
              <w:pStyle w:val="TableContents"/>
              <w:spacing w:before="0" w:after="0"/>
              <w:ind w:left="0" w:right="0" w:hanging="0"/>
              <w:rPr/>
            </w:pPr>
            <w:r>
              <w:rPr/>
              <w:t> </w:t>
            </w:r>
          </w:p>
        </w:tc>
        <w:tc>
          <w:tcPr>
            <w:tcW w:w="382"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5" w:type="dxa"/>
            <w:tcBorders/>
            <w:shd w:fill="CCEEFF" w:val="clear"/>
            <w:vAlign w:val="center"/>
          </w:tcPr>
          <w:p>
            <w:pPr>
              <w:pStyle w:val="TableContents"/>
              <w:spacing w:before="0" w:after="0"/>
              <w:ind w:left="0" w:right="0" w:hanging="0"/>
              <w:rPr/>
            </w:pPr>
            <w:r>
              <w:rPr/>
              <w:t> </w:t>
            </w:r>
          </w:p>
        </w:tc>
        <w:tc>
          <w:tcPr>
            <w:tcW w:w="1185"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(1,957,142</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85"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(1,957,142</w:t>
            </w:r>
          </w:p>
        </w:tc>
        <w:tc>
          <w:tcPr>
            <w:tcW w:w="170" w:type="dxa"/>
            <w:tcBorders/>
            <w:shd w:fill="CCEEFF" w:val="clear"/>
            <w:vAlign w:val="center"/>
          </w:tcPr>
          <w:p>
            <w:pPr>
              <w:pStyle w:val="TableContents"/>
              <w:spacing w:before="0" w:after="283"/>
              <w:rPr/>
            </w:pPr>
            <w:r>
              <w:rPr/>
              <w:t>)</w:t>
            </w:r>
          </w:p>
        </w:tc>
      </w:tr>
      <w:tr>
        <w:trPr/>
        <w:tc>
          <w:tcPr>
            <w:tcW w:w="1385" w:type="dxa"/>
            <w:tcBorders/>
            <w:shd w:fill="FFFFFF" w:val="clear"/>
            <w:vAlign w:val="center"/>
          </w:tcPr>
          <w:p>
            <w:pPr>
              <w:pStyle w:val="TableContents"/>
              <w:spacing w:before="0" w:after="0"/>
              <w:ind w:left="0" w:right="0" w:hanging="0"/>
              <w:rPr/>
            </w:pPr>
            <w:r>
              <w:rPr/>
              <w:t>Net income</w:t>
            </w:r>
          </w:p>
        </w:tc>
        <w:tc>
          <w:tcPr>
            <w:tcW w:w="90" w:type="dxa"/>
            <w:tcBorders/>
            <w:shd w:fill="FFFFFF" w:val="clear"/>
            <w:vAlign w:val="center"/>
          </w:tcPr>
          <w:p>
            <w:pPr>
              <w:pStyle w:val="TableContents"/>
              <w:spacing w:before="0" w:after="0"/>
              <w:ind w:left="0" w:right="0" w:hanging="0"/>
              <w:rPr/>
            </w:pPr>
            <w:r>
              <w:rPr/>
              <w:t> </w:t>
            </w:r>
          </w:p>
        </w:tc>
        <w:tc>
          <w:tcPr>
            <w:tcW w:w="309" w:type="dxa"/>
            <w:tcBorders/>
            <w:shd w:fill="FFFFFF" w:val="clear"/>
            <w:vAlign w:val="center"/>
          </w:tcPr>
          <w:p>
            <w:pPr>
              <w:pStyle w:val="TableContents"/>
              <w:spacing w:before="0" w:after="0"/>
              <w:ind w:left="0" w:right="0" w:hanging="0"/>
              <w:rPr/>
            </w:pPr>
            <w:r>
              <w:rPr/>
              <w:t> </w:t>
            </w:r>
          </w:p>
        </w:tc>
        <w:tc>
          <w:tcPr>
            <w:tcW w:w="431" w:type="dxa"/>
            <w:tcBorders/>
            <w:shd w:fill="FFFFFF" w:val="clear"/>
            <w:vAlign w:val="center"/>
          </w:tcPr>
          <w:p>
            <w:pPr>
              <w:pStyle w:val="TableContents"/>
              <w:spacing w:before="0" w:after="283"/>
              <w:jc w:val="right"/>
              <w:rPr/>
            </w:pPr>
            <w:r>
              <w:rPr/>
              <w:t>-</w:t>
            </w:r>
          </w:p>
        </w:tc>
        <w:tc>
          <w:tcPr>
            <w:tcW w:w="127" w:type="dxa"/>
            <w:tcBorders/>
            <w:shd w:fill="FFFFFF" w:val="clear"/>
            <w:vAlign w:val="center"/>
          </w:tcPr>
          <w:p>
            <w:pPr>
              <w:pStyle w:val="TableContents"/>
              <w:spacing w:before="0" w:after="0"/>
              <w:ind w:left="0" w:right="0" w:hanging="0"/>
              <w:rPr/>
            </w:pPr>
            <w:r>
              <w:rPr/>
              <w:t> </w:t>
            </w:r>
          </w:p>
        </w:tc>
        <w:tc>
          <w:tcPr>
            <w:tcW w:w="127" w:type="dxa"/>
            <w:tcBorders/>
            <w:shd w:fill="FFFFFF" w:val="clear"/>
            <w:vAlign w:val="center"/>
          </w:tcPr>
          <w:p>
            <w:pPr>
              <w:pStyle w:val="TableContents"/>
              <w:spacing w:before="0" w:after="0"/>
              <w:ind w:left="0" w:right="0" w:hanging="0"/>
              <w:rPr/>
            </w:pPr>
            <w:r>
              <w:rPr/>
              <w:t> </w:t>
            </w:r>
          </w:p>
        </w:tc>
        <w:tc>
          <w:tcPr>
            <w:tcW w:w="508" w:type="dxa"/>
            <w:tcBorders/>
            <w:shd w:fill="FFFFFF" w:val="clear"/>
            <w:vAlign w:val="center"/>
          </w:tcPr>
          <w:p>
            <w:pPr>
              <w:pStyle w:val="TableContents"/>
              <w:spacing w:before="0" w:after="0"/>
              <w:ind w:left="0" w:right="0" w:hanging="0"/>
              <w:rPr/>
            </w:pPr>
            <w:r>
              <w:rPr/>
              <w:t> </w:t>
            </w:r>
          </w:p>
        </w:tc>
        <w:tc>
          <w:tcPr>
            <w:tcW w:w="382" w:type="dxa"/>
            <w:tcBorders/>
            <w:shd w:fill="FFFFFF" w:val="cle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5" w:type="dxa"/>
            <w:tcBorders/>
            <w:shd w:fill="FFFFFF" w:val="clear"/>
            <w:vAlign w:val="center"/>
          </w:tcPr>
          <w:p>
            <w:pPr>
              <w:pStyle w:val="TableContents"/>
              <w:spacing w:before="0" w:after="0"/>
              <w:ind w:left="0" w:right="0" w:hanging="0"/>
              <w:rPr/>
            </w:pPr>
            <w:r>
              <w:rPr/>
              <w:t> </w:t>
            </w:r>
          </w:p>
        </w:tc>
        <w:tc>
          <w:tcPr>
            <w:tcW w:w="1185"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972,390</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85"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972,390</w:t>
            </w:r>
          </w:p>
        </w:tc>
        <w:tc>
          <w:tcPr>
            <w:tcW w:w="170" w:type="dxa"/>
            <w:tcBorders/>
            <w:shd w:fill="FFFFFF" w:val="clear"/>
            <w:vAlign w:val="center"/>
          </w:tcPr>
          <w:p>
            <w:pPr>
              <w:pStyle w:val="TableContents"/>
              <w:spacing w:before="0" w:after="0"/>
              <w:ind w:left="0" w:right="0" w:hanging="0"/>
              <w:rPr/>
            </w:pPr>
            <w:r>
              <w:rPr/>
              <w:t> </w:t>
            </w:r>
          </w:p>
        </w:tc>
      </w:tr>
      <w:tr>
        <w:trPr/>
        <w:tc>
          <w:tcPr>
            <w:tcW w:w="1385" w:type="dxa"/>
            <w:tcBorders/>
            <w:shd w:fill="CCEEFF" w:val="clear"/>
            <w:vAlign w:val="center"/>
          </w:tcPr>
          <w:p>
            <w:pPr>
              <w:pStyle w:val="TableContents"/>
              <w:spacing w:before="0" w:after="0"/>
              <w:ind w:left="0" w:right="0" w:hanging="0"/>
              <w:rPr/>
            </w:pPr>
            <w:r>
              <w:rPr/>
              <w:t>Change in unrealized gains on available-</w:t>
            </w:r>
          </w:p>
        </w:tc>
        <w:tc>
          <w:tcPr>
            <w:tcW w:w="90" w:type="dxa"/>
            <w:tcBorders/>
            <w:shd w:fill="CCEEFF" w:val="clear"/>
            <w:vAlign w:val="center"/>
          </w:tcPr>
          <w:p>
            <w:pPr>
              <w:pStyle w:val="TableContents"/>
              <w:spacing w:before="0" w:after="0"/>
              <w:ind w:left="0" w:right="0" w:hanging="0"/>
              <w:rPr/>
            </w:pPr>
            <w:r>
              <w:rPr/>
              <w:t> </w:t>
            </w:r>
          </w:p>
        </w:tc>
        <w:tc>
          <w:tcPr>
            <w:tcW w:w="309" w:type="dxa"/>
            <w:tcBorders/>
            <w:shd w:fill="CCEEFF" w:val="clear"/>
            <w:vAlign w:val="center"/>
          </w:tcPr>
          <w:p>
            <w:pPr>
              <w:pStyle w:val="TableContents"/>
              <w:spacing w:before="0" w:after="0"/>
              <w:ind w:left="0" w:right="0" w:hanging="0"/>
              <w:rPr/>
            </w:pPr>
            <w:r>
              <w:rPr/>
              <w:t> </w:t>
            </w:r>
          </w:p>
        </w:tc>
        <w:tc>
          <w:tcPr>
            <w:tcW w:w="431" w:type="dxa"/>
            <w:tcBorders/>
            <w:shd w:fill="CCEEFF" w:val="clear"/>
            <w:vAlign w:val="center"/>
          </w:tcPr>
          <w:p>
            <w:pPr>
              <w:pStyle w:val="TableContents"/>
              <w:spacing w:before="0" w:after="0"/>
              <w:ind w:left="0" w:right="0" w:hanging="0"/>
              <w:rPr/>
            </w:pPr>
            <w:r>
              <w:rPr/>
              <w:t> </w:t>
            </w:r>
          </w:p>
        </w:tc>
        <w:tc>
          <w:tcPr>
            <w:tcW w:w="127" w:type="dxa"/>
            <w:tcBorders/>
            <w:shd w:fill="CCEEFF" w:val="clear"/>
            <w:vAlign w:val="center"/>
          </w:tcPr>
          <w:p>
            <w:pPr>
              <w:pStyle w:val="TableContents"/>
              <w:spacing w:before="0" w:after="0"/>
              <w:ind w:left="0" w:right="0" w:hanging="0"/>
              <w:rPr/>
            </w:pPr>
            <w:r>
              <w:rPr/>
              <w:t> </w:t>
            </w:r>
          </w:p>
        </w:tc>
        <w:tc>
          <w:tcPr>
            <w:tcW w:w="127" w:type="dxa"/>
            <w:tcBorders/>
            <w:shd w:fill="CCEEFF" w:val="clear"/>
            <w:vAlign w:val="center"/>
          </w:tcPr>
          <w:p>
            <w:pPr>
              <w:pStyle w:val="TableContents"/>
              <w:spacing w:before="0" w:after="0"/>
              <w:ind w:left="0" w:right="0" w:hanging="0"/>
              <w:rPr/>
            </w:pPr>
            <w:r>
              <w:rPr/>
              <w:t> </w:t>
            </w:r>
          </w:p>
        </w:tc>
        <w:tc>
          <w:tcPr>
            <w:tcW w:w="508" w:type="dxa"/>
            <w:tcBorders/>
            <w:shd w:fill="CCEEFF" w:val="clear"/>
            <w:vAlign w:val="center"/>
          </w:tcPr>
          <w:p>
            <w:pPr>
              <w:pStyle w:val="TableContents"/>
              <w:spacing w:before="0" w:after="0"/>
              <w:ind w:left="0" w:right="0" w:hanging="0"/>
              <w:rPr/>
            </w:pPr>
            <w:r>
              <w:rPr/>
              <w:t> </w:t>
            </w:r>
          </w:p>
        </w:tc>
        <w:tc>
          <w:tcPr>
            <w:tcW w:w="382"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5" w:type="dxa"/>
            <w:tcBorders/>
            <w:shd w:fill="CCEEFF" w:val="clear"/>
            <w:vAlign w:val="center"/>
          </w:tcPr>
          <w:p>
            <w:pPr>
              <w:pStyle w:val="TableContents"/>
              <w:spacing w:before="0" w:after="0"/>
              <w:ind w:left="0" w:right="0" w:hanging="0"/>
              <w:rPr/>
            </w:pPr>
            <w:r>
              <w:rPr/>
              <w:t> </w:t>
            </w:r>
          </w:p>
        </w:tc>
        <w:tc>
          <w:tcPr>
            <w:tcW w:w="118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8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1385" w:type="dxa"/>
            <w:tcBorders/>
            <w:shd w:fill="FFFFFF" w:val="clear"/>
            <w:vAlign w:val="center"/>
          </w:tcPr>
          <w:p>
            <w:pPr>
              <w:pStyle w:val="TableContents"/>
              <w:spacing w:before="0" w:after="0"/>
              <w:ind w:left="0" w:right="0" w:firstLine="180"/>
              <w:rPr/>
            </w:pPr>
            <w:r>
              <w:rPr/>
              <w:t>for-sale securities, net of tax</w:t>
            </w:r>
          </w:p>
        </w:tc>
        <w:tc>
          <w:tcPr>
            <w:tcW w:w="90" w:type="dxa"/>
            <w:tcBorders/>
            <w:shd w:fill="FFFFFF" w:val="clear"/>
            <w:vAlign w:val="center"/>
          </w:tcPr>
          <w:p>
            <w:pPr>
              <w:pStyle w:val="TableContents"/>
              <w:spacing w:before="0" w:after="0"/>
              <w:ind w:left="0" w:right="0" w:hanging="0"/>
              <w:rPr/>
            </w:pPr>
            <w:r>
              <w:rPr/>
              <w:t> </w:t>
            </w:r>
          </w:p>
        </w:tc>
        <w:tc>
          <w:tcPr>
            <w:tcW w:w="309"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431"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127" w:type="dxa"/>
            <w:tcBorders/>
            <w:shd w:fill="FFFFFF" w:val="clear"/>
            <w:vAlign w:val="center"/>
          </w:tcPr>
          <w:p>
            <w:pPr>
              <w:pStyle w:val="TableContents"/>
              <w:spacing w:before="0" w:after="0"/>
              <w:ind w:left="0" w:right="0" w:hanging="0"/>
              <w:rPr/>
            </w:pPr>
            <w:r>
              <w:rPr/>
              <w:t> </w:t>
            </w:r>
          </w:p>
        </w:tc>
        <w:tc>
          <w:tcPr>
            <w:tcW w:w="127" w:type="dxa"/>
            <w:tcBorders/>
            <w:shd w:fill="FFFFFF" w:val="clear"/>
            <w:vAlign w:val="center"/>
          </w:tcPr>
          <w:p>
            <w:pPr>
              <w:pStyle w:val="TableContents"/>
              <w:spacing w:before="0" w:after="0"/>
              <w:ind w:left="0" w:right="0" w:hanging="0"/>
              <w:rPr/>
            </w:pPr>
            <w:r>
              <w:rPr/>
              <w:t> </w:t>
            </w:r>
          </w:p>
        </w:tc>
        <w:tc>
          <w:tcPr>
            <w:tcW w:w="508"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382"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5"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85" w:type="dxa"/>
            <w:tcBorders>
              <w:bottom w:val="single" w:sz="2" w:space="0" w:color="000000"/>
            </w:tcBorders>
            <w:shd w:fill="FFFFFF" w:val="clear"/>
            <w:tcMar>
              <w:bottom w:w="28" w:type="dxa"/>
            </w:tcMar>
            <w:vAlign w:val="center"/>
          </w:tcPr>
          <w:p>
            <w:pPr>
              <w:pStyle w:val="TableContents"/>
              <w:spacing w:before="0" w:after="283"/>
              <w:jc w:val="right"/>
              <w:rPr/>
            </w:pPr>
            <w:r>
              <w:rPr/>
              <w:t>5,111,192</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85"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FFFFFF" w:val="clear"/>
            <w:tcMar>
              <w:bottom w:w="28" w:type="dxa"/>
            </w:tcMar>
            <w:vAlign w:val="center"/>
          </w:tcPr>
          <w:p>
            <w:pPr>
              <w:pStyle w:val="TableContents"/>
              <w:spacing w:before="0" w:after="283"/>
              <w:jc w:val="right"/>
              <w:rPr/>
            </w:pPr>
            <w:r>
              <w:rPr/>
              <w:t>5,111,192</w:t>
            </w:r>
          </w:p>
        </w:tc>
        <w:tc>
          <w:tcPr>
            <w:tcW w:w="170" w:type="dxa"/>
            <w:tcBorders/>
            <w:shd w:fill="FFFFFF" w:val="clear"/>
            <w:vAlign w:val="center"/>
          </w:tcPr>
          <w:p>
            <w:pPr>
              <w:pStyle w:val="TableContents"/>
              <w:spacing w:before="0" w:after="0"/>
              <w:ind w:left="0" w:right="0" w:hanging="0"/>
              <w:rPr/>
            </w:pPr>
            <w:r>
              <w:rPr/>
              <w:t> </w:t>
            </w:r>
          </w:p>
        </w:tc>
      </w:tr>
      <w:tr>
        <w:trPr/>
        <w:tc>
          <w:tcPr>
            <w:tcW w:w="1385" w:type="dxa"/>
            <w:tcBorders/>
            <w:shd w:fill="CCEEFF" w:val="clear"/>
            <w:vAlign w:val="center"/>
          </w:tcPr>
          <w:p>
            <w:pPr>
              <w:pStyle w:val="TableContents"/>
              <w:spacing w:before="0" w:after="0"/>
              <w:ind w:left="0" w:right="0" w:hanging="0"/>
              <w:rPr/>
            </w:pPr>
            <w:r>
              <w:rPr/>
              <w:t>Balance, December 31, 2020</w:t>
            </w:r>
          </w:p>
        </w:tc>
        <w:tc>
          <w:tcPr>
            <w:tcW w:w="90" w:type="dxa"/>
            <w:tcBorders/>
            <w:shd w:fill="CCEEFF" w:val="clear"/>
            <w:vAlign w:val="center"/>
          </w:tcPr>
          <w:p>
            <w:pPr>
              <w:pStyle w:val="TableContents"/>
              <w:spacing w:before="0" w:after="0"/>
              <w:ind w:left="0" w:right="0" w:hanging="0"/>
              <w:rPr/>
            </w:pPr>
            <w:r>
              <w:rPr/>
              <w:t> </w:t>
            </w:r>
          </w:p>
        </w:tc>
        <w:tc>
          <w:tcPr>
            <w:tcW w:w="309"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431" w:type="dxa"/>
            <w:tcBorders>
              <w:bottom w:val="double" w:sz="6" w:space="0" w:color="000000"/>
            </w:tcBorders>
            <w:shd w:fill="CCEEFF" w:val="clear"/>
            <w:tcMar>
              <w:bottom w:w="28" w:type="dxa"/>
            </w:tcMar>
            <w:vAlign w:val="center"/>
          </w:tcPr>
          <w:p>
            <w:pPr>
              <w:pStyle w:val="TableContents"/>
              <w:spacing w:before="0" w:after="283"/>
              <w:jc w:val="right"/>
              <w:rPr/>
            </w:pPr>
            <w:r>
              <w:rPr/>
              <w:t>-</w:t>
            </w:r>
          </w:p>
        </w:tc>
        <w:tc>
          <w:tcPr>
            <w:tcW w:w="127" w:type="dxa"/>
            <w:tcBorders/>
            <w:shd w:fill="CCEEFF" w:val="clear"/>
            <w:vAlign w:val="center"/>
          </w:tcPr>
          <w:p>
            <w:pPr>
              <w:pStyle w:val="TableContents"/>
              <w:spacing w:before="0" w:after="0"/>
              <w:ind w:left="0" w:right="0" w:hanging="0"/>
              <w:rPr/>
            </w:pPr>
            <w:r>
              <w:rPr/>
              <w:t> </w:t>
            </w:r>
          </w:p>
        </w:tc>
        <w:tc>
          <w:tcPr>
            <w:tcW w:w="127" w:type="dxa"/>
            <w:tcBorders/>
            <w:shd w:fill="CCEEFF" w:val="clear"/>
            <w:vAlign w:val="center"/>
          </w:tcPr>
          <w:p>
            <w:pPr>
              <w:pStyle w:val="TableContents"/>
              <w:spacing w:before="0" w:after="0"/>
              <w:ind w:left="0" w:right="0" w:hanging="0"/>
              <w:rPr/>
            </w:pPr>
            <w:r>
              <w:rPr/>
              <w:t> </w:t>
            </w:r>
          </w:p>
        </w:tc>
        <w:tc>
          <w:tcPr>
            <w:tcW w:w="508" w:type="dxa"/>
            <w:tcBorders>
              <w:bottom w:val="double" w:sz="6" w:space="0" w:color="000000"/>
            </w:tcBorders>
            <w:shd w:fill="CCEEFF" w:val="clear"/>
            <w:tcMar>
              <w:bottom w:w="28" w:type="dxa"/>
            </w:tcMar>
            <w:vAlign w:val="center"/>
          </w:tcPr>
          <w:p>
            <w:pPr>
              <w:pStyle w:val="TableContents"/>
              <w:spacing w:before="0" w:after="283"/>
              <w:rPr/>
            </w:pPr>
            <w:r>
              <w:rPr/>
              <w:t>$</w:t>
            </w:r>
          </w:p>
        </w:tc>
        <w:tc>
          <w:tcPr>
            <w:tcW w:w="382" w:type="dxa"/>
            <w:tcBorders>
              <w:bottom w:val="double" w:sz="6" w:space="0" w:color="000000"/>
            </w:tcBorders>
            <w:shd w:fill="CCEEFF" w:val="clear"/>
            <w:tcMar>
              <w:bottom w:w="28" w:type="dxa"/>
            </w:tcM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1130" w:type="dxa"/>
            <w:tcBorders>
              <w:bottom w:val="double" w:sz="6" w:space="0" w:color="000000"/>
            </w:tcBorders>
            <w:shd w:fill="CCEEFF" w:val="clear"/>
            <w:tcMar>
              <w:bottom w:w="28" w:type="dxa"/>
            </w:tcMar>
            <w:vAlign w:val="center"/>
          </w:tcPr>
          <w:p>
            <w:pPr>
              <w:pStyle w:val="TableContents"/>
              <w:spacing w:before="0" w:after="283"/>
              <w:jc w:val="right"/>
              <w:rPr/>
            </w:pPr>
            <w:r>
              <w:rPr/>
              <w:t>11,871,307</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830" w:type="dxa"/>
            <w:tcBorders>
              <w:bottom w:val="double" w:sz="6" w:space="0" w:color="000000"/>
            </w:tcBorders>
            <w:shd w:fill="CCEEFF" w:val="clear"/>
            <w:tcMar>
              <w:bottom w:w="28" w:type="dxa"/>
            </w:tcMar>
            <w:vAlign w:val="center"/>
          </w:tcPr>
          <w:p>
            <w:pPr>
              <w:pStyle w:val="TableContents"/>
              <w:spacing w:before="0" w:after="283"/>
              <w:jc w:val="right"/>
              <w:rPr/>
            </w:pPr>
            <w:r>
              <w:rPr/>
              <w:t>118,713</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130" w:type="dxa"/>
            <w:tcBorders>
              <w:bottom w:val="double" w:sz="6" w:space="0" w:color="000000"/>
            </w:tcBorders>
            <w:shd w:fill="CCEEFF" w:val="clear"/>
            <w:tcMar>
              <w:bottom w:w="28" w:type="dxa"/>
            </w:tcMar>
            <w:vAlign w:val="center"/>
          </w:tcPr>
          <w:p>
            <w:pPr>
              <w:pStyle w:val="TableContents"/>
              <w:spacing w:before="0" w:after="283"/>
              <w:jc w:val="right"/>
              <w:rPr/>
            </w:pPr>
            <w:r>
              <w:rPr/>
              <w:t>70,769,165</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5" w:type="dxa"/>
            <w:tcBorders>
              <w:bottom w:val="double" w:sz="6" w:space="0" w:color="000000"/>
            </w:tcBorders>
            <w:shd w:fill="CCEEFF" w:val="clear"/>
            <w:tcMar>
              <w:bottom w:w="28" w:type="dxa"/>
            </w:tcMar>
            <w:vAlign w:val="center"/>
          </w:tcPr>
          <w:p>
            <w:pPr>
              <w:pStyle w:val="TableContents"/>
              <w:spacing w:before="0" w:after="283"/>
              <w:rPr/>
            </w:pPr>
            <w:r>
              <w:rPr/>
              <w:t>$</w:t>
            </w:r>
          </w:p>
        </w:tc>
        <w:tc>
          <w:tcPr>
            <w:tcW w:w="1185" w:type="dxa"/>
            <w:tcBorders>
              <w:bottom w:val="double" w:sz="6" w:space="0" w:color="000000"/>
            </w:tcBorders>
            <w:shd w:fill="CCEEFF" w:val="clear"/>
            <w:tcMar>
              <w:bottom w:w="28" w:type="dxa"/>
            </w:tcMar>
            <w:vAlign w:val="center"/>
          </w:tcPr>
          <w:p>
            <w:pPr>
              <w:pStyle w:val="TableContents"/>
              <w:spacing w:before="0" w:after="283"/>
              <w:jc w:val="right"/>
              <w:rPr/>
            </w:pPr>
            <w:r>
              <w:rPr/>
              <w:t>9,880,062</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130" w:type="dxa"/>
            <w:tcBorders>
              <w:bottom w:val="double" w:sz="6" w:space="0" w:color="000000"/>
            </w:tcBorders>
            <w:shd w:fill="CCEEFF" w:val="clear"/>
            <w:tcMar>
              <w:bottom w:w="28" w:type="dxa"/>
            </w:tcMar>
            <w:vAlign w:val="center"/>
          </w:tcPr>
          <w:p>
            <w:pPr>
              <w:pStyle w:val="TableContents"/>
              <w:spacing w:before="0" w:after="283"/>
              <w:jc w:val="right"/>
              <w:rPr/>
            </w:pPr>
            <w:r>
              <w:rPr/>
              <w:t>15,928,345</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1010" w:type="dxa"/>
            <w:tcBorders>
              <w:bottom w:val="double" w:sz="6" w:space="0" w:color="000000"/>
            </w:tcBorders>
            <w:shd w:fill="CCEEFF" w:val="clear"/>
            <w:tcMar>
              <w:bottom w:w="28" w:type="dxa"/>
            </w:tcMar>
            <w:vAlign w:val="center"/>
          </w:tcPr>
          <w:p>
            <w:pPr>
              <w:pStyle w:val="TableContents"/>
              <w:spacing w:before="0" w:after="283"/>
              <w:jc w:val="right"/>
              <w:rPr/>
            </w:pPr>
            <w:r>
              <w:rPr/>
              <w:t>1,254,492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085" w:type="dxa"/>
            <w:tcBorders>
              <w:bottom w:val="double" w:sz="6" w:space="0" w:color="000000"/>
            </w:tcBorders>
            <w:shd w:fill="CCEEFF" w:val="clear"/>
            <w:tcMar>
              <w:bottom w:w="28" w:type="dxa"/>
            </w:tcMar>
            <w:vAlign w:val="center"/>
          </w:tcPr>
          <w:p>
            <w:pPr>
              <w:pStyle w:val="TableContents"/>
              <w:spacing w:before="0" w:after="283"/>
              <w:jc w:val="right"/>
              <w:rPr/>
            </w:pPr>
            <w:r>
              <w:rPr/>
              <w:t>(3,895,883</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130" w:type="dxa"/>
            <w:tcBorders>
              <w:bottom w:val="double" w:sz="6" w:space="0" w:color="000000"/>
            </w:tcBorders>
            <w:shd w:fill="CCEEFF" w:val="clear"/>
            <w:tcMar>
              <w:bottom w:w="28" w:type="dxa"/>
            </w:tcMar>
            <w:vAlign w:val="center"/>
          </w:tcPr>
          <w:p>
            <w:pPr>
              <w:pStyle w:val="TableContents"/>
              <w:spacing w:before="0" w:after="283"/>
              <w:jc w:val="right"/>
              <w:rPr/>
            </w:pPr>
            <w:r>
              <w:rPr/>
              <w:t>92,800,402</w:t>
            </w:r>
          </w:p>
        </w:tc>
        <w:tc>
          <w:tcPr>
            <w:tcW w:w="170"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tbl>
      <w:tblPr>
        <w:tblW w:w="6485" w:type="dxa"/>
        <w:jc w:val="left"/>
        <w:tblInd w:w="0" w:type="dxa"/>
        <w:tblCellMar>
          <w:top w:w="28" w:type="dxa"/>
          <w:left w:w="0" w:type="dxa"/>
          <w:bottom w:w="0" w:type="dxa"/>
          <w:right w:w="0" w:type="dxa"/>
        </w:tblCellMar>
      </w:tblPr>
      <w:tblGrid>
        <w:gridCol w:w="6485"/>
      </w:tblGrid>
      <w:tr>
        <w:trPr/>
        <w:tc>
          <w:tcPr>
            <w:tcW w:w="6485" w:type="dxa"/>
            <w:tcBorders>
              <w:top w:val="single" w:sz="2" w:space="0" w:color="000000"/>
            </w:tcBorders>
            <w:shd w:fill="auto" w:val="clear"/>
            <w:vAlign w:val="center"/>
          </w:tcPr>
          <w:p>
            <w:pPr>
              <w:pStyle w:val="TableContents"/>
              <w:spacing w:before="0" w:after="0"/>
              <w:ind w:left="0" w:right="0" w:hanging="0"/>
              <w:rPr/>
            </w:pPr>
            <w:r>
              <w:rPr>
                <w:rStyle w:val="Emphasis"/>
              </w:rPr>
              <w:t>See accompanying notes to these consolidated financial statements.</w:t>
            </w:r>
          </w:p>
        </w:tc>
      </w:tr>
    </w:tbl>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F-6</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6980"/>
        <w:gridCol w:w="90"/>
        <w:gridCol w:w="170"/>
        <w:gridCol w:w="1205"/>
        <w:gridCol w:w="125"/>
        <w:gridCol w:w="90"/>
        <w:gridCol w:w="170"/>
        <w:gridCol w:w="1205"/>
        <w:gridCol w:w="170"/>
      </w:tblGrid>
      <w:tr>
        <w:trPr/>
        <w:tc>
          <w:tcPr>
            <w:tcW w:w="10205" w:type="dxa"/>
            <w:gridSpan w:val="9"/>
            <w:tcBorders/>
            <w:shd w:fill="auto" w:val="clear"/>
            <w:vAlign w:val="center"/>
          </w:tcPr>
          <w:p>
            <w:pPr>
              <w:pStyle w:val="TableContents"/>
              <w:spacing w:before="0" w:after="0"/>
              <w:ind w:left="0" w:right="0" w:hanging="0"/>
              <w:jc w:val="right"/>
              <w:rPr/>
            </w:pPr>
            <w:r>
              <w:rPr>
                <w:rStyle w:val="StrongEmphasis"/>
              </w:rPr>
              <w:t xml:space="preserve">KINGSTONE COMPANIES, INC. AND SUBSIDIARIES </w:t>
            </w:r>
          </w:p>
        </w:tc>
      </w:tr>
      <w:tr>
        <w:trPr/>
        <w:tc>
          <w:tcPr>
            <w:tcW w:w="698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0"/>
              <w:ind w:left="0" w:right="0" w:hanging="0"/>
              <w:rPr/>
            </w:pPr>
            <w:r>
              <w:rPr/>
              <w:t> </w:t>
            </w:r>
          </w:p>
        </w:tc>
      </w:tr>
      <w:tr>
        <w:trPr/>
        <w:tc>
          <w:tcPr>
            <w:tcW w:w="6980" w:type="dxa"/>
            <w:tcBorders>
              <w:bottom w:val="single" w:sz="2" w:space="0" w:color="000000"/>
            </w:tcBorders>
            <w:shd w:fill="auto" w:val="clear"/>
            <w:tcMar>
              <w:bottom w:w="28" w:type="dxa"/>
            </w:tcMar>
            <w:vAlign w:val="center"/>
          </w:tcPr>
          <w:p>
            <w:pPr>
              <w:pStyle w:val="TableContents"/>
              <w:spacing w:before="0" w:after="0"/>
              <w:ind w:left="0" w:right="0" w:hanging="0"/>
              <w:rPr/>
            </w:pPr>
            <w:bookmarkStart w:id="27" w:name="CF"/>
            <w:bookmarkEnd w:id="27"/>
            <w:r>
              <w:rPr>
                <w:rStyle w:val="StrongEmphasis"/>
              </w:rPr>
              <w:t>Consolidated Statements of Cash Flows</w:t>
            </w:r>
          </w:p>
        </w:tc>
        <w:tc>
          <w:tcPr>
            <w:tcW w:w="9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375" w:type="dxa"/>
            <w:gridSpan w:val="2"/>
            <w:tcBorders>
              <w:bottom w:val="single" w:sz="2"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5"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375" w:type="dxa"/>
            <w:gridSpan w:val="2"/>
            <w:tcBorders>
              <w:bottom w:val="single" w:sz="2"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7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r>
      <w:tr>
        <w:trPr/>
        <w:tc>
          <w:tcPr>
            <w:tcW w:w="6980"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Emphasis"/>
              </w:rPr>
              <w:t>Years ended December 31,</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2020</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2019</w:t>
            </w:r>
          </w:p>
        </w:tc>
        <w:tc>
          <w:tcPr>
            <w:tcW w:w="170" w:type="dxa"/>
            <w:tcBorders/>
            <w:shd w:fill="auto" w:val="clear"/>
            <w:vAlign w:val="center"/>
          </w:tcPr>
          <w:p>
            <w:pPr>
              <w:pStyle w:val="TableContents"/>
              <w:spacing w:before="0" w:after="0"/>
              <w:ind w:left="0" w:right="0" w:hanging="0"/>
              <w:rPr/>
            </w:pPr>
            <w:r>
              <w:rPr/>
              <w:t> </w:t>
            </w:r>
          </w:p>
        </w:tc>
      </w:tr>
      <w:tr>
        <w:trPr/>
        <w:tc>
          <w:tcPr>
            <w:tcW w:w="698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r>
      <w:tr>
        <w:trPr/>
        <w:tc>
          <w:tcPr>
            <w:tcW w:w="6980" w:type="dxa"/>
            <w:tcBorders/>
            <w:shd w:fill="auto" w:val="clear"/>
            <w:vAlign w:val="center"/>
          </w:tcPr>
          <w:p>
            <w:pPr>
              <w:pStyle w:val="TableContents"/>
              <w:spacing w:before="0" w:after="0"/>
              <w:ind w:left="0" w:right="0" w:hanging="0"/>
              <w:rPr/>
            </w:pPr>
            <w:r>
              <w:rPr>
                <w:rStyle w:val="StrongEmphasis"/>
              </w:rPr>
              <w:t xml:space="preserve">Cash flows from operating activities: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r>
      <w:tr>
        <w:trPr/>
        <w:tc>
          <w:tcPr>
            <w:tcW w:w="6980" w:type="dxa"/>
            <w:tcBorders/>
            <w:shd w:fill="CCEEFF" w:val="clear"/>
            <w:vAlign w:val="center"/>
          </w:tcPr>
          <w:p>
            <w:pPr>
              <w:pStyle w:val="TableContents"/>
              <w:spacing w:before="0" w:after="0"/>
              <w:ind w:left="0" w:right="0" w:hanging="0"/>
              <w:rPr/>
            </w:pPr>
            <w:r>
              <w:rPr/>
              <w:t xml:space="preserve">Net income (loss)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05" w:type="dxa"/>
            <w:tcBorders/>
            <w:shd w:fill="CCEEFF" w:val="clear"/>
            <w:vAlign w:val="center"/>
          </w:tcPr>
          <w:p>
            <w:pPr>
              <w:pStyle w:val="TableContents"/>
              <w:spacing w:before="0" w:after="283"/>
              <w:jc w:val="right"/>
              <w:rPr/>
            </w:pPr>
            <w:r>
              <w:rPr/>
              <w:t>972,390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05" w:type="dxa"/>
            <w:tcBorders/>
            <w:shd w:fill="CCEEFF" w:val="clear"/>
            <w:vAlign w:val="center"/>
          </w:tcPr>
          <w:p>
            <w:pPr>
              <w:pStyle w:val="TableContents"/>
              <w:spacing w:before="0" w:after="283"/>
              <w:jc w:val="right"/>
              <w:rPr/>
            </w:pPr>
            <w:r>
              <w:rPr/>
              <w:t>(5,966,353</w:t>
            </w:r>
          </w:p>
        </w:tc>
        <w:tc>
          <w:tcPr>
            <w:tcW w:w="170" w:type="dxa"/>
            <w:tcBorders/>
            <w:shd w:fill="CCEEFF" w:val="clear"/>
            <w:vAlign w:val="center"/>
          </w:tcPr>
          <w:p>
            <w:pPr>
              <w:pStyle w:val="TableContents"/>
              <w:spacing w:before="0" w:after="283"/>
              <w:rPr/>
            </w:pPr>
            <w:r>
              <w:rPr/>
              <w:t>)</w:t>
            </w:r>
          </w:p>
        </w:tc>
      </w:tr>
      <w:tr>
        <w:trPr/>
        <w:tc>
          <w:tcPr>
            <w:tcW w:w="6980" w:type="dxa"/>
            <w:tcBorders/>
            <w:shd w:fill="FFFFFF" w:val="clear"/>
            <w:vAlign w:val="center"/>
          </w:tcPr>
          <w:p>
            <w:pPr>
              <w:pStyle w:val="TableContents"/>
              <w:spacing w:before="0" w:after="0"/>
              <w:ind w:left="0" w:right="0" w:hanging="0"/>
              <w:rPr/>
            </w:pPr>
            <w:r>
              <w:rPr/>
              <w:t xml:space="preserve">Adjustments to reconcile net income (loss) to net cash flows (used in) provided by operating activities: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6980" w:type="dxa"/>
            <w:tcBorders/>
            <w:shd w:fill="CCEEFF" w:val="clear"/>
            <w:vAlign w:val="center"/>
          </w:tcPr>
          <w:p>
            <w:pPr>
              <w:pStyle w:val="TableContents"/>
              <w:spacing w:before="0" w:after="0"/>
              <w:ind w:left="0" w:right="0" w:firstLine="200"/>
              <w:rPr/>
            </w:pPr>
            <w:r>
              <w:rPr/>
              <w:t xml:space="preserve">Net gains on sale of investments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(832,418</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(28,845</w:t>
            </w:r>
          </w:p>
        </w:tc>
        <w:tc>
          <w:tcPr>
            <w:tcW w:w="170" w:type="dxa"/>
            <w:tcBorders/>
            <w:shd w:fill="CCEEFF" w:val="clear"/>
            <w:vAlign w:val="center"/>
          </w:tcPr>
          <w:p>
            <w:pPr>
              <w:pStyle w:val="TableContents"/>
              <w:spacing w:before="0" w:after="283"/>
              <w:rPr/>
            </w:pPr>
            <w:r>
              <w:rPr/>
              <w:t>)</w:t>
            </w:r>
          </w:p>
        </w:tc>
      </w:tr>
      <w:tr>
        <w:trPr/>
        <w:tc>
          <w:tcPr>
            <w:tcW w:w="6980" w:type="dxa"/>
            <w:tcBorders/>
            <w:shd w:fill="FFFFFF" w:val="clear"/>
            <w:vAlign w:val="center"/>
          </w:tcPr>
          <w:p>
            <w:pPr>
              <w:pStyle w:val="TableContents"/>
              <w:spacing w:before="0" w:after="0"/>
              <w:ind w:left="0" w:right="0" w:firstLine="200"/>
              <w:rPr/>
            </w:pPr>
            <w:r>
              <w:rPr/>
              <w:t xml:space="preserve">Net unrealized losses (gains) of equity investments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175,515</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(3,832,486</w:t>
            </w:r>
          </w:p>
        </w:tc>
        <w:tc>
          <w:tcPr>
            <w:tcW w:w="170" w:type="dxa"/>
            <w:tcBorders/>
            <w:shd w:fill="FFFFFF" w:val="clear"/>
            <w:vAlign w:val="center"/>
          </w:tcPr>
          <w:p>
            <w:pPr>
              <w:pStyle w:val="TableContents"/>
              <w:spacing w:before="0" w:after="283"/>
              <w:rPr/>
            </w:pPr>
            <w:r>
              <w:rPr/>
              <w:t>)</w:t>
            </w:r>
          </w:p>
        </w:tc>
      </w:tr>
      <w:tr>
        <w:trPr/>
        <w:tc>
          <w:tcPr>
            <w:tcW w:w="6980" w:type="dxa"/>
            <w:tcBorders/>
            <w:shd w:fill="CCEEFF" w:val="clear"/>
            <w:vAlign w:val="center"/>
          </w:tcPr>
          <w:p>
            <w:pPr>
              <w:pStyle w:val="TableContents"/>
              <w:spacing w:before="0" w:after="0"/>
              <w:ind w:left="0" w:right="0" w:firstLine="200"/>
              <w:rPr/>
            </w:pPr>
            <w:r>
              <w:rPr/>
              <w:t xml:space="preserve">Net unrealized gains of other investments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(933,713</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(729,688</w:t>
            </w:r>
          </w:p>
        </w:tc>
        <w:tc>
          <w:tcPr>
            <w:tcW w:w="170" w:type="dxa"/>
            <w:tcBorders/>
            <w:shd w:fill="CCEEFF" w:val="clear"/>
            <w:vAlign w:val="center"/>
          </w:tcPr>
          <w:p>
            <w:pPr>
              <w:pStyle w:val="TableContents"/>
              <w:spacing w:before="0" w:after="283"/>
              <w:rPr/>
            </w:pPr>
            <w:r>
              <w:rPr/>
              <w:t>)</w:t>
            </w:r>
          </w:p>
        </w:tc>
      </w:tr>
      <w:tr>
        <w:trPr/>
        <w:tc>
          <w:tcPr>
            <w:tcW w:w="6980" w:type="dxa"/>
            <w:tcBorders/>
            <w:shd w:fill="FFFFFF" w:val="clear"/>
            <w:vAlign w:val="center"/>
          </w:tcPr>
          <w:p>
            <w:pPr>
              <w:pStyle w:val="TableContents"/>
              <w:spacing w:before="0" w:after="0"/>
              <w:ind w:left="0" w:right="0" w:firstLine="200"/>
              <w:rPr/>
            </w:pPr>
            <w:r>
              <w:rPr/>
              <w:t xml:space="preserve">Depreciation and amortization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2,864,583</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2,545,946</w:t>
            </w:r>
          </w:p>
        </w:tc>
        <w:tc>
          <w:tcPr>
            <w:tcW w:w="170" w:type="dxa"/>
            <w:tcBorders/>
            <w:shd w:fill="FFFFFF" w:val="clear"/>
            <w:vAlign w:val="center"/>
          </w:tcPr>
          <w:p>
            <w:pPr>
              <w:pStyle w:val="TableContents"/>
              <w:spacing w:before="0" w:after="0"/>
              <w:ind w:left="0" w:right="0" w:hanging="0"/>
              <w:rPr/>
            </w:pPr>
            <w:r>
              <w:rPr/>
              <w:t> </w:t>
            </w:r>
          </w:p>
        </w:tc>
      </w:tr>
      <w:tr>
        <w:trPr/>
        <w:tc>
          <w:tcPr>
            <w:tcW w:w="6980" w:type="dxa"/>
            <w:tcBorders/>
            <w:shd w:fill="CCEEFF" w:val="clear"/>
            <w:vAlign w:val="center"/>
          </w:tcPr>
          <w:p>
            <w:pPr>
              <w:pStyle w:val="TableContents"/>
              <w:spacing w:before="0" w:after="0"/>
              <w:ind w:left="0" w:right="0" w:firstLine="200"/>
              <w:rPr/>
            </w:pPr>
            <w:r>
              <w:rPr/>
              <w:t xml:space="preserve">Bad debts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128,585</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112,761</w:t>
            </w:r>
          </w:p>
        </w:tc>
        <w:tc>
          <w:tcPr>
            <w:tcW w:w="170" w:type="dxa"/>
            <w:tcBorders/>
            <w:shd w:fill="CCEEFF" w:val="clear"/>
            <w:vAlign w:val="center"/>
          </w:tcPr>
          <w:p>
            <w:pPr>
              <w:pStyle w:val="TableContents"/>
              <w:spacing w:before="0" w:after="283"/>
              <w:rPr>
                <w:sz w:val="4"/>
                <w:szCs w:val="4"/>
              </w:rPr>
            </w:pPr>
            <w:r>
              <w:rPr>
                <w:sz w:val="4"/>
                <w:szCs w:val="4"/>
              </w:rPr>
            </w:r>
          </w:p>
        </w:tc>
      </w:tr>
      <w:tr>
        <w:trPr/>
        <w:tc>
          <w:tcPr>
            <w:tcW w:w="6980" w:type="dxa"/>
            <w:tcBorders/>
            <w:shd w:fill="FFFFFF" w:val="clear"/>
            <w:vAlign w:val="center"/>
          </w:tcPr>
          <w:p>
            <w:pPr>
              <w:pStyle w:val="TableContents"/>
              <w:spacing w:before="0" w:after="0"/>
              <w:ind w:left="0" w:right="0" w:firstLine="200"/>
              <w:rPr/>
            </w:pPr>
            <w:r>
              <w:rPr/>
              <w:t xml:space="preserve">Amortization of bond premium, net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614,307</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417,119</w:t>
            </w:r>
          </w:p>
        </w:tc>
        <w:tc>
          <w:tcPr>
            <w:tcW w:w="170" w:type="dxa"/>
            <w:tcBorders/>
            <w:shd w:fill="FFFFFF" w:val="clear"/>
            <w:vAlign w:val="center"/>
          </w:tcPr>
          <w:p>
            <w:pPr>
              <w:pStyle w:val="TableContents"/>
              <w:spacing w:before="0" w:after="0"/>
              <w:ind w:left="0" w:right="0" w:hanging="0"/>
              <w:rPr/>
            </w:pPr>
            <w:r>
              <w:rPr/>
              <w:t> </w:t>
            </w:r>
          </w:p>
        </w:tc>
      </w:tr>
      <w:tr>
        <w:trPr/>
        <w:tc>
          <w:tcPr>
            <w:tcW w:w="6980" w:type="dxa"/>
            <w:tcBorders/>
            <w:shd w:fill="CCEEFF" w:val="clear"/>
            <w:vAlign w:val="center"/>
          </w:tcPr>
          <w:p>
            <w:pPr>
              <w:pStyle w:val="TableContents"/>
              <w:spacing w:before="0" w:after="0"/>
              <w:ind w:left="0" w:right="0" w:firstLine="200"/>
              <w:rPr/>
            </w:pPr>
            <w:r>
              <w:rPr/>
              <w:t xml:space="preserve">Amortization of discount and issuance costs on long-term debt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176,180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176,180</w:t>
            </w:r>
          </w:p>
        </w:tc>
        <w:tc>
          <w:tcPr>
            <w:tcW w:w="170" w:type="dxa"/>
            <w:tcBorders/>
            <w:shd w:fill="CCEEFF" w:val="clear"/>
            <w:vAlign w:val="center"/>
          </w:tcPr>
          <w:p>
            <w:pPr>
              <w:pStyle w:val="TableContents"/>
              <w:spacing w:before="0" w:after="0"/>
              <w:ind w:left="0" w:right="0" w:hanging="0"/>
              <w:rPr/>
            </w:pPr>
            <w:r>
              <w:rPr/>
              <w:t> </w:t>
            </w:r>
          </w:p>
        </w:tc>
      </w:tr>
      <w:tr>
        <w:trPr/>
        <w:tc>
          <w:tcPr>
            <w:tcW w:w="6980" w:type="dxa"/>
            <w:tcBorders/>
            <w:shd w:fill="FFFFFF" w:val="clear"/>
            <w:vAlign w:val="center"/>
          </w:tcPr>
          <w:p>
            <w:pPr>
              <w:pStyle w:val="TableContents"/>
              <w:spacing w:before="0" w:after="0"/>
              <w:ind w:left="0" w:right="0" w:firstLine="200"/>
              <w:rPr/>
            </w:pPr>
            <w:r>
              <w:rPr/>
              <w:t xml:space="preserve">Stock-based compensation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1,769,649</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1,501,377</w:t>
            </w:r>
          </w:p>
        </w:tc>
        <w:tc>
          <w:tcPr>
            <w:tcW w:w="170" w:type="dxa"/>
            <w:tcBorders/>
            <w:shd w:fill="FFFFFF" w:val="clear"/>
            <w:vAlign w:val="center"/>
          </w:tcPr>
          <w:p>
            <w:pPr>
              <w:pStyle w:val="TableContents"/>
              <w:spacing w:before="0" w:after="0"/>
              <w:ind w:left="0" w:right="0" w:hanging="0"/>
              <w:rPr/>
            </w:pPr>
            <w:r>
              <w:rPr/>
              <w:t> </w:t>
            </w:r>
          </w:p>
        </w:tc>
      </w:tr>
      <w:tr>
        <w:trPr/>
        <w:tc>
          <w:tcPr>
            <w:tcW w:w="6980" w:type="dxa"/>
            <w:tcBorders/>
            <w:shd w:fill="CCEEFF" w:val="clear"/>
            <w:vAlign w:val="center"/>
          </w:tcPr>
          <w:p>
            <w:pPr>
              <w:pStyle w:val="TableContents"/>
              <w:spacing w:before="0" w:after="0"/>
              <w:ind w:left="0" w:right="0" w:firstLine="200"/>
              <w:rPr/>
            </w:pPr>
            <w:r>
              <w:rPr/>
              <w:t xml:space="preserve">Deferred income tax benefit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3,109,295</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(1,991,208</w:t>
            </w:r>
          </w:p>
        </w:tc>
        <w:tc>
          <w:tcPr>
            <w:tcW w:w="170" w:type="dxa"/>
            <w:tcBorders/>
            <w:shd w:fill="CCEEFF" w:val="clear"/>
            <w:vAlign w:val="center"/>
          </w:tcPr>
          <w:p>
            <w:pPr>
              <w:pStyle w:val="TableContents"/>
              <w:spacing w:before="0" w:after="283"/>
              <w:rPr/>
            </w:pPr>
            <w:r>
              <w:rPr/>
              <w:t>)</w:t>
            </w:r>
          </w:p>
        </w:tc>
      </w:tr>
      <w:tr>
        <w:trPr/>
        <w:tc>
          <w:tcPr>
            <w:tcW w:w="6980" w:type="dxa"/>
            <w:tcBorders/>
            <w:shd w:fill="FFFFFF" w:val="clear"/>
            <w:vAlign w:val="center"/>
          </w:tcPr>
          <w:p>
            <w:pPr>
              <w:pStyle w:val="TableContents"/>
              <w:spacing w:before="0" w:after="0"/>
              <w:ind w:left="0" w:right="0" w:hanging="0"/>
              <w:rPr/>
            </w:pPr>
            <w:r>
              <w:rPr/>
              <w:t xml:space="preserve">Decrease (increase) in operating assets: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6980" w:type="dxa"/>
            <w:tcBorders/>
            <w:shd w:fill="CCEEFF" w:val="clear"/>
            <w:vAlign w:val="center"/>
          </w:tcPr>
          <w:p>
            <w:pPr>
              <w:pStyle w:val="TableContents"/>
              <w:spacing w:before="0" w:after="0"/>
              <w:ind w:left="0" w:right="0" w:firstLine="200"/>
              <w:rPr/>
            </w:pPr>
            <w:r>
              <w:rPr/>
              <w:t xml:space="preserve">Premiums receivable, net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758,187</w:t>
            </w:r>
          </w:p>
        </w:tc>
        <w:tc>
          <w:tcPr>
            <w:tcW w:w="125" w:type="dxa"/>
            <w:tcBorders/>
            <w:shd w:fill="CCEEFF" w:val="clear"/>
            <w:vAlign w:val="center"/>
          </w:tcPr>
          <w:p>
            <w:pPr>
              <w:pStyle w:val="TableContents"/>
              <w:spacing w:before="0" w:after="283"/>
              <w:rPr>
                <w:sz w:val="4"/>
                <w:szCs w:val="4"/>
              </w:rPr>
            </w:pPr>
            <w:r>
              <w:rPr>
                <w:sz w:val="4"/>
                <w:szCs w:val="4"/>
              </w:rPr>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1,142,427</w:t>
            </w:r>
          </w:p>
        </w:tc>
        <w:tc>
          <w:tcPr>
            <w:tcW w:w="170" w:type="dxa"/>
            <w:tcBorders/>
            <w:shd w:fill="CCEEFF" w:val="clear"/>
            <w:vAlign w:val="center"/>
          </w:tcPr>
          <w:p>
            <w:pPr>
              <w:pStyle w:val="TableContents"/>
              <w:spacing w:before="0" w:after="0"/>
              <w:ind w:left="0" w:right="0" w:hanging="0"/>
              <w:rPr/>
            </w:pPr>
            <w:r>
              <w:rPr/>
              <w:t> </w:t>
            </w:r>
          </w:p>
        </w:tc>
      </w:tr>
      <w:tr>
        <w:trPr/>
        <w:tc>
          <w:tcPr>
            <w:tcW w:w="6980" w:type="dxa"/>
            <w:tcBorders/>
            <w:shd w:fill="FFFFFF" w:val="clear"/>
            <w:vAlign w:val="center"/>
          </w:tcPr>
          <w:p>
            <w:pPr>
              <w:pStyle w:val="TableContents"/>
              <w:spacing w:before="0" w:after="0"/>
              <w:ind w:left="0" w:right="0" w:firstLine="200"/>
              <w:rPr/>
            </w:pPr>
            <w:r>
              <w:rPr/>
              <w:t xml:space="preserve">Reinsurance receivables, net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(4,710,191</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(14,383,423</w:t>
            </w:r>
          </w:p>
        </w:tc>
        <w:tc>
          <w:tcPr>
            <w:tcW w:w="170" w:type="dxa"/>
            <w:tcBorders/>
            <w:shd w:fill="FFFFFF" w:val="clear"/>
            <w:vAlign w:val="center"/>
          </w:tcPr>
          <w:p>
            <w:pPr>
              <w:pStyle w:val="TableContents"/>
              <w:spacing w:before="0" w:after="283"/>
              <w:rPr/>
            </w:pPr>
            <w:r>
              <w:rPr/>
              <w:t>)</w:t>
            </w:r>
          </w:p>
        </w:tc>
      </w:tr>
      <w:tr>
        <w:trPr/>
        <w:tc>
          <w:tcPr>
            <w:tcW w:w="6980" w:type="dxa"/>
            <w:tcBorders/>
            <w:shd w:fill="CCEEFF" w:val="clear"/>
            <w:vAlign w:val="center"/>
          </w:tcPr>
          <w:p>
            <w:pPr>
              <w:pStyle w:val="TableContents"/>
              <w:spacing w:before="0" w:after="0"/>
              <w:ind w:left="0" w:right="0" w:firstLine="200"/>
              <w:rPr/>
            </w:pPr>
            <w:r>
              <w:rPr/>
              <w:t xml:space="preserve">Deferred policy acquisition costs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491,863</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(2,726,641</w:t>
            </w:r>
          </w:p>
        </w:tc>
        <w:tc>
          <w:tcPr>
            <w:tcW w:w="170" w:type="dxa"/>
            <w:tcBorders/>
            <w:shd w:fill="CCEEFF" w:val="clear"/>
            <w:vAlign w:val="center"/>
          </w:tcPr>
          <w:p>
            <w:pPr>
              <w:pStyle w:val="TableContents"/>
              <w:spacing w:before="0" w:after="283"/>
              <w:rPr/>
            </w:pPr>
            <w:r>
              <w:rPr/>
              <w:t>)</w:t>
            </w:r>
          </w:p>
        </w:tc>
      </w:tr>
      <w:tr>
        <w:trPr/>
        <w:tc>
          <w:tcPr>
            <w:tcW w:w="6980" w:type="dxa"/>
            <w:tcBorders/>
            <w:shd w:fill="FFFFFF" w:val="clear"/>
            <w:vAlign w:val="center"/>
          </w:tcPr>
          <w:p>
            <w:pPr>
              <w:pStyle w:val="TableContents"/>
              <w:spacing w:before="0" w:after="0"/>
              <w:ind w:left="0" w:right="0" w:firstLine="200"/>
              <w:rPr/>
            </w:pPr>
            <w:r>
              <w:rPr/>
              <w:t xml:space="preserve">Other assets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(2,286,399</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(1,096,732</w:t>
            </w:r>
          </w:p>
        </w:tc>
        <w:tc>
          <w:tcPr>
            <w:tcW w:w="170" w:type="dxa"/>
            <w:tcBorders/>
            <w:shd w:fill="FFFFFF" w:val="clear"/>
            <w:vAlign w:val="center"/>
          </w:tcPr>
          <w:p>
            <w:pPr>
              <w:pStyle w:val="TableContents"/>
              <w:spacing w:before="0" w:after="283"/>
              <w:rPr/>
            </w:pPr>
            <w:r>
              <w:rPr/>
              <w:t>)</w:t>
            </w:r>
          </w:p>
        </w:tc>
      </w:tr>
      <w:tr>
        <w:trPr/>
        <w:tc>
          <w:tcPr>
            <w:tcW w:w="6980" w:type="dxa"/>
            <w:tcBorders/>
            <w:shd w:fill="CCEEFF" w:val="clear"/>
            <w:vAlign w:val="center"/>
          </w:tcPr>
          <w:p>
            <w:pPr>
              <w:pStyle w:val="TableContents"/>
              <w:spacing w:before="0" w:after="0"/>
              <w:ind w:left="0" w:right="0" w:hanging="0"/>
              <w:rPr/>
            </w:pPr>
            <w:r>
              <w:rPr/>
              <w:t xml:space="preserve">(Decrease) increase in operating liabilities: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6980" w:type="dxa"/>
            <w:tcBorders/>
            <w:shd w:fill="FFFFFF" w:val="clear"/>
            <w:vAlign w:val="center"/>
          </w:tcPr>
          <w:p>
            <w:pPr>
              <w:pStyle w:val="TableContents"/>
              <w:spacing w:before="0" w:after="0"/>
              <w:ind w:left="0" w:right="0" w:firstLine="200"/>
              <w:rPr/>
            </w:pPr>
            <w:r>
              <w:rPr/>
              <w:t xml:space="preserve">Loss and loss adjustment expense reserves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2,302,617</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24,301,505</w:t>
            </w:r>
          </w:p>
        </w:tc>
        <w:tc>
          <w:tcPr>
            <w:tcW w:w="170" w:type="dxa"/>
            <w:tcBorders/>
            <w:shd w:fill="FFFFFF" w:val="clear"/>
            <w:vAlign w:val="center"/>
          </w:tcPr>
          <w:p>
            <w:pPr>
              <w:pStyle w:val="TableContents"/>
              <w:spacing w:before="0" w:after="0"/>
              <w:ind w:left="0" w:right="0" w:hanging="0"/>
              <w:rPr/>
            </w:pPr>
            <w:r>
              <w:rPr/>
              <w:t> </w:t>
            </w:r>
          </w:p>
        </w:tc>
      </w:tr>
      <w:tr>
        <w:trPr/>
        <w:tc>
          <w:tcPr>
            <w:tcW w:w="6980" w:type="dxa"/>
            <w:tcBorders/>
            <w:shd w:fill="CCEEFF" w:val="clear"/>
            <w:vAlign w:val="center"/>
          </w:tcPr>
          <w:p>
            <w:pPr>
              <w:pStyle w:val="TableContents"/>
              <w:spacing w:before="0" w:after="0"/>
              <w:ind w:left="0" w:right="0" w:firstLine="200"/>
              <w:rPr/>
            </w:pPr>
            <w:r>
              <w:rPr/>
              <w:t xml:space="preserve">Unearned premiums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(373,966</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11,351,107</w:t>
            </w:r>
          </w:p>
        </w:tc>
        <w:tc>
          <w:tcPr>
            <w:tcW w:w="170" w:type="dxa"/>
            <w:tcBorders/>
            <w:shd w:fill="CCEEFF" w:val="clear"/>
            <w:vAlign w:val="center"/>
          </w:tcPr>
          <w:p>
            <w:pPr>
              <w:pStyle w:val="TableContents"/>
              <w:spacing w:before="0" w:after="0"/>
              <w:ind w:left="0" w:right="0" w:hanging="0"/>
              <w:rPr/>
            </w:pPr>
            <w:r>
              <w:rPr/>
              <w:t> </w:t>
            </w:r>
          </w:p>
        </w:tc>
      </w:tr>
      <w:tr>
        <w:trPr/>
        <w:tc>
          <w:tcPr>
            <w:tcW w:w="6980" w:type="dxa"/>
            <w:tcBorders/>
            <w:shd w:fill="FFFFFF" w:val="clear"/>
            <w:vAlign w:val="center"/>
          </w:tcPr>
          <w:p>
            <w:pPr>
              <w:pStyle w:val="TableContents"/>
              <w:spacing w:before="0" w:after="0"/>
              <w:ind w:left="0" w:right="0" w:firstLine="200"/>
              <w:rPr/>
            </w:pPr>
            <w:r>
              <w:rPr/>
              <w:t xml:space="preserve">Advance premiums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(531,158</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1,083,883</w:t>
            </w:r>
          </w:p>
        </w:tc>
        <w:tc>
          <w:tcPr>
            <w:tcW w:w="170" w:type="dxa"/>
            <w:tcBorders/>
            <w:shd w:fill="FFFFFF" w:val="clear"/>
            <w:vAlign w:val="center"/>
          </w:tcPr>
          <w:p>
            <w:pPr>
              <w:pStyle w:val="TableContents"/>
              <w:spacing w:before="0" w:after="0"/>
              <w:ind w:left="0" w:right="0" w:hanging="0"/>
              <w:rPr/>
            </w:pPr>
            <w:r>
              <w:rPr/>
              <w:t> </w:t>
            </w:r>
          </w:p>
        </w:tc>
      </w:tr>
      <w:tr>
        <w:trPr/>
        <w:tc>
          <w:tcPr>
            <w:tcW w:w="6980" w:type="dxa"/>
            <w:tcBorders/>
            <w:shd w:fill="CCEEFF" w:val="clear"/>
            <w:vAlign w:val="center"/>
          </w:tcPr>
          <w:p>
            <w:pPr>
              <w:pStyle w:val="TableContents"/>
              <w:spacing w:before="0" w:after="0"/>
              <w:ind w:left="0" w:right="0" w:firstLine="200"/>
              <w:rPr/>
            </w:pPr>
            <w:r>
              <w:rPr/>
              <w:t xml:space="preserve">Reinsurance balances payable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(4,734,989</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9,781,348</w:t>
            </w:r>
          </w:p>
        </w:tc>
        <w:tc>
          <w:tcPr>
            <w:tcW w:w="170" w:type="dxa"/>
            <w:tcBorders/>
            <w:shd w:fill="CCEEFF" w:val="clear"/>
            <w:vAlign w:val="center"/>
          </w:tcPr>
          <w:p>
            <w:pPr>
              <w:pStyle w:val="TableContents"/>
              <w:spacing w:before="0" w:after="0"/>
              <w:ind w:left="0" w:right="0" w:hanging="0"/>
              <w:rPr/>
            </w:pPr>
            <w:r>
              <w:rPr/>
              <w:t> </w:t>
            </w:r>
          </w:p>
        </w:tc>
      </w:tr>
      <w:tr>
        <w:trPr/>
        <w:tc>
          <w:tcPr>
            <w:tcW w:w="6980" w:type="dxa"/>
            <w:tcBorders/>
            <w:shd w:fill="FFFFFF" w:val="clear"/>
            <w:vAlign w:val="center"/>
          </w:tcPr>
          <w:p>
            <w:pPr>
              <w:pStyle w:val="TableContents"/>
              <w:spacing w:before="0" w:after="0"/>
              <w:ind w:left="0" w:right="0" w:firstLine="200"/>
              <w:rPr/>
            </w:pPr>
            <w:r>
              <w:rPr/>
              <w:t xml:space="preserve">Deferred ceding commission revenue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(7,641,879</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5,048,721</w:t>
            </w:r>
          </w:p>
        </w:tc>
        <w:tc>
          <w:tcPr>
            <w:tcW w:w="170" w:type="dxa"/>
            <w:tcBorders/>
            <w:shd w:fill="FFFFFF" w:val="clear"/>
            <w:vAlign w:val="center"/>
          </w:tcPr>
          <w:p>
            <w:pPr>
              <w:pStyle w:val="TableContents"/>
              <w:spacing w:before="0" w:after="0"/>
              <w:ind w:left="0" w:right="0" w:hanging="0"/>
              <w:rPr/>
            </w:pPr>
            <w:r>
              <w:rPr/>
              <w:t> </w:t>
            </w:r>
          </w:p>
        </w:tc>
      </w:tr>
      <w:tr>
        <w:trPr/>
        <w:tc>
          <w:tcPr>
            <w:tcW w:w="6980" w:type="dxa"/>
            <w:tcBorders/>
            <w:shd w:fill="CCEEFF" w:val="clear"/>
            <w:vAlign w:val="center"/>
          </w:tcPr>
          <w:p>
            <w:pPr>
              <w:pStyle w:val="TableContents"/>
              <w:spacing w:before="0" w:after="0"/>
              <w:ind w:left="0" w:right="0" w:firstLine="200"/>
              <w:rPr/>
            </w:pPr>
            <w:r>
              <w:rPr/>
              <w:t xml:space="preserve">Accounts payable, accrued expenses and other liabilities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CCEEFF" w:val="clear"/>
            <w:tcMar>
              <w:bottom w:w="28" w:type="dxa"/>
            </w:tcMar>
            <w:vAlign w:val="center"/>
          </w:tcPr>
          <w:p>
            <w:pPr>
              <w:pStyle w:val="TableContents"/>
              <w:spacing w:before="0" w:after="283"/>
              <w:jc w:val="right"/>
              <w:rPr/>
            </w:pPr>
            <w:r>
              <w:rPr/>
              <w:t>(1,553,084</w:t>
            </w:r>
          </w:p>
        </w:tc>
        <w:tc>
          <w:tcPr>
            <w:tcW w:w="125" w:type="dxa"/>
            <w:tcBorders/>
            <w:shd w:fill="CCEEFF" w:val="clear"/>
            <w:vAlign w:val="center"/>
          </w:tcPr>
          <w:p>
            <w:pPr>
              <w:pStyle w:val="TableContents"/>
              <w:spacing w:before="0" w:after="0"/>
              <w:ind w:left="0" w:right="0" w:hanging="0"/>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CCEEFF" w:val="clear"/>
            <w:tcMar>
              <w:bottom w:w="28" w:type="dxa"/>
            </w:tcMar>
            <w:vAlign w:val="center"/>
          </w:tcPr>
          <w:p>
            <w:pPr>
              <w:pStyle w:val="TableContents"/>
              <w:spacing w:before="0" w:after="283"/>
              <w:jc w:val="right"/>
              <w:rPr/>
            </w:pPr>
            <w:r>
              <w:rPr/>
              <w:t>3,152,051</w:t>
            </w:r>
          </w:p>
        </w:tc>
        <w:tc>
          <w:tcPr>
            <w:tcW w:w="170" w:type="dxa"/>
            <w:tcBorders/>
            <w:shd w:fill="CCEEFF" w:val="clear"/>
            <w:vAlign w:val="center"/>
          </w:tcPr>
          <w:p>
            <w:pPr>
              <w:pStyle w:val="TableContents"/>
              <w:spacing w:before="0" w:after="0"/>
              <w:ind w:left="0" w:right="0" w:hanging="0"/>
              <w:rPr/>
            </w:pPr>
            <w:r>
              <w:rPr/>
              <w:t> </w:t>
            </w:r>
          </w:p>
        </w:tc>
      </w:tr>
      <w:tr>
        <w:trPr/>
        <w:tc>
          <w:tcPr>
            <w:tcW w:w="6980" w:type="dxa"/>
            <w:tcBorders/>
            <w:shd w:fill="FFFFFF" w:val="clear"/>
            <w:vAlign w:val="center"/>
          </w:tcPr>
          <w:p>
            <w:pPr>
              <w:pStyle w:val="TableContents"/>
              <w:spacing w:before="0" w:after="0"/>
              <w:ind w:left="0" w:right="0" w:hanging="0"/>
              <w:rPr/>
            </w:pPr>
            <w:r>
              <w:rPr>
                <w:rStyle w:val="StrongEmphasis"/>
              </w:rPr>
              <w:t xml:space="preserve">Net cash flows (used in) provided by operating activities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(10,234,626</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29,859,049</w:t>
            </w:r>
          </w:p>
        </w:tc>
        <w:tc>
          <w:tcPr>
            <w:tcW w:w="170" w:type="dxa"/>
            <w:tcBorders/>
            <w:shd w:fill="FFFFFF" w:val="clear"/>
            <w:vAlign w:val="center"/>
          </w:tcPr>
          <w:p>
            <w:pPr>
              <w:pStyle w:val="TableContents"/>
              <w:spacing w:before="0" w:after="0"/>
              <w:ind w:left="0" w:right="0" w:hanging="0"/>
              <w:rPr/>
            </w:pPr>
            <w:r>
              <w:rPr/>
              <w:t> </w:t>
            </w:r>
          </w:p>
        </w:tc>
      </w:tr>
      <w:tr>
        <w:trPr/>
        <w:tc>
          <w:tcPr>
            <w:tcW w:w="698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6980" w:type="dxa"/>
            <w:tcBorders/>
            <w:shd w:fill="FFFFFF" w:val="clear"/>
            <w:vAlign w:val="center"/>
          </w:tcPr>
          <w:p>
            <w:pPr>
              <w:pStyle w:val="TableContents"/>
              <w:spacing w:before="0" w:after="0"/>
              <w:ind w:left="0" w:right="0" w:hanging="0"/>
              <w:rPr/>
            </w:pPr>
            <w:r>
              <w:rPr>
                <w:rStyle w:val="StrongEmphasis"/>
              </w:rPr>
              <w:t xml:space="preserve">Cash flows from investing activities: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6980" w:type="dxa"/>
            <w:tcBorders/>
            <w:shd w:fill="CCEEFF" w:val="clear"/>
            <w:vAlign w:val="center"/>
          </w:tcPr>
          <w:p>
            <w:pPr>
              <w:pStyle w:val="TableContents"/>
              <w:spacing w:before="0" w:after="0"/>
              <w:ind w:left="0" w:right="0" w:hanging="0"/>
              <w:rPr/>
            </w:pPr>
            <w:r>
              <w:rPr/>
              <w:t xml:space="preserve">Purchase - fixed-maturity securities, held-to-maturity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(4,041,750</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w:t>
            </w:r>
          </w:p>
        </w:tc>
        <w:tc>
          <w:tcPr>
            <w:tcW w:w="170" w:type="dxa"/>
            <w:tcBorders/>
            <w:shd w:fill="CCEEFF" w:val="clear"/>
            <w:vAlign w:val="center"/>
          </w:tcPr>
          <w:p>
            <w:pPr>
              <w:pStyle w:val="TableContents"/>
              <w:spacing w:before="0" w:after="0"/>
              <w:ind w:left="0" w:right="0" w:hanging="0"/>
              <w:rPr/>
            </w:pPr>
            <w:r>
              <w:rPr/>
              <w:t> </w:t>
            </w:r>
          </w:p>
        </w:tc>
      </w:tr>
      <w:tr>
        <w:trPr/>
        <w:tc>
          <w:tcPr>
            <w:tcW w:w="6980" w:type="dxa"/>
            <w:tcBorders/>
            <w:shd w:fill="FFFFFF" w:val="clear"/>
            <w:vAlign w:val="center"/>
          </w:tcPr>
          <w:p>
            <w:pPr>
              <w:pStyle w:val="TableContents"/>
              <w:spacing w:before="0" w:after="0"/>
              <w:ind w:left="0" w:right="0" w:hanging="0"/>
              <w:rPr/>
            </w:pPr>
            <w:r>
              <w:rPr/>
              <w:t xml:space="preserve">Purchase - fixed-maturity securities, available-for-sale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(18,524,314</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(23,881,518</w:t>
            </w:r>
          </w:p>
        </w:tc>
        <w:tc>
          <w:tcPr>
            <w:tcW w:w="170" w:type="dxa"/>
            <w:tcBorders/>
            <w:shd w:fill="FFFFFF" w:val="clear"/>
            <w:vAlign w:val="center"/>
          </w:tcPr>
          <w:p>
            <w:pPr>
              <w:pStyle w:val="TableContents"/>
              <w:spacing w:before="0" w:after="283"/>
              <w:rPr/>
            </w:pPr>
            <w:r>
              <w:rPr/>
              <w:t>)</w:t>
            </w:r>
          </w:p>
        </w:tc>
      </w:tr>
      <w:tr>
        <w:trPr/>
        <w:tc>
          <w:tcPr>
            <w:tcW w:w="6980" w:type="dxa"/>
            <w:tcBorders/>
            <w:shd w:fill="CCEEFF" w:val="clear"/>
            <w:vAlign w:val="center"/>
          </w:tcPr>
          <w:p>
            <w:pPr>
              <w:pStyle w:val="TableContents"/>
              <w:spacing w:before="0" w:after="0"/>
              <w:ind w:left="0" w:right="0" w:hanging="0"/>
              <w:rPr/>
            </w:pPr>
            <w:r>
              <w:rPr/>
              <w:t xml:space="preserve">Purchase - equity securities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(20,967,535</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(9,578,765</w:t>
            </w:r>
          </w:p>
        </w:tc>
        <w:tc>
          <w:tcPr>
            <w:tcW w:w="170" w:type="dxa"/>
            <w:tcBorders/>
            <w:shd w:fill="CCEEFF" w:val="clear"/>
            <w:vAlign w:val="center"/>
          </w:tcPr>
          <w:p>
            <w:pPr>
              <w:pStyle w:val="TableContents"/>
              <w:spacing w:before="0" w:after="283"/>
              <w:rPr/>
            </w:pPr>
            <w:r>
              <w:rPr/>
              <w:t>)</w:t>
            </w:r>
          </w:p>
        </w:tc>
      </w:tr>
      <w:tr>
        <w:trPr/>
        <w:tc>
          <w:tcPr>
            <w:tcW w:w="6980" w:type="dxa"/>
            <w:tcBorders/>
            <w:shd w:fill="FFFFFF" w:val="clear"/>
            <w:vAlign w:val="center"/>
          </w:tcPr>
          <w:p>
            <w:pPr>
              <w:pStyle w:val="TableContents"/>
              <w:spacing w:before="0" w:after="0"/>
              <w:ind w:left="0" w:right="0" w:hanging="0"/>
              <w:rPr/>
            </w:pPr>
            <w:r>
              <w:rPr/>
              <w:t xml:space="preserve">Sale and redemption - fixed-maturity securities, held-to-maturity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500,000</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400,000</w:t>
            </w:r>
          </w:p>
        </w:tc>
        <w:tc>
          <w:tcPr>
            <w:tcW w:w="170" w:type="dxa"/>
            <w:tcBorders/>
            <w:shd w:fill="FFFFFF" w:val="clear"/>
            <w:vAlign w:val="center"/>
          </w:tcPr>
          <w:p>
            <w:pPr>
              <w:pStyle w:val="TableContents"/>
              <w:spacing w:before="0" w:after="0"/>
              <w:ind w:left="0" w:right="0" w:hanging="0"/>
              <w:rPr/>
            </w:pPr>
            <w:r>
              <w:rPr/>
              <w:t> </w:t>
            </w:r>
          </w:p>
        </w:tc>
      </w:tr>
      <w:tr>
        <w:trPr/>
        <w:tc>
          <w:tcPr>
            <w:tcW w:w="6980" w:type="dxa"/>
            <w:tcBorders/>
            <w:shd w:fill="CCEEFF" w:val="clear"/>
            <w:vAlign w:val="center"/>
          </w:tcPr>
          <w:p>
            <w:pPr>
              <w:pStyle w:val="TableContents"/>
              <w:spacing w:before="0" w:after="0"/>
              <w:ind w:left="0" w:right="0" w:hanging="0"/>
              <w:rPr/>
            </w:pPr>
            <w:r>
              <w:rPr/>
              <w:t xml:space="preserve">Sale and maturity - fixed-maturity securities, available-for-sale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35,845,934</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16,567,284</w:t>
            </w:r>
          </w:p>
        </w:tc>
        <w:tc>
          <w:tcPr>
            <w:tcW w:w="170" w:type="dxa"/>
            <w:tcBorders/>
            <w:shd w:fill="CCEEFF" w:val="clear"/>
            <w:vAlign w:val="center"/>
          </w:tcPr>
          <w:p>
            <w:pPr>
              <w:pStyle w:val="TableContents"/>
              <w:spacing w:before="0" w:after="0"/>
              <w:ind w:left="0" w:right="0" w:hanging="0"/>
              <w:rPr/>
            </w:pPr>
            <w:r>
              <w:rPr/>
              <w:t> </w:t>
            </w:r>
          </w:p>
        </w:tc>
      </w:tr>
      <w:tr>
        <w:trPr/>
        <w:tc>
          <w:tcPr>
            <w:tcW w:w="6980" w:type="dxa"/>
            <w:tcBorders/>
            <w:shd w:fill="FFFFFF" w:val="clear"/>
            <w:vAlign w:val="center"/>
          </w:tcPr>
          <w:p>
            <w:pPr>
              <w:pStyle w:val="TableContents"/>
              <w:spacing w:before="0" w:after="0"/>
              <w:ind w:left="0" w:right="0" w:hanging="0"/>
              <w:rPr/>
            </w:pPr>
            <w:r>
              <w:rPr/>
              <w:t xml:space="preserve">Sale - equity securities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11,096,028</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5,458,953</w:t>
            </w:r>
          </w:p>
        </w:tc>
        <w:tc>
          <w:tcPr>
            <w:tcW w:w="170" w:type="dxa"/>
            <w:tcBorders/>
            <w:shd w:fill="FFFFFF" w:val="clear"/>
            <w:vAlign w:val="center"/>
          </w:tcPr>
          <w:p>
            <w:pPr>
              <w:pStyle w:val="TableContents"/>
              <w:spacing w:before="0" w:after="0"/>
              <w:ind w:left="0" w:right="0" w:hanging="0"/>
              <w:rPr/>
            </w:pPr>
            <w:r>
              <w:rPr/>
              <w:t> </w:t>
            </w:r>
          </w:p>
        </w:tc>
      </w:tr>
      <w:tr>
        <w:trPr/>
        <w:tc>
          <w:tcPr>
            <w:tcW w:w="6980" w:type="dxa"/>
            <w:tcBorders/>
            <w:shd w:fill="CCEEFF" w:val="clear"/>
            <w:vAlign w:val="center"/>
          </w:tcPr>
          <w:p>
            <w:pPr>
              <w:pStyle w:val="TableContents"/>
              <w:spacing w:before="0" w:after="0"/>
              <w:ind w:left="0" w:right="0" w:hanging="0"/>
              <w:rPr/>
            </w:pPr>
            <w:r>
              <w:rPr/>
              <w:t xml:space="preserve">Acquisition of fixed assets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CCEEFF" w:val="clear"/>
            <w:tcMar>
              <w:bottom w:w="28" w:type="dxa"/>
            </w:tcMar>
            <w:vAlign w:val="center"/>
          </w:tcPr>
          <w:p>
            <w:pPr>
              <w:pStyle w:val="TableContents"/>
              <w:spacing w:before="0" w:after="283"/>
              <w:jc w:val="right"/>
              <w:rPr/>
            </w:pPr>
            <w:r>
              <w:rPr/>
              <w:t>(3,327,070</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CCEEFF" w:val="clear"/>
            <w:tcMar>
              <w:bottom w:w="28" w:type="dxa"/>
            </w:tcMar>
            <w:vAlign w:val="center"/>
          </w:tcPr>
          <w:p>
            <w:pPr>
              <w:pStyle w:val="TableContents"/>
              <w:spacing w:before="0" w:after="283"/>
              <w:jc w:val="right"/>
              <w:rPr/>
            </w:pPr>
            <w:r>
              <w:rPr/>
              <w:t>(3,939,653</w:t>
            </w:r>
          </w:p>
        </w:tc>
        <w:tc>
          <w:tcPr>
            <w:tcW w:w="170" w:type="dxa"/>
            <w:tcBorders/>
            <w:shd w:fill="CCEEFF" w:val="clear"/>
            <w:vAlign w:val="center"/>
          </w:tcPr>
          <w:p>
            <w:pPr>
              <w:pStyle w:val="TableContents"/>
              <w:spacing w:before="0" w:after="283"/>
              <w:rPr/>
            </w:pPr>
            <w:r>
              <w:rPr/>
              <w:t>)</w:t>
            </w:r>
          </w:p>
        </w:tc>
      </w:tr>
      <w:tr>
        <w:trPr/>
        <w:tc>
          <w:tcPr>
            <w:tcW w:w="6980" w:type="dxa"/>
            <w:tcBorders/>
            <w:shd w:fill="FFFFFF" w:val="clear"/>
            <w:vAlign w:val="center"/>
          </w:tcPr>
          <w:p>
            <w:pPr>
              <w:pStyle w:val="TableContents"/>
              <w:spacing w:before="0" w:after="0"/>
              <w:ind w:left="0" w:right="0" w:hanging="0"/>
              <w:rPr/>
            </w:pPr>
            <w:r>
              <w:rPr>
                <w:rStyle w:val="StrongEmphasis"/>
              </w:rPr>
              <w:t xml:space="preserve">Net cash flows provided by (used in) investing activities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581,293</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(14,973,699</w:t>
            </w:r>
          </w:p>
        </w:tc>
        <w:tc>
          <w:tcPr>
            <w:tcW w:w="170" w:type="dxa"/>
            <w:tcBorders/>
            <w:shd w:fill="FFFFFF" w:val="clear"/>
            <w:vAlign w:val="center"/>
          </w:tcPr>
          <w:p>
            <w:pPr>
              <w:pStyle w:val="TableContents"/>
              <w:spacing w:before="0" w:after="283"/>
              <w:rPr/>
            </w:pPr>
            <w:r>
              <w:rPr/>
              <w:t>)</w:t>
            </w:r>
          </w:p>
        </w:tc>
      </w:tr>
      <w:tr>
        <w:trPr/>
        <w:tc>
          <w:tcPr>
            <w:tcW w:w="698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6980" w:type="dxa"/>
            <w:tcBorders/>
            <w:shd w:fill="FFFFFF" w:val="clear"/>
            <w:vAlign w:val="center"/>
          </w:tcPr>
          <w:p>
            <w:pPr>
              <w:pStyle w:val="TableContents"/>
              <w:spacing w:before="0" w:after="0"/>
              <w:ind w:left="0" w:right="0" w:hanging="0"/>
              <w:rPr/>
            </w:pPr>
            <w:r>
              <w:rPr>
                <w:rStyle w:val="StrongEmphasis"/>
              </w:rPr>
              <w:t xml:space="preserve">Cash flows from financing activities: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6980" w:type="dxa"/>
            <w:tcBorders/>
            <w:shd w:fill="CCEEFF" w:val="clear"/>
            <w:vAlign w:val="center"/>
          </w:tcPr>
          <w:p>
            <w:pPr>
              <w:pStyle w:val="TableContents"/>
              <w:spacing w:before="0" w:after="0"/>
              <w:ind w:left="0" w:right="0" w:hanging="0"/>
              <w:rPr/>
            </w:pPr>
            <w:r>
              <w:rPr/>
              <w:t xml:space="preserve">Proceeds from exercise of stock options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23,550</w:t>
            </w:r>
          </w:p>
        </w:tc>
        <w:tc>
          <w:tcPr>
            <w:tcW w:w="170" w:type="dxa"/>
            <w:tcBorders/>
            <w:shd w:fill="CCEEFF" w:val="clear"/>
            <w:vAlign w:val="center"/>
          </w:tcPr>
          <w:p>
            <w:pPr>
              <w:pStyle w:val="TableContents"/>
              <w:spacing w:before="0" w:after="0"/>
              <w:ind w:left="0" w:right="0" w:hanging="0"/>
              <w:rPr/>
            </w:pPr>
            <w:r>
              <w:rPr/>
              <w:t> </w:t>
            </w:r>
          </w:p>
        </w:tc>
      </w:tr>
      <w:tr>
        <w:trPr/>
        <w:tc>
          <w:tcPr>
            <w:tcW w:w="6980" w:type="dxa"/>
            <w:tcBorders/>
            <w:shd w:fill="FFFFFF" w:val="clear"/>
            <w:vAlign w:val="center"/>
          </w:tcPr>
          <w:p>
            <w:pPr>
              <w:pStyle w:val="TableContents"/>
              <w:spacing w:before="0" w:after="0"/>
              <w:ind w:left="0" w:right="0" w:hanging="0"/>
              <w:rPr/>
            </w:pPr>
            <w:r>
              <w:rPr/>
              <w:t xml:space="preserve">Withholding taxes paid on vested retricted stock awards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(133,937</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(154,452</w:t>
            </w:r>
          </w:p>
        </w:tc>
        <w:tc>
          <w:tcPr>
            <w:tcW w:w="170" w:type="dxa"/>
            <w:tcBorders/>
            <w:shd w:fill="FFFFFF" w:val="clear"/>
            <w:vAlign w:val="center"/>
          </w:tcPr>
          <w:p>
            <w:pPr>
              <w:pStyle w:val="TableContents"/>
              <w:spacing w:before="0" w:after="283"/>
              <w:rPr/>
            </w:pPr>
            <w:r>
              <w:rPr/>
              <w:t>)</w:t>
            </w:r>
          </w:p>
        </w:tc>
      </w:tr>
      <w:tr>
        <w:trPr/>
        <w:tc>
          <w:tcPr>
            <w:tcW w:w="6980" w:type="dxa"/>
            <w:tcBorders/>
            <w:shd w:fill="CCEEFF" w:val="clear"/>
            <w:vAlign w:val="center"/>
          </w:tcPr>
          <w:p>
            <w:pPr>
              <w:pStyle w:val="TableContents"/>
              <w:spacing w:before="0" w:after="0"/>
              <w:ind w:left="0" w:right="0" w:hanging="0"/>
              <w:rPr/>
            </w:pPr>
            <w:r>
              <w:rPr/>
              <w:t xml:space="preserve">Purchase of treasury stock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(1,183,331</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w:t>
            </w:r>
          </w:p>
        </w:tc>
        <w:tc>
          <w:tcPr>
            <w:tcW w:w="170" w:type="dxa"/>
            <w:tcBorders/>
            <w:shd w:fill="CCEEFF" w:val="clear"/>
            <w:vAlign w:val="center"/>
          </w:tcPr>
          <w:p>
            <w:pPr>
              <w:pStyle w:val="TableContents"/>
              <w:spacing w:before="0" w:after="0"/>
              <w:ind w:left="0" w:right="0" w:hanging="0"/>
              <w:rPr/>
            </w:pPr>
            <w:r>
              <w:rPr/>
              <w:t> </w:t>
            </w:r>
          </w:p>
        </w:tc>
      </w:tr>
      <w:tr>
        <w:trPr/>
        <w:tc>
          <w:tcPr>
            <w:tcW w:w="6980" w:type="dxa"/>
            <w:tcBorders/>
            <w:shd w:fill="FFFFFF" w:val="clear"/>
            <w:vAlign w:val="center"/>
          </w:tcPr>
          <w:p>
            <w:pPr>
              <w:pStyle w:val="TableContents"/>
              <w:spacing w:before="0" w:after="0"/>
              <w:ind w:left="0" w:right="0" w:hanging="0"/>
              <w:rPr/>
            </w:pPr>
            <w:r>
              <w:rPr/>
              <w:t xml:space="preserve">Dividends paid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(1,957,142</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(3,501,366</w:t>
            </w:r>
          </w:p>
        </w:tc>
        <w:tc>
          <w:tcPr>
            <w:tcW w:w="170" w:type="dxa"/>
            <w:tcBorders/>
            <w:shd w:fill="FFFFFF" w:val="clear"/>
            <w:vAlign w:val="center"/>
          </w:tcPr>
          <w:p>
            <w:pPr>
              <w:pStyle w:val="TableContents"/>
              <w:spacing w:before="0" w:after="283"/>
              <w:rPr/>
            </w:pPr>
            <w:r>
              <w:rPr/>
              <w:t>)</w:t>
            </w:r>
          </w:p>
        </w:tc>
      </w:tr>
      <w:tr>
        <w:trPr/>
        <w:tc>
          <w:tcPr>
            <w:tcW w:w="6980" w:type="dxa"/>
            <w:tcBorders/>
            <w:shd w:fill="CCEEFF" w:val="clear"/>
            <w:vAlign w:val="center"/>
          </w:tcPr>
          <w:p>
            <w:pPr>
              <w:pStyle w:val="TableContents"/>
              <w:spacing w:before="0" w:after="0"/>
              <w:ind w:left="0" w:right="0" w:hanging="0"/>
              <w:rPr/>
            </w:pPr>
            <w:r>
              <w:rPr>
                <w:rStyle w:val="StrongEmphasis"/>
              </w:rPr>
              <w:t xml:space="preserve">Net cash flows used in financing activities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CCEEFF" w:val="clear"/>
            <w:tcMar>
              <w:bottom w:w="28" w:type="dxa"/>
            </w:tcMar>
            <w:vAlign w:val="center"/>
          </w:tcPr>
          <w:p>
            <w:pPr>
              <w:pStyle w:val="TableContents"/>
              <w:spacing w:before="0" w:after="283"/>
              <w:jc w:val="right"/>
              <w:rPr/>
            </w:pPr>
            <w:r>
              <w:rPr/>
              <w:t>(3,274,410</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CCEEFF" w:val="clear"/>
            <w:tcMar>
              <w:bottom w:w="28" w:type="dxa"/>
            </w:tcMar>
            <w:vAlign w:val="center"/>
          </w:tcPr>
          <w:p>
            <w:pPr>
              <w:pStyle w:val="TableContents"/>
              <w:spacing w:before="0" w:after="283"/>
              <w:jc w:val="right"/>
              <w:rPr/>
            </w:pPr>
            <w:r>
              <w:rPr/>
              <w:t>(3,632,268</w:t>
            </w:r>
          </w:p>
        </w:tc>
        <w:tc>
          <w:tcPr>
            <w:tcW w:w="170" w:type="dxa"/>
            <w:tcBorders/>
            <w:shd w:fill="CCEEFF" w:val="clear"/>
            <w:vAlign w:val="center"/>
          </w:tcPr>
          <w:p>
            <w:pPr>
              <w:pStyle w:val="TableContents"/>
              <w:spacing w:before="0" w:after="283"/>
              <w:rPr/>
            </w:pPr>
            <w:r>
              <w:rPr/>
              <w:t>)</w:t>
            </w:r>
          </w:p>
        </w:tc>
      </w:tr>
      <w:tr>
        <w:trPr/>
        <w:tc>
          <w:tcPr>
            <w:tcW w:w="698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6980" w:type="dxa"/>
            <w:tcBorders/>
            <w:shd w:fill="CCEEFF" w:val="clear"/>
            <w:vAlign w:val="center"/>
          </w:tcPr>
          <w:p>
            <w:pPr>
              <w:pStyle w:val="TableContents"/>
              <w:spacing w:before="0" w:after="0"/>
              <w:ind w:left="0" w:right="0" w:hanging="0"/>
              <w:rPr/>
            </w:pPr>
            <w:r>
              <w:rPr/>
              <w:t xml:space="preserve">(Decrease) increase in cash and cash equivalents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05" w:type="dxa"/>
            <w:tcBorders/>
            <w:shd w:fill="CCEEFF" w:val="clear"/>
            <w:vAlign w:val="center"/>
          </w:tcPr>
          <w:p>
            <w:pPr>
              <w:pStyle w:val="TableContents"/>
              <w:spacing w:before="0" w:after="283"/>
              <w:jc w:val="right"/>
              <w:rPr/>
            </w:pPr>
            <w:r>
              <w:rPr/>
              <w:t>(12,927,743</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05" w:type="dxa"/>
            <w:tcBorders/>
            <w:shd w:fill="CCEEFF" w:val="clear"/>
            <w:vAlign w:val="center"/>
          </w:tcPr>
          <w:p>
            <w:pPr>
              <w:pStyle w:val="TableContents"/>
              <w:spacing w:before="0" w:after="283"/>
              <w:jc w:val="right"/>
              <w:rPr/>
            </w:pPr>
            <w:r>
              <w:rPr/>
              <w:t>11,253,082</w:t>
            </w:r>
          </w:p>
        </w:tc>
        <w:tc>
          <w:tcPr>
            <w:tcW w:w="170" w:type="dxa"/>
            <w:tcBorders/>
            <w:shd w:fill="CCEEFF" w:val="clear"/>
            <w:vAlign w:val="center"/>
          </w:tcPr>
          <w:p>
            <w:pPr>
              <w:pStyle w:val="TableContents"/>
              <w:spacing w:before="0" w:after="0"/>
              <w:ind w:left="0" w:right="0" w:hanging="0"/>
              <w:rPr/>
            </w:pPr>
            <w:r>
              <w:rPr/>
              <w:t> </w:t>
            </w:r>
          </w:p>
        </w:tc>
      </w:tr>
      <w:tr>
        <w:trPr/>
        <w:tc>
          <w:tcPr>
            <w:tcW w:w="6980" w:type="dxa"/>
            <w:tcBorders/>
            <w:shd w:fill="FFFFFF" w:val="clear"/>
            <w:vAlign w:val="center"/>
          </w:tcPr>
          <w:p>
            <w:pPr>
              <w:pStyle w:val="TableContents"/>
              <w:spacing w:before="0" w:after="0"/>
              <w:ind w:left="0" w:right="0" w:hanging="0"/>
              <w:rPr/>
            </w:pPr>
            <w:r>
              <w:rPr/>
              <w:t xml:space="preserve">Cash and cash equivalents, beginning of period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32,391,485</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21,138,403</w:t>
            </w:r>
          </w:p>
        </w:tc>
        <w:tc>
          <w:tcPr>
            <w:tcW w:w="170" w:type="dxa"/>
            <w:tcBorders/>
            <w:shd w:fill="FFFFFF" w:val="clear"/>
            <w:vAlign w:val="center"/>
          </w:tcPr>
          <w:p>
            <w:pPr>
              <w:pStyle w:val="TableContents"/>
              <w:spacing w:before="0" w:after="0"/>
              <w:ind w:left="0" w:right="0" w:hanging="0"/>
              <w:rPr/>
            </w:pPr>
            <w:r>
              <w:rPr/>
              <w:t> </w:t>
            </w:r>
          </w:p>
        </w:tc>
      </w:tr>
      <w:tr>
        <w:trPr/>
        <w:tc>
          <w:tcPr>
            <w:tcW w:w="6980" w:type="dxa"/>
            <w:tcBorders/>
            <w:shd w:fill="CCEEFF" w:val="clear"/>
            <w:vAlign w:val="center"/>
          </w:tcPr>
          <w:p>
            <w:pPr>
              <w:pStyle w:val="TableContents"/>
              <w:spacing w:before="0" w:after="0"/>
              <w:ind w:left="0" w:right="0" w:hanging="0"/>
              <w:rPr/>
            </w:pPr>
            <w:r>
              <w:rPr>
                <w:rStyle w:val="StrongEmphasis"/>
              </w:rPr>
              <w:t xml:space="preserve">Cash and cash equivalents, end of period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05" w:type="dxa"/>
            <w:tcBorders>
              <w:bottom w:val="double" w:sz="6" w:space="0" w:color="000000"/>
            </w:tcBorders>
            <w:shd w:fill="CCEEFF" w:val="clear"/>
            <w:tcMar>
              <w:bottom w:w="28" w:type="dxa"/>
            </w:tcMar>
            <w:vAlign w:val="center"/>
          </w:tcPr>
          <w:p>
            <w:pPr>
              <w:pStyle w:val="TableContents"/>
              <w:spacing w:before="0" w:after="283"/>
              <w:jc w:val="right"/>
              <w:rPr/>
            </w:pPr>
            <w:r>
              <w:rPr/>
              <w:t>19,463,742</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05" w:type="dxa"/>
            <w:tcBorders>
              <w:bottom w:val="double" w:sz="6" w:space="0" w:color="000000"/>
            </w:tcBorders>
            <w:shd w:fill="CCEEFF" w:val="clear"/>
            <w:tcMar>
              <w:bottom w:w="28" w:type="dxa"/>
            </w:tcMar>
            <w:vAlign w:val="center"/>
          </w:tcPr>
          <w:p>
            <w:pPr>
              <w:pStyle w:val="TableContents"/>
              <w:spacing w:before="0" w:after="283"/>
              <w:jc w:val="right"/>
              <w:rPr/>
            </w:pPr>
            <w:r>
              <w:rPr/>
              <w:t>32,391,485</w:t>
            </w:r>
          </w:p>
        </w:tc>
        <w:tc>
          <w:tcPr>
            <w:tcW w:w="170" w:type="dxa"/>
            <w:tcBorders/>
            <w:shd w:fill="CCEEFF" w:val="clear"/>
            <w:vAlign w:val="center"/>
          </w:tcPr>
          <w:p>
            <w:pPr>
              <w:pStyle w:val="TableContents"/>
              <w:spacing w:before="0" w:after="0"/>
              <w:ind w:left="0" w:right="0" w:hanging="0"/>
              <w:rPr/>
            </w:pPr>
            <w:r>
              <w:rPr/>
              <w:t> </w:t>
            </w:r>
          </w:p>
        </w:tc>
      </w:tr>
      <w:tr>
        <w:trPr/>
        <w:tc>
          <w:tcPr>
            <w:tcW w:w="698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6980" w:type="dxa"/>
            <w:tcBorders/>
            <w:shd w:fill="CCEEFF" w:val="clear"/>
            <w:vAlign w:val="center"/>
          </w:tcPr>
          <w:p>
            <w:pPr>
              <w:pStyle w:val="TableContents"/>
              <w:spacing w:before="0" w:after="0"/>
              <w:ind w:left="0" w:right="0" w:hanging="0"/>
              <w:rPr/>
            </w:pPr>
            <w:r>
              <w:rPr>
                <w:rStyle w:val="StrongEmphasis"/>
              </w:rPr>
              <w:t xml:space="preserve">Supplemental disclosures of cash flow information: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6980" w:type="dxa"/>
            <w:tcBorders/>
            <w:shd w:fill="FFFFFF" w:val="clear"/>
            <w:vAlign w:val="center"/>
          </w:tcPr>
          <w:p>
            <w:pPr>
              <w:pStyle w:val="TableContents"/>
              <w:spacing w:before="0" w:after="0"/>
              <w:ind w:left="0" w:right="0" w:hanging="0"/>
              <w:rPr/>
            </w:pPr>
            <w:r>
              <w:rPr/>
              <w:t xml:space="preserve">Cash paid for income taxes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05" w:type="dxa"/>
            <w:tcBorders/>
            <w:shd w:fill="FFFFFF" w:val="clear"/>
            <w:vAlign w:val="center"/>
          </w:tcPr>
          <w:p>
            <w:pPr>
              <w:pStyle w:val="TableContents"/>
              <w:spacing w:before="0" w:after="283"/>
              <w:jc w:val="right"/>
              <w:rPr/>
            </w:pPr>
            <w:r>
              <w:rPr/>
              <w:t>382,437</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05" w:type="dxa"/>
            <w:tcBorders/>
            <w:shd w:fill="FFFFFF" w:val="clear"/>
            <w:vAlign w:val="center"/>
          </w:tcPr>
          <w:p>
            <w:pPr>
              <w:pStyle w:val="TableContents"/>
              <w:spacing w:before="0" w:after="283"/>
              <w:jc w:val="right"/>
              <w:rPr/>
            </w:pPr>
            <w:r>
              <w:rPr/>
              <w:t>388,000</w:t>
            </w:r>
          </w:p>
        </w:tc>
        <w:tc>
          <w:tcPr>
            <w:tcW w:w="170" w:type="dxa"/>
            <w:tcBorders/>
            <w:shd w:fill="FFFFFF" w:val="clear"/>
            <w:vAlign w:val="center"/>
          </w:tcPr>
          <w:p>
            <w:pPr>
              <w:pStyle w:val="TableContents"/>
              <w:spacing w:before="0" w:after="0"/>
              <w:ind w:left="0" w:right="0" w:hanging="0"/>
              <w:rPr/>
            </w:pPr>
            <w:r>
              <w:rPr/>
              <w:t> </w:t>
            </w:r>
          </w:p>
        </w:tc>
      </w:tr>
      <w:tr>
        <w:trPr/>
        <w:tc>
          <w:tcPr>
            <w:tcW w:w="6980" w:type="dxa"/>
            <w:tcBorders/>
            <w:shd w:fill="CCEEFF" w:val="clear"/>
            <w:vAlign w:val="center"/>
          </w:tcPr>
          <w:p>
            <w:pPr>
              <w:pStyle w:val="TableContents"/>
              <w:spacing w:before="0" w:after="0"/>
              <w:ind w:left="0" w:right="0" w:hanging="0"/>
              <w:rPr/>
            </w:pPr>
            <w:r>
              <w:rPr/>
              <w:t xml:space="preserve">Cash paid for interest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05" w:type="dxa"/>
            <w:tcBorders/>
            <w:shd w:fill="CCEEFF" w:val="clear"/>
            <w:vAlign w:val="center"/>
          </w:tcPr>
          <w:p>
            <w:pPr>
              <w:pStyle w:val="TableContents"/>
              <w:spacing w:before="0" w:after="283"/>
              <w:jc w:val="right"/>
              <w:rPr/>
            </w:pPr>
            <w:r>
              <w:rPr/>
              <w:t>1,650,000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05" w:type="dxa"/>
            <w:tcBorders/>
            <w:shd w:fill="CCEEFF" w:val="clear"/>
            <w:vAlign w:val="center"/>
          </w:tcPr>
          <w:p>
            <w:pPr>
              <w:pStyle w:val="TableContents"/>
              <w:spacing w:before="0" w:after="283"/>
              <w:jc w:val="right"/>
              <w:rPr/>
            </w:pPr>
            <w:r>
              <w:rPr/>
              <w:t>1,650,000</w:t>
            </w:r>
          </w:p>
        </w:tc>
        <w:tc>
          <w:tcPr>
            <w:tcW w:w="170"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tbl>
      <w:tblPr>
        <w:tblW w:w="6485" w:type="dxa"/>
        <w:jc w:val="left"/>
        <w:tblInd w:w="0" w:type="dxa"/>
        <w:tblCellMar>
          <w:top w:w="28" w:type="dxa"/>
          <w:left w:w="0" w:type="dxa"/>
          <w:bottom w:w="0" w:type="dxa"/>
          <w:right w:w="0" w:type="dxa"/>
        </w:tblCellMar>
      </w:tblPr>
      <w:tblGrid>
        <w:gridCol w:w="6485"/>
      </w:tblGrid>
      <w:tr>
        <w:trPr/>
        <w:tc>
          <w:tcPr>
            <w:tcW w:w="6485" w:type="dxa"/>
            <w:tcBorders>
              <w:top w:val="single" w:sz="2" w:space="0" w:color="000000"/>
            </w:tcBorders>
            <w:shd w:fill="auto" w:val="clear"/>
            <w:vAlign w:val="center"/>
          </w:tcPr>
          <w:p>
            <w:pPr>
              <w:pStyle w:val="TableContents"/>
              <w:spacing w:before="0" w:after="0"/>
              <w:ind w:left="0" w:right="0" w:hanging="0"/>
              <w:rPr/>
            </w:pPr>
            <w:r>
              <w:rPr>
                <w:rStyle w:val="Emphasis"/>
              </w:rPr>
              <w:t>See accompanying notes to these consolidated financial statements.</w:t>
            </w:r>
          </w:p>
        </w:tc>
      </w:tr>
    </w:tbl>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F-7</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bookmarkStart w:id="28" w:name="NOTES"/>
      <w:bookmarkEnd w:id="28"/>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2020 AND 2019</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Note 1 - Nature of Business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Kingstone Companies, Inc. (referred to herein as "Kingstone" or the “Company”), through its wholly owned subsidiary, Kingstone Insurance Company (“KICO”), underwrites property and casualty insurance exclusively through retail and wholesale agents and brokers. KICO is a licensed insurance company in the States of New York, New Jersey, Rhode Island, Massachusetts, Pennsylvania, Connecticut, Maine and New Hampshire. KICO is currently offering its property and casualty insurance products in New York, New Jersey, Rhode Island, Massachusetts, and Connecticut. Although New Jersey, Rhode Island, Massachusetts and Connecticut continue to be growing markets for the Company, 80.0% and 85.0% of KICO’s direct written premiums for the years ended December 31, 2020 and 2019, respectively, came from the New York policies.  Kingstone, through its wholly owned subsidiary, Cosi Agency, Inc. (“Cosi”), a multi-state licensed general agency, accesses alternate forms of distribution outside of the independent agent and broker network, through which KICO currently distributes its various products. Kingstone (through Cosi) now has the opportunity to partner with name-brand carriers and access nationwide insurance agencies.</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Note 2 – Summary of Significant Accounting Policies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Basis of Presentation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accompanying consolidated financial statements have been prepared in accordance with accounting principles generally accepted in the United States of America (“GAAP”).</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Certain prior year balances were reclassified to conform with the current year presentation.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Principles of Consolidation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consolidated financial statements consist of the financials for Kingstone and its wholly owned subsidiaries: (1) KICO and its wholly owned subsidiaries, CMIC Properties, Inc. (“Properties”) and 15 Joys Lane, LLC (“15 Joys Lane”), which together own the land and building from which KICO operates, and (2) Cosi. All significant inter-company account balances and transactions have been eliminated in consolidation.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 xml:space="preserve">Revenue Recognition </w:t>
      </w:r>
    </w:p>
    <w:p>
      <w:pPr>
        <w:pStyle w:val="TextBody"/>
        <w:spacing w:before="0" w:after="0"/>
        <w:ind w:left="0" w:right="0" w:hanging="0"/>
        <w:jc w:val="both"/>
        <w:rPr/>
      </w:pPr>
      <w:r>
        <w:rPr/>
        <w:t> </w:t>
      </w:r>
    </w:p>
    <w:p>
      <w:pPr>
        <w:pStyle w:val="TextBody"/>
        <w:spacing w:before="0" w:after="0"/>
        <w:ind w:left="0" w:right="0" w:hanging="0"/>
        <w:jc w:val="both"/>
        <w:rPr/>
      </w:pPr>
      <w:r>
        <w:rPr>
          <w:rStyle w:val="Emphasis"/>
          <w:rFonts w:ascii="times new roman" w:hAnsi="times new roman"/>
          <w:sz w:val="20"/>
        </w:rPr>
        <w:t xml:space="preserve">Net Premiums Earned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Insurance policies issued by the Company are short-duration contracts. Accordingly, premium revenues, net of premiums ceded to reinsurers, are recognized as earned in proportion to the amount of insurance protection provided, on a pro-rata basis over the terms of the underlying policies. Unearned premiums represent premiums applicable to the unexpired portions of in-force insurance contracts at the end of each year.</w:t>
      </w:r>
    </w:p>
    <w:p>
      <w:pPr>
        <w:pStyle w:val="TextBody"/>
        <w:spacing w:before="0" w:after="0"/>
        <w:ind w:left="0" w:right="0" w:hanging="0"/>
        <w:jc w:val="both"/>
        <w:rPr/>
      </w:pPr>
      <w:r>
        <w:rPr/>
        <w:t> </w:t>
      </w:r>
    </w:p>
    <w:p>
      <w:pPr>
        <w:pStyle w:val="TextBody"/>
        <w:spacing w:before="0" w:after="0"/>
        <w:ind w:left="0" w:right="0" w:hanging="0"/>
        <w:jc w:val="both"/>
        <w:rPr/>
      </w:pPr>
      <w:r>
        <w:rPr>
          <w:rStyle w:val="Emphasis"/>
          <w:rFonts w:ascii="times new roman" w:hAnsi="times new roman"/>
          <w:sz w:val="20"/>
        </w:rPr>
        <w:t xml:space="preserve">Ceding Commission Revenue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Commissions on reinsurance premiums ceded are earned in a manner consistent with the recognition of the costs of the reinsurance, generally on a pro-rata basis over the terms of the policies reinsured. Unearned amounts are recorded as deferred ceding commission revenue. Certain reinsurance agreements contain provisions whereby the ceding commission rates vary based on the loss experience under the agreements. The Company records ceding commission revenue based on its current estimate of subject losses. The Company records adjustments to ceding commission revenue in the period that changes in the estimated losses are determined.</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F-8</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2020 AND 2019</w:t>
      </w:r>
    </w:p>
    <w:p>
      <w:pPr>
        <w:pStyle w:val="TextBody"/>
        <w:spacing w:before="0" w:after="0"/>
        <w:ind w:left="0" w:right="0" w:hanging="0"/>
        <w:jc w:val="center"/>
        <w:rPr/>
      </w:pPr>
      <w:r>
        <w:rPr>
          <w:rStyle w:val="StrongEmphasis"/>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 xml:space="preserve">Loss and Loss Adjustment Expenses (“LAE”) Reserves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liability for loss and LAE represents management’s best estimate of the ultimate cost of all reported and unreported losses that are unpaid as of the balance sheet date. The liability for loss and LAE is estimated on an undiscounted basis, using individual case-basis valuations, statistical analyses and various actuarial reserving methodologies. The projection of future claim payment and reporting is based on an analysis of the Company’s historical experience, supplemented by analyses of industry loss data. Management believes that the reserves for loss and LAE are adequate to cover the ultimate cost of losses and claims to date; however, because of the uncertainty from various sources, including changes in reporting patterns, claims settlement patterns, judicial decisions, legislation, and economic conditions, actual loss experience may not conform to the assumptions used in determining the estimated amounts for such liability at the balance sheet date. Adjustments to these estimates are reflected in expense for the period in which the estimates are changed. Because of the nature of the business historically written, management believes that the Company has limited exposure to environmental claim liabilities.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 xml:space="preserve">Reinsurance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the normal course of business, the Company seeks to reduce the loss that may arise from catastrophes or other events that cause unfavorable underwriting results.  This is done by reinsuring certain levels of risk in various areas of exposure with a panel of financially secure reinsurance carriers.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Reinsurance receivables represents management’s best estimate of paid and unpaid loss and LAE recoverable from reinsurers, and ceded losses receivable and unearned ceded premiums under reinsurance agreements. Ceded losses receivable are estimated using techniques and assumptions consistent with those used in estimating the liability for loss and LAE. Management believes that reinsurance receivables as recorded represent its best estimate of such amounts; however, as changes in the estimated ultimate liability for loss and LAE are determined, the estimated ultimate amount receivable from the reinsurers will also change. Accordingly, the ultimate receivable could be significantly in excess of or less than the amount recorded in the consolidated financial statements. Adjustments to these estimates are reflected in the period in which the estimates are changed. Loss and LAE incurred as presented in the consolidated statements of operations and comprehensive income are net of reinsurance recoveries.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Management has evaluated its reinsurance arrangements and determined that significant insurance risk is transferred to the reinsurers. Reinsurance agreements have been determined to be short-duration prospective contracts and, accordingly, the costs of the reinsurance are recognized over the life of the contract in a manner consistent with the earning of premiums on the underlying policies subject to the reinsurance contract.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Management estimates uncollectible amounts receivable from reinsurers based on an assessment of factors including the creditworthiness of the reinsurers and the adequacy of collateral obtained, where applicable. There was no allowance for uncollectible reinsurance as of December 31, 2020 and 2019. The Company did not expense any uncollectible reinsurance for the years ended December 31, 2020 and 2019. Significant uncertainties are inherent in the assessment of the creditworthiness of reinsurers and estimates of any uncollectible amounts due from reinsurers. Any change in the ability of the Company’s reinsurers to meet their contractual obligations could have a material adverse effect on the consolidated financial statements as well as KICO’s ability to meet its regulatory capital and surplus requirements.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F-9</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2020 AND 2019</w:t>
      </w:r>
    </w:p>
    <w:p>
      <w:pPr>
        <w:pStyle w:val="TextBody"/>
        <w:spacing w:before="0" w:after="0"/>
        <w:ind w:left="0" w:right="0" w:hanging="0"/>
        <w:jc w:val="center"/>
        <w:rPr/>
      </w:pPr>
      <w:r>
        <w:rPr>
          <w:rStyle w:val="StrongEmphasis"/>
        </w:rPr>
        <w:t xml:space="preserve">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 xml:space="preserve">Cash and Cash Equivalents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Company considers all highly liquid investments with original maturities of three months or less to be cash equivalents. The Company maintains its cash balances at several financial institutions.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 xml:space="preserve">Investments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classifies its fixed-maturity securities as either held-to-maturity or available-for-sale.  In accordance with Accounting Standards Update (“ASU”) 2016-01– Financial Instruments – Overall (Subtopic 825-10): Recognition and Measurement of Financial Assets and Financial Liabilities (“ASU 2016-01”), changes in the estimated fair value of equity securities and other investments are reported in net income (loss).  The Company may sell its available-for-sale securities, equity securities, and other investments in response to changes in interest rates, risk/reward characteristics, liquidity needs or other factors. Fixed-maturity securities that the Company has the specific intent and ability to hold until maturity are classified as such and carried at amortized cost.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Available-for-sale securities are reported at their estimated fair values based on quoted market prices from recognized pricing services, with unrealized gains and losses, net of tax effects, reported as a separate component of accumulated other comprehensive income. Realized gains and losses are determined on the specific identification method and reported in net income (loss) in the consolidated statements of operations and comprehensive income.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Equity securities are reported at their estimated fair values based on quoted market prices from recognized pricing services, with unrealized gains and losses reported in net income (loss). Other investments are reported at their estimated fair values using the net asset value (“NAV”) per share (or its equivalent) of the instrument with unrealized gains and losses reported in net income (loss). See Note 3, Investments for additional discussion.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Investment income is accrued to the balance sheet dates of the consolidated financial statements and includes amortization of premium and accretion of discount on fixed-maturity securities. Interest is recognized when earned, while dividends are recognized when declared. Due and accrued investment income totaled approximately $1,880,000and $1,922,000as of December 31, 2020 and 2019, respectively, and is included in other assets on the accompanying consolidated balance sheets.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 xml:space="preserve">Premiums Receivable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Premiums receivable include balances due currently or in the future and are presented net of an allowance for doubtful accounts of approximately $390,000and $338,000as of December 31, 2020 and 2019, respectively. The allowance for uncollectible amounts is based on an analysis of amounts receivable giving consideration to historical loss experience and current economic conditions and reflects an amount that, in management’s judgment, is adequate. Uncollectible premiums receivable balances of approximately $129,000and $113,000were written off for the years ended December 31, 2020 and 2019, respectively.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F-10</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2020 AND 2019</w:t>
      </w:r>
    </w:p>
    <w:p>
      <w:pPr>
        <w:pStyle w:val="TextBody"/>
        <w:spacing w:before="0" w:after="0"/>
        <w:ind w:left="0" w:right="0" w:hanging="0"/>
        <w:jc w:val="center"/>
        <w:rPr/>
      </w:pPr>
      <w:r>
        <w:rPr>
          <w:rStyle w:val="StrongEmphasis"/>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Deferred Policy Acquisition Costs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Policy acquisition costs represent the costs of writing business that vary with, and are primarily related to, the successful production of insurance business (principally commissions, premium taxes and certain underwriting salaries). Policy acquisition costs are deferred and recognized as expense as related premiums are earned.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Intangible Assets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recorded acquired identifiable intangible assets. The cost of a group of assets acquired in a transaction is allocated to the individual assets including identifiable intangible assets based on their fair values. Identifiable intangible assets with a finite useful life are amortized over the period that the asset is expected to contribute directly or indirectly to the future cash flows of the Company. Intangible assets with an indefinite life are not amortized, but are subject to impairment testing if events or changes in circumstances indicate that it is more likely than not the asset is impaired. All identifiable intangible assets are tested for recoverability whenever events or changes in circumstances indicate that a carrying amount may not be recoverable. No impairment losses from intangible assets were recognized for the years ended December 31, 2020 and 2019.</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 xml:space="preserve">Property and Equipment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Building and building improvements, automobiles, furniture, computer equipment, and computer software are reported at cost less accumulated depreciation. Depreciation is provided using the straight-line method over the estimated useful lives of the assets. The Company estimates the useful life for computer equipment, computer software, automobiles, furniture and other equipment is three years, and building and building improvements is39 years.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reviews its real estate assets used as its headquarters to evaluate the necessity of recording impairment losses for market changes due to declines in the estimated fair value of the property. In evaluating potential impairment, management considers the current estimated fair value compared to the carrying value of the asset. At December 31, 2020 and 2019, the fair value of the real estate assets is estimated to be in excess of the carrying value.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 xml:space="preserve">Income Taxes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Deferred tax assets and liabilities are recognized for the future tax consequences attributable to differences between the financial statement carrying amounts of assets and liabilities and their respective tax basis and for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(loss) in the period that includes the enactment date. The Company files a consolidated tax return with its subsidiaries. At December 31, 2020 and 2019, the Company had no material unrecognized tax benefits and no adjustments to liabilities or operations were required.</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F-11</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2020 AND 2019</w:t>
      </w:r>
    </w:p>
    <w:p>
      <w:pPr>
        <w:pStyle w:val="TextBody"/>
        <w:spacing w:before="0" w:after="0"/>
        <w:ind w:left="0" w:right="0" w:hanging="0"/>
        <w:jc w:val="center"/>
        <w:rPr/>
      </w:pPr>
      <w:r>
        <w:rPr>
          <w:rStyle w:val="StrongEmphasis"/>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Assessments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Insurance related assessments are accrued in the period in which they have been incurred. A typical obligating event would be the issuance of an insurance policy or the occurrence of a claim. The Company is subject to a variety of assessments.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 xml:space="preserve">Concentration, Credit Risk and Market Risk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Financial instruments that potentially subject the Company to concentrations of credit risk are primarily cash and cash equivalents, investments, and premium and reinsurance receivables. At times, cash may be uninsured or in deposit accounts that exceed Federal Deposit Insurance Corporation (“FDIC”) insurance limits.  The Company has not experienced any losses on such accounts and management believes the Company is not exposed to any significant credit risk.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Stressed conditions, volatility and disruptions in capital markets or financial asset classes can have an adverse effect on the Company, in part because the Company has a large investment portfolio supporting the Company’s insurance liabilities, which are sensitive to changing market factors. These market factors, which include interest rates, credit spread, equity prices, and the volatility and strength of the capital markets, all affect the business and economic environment and, ultimately, the profitability of the Company’s business. The Company manages its investments to limit credit and other market risks by diversifying its portfolio among various security types and industry sectors based on KICO’s investment committee guidelines, which employ a variety of investment strategies.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December 31, 2020 and 2019, the Company’s cash equivalents were as follows:</w:t>
      </w:r>
    </w:p>
    <w:p>
      <w:pPr>
        <w:pStyle w:val="TextBody"/>
        <w:spacing w:before="0" w:after="0"/>
        <w:ind w:left="0" w:right="0" w:hanging="0"/>
        <w:jc w:val="both"/>
        <w:rPr/>
      </w:pPr>
      <w:r>
        <w:rPr/>
        <w:t>  </w:t>
      </w:r>
    </w:p>
    <w:p>
      <w:pPr>
        <w:pStyle w:val="TextBody"/>
        <w:spacing w:before="0" w:after="0"/>
        <w:ind w:left="0" w:right="0" w:hanging="0"/>
        <w:rPr/>
      </w:pPr>
      <w:r>
        <w:rPr/>
        <w:t> </w:t>
      </w:r>
    </w:p>
    <w:tbl>
      <w:tblPr>
        <w:tblW w:w="6808" w:type="dxa"/>
        <w:jc w:val="left"/>
        <w:tblInd w:w="0" w:type="dxa"/>
        <w:tblCellMar>
          <w:top w:w="0" w:type="dxa"/>
          <w:left w:w="0" w:type="dxa"/>
          <w:bottom w:w="0" w:type="dxa"/>
          <w:right w:w="0" w:type="dxa"/>
        </w:tblCellMar>
      </w:tblPr>
      <w:tblGrid>
        <w:gridCol w:w="3785"/>
        <w:gridCol w:w="90"/>
        <w:gridCol w:w="171"/>
        <w:gridCol w:w="1138"/>
        <w:gridCol w:w="90"/>
        <w:gridCol w:w="90"/>
        <w:gridCol w:w="171"/>
        <w:gridCol w:w="1138"/>
        <w:gridCol w:w="135"/>
      </w:tblGrid>
      <w:tr>
        <w:trPr/>
        <w:tc>
          <w:tcPr>
            <w:tcW w:w="378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9"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December 31,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9"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December 31, </w:t>
            </w:r>
          </w:p>
        </w:tc>
        <w:tc>
          <w:tcPr>
            <w:tcW w:w="135" w:type="dxa"/>
            <w:tcBorders/>
            <w:shd w:fill="auto" w:val="clear"/>
            <w:vAlign w:val="center"/>
          </w:tcPr>
          <w:p>
            <w:pPr>
              <w:pStyle w:val="TableContents"/>
              <w:spacing w:before="0" w:after="0"/>
              <w:ind w:left="0" w:right="0" w:hanging="0"/>
              <w:rPr/>
            </w:pPr>
            <w:r>
              <w:rPr/>
              <w:t> </w:t>
            </w:r>
          </w:p>
        </w:tc>
      </w:tr>
      <w:tr>
        <w:trPr/>
        <w:tc>
          <w:tcPr>
            <w:tcW w:w="378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2020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2019 </w:t>
            </w:r>
          </w:p>
        </w:tc>
        <w:tc>
          <w:tcPr>
            <w:tcW w:w="135" w:type="dxa"/>
            <w:tcBorders/>
            <w:shd w:fill="auto" w:val="clear"/>
            <w:vAlign w:val="center"/>
          </w:tcPr>
          <w:p>
            <w:pPr>
              <w:pStyle w:val="TableContents"/>
              <w:spacing w:before="0" w:after="0"/>
              <w:ind w:left="0" w:right="0" w:hanging="0"/>
              <w:rPr/>
            </w:pPr>
            <w:r>
              <w:rPr/>
              <w:t> </w:t>
            </w:r>
          </w:p>
        </w:tc>
      </w:tr>
      <w:tr>
        <w:trPr/>
        <w:tc>
          <w:tcPr>
            <w:tcW w:w="378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9"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9" w:type="dxa"/>
            <w:gridSpan w:val="2"/>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378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Collateralized bank repurchase agreement (1) </w:t>
            </w:r>
          </w:p>
        </w:tc>
        <w:tc>
          <w:tcPr>
            <w:tcW w:w="90" w:type="dxa"/>
            <w:tcBorders/>
            <w:shd w:fill="CCEEFF" w:val="clear"/>
            <w:vAlign w:val="center"/>
          </w:tcPr>
          <w:p>
            <w:pPr>
              <w:pStyle w:val="TableContents"/>
              <w:spacing w:before="0" w:after="0"/>
              <w:ind w:left="0" w:right="0" w:hanging="0"/>
              <w:rPr/>
            </w:pPr>
            <w:r>
              <w:rPr/>
              <w:t> </w:t>
            </w:r>
          </w:p>
        </w:tc>
        <w:tc>
          <w:tcPr>
            <w:tcW w:w="171" w:type="dxa"/>
            <w:tcBorders/>
            <w:shd w:fill="CCEEFF" w:val="clear"/>
            <w:vAlign w:val="center"/>
          </w:tcPr>
          <w:p>
            <w:pPr>
              <w:pStyle w:val="TableContents"/>
              <w:spacing w:before="0" w:after="283"/>
              <w:rPr/>
            </w:pPr>
            <w:r>
              <w:rPr/>
              <w:t>$</w:t>
            </w:r>
          </w:p>
        </w:tc>
        <w:tc>
          <w:tcPr>
            <w:tcW w:w="1138" w:type="dxa"/>
            <w:tcBorders/>
            <w:shd w:fill="CCEEFF" w:val="clear"/>
            <w:vAlign w:val="center"/>
          </w:tcPr>
          <w:p>
            <w:pPr>
              <w:pStyle w:val="TableContents"/>
              <w:spacing w:before="0" w:after="283"/>
              <w:jc w:val="right"/>
              <w:rPr/>
            </w:pPr>
            <w:r>
              <w:rPr/>
              <w:t>2,228,779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1" w:type="dxa"/>
            <w:tcBorders/>
            <w:shd w:fill="CCEEFF" w:val="clear"/>
            <w:vAlign w:val="center"/>
          </w:tcPr>
          <w:p>
            <w:pPr>
              <w:pStyle w:val="TableContents"/>
              <w:spacing w:before="0" w:after="283"/>
              <w:rPr/>
            </w:pPr>
            <w:r>
              <w:rPr/>
              <w:t>$</w:t>
            </w:r>
          </w:p>
        </w:tc>
        <w:tc>
          <w:tcPr>
            <w:tcW w:w="1138" w:type="dxa"/>
            <w:tcBorders/>
            <w:shd w:fill="CCEEFF" w:val="clear"/>
            <w:vAlign w:val="center"/>
          </w:tcPr>
          <w:p>
            <w:pPr>
              <w:pStyle w:val="TableContents"/>
              <w:spacing w:before="0" w:after="283"/>
              <w:jc w:val="right"/>
              <w:rPr/>
            </w:pPr>
            <w:r>
              <w:rPr/>
              <w:t>941,792</w:t>
            </w:r>
          </w:p>
        </w:tc>
        <w:tc>
          <w:tcPr>
            <w:tcW w:w="135" w:type="dxa"/>
            <w:tcBorders/>
            <w:shd w:fill="CCEEFF" w:val="clear"/>
            <w:vAlign w:val="center"/>
          </w:tcPr>
          <w:p>
            <w:pPr>
              <w:pStyle w:val="TableContents"/>
              <w:spacing w:before="0" w:after="0"/>
              <w:ind w:left="0" w:right="0" w:hanging="0"/>
              <w:rPr/>
            </w:pPr>
            <w:r>
              <w:rPr/>
              <w:t> </w:t>
            </w:r>
          </w:p>
        </w:tc>
      </w:tr>
      <w:tr>
        <w:trPr/>
        <w:tc>
          <w:tcPr>
            <w:tcW w:w="378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Money market funds </w:t>
            </w:r>
          </w:p>
        </w:tc>
        <w:tc>
          <w:tcPr>
            <w:tcW w:w="90" w:type="dxa"/>
            <w:tcBorders/>
            <w:shd w:fill="FFFFFF" w:val="clear"/>
            <w:vAlign w:val="center"/>
          </w:tcPr>
          <w:p>
            <w:pPr>
              <w:pStyle w:val="TableContents"/>
              <w:spacing w:before="0" w:after="0"/>
              <w:ind w:left="0" w:right="0" w:hanging="0"/>
              <w:rPr/>
            </w:pPr>
            <w:r>
              <w:rPr/>
              <w:t> </w:t>
            </w:r>
          </w:p>
        </w:tc>
        <w:tc>
          <w:tcPr>
            <w:tcW w:w="171"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8" w:type="dxa"/>
            <w:tcBorders>
              <w:bottom w:val="single" w:sz="2" w:space="0" w:color="000000"/>
            </w:tcBorders>
            <w:shd w:fill="FFFFFF" w:val="clear"/>
            <w:tcMar>
              <w:bottom w:w="28" w:type="dxa"/>
            </w:tcMar>
            <w:vAlign w:val="center"/>
          </w:tcPr>
          <w:p>
            <w:pPr>
              <w:pStyle w:val="TableContents"/>
              <w:spacing w:before="0" w:after="283"/>
              <w:jc w:val="right"/>
              <w:rPr/>
            </w:pPr>
            <w:r>
              <w:rPr/>
              <w:t>17,272,985</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1"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8" w:type="dxa"/>
            <w:tcBorders>
              <w:bottom w:val="single" w:sz="2" w:space="0" w:color="000000"/>
            </w:tcBorders>
            <w:shd w:fill="FFFFFF" w:val="clear"/>
            <w:tcMar>
              <w:bottom w:w="28" w:type="dxa"/>
            </w:tcMar>
            <w:vAlign w:val="center"/>
          </w:tcPr>
          <w:p>
            <w:pPr>
              <w:pStyle w:val="TableContents"/>
              <w:spacing w:before="0" w:after="283"/>
              <w:jc w:val="right"/>
              <w:rPr/>
            </w:pPr>
            <w:r>
              <w:rPr/>
              <w:t>12,583,957</w:t>
            </w:r>
          </w:p>
        </w:tc>
        <w:tc>
          <w:tcPr>
            <w:tcW w:w="135" w:type="dxa"/>
            <w:tcBorders/>
            <w:shd w:fill="FFFFFF" w:val="clear"/>
            <w:vAlign w:val="center"/>
          </w:tcPr>
          <w:p>
            <w:pPr>
              <w:pStyle w:val="TableContents"/>
              <w:spacing w:before="0" w:after="0"/>
              <w:ind w:left="0" w:right="0" w:hanging="0"/>
              <w:rPr/>
            </w:pPr>
            <w:r>
              <w:rPr/>
              <w:t> </w:t>
            </w:r>
          </w:p>
        </w:tc>
      </w:tr>
      <w:tr>
        <w:trPr/>
        <w:tc>
          <w:tcPr>
            <w:tcW w:w="378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Total </w:t>
            </w:r>
          </w:p>
        </w:tc>
        <w:tc>
          <w:tcPr>
            <w:tcW w:w="90" w:type="dxa"/>
            <w:tcBorders/>
            <w:shd w:fill="CCEEFF" w:val="clear"/>
            <w:vAlign w:val="center"/>
          </w:tcPr>
          <w:p>
            <w:pPr>
              <w:pStyle w:val="TableContents"/>
              <w:spacing w:before="0" w:after="0"/>
              <w:ind w:left="0" w:right="0" w:hanging="0"/>
              <w:rPr/>
            </w:pPr>
            <w:r>
              <w:rPr/>
              <w:t> </w:t>
            </w:r>
          </w:p>
        </w:tc>
        <w:tc>
          <w:tcPr>
            <w:tcW w:w="171" w:type="dxa"/>
            <w:tcBorders>
              <w:bottom w:val="double" w:sz="6" w:space="0" w:color="000000"/>
            </w:tcBorders>
            <w:shd w:fill="CCEEFF" w:val="clear"/>
            <w:tcMar>
              <w:bottom w:w="28" w:type="dxa"/>
            </w:tcMar>
            <w:vAlign w:val="center"/>
          </w:tcPr>
          <w:p>
            <w:pPr>
              <w:pStyle w:val="TableContents"/>
              <w:spacing w:before="0" w:after="283"/>
              <w:rPr/>
            </w:pPr>
            <w:r>
              <w:rPr/>
              <w:t>$</w:t>
            </w:r>
          </w:p>
        </w:tc>
        <w:tc>
          <w:tcPr>
            <w:tcW w:w="1138" w:type="dxa"/>
            <w:tcBorders>
              <w:bottom w:val="double" w:sz="6" w:space="0" w:color="000000"/>
            </w:tcBorders>
            <w:shd w:fill="CCEEFF" w:val="clear"/>
            <w:tcMar>
              <w:bottom w:w="28" w:type="dxa"/>
            </w:tcMar>
            <w:vAlign w:val="center"/>
          </w:tcPr>
          <w:p>
            <w:pPr>
              <w:pStyle w:val="TableContents"/>
              <w:spacing w:before="0" w:after="283"/>
              <w:jc w:val="right"/>
              <w:rPr/>
            </w:pPr>
            <w:r>
              <w:rPr/>
              <w:t>19,501,764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1" w:type="dxa"/>
            <w:tcBorders>
              <w:bottom w:val="double" w:sz="6" w:space="0" w:color="000000"/>
            </w:tcBorders>
            <w:shd w:fill="CCEEFF" w:val="clear"/>
            <w:tcMar>
              <w:bottom w:w="28" w:type="dxa"/>
            </w:tcMar>
            <w:vAlign w:val="center"/>
          </w:tcPr>
          <w:p>
            <w:pPr>
              <w:pStyle w:val="TableContents"/>
              <w:spacing w:before="0" w:after="283"/>
              <w:rPr/>
            </w:pPr>
            <w:r>
              <w:rPr/>
              <w:t>$</w:t>
            </w:r>
          </w:p>
        </w:tc>
        <w:tc>
          <w:tcPr>
            <w:tcW w:w="1138" w:type="dxa"/>
            <w:tcBorders>
              <w:bottom w:val="double" w:sz="6" w:space="0" w:color="000000"/>
            </w:tcBorders>
            <w:shd w:fill="CCEEFF" w:val="clear"/>
            <w:tcMar>
              <w:bottom w:w="28" w:type="dxa"/>
            </w:tcMar>
            <w:vAlign w:val="center"/>
          </w:tcPr>
          <w:p>
            <w:pPr>
              <w:pStyle w:val="TableContents"/>
              <w:spacing w:before="0" w:after="283"/>
              <w:jc w:val="right"/>
              <w:rPr/>
            </w:pPr>
            <w:r>
              <w:rPr/>
              <w:t>13,525,749</w:t>
            </w:r>
          </w:p>
        </w:tc>
        <w:tc>
          <w:tcPr>
            <w:tcW w:w="135"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105"/>
        <w:gridCol w:w="254"/>
        <w:gridCol w:w="9846"/>
      </w:tblGrid>
      <w:tr>
        <w:trPr/>
        <w:tc>
          <w:tcPr>
            <w:tcW w:w="105" w:type="dxa"/>
            <w:tcBorders/>
            <w:shd w:fill="auto" w:val="clear"/>
            <w:vAlign w:val="center"/>
          </w:tcPr>
          <w:p>
            <w:pPr>
              <w:pStyle w:val="TableContents"/>
              <w:spacing w:before="0" w:after="0"/>
              <w:ind w:left="0" w:right="0" w:hanging="0"/>
              <w:rPr/>
            </w:pPr>
            <w:r>
              <w:rPr/>
              <w:t> </w:t>
            </w:r>
          </w:p>
        </w:tc>
        <w:tc>
          <w:tcPr>
            <w:tcW w:w="254"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(1) </w:t>
            </w:r>
          </w:p>
        </w:tc>
        <w:tc>
          <w:tcPr>
            <w:tcW w:w="9846"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The Company has a security interest in certain of the bank's holdings of direct obligations of the United States or one or more agencies thereof. The collateral is held in a hold-in-custody arrangement with a third party who maintains physical possession of the collateral on behalf of the bank.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At December 31, 2020, the outstanding premiums receivable balance is generally diversified due to the large number of individual insureds comprising the Company’s customer base.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Company also has receivables from its reinsurers. Reinsurance contracts do not relieve the Company of its obligations to policyholders. Failure of reinsurers to honor their obligations could result in losses to the Company. The Company periodically evaluates the financial condition of its reinsurers to minimize its exposure to significant losses from reinsurer insolvencies. See Note 7 for reinsurance recoverables on unpaid and paid losses by reinsurer. Management’s policy is to review all outstanding receivables quarterly as well as the bad debt write-offs experienced in the past and establish an allowance for doubtful accounts, if deemed necessary.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F-12</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2020 AND 2019</w:t>
      </w:r>
    </w:p>
    <w:p>
      <w:pPr>
        <w:pStyle w:val="TextBody"/>
        <w:spacing w:before="0" w:after="0"/>
        <w:ind w:left="0" w:right="0" w:hanging="0"/>
        <w:jc w:val="center"/>
        <w:rPr/>
      </w:pPr>
      <w:r>
        <w:rPr>
          <w:rStyle w:val="StrongEmphasis"/>
        </w:rPr>
        <w:t> </w:t>
      </w:r>
    </w:p>
    <w:p>
      <w:pPr>
        <w:pStyle w:val="TextBody"/>
        <w:spacing w:before="0" w:after="0"/>
        <w:ind w:left="0" w:right="0" w:hanging="0"/>
        <w:jc w:val="both"/>
        <w:rPr>
          <w:rFonts w:ascii="times new roman" w:hAnsi="times new roman"/>
          <w:sz w:val="20"/>
        </w:rPr>
      </w:pPr>
      <w:r>
        <w:rPr>
          <w:rFonts w:ascii="times new roman" w:hAnsi="times new roman"/>
          <w:sz w:val="20"/>
        </w:rPr>
        <w:t>Direct premiums earned from lines of business in excess of 10% of the total subject the Company to concentration risk for the years ended December 31, 2020 and 2019 as follows:</w:t>
      </w:r>
    </w:p>
    <w:p>
      <w:pPr>
        <w:pStyle w:val="TextBody"/>
        <w:spacing w:before="0" w:after="0"/>
        <w:ind w:left="0" w:right="0" w:hanging="0"/>
        <w:jc w:val="both"/>
        <w:rPr/>
      </w:pPr>
      <w:r>
        <w:rPr/>
        <w:t> </w:t>
      </w:r>
    </w:p>
    <w:p>
      <w:pPr>
        <w:pStyle w:val="TextBody"/>
        <w:spacing w:before="0" w:after="0"/>
        <w:ind w:left="0" w:right="0" w:hanging="0"/>
        <w:rPr/>
      </w:pPr>
      <w:r>
        <w:rPr/>
        <w:t> </w:t>
      </w:r>
    </w:p>
    <w:tbl>
      <w:tblPr>
        <w:tblW w:w="6850" w:type="dxa"/>
        <w:jc w:val="left"/>
        <w:tblInd w:w="0" w:type="dxa"/>
        <w:tblCellMar>
          <w:top w:w="0" w:type="dxa"/>
          <w:left w:w="0" w:type="dxa"/>
          <w:bottom w:w="0" w:type="dxa"/>
          <w:right w:w="0" w:type="dxa"/>
        </w:tblCellMar>
      </w:tblPr>
      <w:tblGrid>
        <w:gridCol w:w="4085"/>
        <w:gridCol w:w="90"/>
        <w:gridCol w:w="126"/>
        <w:gridCol w:w="831"/>
        <w:gridCol w:w="345"/>
        <w:gridCol w:w="126"/>
        <w:gridCol w:w="126"/>
        <w:gridCol w:w="831"/>
        <w:gridCol w:w="290"/>
      </w:tblGrid>
      <w:tr>
        <w:trPr/>
        <w:tc>
          <w:tcPr>
            <w:tcW w:w="408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385"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Years ended December 31, </w:t>
            </w:r>
          </w:p>
        </w:tc>
        <w:tc>
          <w:tcPr>
            <w:tcW w:w="290" w:type="dxa"/>
            <w:tcBorders/>
            <w:shd w:fill="auto" w:val="clear"/>
            <w:vAlign w:val="center"/>
          </w:tcPr>
          <w:p>
            <w:pPr>
              <w:pStyle w:val="TableContents"/>
              <w:spacing w:before="0" w:after="0"/>
              <w:ind w:left="0" w:right="0" w:hanging="0"/>
              <w:rPr/>
            </w:pPr>
            <w:r>
              <w:rPr/>
              <w:t> </w:t>
            </w:r>
          </w:p>
        </w:tc>
      </w:tr>
      <w:tr>
        <w:trPr/>
        <w:tc>
          <w:tcPr>
            <w:tcW w:w="408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5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2020 </w:t>
            </w:r>
          </w:p>
        </w:tc>
        <w:tc>
          <w:tcPr>
            <w:tcW w:w="345" w:type="dxa"/>
            <w:tcBorders/>
            <w:shd w:fill="auto" w:val="clear"/>
            <w:vAlign w:val="center"/>
          </w:tcPr>
          <w:p>
            <w:pPr>
              <w:pStyle w:val="TableContents"/>
              <w:spacing w:before="0" w:after="0"/>
              <w:ind w:left="0" w:right="0" w:hanging="0"/>
              <w:rPr/>
            </w:pPr>
            <w:r>
              <w:rPr/>
              <w:t> </w:t>
            </w:r>
          </w:p>
        </w:tc>
        <w:tc>
          <w:tcPr>
            <w:tcW w:w="126" w:type="dxa"/>
            <w:tcBorders/>
            <w:shd w:fill="auto" w:val="clear"/>
            <w:vAlign w:val="center"/>
          </w:tcPr>
          <w:p>
            <w:pPr>
              <w:pStyle w:val="TableContents"/>
              <w:spacing w:before="0" w:after="0"/>
              <w:ind w:left="0" w:right="0" w:hanging="0"/>
              <w:rPr/>
            </w:pPr>
            <w:r>
              <w:rPr/>
              <w:t> </w:t>
            </w:r>
          </w:p>
        </w:tc>
        <w:tc>
          <w:tcPr>
            <w:tcW w:w="95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2019 </w:t>
            </w:r>
          </w:p>
        </w:tc>
        <w:tc>
          <w:tcPr>
            <w:tcW w:w="290" w:type="dxa"/>
            <w:tcBorders/>
            <w:shd w:fill="auto" w:val="clear"/>
            <w:vAlign w:val="center"/>
          </w:tcPr>
          <w:p>
            <w:pPr>
              <w:pStyle w:val="TableContents"/>
              <w:spacing w:before="0" w:after="0"/>
              <w:ind w:left="0" w:right="0" w:hanging="0"/>
              <w:rPr/>
            </w:pPr>
            <w:r>
              <w:rPr/>
              <w:t> </w:t>
            </w:r>
          </w:p>
        </w:tc>
      </w:tr>
      <w:tr>
        <w:trPr/>
        <w:tc>
          <w:tcPr>
            <w:tcW w:w="408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Personal Lines </w:t>
            </w:r>
          </w:p>
        </w:tc>
        <w:tc>
          <w:tcPr>
            <w:tcW w:w="90" w:type="dxa"/>
            <w:tcBorders/>
            <w:shd w:fill="CCEEFF" w:val="clear"/>
            <w:vAlign w:val="center"/>
          </w:tcPr>
          <w:p>
            <w:pPr>
              <w:pStyle w:val="TableContents"/>
              <w:spacing w:before="0" w:after="0"/>
              <w:ind w:left="0" w:right="0" w:hanging="0"/>
              <w:rPr/>
            </w:pPr>
            <w:r>
              <w:rPr/>
              <w:t> </w:t>
            </w:r>
          </w:p>
        </w:tc>
        <w:tc>
          <w:tcPr>
            <w:tcW w:w="126" w:type="dxa"/>
            <w:tcBorders/>
            <w:shd w:fill="CCEEFF" w:val="clear"/>
            <w:vAlign w:val="center"/>
          </w:tcPr>
          <w:p>
            <w:pPr>
              <w:pStyle w:val="TableContents"/>
              <w:spacing w:before="0" w:after="0"/>
              <w:ind w:left="0" w:right="0" w:hanging="0"/>
              <w:rPr/>
            </w:pPr>
            <w:r>
              <w:rPr/>
              <w:t> </w:t>
            </w:r>
          </w:p>
        </w:tc>
        <w:tc>
          <w:tcPr>
            <w:tcW w:w="831" w:type="dxa"/>
            <w:tcBorders/>
            <w:shd w:fill="CCEEFF" w:val="clear"/>
            <w:vAlign w:val="center"/>
          </w:tcPr>
          <w:p>
            <w:pPr>
              <w:pStyle w:val="TableContents"/>
              <w:spacing w:before="0" w:after="283"/>
              <w:jc w:val="right"/>
              <w:rPr/>
            </w:pPr>
            <w:r>
              <w:rPr/>
              <w:t>92.9</w:t>
            </w:r>
          </w:p>
        </w:tc>
        <w:tc>
          <w:tcPr>
            <w:tcW w:w="345" w:type="dxa"/>
            <w:tcBorders/>
            <w:shd w:fill="CCEEFF" w:val="clear"/>
            <w:vAlign w:val="center"/>
          </w:tcPr>
          <w:p>
            <w:pPr>
              <w:pStyle w:val="TableContents"/>
              <w:spacing w:before="0" w:after="283"/>
              <w:rPr/>
            </w:pPr>
            <w:r>
              <w:rPr/>
              <w:t>%</w:t>
            </w:r>
          </w:p>
        </w:tc>
        <w:tc>
          <w:tcPr>
            <w:tcW w:w="126" w:type="dxa"/>
            <w:tcBorders/>
            <w:shd w:fill="CCEEFF" w:val="clear"/>
            <w:vAlign w:val="center"/>
          </w:tcPr>
          <w:p>
            <w:pPr>
              <w:pStyle w:val="TableContents"/>
              <w:spacing w:before="0" w:after="0"/>
              <w:ind w:left="0" w:right="0" w:hanging="0"/>
              <w:rPr/>
            </w:pPr>
            <w:r>
              <w:rPr/>
              <w:t> </w:t>
            </w:r>
          </w:p>
        </w:tc>
        <w:tc>
          <w:tcPr>
            <w:tcW w:w="126" w:type="dxa"/>
            <w:tcBorders/>
            <w:shd w:fill="CCEEFF" w:val="clear"/>
            <w:vAlign w:val="center"/>
          </w:tcPr>
          <w:p>
            <w:pPr>
              <w:pStyle w:val="TableContents"/>
              <w:spacing w:before="0" w:after="0"/>
              <w:ind w:left="0" w:right="0" w:hanging="0"/>
              <w:rPr/>
            </w:pPr>
            <w:r>
              <w:rPr/>
              <w:t> </w:t>
            </w:r>
          </w:p>
        </w:tc>
        <w:tc>
          <w:tcPr>
            <w:tcW w:w="831" w:type="dxa"/>
            <w:tcBorders/>
            <w:shd w:fill="CCEEFF" w:val="clear"/>
            <w:vAlign w:val="center"/>
          </w:tcPr>
          <w:p>
            <w:pPr>
              <w:pStyle w:val="TableContents"/>
              <w:spacing w:before="0" w:after="283"/>
              <w:jc w:val="right"/>
              <w:rPr/>
            </w:pPr>
            <w:r>
              <w:rPr/>
              <w:t>83.5</w:t>
            </w:r>
          </w:p>
        </w:tc>
        <w:tc>
          <w:tcPr>
            <w:tcW w:w="290" w:type="dxa"/>
            <w:tcBorders/>
            <w:shd w:fill="CCEEFF" w:val="clear"/>
            <w:vAlign w:val="center"/>
          </w:tcPr>
          <w:p>
            <w:pPr>
              <w:pStyle w:val="TableContents"/>
              <w:spacing w:before="0" w:after="283"/>
              <w:rPr/>
            </w:pPr>
            <w:r>
              <w:rPr/>
              <w:t>%</w:t>
            </w:r>
          </w:p>
        </w:tc>
      </w:tr>
      <w:tr>
        <w:trPr/>
        <w:tc>
          <w:tcPr>
            <w:tcW w:w="408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Premiums earned not subject to concentration (1) </w:t>
            </w:r>
          </w:p>
        </w:tc>
        <w:tc>
          <w:tcPr>
            <w:tcW w:w="90" w:type="dxa"/>
            <w:tcBorders/>
            <w:shd w:fill="FFFFFF" w:val="clear"/>
            <w:vAlign w:val="center"/>
          </w:tcPr>
          <w:p>
            <w:pPr>
              <w:pStyle w:val="TableContents"/>
              <w:spacing w:before="0" w:after="0"/>
              <w:ind w:left="0" w:right="0" w:hanging="0"/>
              <w:rPr/>
            </w:pPr>
            <w:r>
              <w:rPr/>
              <w:t> </w:t>
            </w:r>
          </w:p>
        </w:tc>
        <w:tc>
          <w:tcPr>
            <w:tcW w:w="126"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1" w:type="dxa"/>
            <w:tcBorders>
              <w:bottom w:val="single" w:sz="2" w:space="0" w:color="000000"/>
            </w:tcBorders>
            <w:shd w:fill="FFFFFF" w:val="clear"/>
            <w:tcMar>
              <w:bottom w:w="28" w:type="dxa"/>
            </w:tcMar>
            <w:vAlign w:val="center"/>
          </w:tcPr>
          <w:p>
            <w:pPr>
              <w:pStyle w:val="TableContents"/>
              <w:spacing w:before="0" w:after="283"/>
              <w:jc w:val="right"/>
              <w:rPr/>
            </w:pPr>
            <w:r>
              <w:rPr/>
              <w:t>7.1</w:t>
            </w:r>
          </w:p>
        </w:tc>
        <w:tc>
          <w:tcPr>
            <w:tcW w:w="345" w:type="dxa"/>
            <w:tcBorders/>
            <w:shd w:fill="FFFFFF" w:val="clear"/>
            <w:vAlign w:val="center"/>
          </w:tcPr>
          <w:p>
            <w:pPr>
              <w:pStyle w:val="TableContents"/>
              <w:spacing w:before="0" w:after="283"/>
              <w:rPr/>
            </w:pPr>
            <w:r>
              <w:rPr/>
              <w:t>%</w:t>
            </w:r>
          </w:p>
        </w:tc>
        <w:tc>
          <w:tcPr>
            <w:tcW w:w="126" w:type="dxa"/>
            <w:tcBorders/>
            <w:shd w:fill="FFFFFF" w:val="clear"/>
            <w:vAlign w:val="center"/>
          </w:tcPr>
          <w:p>
            <w:pPr>
              <w:pStyle w:val="TableContents"/>
              <w:spacing w:before="0" w:after="0"/>
              <w:ind w:left="0" w:right="0" w:hanging="0"/>
              <w:rPr/>
            </w:pPr>
            <w:r>
              <w:rPr/>
              <w:t> </w:t>
            </w:r>
          </w:p>
        </w:tc>
        <w:tc>
          <w:tcPr>
            <w:tcW w:w="126"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1" w:type="dxa"/>
            <w:tcBorders>
              <w:bottom w:val="single" w:sz="2" w:space="0" w:color="000000"/>
            </w:tcBorders>
            <w:shd w:fill="FFFFFF" w:val="clear"/>
            <w:tcMar>
              <w:bottom w:w="28" w:type="dxa"/>
            </w:tcMar>
            <w:vAlign w:val="center"/>
          </w:tcPr>
          <w:p>
            <w:pPr>
              <w:pStyle w:val="TableContents"/>
              <w:spacing w:before="0" w:after="283"/>
              <w:jc w:val="right"/>
              <w:rPr/>
            </w:pPr>
            <w:r>
              <w:rPr/>
              <w:t>16.5</w:t>
            </w:r>
          </w:p>
        </w:tc>
        <w:tc>
          <w:tcPr>
            <w:tcW w:w="290" w:type="dxa"/>
            <w:tcBorders/>
            <w:shd w:fill="FFFFFF" w:val="clear"/>
            <w:vAlign w:val="center"/>
          </w:tcPr>
          <w:p>
            <w:pPr>
              <w:pStyle w:val="TableContents"/>
              <w:spacing w:before="0" w:after="283"/>
              <w:rPr/>
            </w:pPr>
            <w:r>
              <w:rPr/>
              <w:t>%</w:t>
            </w:r>
          </w:p>
        </w:tc>
      </w:tr>
      <w:tr>
        <w:trPr/>
        <w:tc>
          <w:tcPr>
            <w:tcW w:w="408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Total premiums earned </w:t>
            </w:r>
          </w:p>
        </w:tc>
        <w:tc>
          <w:tcPr>
            <w:tcW w:w="90" w:type="dxa"/>
            <w:tcBorders/>
            <w:shd w:fill="CCEEFF" w:val="clear"/>
            <w:vAlign w:val="center"/>
          </w:tcPr>
          <w:p>
            <w:pPr>
              <w:pStyle w:val="TableContents"/>
              <w:spacing w:before="0" w:after="0"/>
              <w:ind w:left="0" w:right="0" w:hanging="0"/>
              <w:rPr/>
            </w:pPr>
            <w:r>
              <w:rPr/>
              <w:t> </w:t>
            </w:r>
          </w:p>
        </w:tc>
        <w:tc>
          <w:tcPr>
            <w:tcW w:w="126"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831" w:type="dxa"/>
            <w:tcBorders>
              <w:bottom w:val="double" w:sz="6" w:space="0" w:color="000000"/>
            </w:tcBorders>
            <w:shd w:fill="CCEEFF" w:val="clear"/>
            <w:tcMar>
              <w:bottom w:w="28" w:type="dxa"/>
            </w:tcMar>
            <w:vAlign w:val="center"/>
          </w:tcPr>
          <w:p>
            <w:pPr>
              <w:pStyle w:val="TableContents"/>
              <w:spacing w:before="0" w:after="283"/>
              <w:jc w:val="right"/>
              <w:rPr/>
            </w:pPr>
            <w:r>
              <w:rPr/>
              <w:t>100.0</w:t>
            </w:r>
          </w:p>
        </w:tc>
        <w:tc>
          <w:tcPr>
            <w:tcW w:w="345" w:type="dxa"/>
            <w:tcBorders/>
            <w:shd w:fill="CCEEFF" w:val="clear"/>
            <w:vAlign w:val="center"/>
          </w:tcPr>
          <w:p>
            <w:pPr>
              <w:pStyle w:val="TableContents"/>
              <w:spacing w:before="0" w:after="283"/>
              <w:rPr/>
            </w:pPr>
            <w:r>
              <w:rPr/>
              <w:t>%</w:t>
            </w:r>
          </w:p>
        </w:tc>
        <w:tc>
          <w:tcPr>
            <w:tcW w:w="126" w:type="dxa"/>
            <w:tcBorders/>
            <w:shd w:fill="CCEEFF" w:val="clear"/>
            <w:vAlign w:val="center"/>
          </w:tcPr>
          <w:p>
            <w:pPr>
              <w:pStyle w:val="TableContents"/>
              <w:spacing w:before="0" w:after="0"/>
              <w:ind w:left="0" w:right="0" w:hanging="0"/>
              <w:rPr/>
            </w:pPr>
            <w:r>
              <w:rPr/>
              <w:t> </w:t>
            </w:r>
          </w:p>
        </w:tc>
        <w:tc>
          <w:tcPr>
            <w:tcW w:w="126"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831" w:type="dxa"/>
            <w:tcBorders>
              <w:bottom w:val="double" w:sz="6" w:space="0" w:color="000000"/>
            </w:tcBorders>
            <w:shd w:fill="CCEEFF" w:val="clear"/>
            <w:tcMar>
              <w:bottom w:w="28" w:type="dxa"/>
            </w:tcMar>
            <w:vAlign w:val="center"/>
          </w:tcPr>
          <w:p>
            <w:pPr>
              <w:pStyle w:val="TableContents"/>
              <w:spacing w:before="0" w:after="283"/>
              <w:jc w:val="right"/>
              <w:rPr/>
            </w:pPr>
            <w:r>
              <w:rPr/>
              <w:t>100.0</w:t>
            </w:r>
          </w:p>
        </w:tc>
        <w:tc>
          <w:tcPr>
            <w:tcW w:w="290" w:type="dxa"/>
            <w:tcBorders/>
            <w:shd w:fill="CCEEFF" w:val="clear"/>
            <w:vAlign w:val="center"/>
          </w:tcPr>
          <w:p>
            <w:pPr>
              <w:pStyle w:val="TableContents"/>
              <w:spacing w:before="0" w:after="283"/>
              <w:rPr/>
            </w:pPr>
            <w:r>
              <w:rPr/>
              <w:t>%</w:t>
            </w:r>
          </w:p>
        </w:tc>
      </w:tr>
    </w:tbl>
    <w:p>
      <w:pPr>
        <w:pStyle w:val="TextBody"/>
        <w:spacing w:before="0" w:after="0"/>
        <w:ind w:left="0" w:right="0" w:hanging="0"/>
        <w:jc w:val="both"/>
        <w:rPr/>
      </w:pPr>
      <w:r>
        <w:rPr/>
        <w:t> </w:t>
      </w:r>
    </w:p>
    <w:tbl>
      <w:tblPr>
        <w:tblW w:w="9250" w:type="dxa"/>
        <w:jc w:val="left"/>
        <w:tblInd w:w="0" w:type="dxa"/>
        <w:tblCellMar>
          <w:top w:w="0" w:type="dxa"/>
          <w:left w:w="0" w:type="dxa"/>
          <w:bottom w:w="0" w:type="dxa"/>
          <w:right w:w="0" w:type="dxa"/>
        </w:tblCellMar>
      </w:tblPr>
      <w:tblGrid>
        <w:gridCol w:w="105"/>
        <w:gridCol w:w="320"/>
        <w:gridCol w:w="8825"/>
      </w:tblGrid>
      <w:tr>
        <w:trPr/>
        <w:tc>
          <w:tcPr>
            <w:tcW w:w="105" w:type="dxa"/>
            <w:tcBorders/>
            <w:shd w:fill="auto" w:val="clear"/>
            <w:vAlign w:val="center"/>
          </w:tcPr>
          <w:p>
            <w:pPr>
              <w:pStyle w:val="TableContents"/>
              <w:spacing w:before="0" w:after="0"/>
              <w:ind w:left="0" w:right="0" w:hanging="0"/>
              <w:rPr/>
            </w:pPr>
            <w:r>
              <w:rPr/>
              <w:t> </w:t>
            </w:r>
          </w:p>
        </w:tc>
        <w:tc>
          <w:tcPr>
            <w:tcW w:w="320"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(1) </w:t>
            </w:r>
          </w:p>
        </w:tc>
        <w:tc>
          <w:tcPr>
            <w:tcW w:w="8825" w:type="dxa"/>
            <w:tcBorders/>
            <w:shd w:fill="auto" w:val="clear"/>
            <w:vAlign w:val="center"/>
          </w:tcPr>
          <w:p>
            <w:pPr>
              <w:pStyle w:val="TableContents"/>
              <w:spacing w:before="0" w:after="283"/>
              <w:rPr/>
            </w:pPr>
            <w:r>
              <w:rPr/>
              <w:t>Premiums earned not subject to concentration is comprised of two different lines of business.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 xml:space="preserve">Use of Estimates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these estimates and assumptions, and includes the reserves for losses and LAE, which are subject to estimation errors due to the inherent uncertainty in projecting ultimate claim amounts that will be reported and settled over a period of many years. In addition, estimates and assumptions associated with receivables under reinsurance contracts related to contingent ceding commission revenue require judgments by management. On an ongoing basis, management reevaluates its assumptions and the methods for calculating these estimates. Actual results may differ significantly from the estimates used in preparing the consolidated financial statements.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Earnings per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Basic earnings per common share is computed by dividing income available to common stockholders by the weighted-average number of common shares outstanding. Diluted earnings per common share reflects, in periods in which they have a dilutive effect, the impact of common shares issuable upon the exercise of stock options as well as non-vested restricted stock awards.  The computation of diluted earnings per share excludes those options with an exercise price in excess of the average market price of the Company’s common shares during the periods presented.  Additionally, the computation of diluted earnings per share excludes unvested restricted stock awards as calculated using the treasury stock method.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Advertising Costs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Advertising costs are charged to operations as incurred. Advertising costs are included in other underwriting expenses in the accompanying consolidated statements of operations and comprehensive income and were approximately $132,000 and $153,000 for the years ended December 31, 2020 and 2019, respectively.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Stock-based Compensation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Stock-based compensation expense in 2020 and 2019 is the estimated fair value of restricted stock awards and options granted, amortized on a straight-line basis over the requisite service period for the entire portion of the award less an estimate for anticipated forfeitures. The Company uses the “simplified” method to estimate the expected term of the options because the Company’s historical share option exercise experience does not provide a reasonable basis upon which to estimate expected term.</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F-13</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2020 AND 2019</w:t>
      </w:r>
    </w:p>
    <w:p>
      <w:pPr>
        <w:pStyle w:val="TextBody"/>
        <w:spacing w:before="0" w:after="0"/>
        <w:ind w:left="0" w:right="0" w:hanging="0"/>
        <w:jc w:val="center"/>
        <w:rPr/>
      </w:pPr>
      <w:r>
        <w:rPr>
          <w:rStyle w:val="StrongEmphasis"/>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Compensated Absences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Employees of the Company are entitled to paid vacations, sick days, and other time off depending on job classification, length of service and other factors.  The Company has determined it is impracticable to estimate the amount of compensation of future absences and, accordingly, no liability has been recorded in the accompanying consolidated financial statements.  The Company’s policy is to recognize the cost of compensated absences when paid to employees.  </w:t>
      </w:r>
    </w:p>
    <w:p>
      <w:pPr>
        <w:pStyle w:val="TextBody"/>
        <w:spacing w:before="0" w:after="0"/>
        <w:ind w:left="0" w:right="0" w:hanging="0"/>
        <w:jc w:val="both"/>
        <w:rPr/>
      </w:pPr>
      <w:r>
        <w:rPr/>
        <w:t xml:space="preserve">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Leases</w:t>
      </w:r>
    </w:p>
    <w:p>
      <w:pPr>
        <w:pStyle w:val="TextBody"/>
        <w:spacing w:before="0" w:after="0"/>
        <w:ind w:left="0" w:right="0" w:hanging="0"/>
        <w:jc w:val="both"/>
        <w:rPr/>
      </w:pPr>
      <w:r>
        <w:rPr/>
        <w:t xml:space="preserve">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Company records operating leases in accordance with ASU 2016-02 – Leases (Topic 842) (“ASU 2016-02”). Under this ASU, the Company recognized a right-of-use-asset and corresponding liability on the balance sheet for all leases, except for leases covering a period of fewer than 12 months. The liability has been measured at the present value of the future minimum lease payments taking into account renewal options if applicable plus initial incremental direct costs such as commissions. The minimum payments are discounted using the Company’s incremental borrowing rate. The Company adopted ASU 2016-02 effective January 1, 2019 using the cumulative effect adjustment transition method, which applies the provision of the standard at the effective date without adjusting the comparative periods presented.  The adoption of the updated guidance resulted in the Company recognizing a right-of-use asset of $855,000 as part of other assets and a lease liability of $855,000 as part of accounts payable, accrued expenses and other liabilities in the consolidated balance sheet. The right-of-use asset is amortized as rent expense on a straight-line basis. </w:t>
      </w:r>
    </w:p>
    <w:p>
      <w:pPr>
        <w:pStyle w:val="TextBody"/>
        <w:spacing w:before="0" w:after="0"/>
        <w:ind w:left="0" w:right="0" w:hanging="0"/>
        <w:jc w:val="both"/>
        <w:rPr/>
      </w:pPr>
      <w:r>
        <w:rPr/>
        <w:t xml:space="preserve">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Comprehensive Income</w:t>
      </w:r>
    </w:p>
    <w:p>
      <w:pPr>
        <w:pStyle w:val="TextBody"/>
        <w:spacing w:before="0" w:after="0"/>
        <w:ind w:left="0" w:right="0" w:hanging="0"/>
        <w:jc w:val="both"/>
        <w:rPr/>
      </w:pPr>
      <w:r>
        <w:rPr/>
        <w:t xml:space="preserve">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Comprehensive income refers to revenues, expenses, gains and losses that are included in comprehensive income but are excluded from net income (loss) as these amounts are recorded directly as an adjustment to stockholders' equity, primarily from changes in unrealized gains and losses on available-for-sale securities, and related income taxes. </w:t>
      </w:r>
    </w:p>
    <w:p>
      <w:pPr>
        <w:pStyle w:val="TextBody"/>
        <w:spacing w:before="0" w:after="0"/>
        <w:ind w:left="0" w:right="0" w:hanging="0"/>
        <w:jc w:val="both"/>
        <w:rPr/>
      </w:pPr>
      <w:r>
        <w:rPr/>
        <w:t xml:space="preserve">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Accounting Changes</w:t>
      </w:r>
    </w:p>
    <w:p>
      <w:pPr>
        <w:pStyle w:val="TextBody"/>
        <w:spacing w:before="0" w:after="0"/>
        <w:ind w:left="0" w:right="0" w:hanging="0"/>
        <w:jc w:val="both"/>
        <w:rPr/>
      </w:pPr>
      <w:r>
        <w:rPr/>
        <w:t xml:space="preserve">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Company has determined that it was not subject to any new accounting pronouncements that became effective during the year ended December 31, 2020.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 xml:space="preserve">Recent Accounting Pronouncements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June 2016, the Financial Accounting Standards Board (the “FASB”) issued ASU 2016-13 - Financial Instruments - Credit Losses (Topic 326): Measurement of Credit Losses on Financial Instruments (“ASU 2016-13”). The revised accounting guidance requires the measurement of all expected credit losses for financial assets held at the reporting date based on historical experience, current conditions, and reasonable and supportable forecasts and requires enhanced disclosures related to the significant estimates and judgments used in estimating credit losses, as well as the credit quality and underwriting standards of an organization’s portfolio. In addition, ASU 2016-13 amends the accounting for credit losses of available-for-sale debt securities and purchased financial assets with credit deterioration. ASU 2016-13 will be effective for the Company on January 1, 2023. The Company is currently evaluating the effect the updated guidance will have on its consolidated financial statements.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December 2019, the FASB issued ASU 2019-12, Income Taxes - Simplifying the Accounting for Income Taxes (“ASU 2019-12”). Among other items, the amendments in ASU 2019-12 simplify the accounting treatment of tax law changes and year-to-date losses in interim periods.  An entity generally recognizes the effects of a change in tax law in the period of enactment; however, there is an exception for tax laws with delayed effective dates.  Under current guidance, an entity may not adjust its annual effective tax rate for a tax law change until the period in which the law is effective.  This exception was removed under ASU 2019-12, thereby providing that all effects of a tax law change are recognized in the period of enactment, including adjustment of the estimated annual effective tax rate.  Regarding year-to-date losses in interim periods, an entity is required to estimate its annual effective tax rate for the full fiscal year at the end of each interim period and use that rate to calculate its income taxes on a year-to-date basis.  However, current guidance provides an exception that when a loss in an interim period exceeds the anticipated loss for the year, the income tax benefit is limited to the amount that would be recognized if the year-to-date loss were the anticipated loss for the full year.  ASU 2019-12 removes this exception and provides that in this situation, an entity would compute its income tax benefit at each interim period based on its estimated annual effective tax rate.  ASU 2019-12 is effective for fiscal years beginning after December 15, 2020, including interim periods within those annual periods. Early adoption is permitted. The Company will adopt ASU 2019-12 effective January 1, 2021 and the Company does not expect it to have a material impact on its consolidated financial statements.</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F-14</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2020 AND 2019</w:t>
      </w:r>
    </w:p>
    <w:p>
      <w:pPr>
        <w:pStyle w:val="TextBody"/>
        <w:spacing w:before="0" w:after="0"/>
        <w:ind w:left="0" w:right="0" w:hanging="0"/>
        <w:jc w:val="center"/>
        <w:rPr/>
      </w:pPr>
      <w:r>
        <w:rPr>
          <w:rStyle w:val="StrongEmphasis"/>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determined that all other recently issued accounting pronouncements will not have a material impact on its consolidated financial position, results of operations and cash flows, or do not apply to its operations.</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Note 3 - Investments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Fixed-Maturity Securities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amortized cost, estimated fair value, and unrealized gains and losses on investments in fixed-maturity securities classified as available-for-sale as of December 31, 2020 and 2019 are summarized as follows:</w:t>
      </w:r>
    </w:p>
    <w:p>
      <w:pPr>
        <w:pStyle w:val="TextBody"/>
        <w:spacing w:before="0" w:after="0"/>
        <w:ind w:left="0" w:right="0" w:hanging="0"/>
        <w:jc w:val="both"/>
        <w:rPr/>
      </w:pPr>
      <w:r>
        <w:rPr/>
        <w:t> </w:t>
      </w:r>
    </w:p>
    <w:p>
      <w:pPr>
        <w:pStyle w:val="TextBody"/>
        <w:spacing w:before="0" w:after="0"/>
        <w:ind w:left="0" w:right="0" w:hanging="0"/>
        <w:rPr/>
      </w:pPr>
      <w:r>
        <w:rPr/>
        <w:t> </w:t>
      </w:r>
    </w:p>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1503"/>
        <w:gridCol w:w="90"/>
        <w:gridCol w:w="170"/>
        <w:gridCol w:w="1250"/>
        <w:gridCol w:w="90"/>
        <w:gridCol w:w="90"/>
        <w:gridCol w:w="170"/>
        <w:gridCol w:w="1130"/>
        <w:gridCol w:w="90"/>
        <w:gridCol w:w="90"/>
        <w:gridCol w:w="173"/>
        <w:gridCol w:w="801"/>
        <w:gridCol w:w="125"/>
        <w:gridCol w:w="90"/>
        <w:gridCol w:w="172"/>
        <w:gridCol w:w="918"/>
        <w:gridCol w:w="125"/>
        <w:gridCol w:w="90"/>
        <w:gridCol w:w="170"/>
        <w:gridCol w:w="1250"/>
        <w:gridCol w:w="90"/>
        <w:gridCol w:w="90"/>
        <w:gridCol w:w="170"/>
        <w:gridCol w:w="1130"/>
        <w:gridCol w:w="138"/>
      </w:tblGrid>
      <w:tr>
        <w:trPr/>
        <w:tc>
          <w:tcPr>
            <w:tcW w:w="1503"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474" w:type="dxa"/>
            <w:gridSpan w:val="2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2020</w:t>
            </w:r>
          </w:p>
        </w:tc>
        <w:tc>
          <w:tcPr>
            <w:tcW w:w="138" w:type="dxa"/>
            <w:tcBorders/>
            <w:shd w:fill="auto" w:val="clear"/>
            <w:vAlign w:val="center"/>
          </w:tcPr>
          <w:p>
            <w:pPr>
              <w:pStyle w:val="TableContents"/>
              <w:spacing w:before="0" w:after="0"/>
              <w:ind w:left="0" w:right="0" w:hanging="0"/>
              <w:rPr/>
            </w:pPr>
            <w:r>
              <w:rPr/>
              <w:t> </w:t>
            </w:r>
          </w:p>
        </w:tc>
      </w:tr>
      <w:tr>
        <w:trPr/>
        <w:tc>
          <w:tcPr>
            <w:tcW w:w="1503"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74" w:type="dxa"/>
            <w:gridSpan w:val="2"/>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90" w:type="dxa"/>
            <w:gridSpan w:val="2"/>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0"/>
              <w:ind w:left="0" w:right="0" w:hanging="0"/>
              <w:rPr/>
            </w:pPr>
            <w:r>
              <w:rPr/>
              <w:t> </w:t>
            </w:r>
          </w:p>
        </w:tc>
      </w:tr>
      <w:tr>
        <w:trPr/>
        <w:tc>
          <w:tcPr>
            <w:tcW w:w="1503"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Cost or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Gross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279"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Gross Unrealized Losses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Estimated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Net </w:t>
            </w:r>
          </w:p>
        </w:tc>
        <w:tc>
          <w:tcPr>
            <w:tcW w:w="138" w:type="dxa"/>
            <w:tcBorders/>
            <w:shd w:fill="auto" w:val="clear"/>
            <w:vAlign w:val="center"/>
          </w:tcPr>
          <w:p>
            <w:pPr>
              <w:pStyle w:val="TableContents"/>
              <w:spacing w:before="0" w:after="0"/>
              <w:ind w:left="0" w:right="0" w:hanging="0"/>
              <w:rPr/>
            </w:pPr>
            <w:r>
              <w:rPr/>
              <w:t> </w:t>
            </w:r>
          </w:p>
        </w:tc>
      </w:tr>
      <w:tr>
        <w:trPr/>
        <w:tc>
          <w:tcPr>
            <w:tcW w:w="1503"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Amortized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Unrealized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74"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Less than 12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9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More than 12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Fair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Unrealized </w:t>
            </w:r>
          </w:p>
        </w:tc>
        <w:tc>
          <w:tcPr>
            <w:tcW w:w="138" w:type="dxa"/>
            <w:tcBorders/>
            <w:shd w:fill="auto" w:val="clear"/>
            <w:vAlign w:val="center"/>
          </w:tcPr>
          <w:p>
            <w:pPr>
              <w:pStyle w:val="TableContents"/>
              <w:spacing w:before="0" w:after="0"/>
              <w:ind w:left="0" w:right="0" w:hanging="0"/>
              <w:rPr/>
            </w:pPr>
            <w:r>
              <w:rPr/>
              <w:t> </w:t>
            </w:r>
          </w:p>
        </w:tc>
      </w:tr>
      <w:tr>
        <w:trPr/>
        <w:tc>
          <w:tcPr>
            <w:tcW w:w="1503"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Fonts w:ascii="times new roman" w:hAnsi="times new roman"/>
                <w:sz w:val="20"/>
              </w:rPr>
              <w:t xml:space="preserve">Category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Cost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Gains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7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Months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9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Months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Value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Gains </w:t>
            </w:r>
          </w:p>
        </w:tc>
        <w:tc>
          <w:tcPr>
            <w:tcW w:w="138" w:type="dxa"/>
            <w:tcBorders/>
            <w:shd w:fill="auto" w:val="clear"/>
            <w:vAlign w:val="center"/>
          </w:tcPr>
          <w:p>
            <w:pPr>
              <w:pStyle w:val="TableContents"/>
              <w:spacing w:before="0" w:after="0"/>
              <w:ind w:left="0" w:right="0" w:hanging="0"/>
              <w:rPr/>
            </w:pPr>
            <w:r>
              <w:rPr/>
              <w:t> </w:t>
            </w:r>
          </w:p>
        </w:tc>
      </w:tr>
      <w:tr>
        <w:trPr/>
        <w:tc>
          <w:tcPr>
            <w:tcW w:w="1503"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74"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90"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138" w:type="dxa"/>
            <w:tcBorders/>
            <w:shd w:fill="auto" w:val="clear"/>
            <w:vAlign w:val="center"/>
          </w:tcPr>
          <w:p>
            <w:pPr>
              <w:pStyle w:val="TableContents"/>
              <w:spacing w:before="0" w:after="0"/>
              <w:ind w:left="0" w:right="0" w:hanging="0"/>
              <w:rPr/>
            </w:pPr>
            <w:r>
              <w:rPr/>
              <w:t> </w:t>
            </w:r>
          </w:p>
        </w:tc>
      </w:tr>
      <w:tr>
        <w:trPr/>
        <w:tc>
          <w:tcPr>
            <w:tcW w:w="1503" w:type="dxa"/>
            <w:tcBorders/>
            <w:shd w:fill="auto" w:val="clear"/>
            <w:vAlign w:val="center"/>
          </w:tcPr>
          <w:p>
            <w:pPr>
              <w:pStyle w:val="TableContents"/>
              <w:spacing w:before="0" w:after="0"/>
              <w:ind w:left="0" w:right="0" w:hanging="0"/>
              <w:rPr/>
            </w:pPr>
            <w:r>
              <w:rPr>
                <w:rStyle w:val="StrongEmphasis"/>
                <w:rFonts w:ascii="times new roman" w:hAnsi="times new roman"/>
                <w:sz w:val="20"/>
              </w:rPr>
              <w:t xml:space="preserve">Fixed-Maturity Securities: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74"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90"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138" w:type="dxa"/>
            <w:tcBorders/>
            <w:shd w:fill="auto" w:val="clear"/>
            <w:vAlign w:val="center"/>
          </w:tcPr>
          <w:p>
            <w:pPr>
              <w:pStyle w:val="TableContents"/>
              <w:spacing w:before="0" w:after="0"/>
              <w:ind w:left="0" w:right="0" w:hanging="0"/>
              <w:rPr/>
            </w:pPr>
            <w:r>
              <w:rPr/>
              <w:t> </w:t>
            </w:r>
          </w:p>
        </w:tc>
      </w:tr>
      <w:tr>
        <w:trPr/>
        <w:tc>
          <w:tcPr>
            <w:tcW w:w="150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U.S. Treasury securities and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74"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90"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138" w:type="dxa"/>
            <w:tcBorders/>
            <w:shd w:fill="auto" w:val="clear"/>
            <w:vAlign w:val="center"/>
          </w:tcPr>
          <w:p>
            <w:pPr>
              <w:pStyle w:val="TableContents"/>
              <w:spacing w:before="0" w:after="0"/>
              <w:ind w:left="0" w:right="0" w:hanging="0"/>
              <w:rPr/>
            </w:pPr>
            <w:r>
              <w:rPr/>
              <w:t> </w:t>
            </w:r>
          </w:p>
        </w:tc>
      </w:tr>
      <w:tr>
        <w:trPr/>
        <w:tc>
          <w:tcPr>
            <w:tcW w:w="150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obligations of U.S. government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74"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90"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138" w:type="dxa"/>
            <w:tcBorders/>
            <w:shd w:fill="auto" w:val="clear"/>
            <w:vAlign w:val="center"/>
          </w:tcPr>
          <w:p>
            <w:pPr>
              <w:pStyle w:val="TableContents"/>
              <w:spacing w:before="0" w:after="0"/>
              <w:ind w:left="0" w:right="0" w:hanging="0"/>
              <w:rPr/>
            </w:pPr>
            <w:r>
              <w:rPr/>
              <w:t> </w:t>
            </w:r>
          </w:p>
        </w:tc>
      </w:tr>
      <w:tr>
        <w:trPr/>
        <w:tc>
          <w:tcPr>
            <w:tcW w:w="1503"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corporations and agencies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3,020,710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29,190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3" w:type="dxa"/>
            <w:tcBorders/>
            <w:shd w:fill="CCEEFF" w:val="clear"/>
            <w:vAlign w:val="center"/>
          </w:tcPr>
          <w:p>
            <w:pPr>
              <w:pStyle w:val="TableContents"/>
              <w:spacing w:before="0" w:after="283"/>
              <w:rPr/>
            </w:pPr>
            <w:r>
              <w:rPr/>
              <w:t>$</w:t>
            </w:r>
          </w:p>
        </w:tc>
        <w:tc>
          <w:tcPr>
            <w:tcW w:w="801"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2" w:type="dxa"/>
            <w:tcBorders/>
            <w:shd w:fill="CCEEFF" w:val="clear"/>
            <w:vAlign w:val="center"/>
          </w:tcPr>
          <w:p>
            <w:pPr>
              <w:pStyle w:val="TableContents"/>
              <w:spacing w:before="0" w:after="283"/>
              <w:rPr/>
            </w:pPr>
            <w:r>
              <w:rPr/>
              <w:t>$</w:t>
            </w:r>
          </w:p>
        </w:tc>
        <w:tc>
          <w:tcPr>
            <w:tcW w:w="918"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3,049,900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29,190</w:t>
            </w:r>
          </w:p>
        </w:tc>
        <w:tc>
          <w:tcPr>
            <w:tcW w:w="138" w:type="dxa"/>
            <w:tcBorders/>
            <w:shd w:fill="CCEEFF" w:val="clear"/>
            <w:vAlign w:val="center"/>
          </w:tcPr>
          <w:p>
            <w:pPr>
              <w:pStyle w:val="TableContents"/>
              <w:spacing w:before="0" w:after="0"/>
              <w:ind w:left="0" w:right="0" w:hanging="0"/>
              <w:rPr/>
            </w:pPr>
            <w:r>
              <w:rPr/>
              <w:t> </w:t>
            </w:r>
          </w:p>
        </w:tc>
      </w:tr>
      <w:tr>
        <w:trPr/>
        <w:tc>
          <w:tcPr>
            <w:tcW w:w="1503"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3" w:type="dxa"/>
            <w:tcBorders/>
            <w:shd w:fill="FFFFFF" w:val="clear"/>
            <w:vAlign w:val="center"/>
          </w:tcPr>
          <w:p>
            <w:pPr>
              <w:pStyle w:val="TableContents"/>
              <w:spacing w:before="0" w:after="0"/>
              <w:ind w:left="0" w:right="0" w:hanging="0"/>
              <w:rPr/>
            </w:pPr>
            <w:r>
              <w:rPr/>
              <w:t> </w:t>
            </w:r>
          </w:p>
        </w:tc>
        <w:tc>
          <w:tcPr>
            <w:tcW w:w="801"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2" w:type="dxa"/>
            <w:tcBorders/>
            <w:shd w:fill="FFFFFF" w:val="clear"/>
            <w:vAlign w:val="center"/>
          </w:tcPr>
          <w:p>
            <w:pPr>
              <w:pStyle w:val="TableContents"/>
              <w:spacing w:before="0" w:after="0"/>
              <w:ind w:left="0" w:right="0" w:hanging="0"/>
              <w:rPr/>
            </w:pPr>
            <w:r>
              <w:rPr/>
              <w:t> </w:t>
            </w:r>
          </w:p>
        </w:tc>
        <w:tc>
          <w:tcPr>
            <w:tcW w:w="918"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138" w:type="dxa"/>
            <w:tcBorders/>
            <w:shd w:fill="FFFFFF" w:val="clear"/>
            <w:vAlign w:val="center"/>
          </w:tcPr>
          <w:p>
            <w:pPr>
              <w:pStyle w:val="TableContents"/>
              <w:spacing w:before="0" w:after="0"/>
              <w:ind w:left="0" w:right="0" w:hanging="0"/>
              <w:rPr/>
            </w:pPr>
            <w:r>
              <w:rPr/>
              <w:t> </w:t>
            </w:r>
          </w:p>
        </w:tc>
      </w:tr>
      <w:tr>
        <w:trPr/>
        <w:tc>
          <w:tcPr>
            <w:tcW w:w="1503"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Political subdivisions of States,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3" w:type="dxa"/>
            <w:tcBorders/>
            <w:shd w:fill="CCEEFF" w:val="clear"/>
            <w:vAlign w:val="center"/>
          </w:tcPr>
          <w:p>
            <w:pPr>
              <w:pStyle w:val="TableContents"/>
              <w:spacing w:before="0" w:after="0"/>
              <w:ind w:left="0" w:right="0" w:hanging="0"/>
              <w:rPr/>
            </w:pPr>
            <w:r>
              <w:rPr/>
              <w:t> </w:t>
            </w:r>
          </w:p>
        </w:tc>
        <w:tc>
          <w:tcPr>
            <w:tcW w:w="801"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2" w:type="dxa"/>
            <w:tcBorders/>
            <w:shd w:fill="CCEEFF" w:val="clear"/>
            <w:vAlign w:val="center"/>
          </w:tcPr>
          <w:p>
            <w:pPr>
              <w:pStyle w:val="TableContents"/>
              <w:spacing w:before="0" w:after="0"/>
              <w:ind w:left="0" w:right="0" w:hanging="0"/>
              <w:rPr/>
            </w:pPr>
            <w:r>
              <w:rPr/>
              <w:t> </w:t>
            </w:r>
          </w:p>
        </w:tc>
        <w:tc>
          <w:tcPr>
            <w:tcW w:w="918"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138" w:type="dxa"/>
            <w:tcBorders/>
            <w:shd w:fill="CCEEFF" w:val="clear"/>
            <w:vAlign w:val="center"/>
          </w:tcPr>
          <w:p>
            <w:pPr>
              <w:pStyle w:val="TableContents"/>
              <w:spacing w:before="0" w:after="0"/>
              <w:ind w:left="0" w:right="0" w:hanging="0"/>
              <w:rPr/>
            </w:pPr>
            <w:r>
              <w:rPr/>
              <w:t> </w:t>
            </w:r>
          </w:p>
        </w:tc>
      </w:tr>
      <w:tr>
        <w:trPr/>
        <w:tc>
          <w:tcPr>
            <w:tcW w:w="1503"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Territories and Possessions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5,287,561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355,541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3" w:type="dxa"/>
            <w:tcBorders/>
            <w:shd w:fill="FFFFFF" w:val="clear"/>
            <w:vAlign w:val="center"/>
          </w:tcPr>
          <w:p>
            <w:pPr>
              <w:pStyle w:val="TableContents"/>
              <w:spacing w:before="0" w:after="0"/>
              <w:ind w:left="0" w:right="0" w:hanging="0"/>
              <w:rPr/>
            </w:pPr>
            <w:r>
              <w:rPr/>
              <w:t> </w:t>
            </w:r>
          </w:p>
        </w:tc>
        <w:tc>
          <w:tcPr>
            <w:tcW w:w="801"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2" w:type="dxa"/>
            <w:tcBorders/>
            <w:shd w:fill="FFFFFF" w:val="clear"/>
            <w:vAlign w:val="center"/>
          </w:tcPr>
          <w:p>
            <w:pPr>
              <w:pStyle w:val="TableContents"/>
              <w:spacing w:before="0" w:after="0"/>
              <w:ind w:left="0" w:right="0" w:hanging="0"/>
              <w:rPr/>
            </w:pPr>
            <w:r>
              <w:rPr/>
              <w:t> </w:t>
            </w:r>
          </w:p>
        </w:tc>
        <w:tc>
          <w:tcPr>
            <w:tcW w:w="918"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sz w:val="4"/>
                <w:szCs w:val="4"/>
              </w:rPr>
            </w:pPr>
            <w:r>
              <w:rPr>
                <w:sz w:val="4"/>
                <w:szCs w:val="4"/>
              </w:rPr>
            </w:r>
          </w:p>
        </w:tc>
        <w:tc>
          <w:tcPr>
            <w:tcW w:w="1250" w:type="dxa"/>
            <w:tcBorders/>
            <w:shd w:fill="FFFFFF" w:val="clear"/>
            <w:vAlign w:val="center"/>
          </w:tcPr>
          <w:p>
            <w:pPr>
              <w:pStyle w:val="TableContents"/>
              <w:spacing w:before="0" w:after="283"/>
              <w:jc w:val="right"/>
              <w:rPr/>
            </w:pPr>
            <w:r>
              <w:rPr/>
              <w:t>5,643,102</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355,541</w:t>
            </w:r>
          </w:p>
        </w:tc>
        <w:tc>
          <w:tcPr>
            <w:tcW w:w="138" w:type="dxa"/>
            <w:tcBorders/>
            <w:shd w:fill="FFFFFF" w:val="clear"/>
            <w:vAlign w:val="center"/>
          </w:tcPr>
          <w:p>
            <w:pPr>
              <w:pStyle w:val="TableContents"/>
              <w:spacing w:before="0" w:after="0"/>
              <w:ind w:left="0" w:right="0" w:hanging="0"/>
              <w:rPr/>
            </w:pPr>
            <w:r>
              <w:rPr/>
              <w:t> </w:t>
            </w:r>
          </w:p>
        </w:tc>
      </w:tr>
      <w:tr>
        <w:trPr/>
        <w:tc>
          <w:tcPr>
            <w:tcW w:w="1503"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3" w:type="dxa"/>
            <w:tcBorders/>
            <w:shd w:fill="CCEEFF" w:val="clear"/>
            <w:vAlign w:val="center"/>
          </w:tcPr>
          <w:p>
            <w:pPr>
              <w:pStyle w:val="TableContents"/>
              <w:spacing w:before="0" w:after="0"/>
              <w:ind w:left="0" w:right="0" w:hanging="0"/>
              <w:rPr/>
            </w:pPr>
            <w:r>
              <w:rPr/>
              <w:t> </w:t>
            </w:r>
          </w:p>
        </w:tc>
        <w:tc>
          <w:tcPr>
            <w:tcW w:w="801"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2" w:type="dxa"/>
            <w:tcBorders/>
            <w:shd w:fill="CCEEFF" w:val="clear"/>
            <w:vAlign w:val="center"/>
          </w:tcPr>
          <w:p>
            <w:pPr>
              <w:pStyle w:val="TableContents"/>
              <w:spacing w:before="0" w:after="0"/>
              <w:ind w:left="0" w:right="0" w:hanging="0"/>
              <w:rPr/>
            </w:pPr>
            <w:r>
              <w:rPr/>
              <w:t> </w:t>
            </w:r>
          </w:p>
        </w:tc>
        <w:tc>
          <w:tcPr>
            <w:tcW w:w="918"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138" w:type="dxa"/>
            <w:tcBorders/>
            <w:shd w:fill="CCEEFF" w:val="clear"/>
            <w:vAlign w:val="center"/>
          </w:tcPr>
          <w:p>
            <w:pPr>
              <w:pStyle w:val="TableContents"/>
              <w:spacing w:before="0" w:after="0"/>
              <w:ind w:left="0" w:right="0" w:hanging="0"/>
              <w:rPr/>
            </w:pPr>
            <w:r>
              <w:rPr/>
              <w:t> </w:t>
            </w:r>
          </w:p>
        </w:tc>
      </w:tr>
      <w:tr>
        <w:trPr/>
        <w:tc>
          <w:tcPr>
            <w:tcW w:w="1503"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Corporate and other bonds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3" w:type="dxa"/>
            <w:tcBorders/>
            <w:shd w:fill="FFFFFF" w:val="clear"/>
            <w:vAlign w:val="center"/>
          </w:tcPr>
          <w:p>
            <w:pPr>
              <w:pStyle w:val="TableContents"/>
              <w:spacing w:before="0" w:after="0"/>
              <w:ind w:left="0" w:right="0" w:hanging="0"/>
              <w:rPr/>
            </w:pPr>
            <w:r>
              <w:rPr/>
              <w:t> </w:t>
            </w:r>
          </w:p>
        </w:tc>
        <w:tc>
          <w:tcPr>
            <w:tcW w:w="801"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2" w:type="dxa"/>
            <w:tcBorders/>
            <w:shd w:fill="FFFFFF" w:val="clear"/>
            <w:vAlign w:val="center"/>
          </w:tcPr>
          <w:p>
            <w:pPr>
              <w:pStyle w:val="TableContents"/>
              <w:spacing w:before="0" w:after="0"/>
              <w:ind w:left="0" w:right="0" w:hanging="0"/>
              <w:rPr/>
            </w:pPr>
            <w:r>
              <w:rPr/>
              <w:t> </w:t>
            </w:r>
          </w:p>
        </w:tc>
        <w:tc>
          <w:tcPr>
            <w:tcW w:w="918"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138" w:type="dxa"/>
            <w:tcBorders/>
            <w:shd w:fill="FFFFFF" w:val="clear"/>
            <w:vAlign w:val="center"/>
          </w:tcPr>
          <w:p>
            <w:pPr>
              <w:pStyle w:val="TableContents"/>
              <w:spacing w:before="0" w:after="0"/>
              <w:ind w:left="0" w:right="0" w:hanging="0"/>
              <w:rPr/>
            </w:pPr>
            <w:r>
              <w:rPr/>
              <w:t> </w:t>
            </w:r>
          </w:p>
        </w:tc>
      </w:tr>
      <w:tr>
        <w:trPr/>
        <w:tc>
          <w:tcPr>
            <w:tcW w:w="1503"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Industrial and miscellaneous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108,573,422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11,634,123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3" w:type="dxa"/>
            <w:tcBorders/>
            <w:shd w:fill="CCEEFF" w:val="clear"/>
            <w:vAlign w:val="center"/>
          </w:tcPr>
          <w:p>
            <w:pPr>
              <w:pStyle w:val="TableContents"/>
              <w:spacing w:before="0" w:after="0"/>
              <w:ind w:left="0" w:right="0" w:hanging="0"/>
              <w:rPr/>
            </w:pPr>
            <w:r>
              <w:rPr/>
              <w:t> </w:t>
            </w:r>
          </w:p>
        </w:tc>
        <w:tc>
          <w:tcPr>
            <w:tcW w:w="801" w:type="dxa"/>
            <w:tcBorders/>
            <w:shd w:fill="CCEEFF" w:val="clear"/>
            <w:vAlign w:val="center"/>
          </w:tcPr>
          <w:p>
            <w:pPr>
              <w:pStyle w:val="TableContents"/>
              <w:spacing w:before="0" w:after="283"/>
              <w:jc w:val="right"/>
              <w:rPr/>
            </w:pPr>
            <w:r>
              <w:rPr/>
              <w:t>(13,216</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2" w:type="dxa"/>
            <w:tcBorders/>
            <w:shd w:fill="CCEEFF" w:val="clear"/>
            <w:vAlign w:val="center"/>
          </w:tcPr>
          <w:p>
            <w:pPr>
              <w:pStyle w:val="TableContents"/>
              <w:spacing w:before="0" w:after="0"/>
              <w:ind w:left="0" w:right="0" w:hanging="0"/>
              <w:rPr/>
            </w:pPr>
            <w:r>
              <w:rPr/>
              <w:t> </w:t>
            </w:r>
          </w:p>
        </w:tc>
        <w:tc>
          <w:tcPr>
            <w:tcW w:w="918"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sz w:val="4"/>
                <w:szCs w:val="4"/>
              </w:rPr>
            </w:pPr>
            <w:r>
              <w:rPr>
                <w:sz w:val="4"/>
                <w:szCs w:val="4"/>
              </w:rPr>
            </w:r>
          </w:p>
        </w:tc>
        <w:tc>
          <w:tcPr>
            <w:tcW w:w="1250" w:type="dxa"/>
            <w:tcBorders/>
            <w:shd w:fill="CCEEFF" w:val="clear"/>
            <w:vAlign w:val="center"/>
          </w:tcPr>
          <w:p>
            <w:pPr>
              <w:pStyle w:val="TableContents"/>
              <w:spacing w:before="0" w:after="283"/>
              <w:jc w:val="right"/>
              <w:rPr/>
            </w:pPr>
            <w:r>
              <w:rPr/>
              <w:t>120,194,329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11,620,907</w:t>
            </w:r>
          </w:p>
        </w:tc>
        <w:tc>
          <w:tcPr>
            <w:tcW w:w="138" w:type="dxa"/>
            <w:tcBorders/>
            <w:shd w:fill="CCEEFF" w:val="clear"/>
            <w:vAlign w:val="center"/>
          </w:tcPr>
          <w:p>
            <w:pPr>
              <w:pStyle w:val="TableContents"/>
              <w:spacing w:before="0" w:after="0"/>
              <w:ind w:left="0" w:right="0" w:hanging="0"/>
              <w:rPr/>
            </w:pPr>
            <w:r>
              <w:rPr/>
              <w:t> </w:t>
            </w:r>
          </w:p>
        </w:tc>
      </w:tr>
      <w:tr>
        <w:trPr/>
        <w:tc>
          <w:tcPr>
            <w:tcW w:w="1503"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3" w:type="dxa"/>
            <w:tcBorders/>
            <w:shd w:fill="FFFFFF" w:val="clear"/>
            <w:vAlign w:val="center"/>
          </w:tcPr>
          <w:p>
            <w:pPr>
              <w:pStyle w:val="TableContents"/>
              <w:spacing w:before="0" w:after="0"/>
              <w:ind w:left="0" w:right="0" w:hanging="0"/>
              <w:rPr/>
            </w:pPr>
            <w:r>
              <w:rPr/>
              <w:t> </w:t>
            </w:r>
          </w:p>
        </w:tc>
        <w:tc>
          <w:tcPr>
            <w:tcW w:w="801"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2" w:type="dxa"/>
            <w:tcBorders/>
            <w:shd w:fill="FFFFFF" w:val="clear"/>
            <w:vAlign w:val="center"/>
          </w:tcPr>
          <w:p>
            <w:pPr>
              <w:pStyle w:val="TableContents"/>
              <w:spacing w:before="0" w:after="0"/>
              <w:ind w:left="0" w:right="0" w:hanging="0"/>
              <w:rPr/>
            </w:pPr>
            <w:r>
              <w:rPr/>
              <w:t> </w:t>
            </w:r>
          </w:p>
        </w:tc>
        <w:tc>
          <w:tcPr>
            <w:tcW w:w="918"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138" w:type="dxa"/>
            <w:tcBorders/>
            <w:shd w:fill="FFFFFF" w:val="clear"/>
            <w:vAlign w:val="center"/>
          </w:tcPr>
          <w:p>
            <w:pPr>
              <w:pStyle w:val="TableContents"/>
              <w:spacing w:before="0" w:after="0"/>
              <w:ind w:left="0" w:right="0" w:hanging="0"/>
              <w:rPr/>
            </w:pPr>
            <w:r>
              <w:rPr/>
              <w:t> </w:t>
            </w:r>
          </w:p>
        </w:tc>
      </w:tr>
      <w:tr>
        <w:trPr/>
        <w:tc>
          <w:tcPr>
            <w:tcW w:w="1503"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Residential mortgage and other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3" w:type="dxa"/>
            <w:tcBorders/>
            <w:shd w:fill="CCEEFF" w:val="clear"/>
            <w:vAlign w:val="center"/>
          </w:tcPr>
          <w:p>
            <w:pPr>
              <w:pStyle w:val="TableContents"/>
              <w:spacing w:before="0" w:after="0"/>
              <w:ind w:left="0" w:right="0" w:hanging="0"/>
              <w:rPr/>
            </w:pPr>
            <w:r>
              <w:rPr/>
              <w:t> </w:t>
            </w:r>
          </w:p>
        </w:tc>
        <w:tc>
          <w:tcPr>
            <w:tcW w:w="801"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2" w:type="dxa"/>
            <w:tcBorders/>
            <w:shd w:fill="CCEEFF" w:val="clear"/>
            <w:vAlign w:val="center"/>
          </w:tcPr>
          <w:p>
            <w:pPr>
              <w:pStyle w:val="TableContents"/>
              <w:spacing w:before="0" w:after="0"/>
              <w:ind w:left="0" w:right="0" w:hanging="0"/>
              <w:rPr/>
            </w:pPr>
            <w:r>
              <w:rPr/>
              <w:t> </w:t>
            </w:r>
          </w:p>
        </w:tc>
        <w:tc>
          <w:tcPr>
            <w:tcW w:w="918"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138" w:type="dxa"/>
            <w:tcBorders/>
            <w:shd w:fill="CCEEFF" w:val="clear"/>
            <w:vAlign w:val="center"/>
          </w:tcPr>
          <w:p>
            <w:pPr>
              <w:pStyle w:val="TableContents"/>
              <w:spacing w:before="0" w:after="0"/>
              <w:ind w:left="0" w:right="0" w:hanging="0"/>
              <w:rPr/>
            </w:pPr>
            <w:r>
              <w:rPr/>
              <w:t> </w:t>
            </w:r>
          </w:p>
        </w:tc>
      </w:tr>
      <w:tr>
        <w:trPr/>
        <w:tc>
          <w:tcPr>
            <w:tcW w:w="1503"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asset backed securities (1)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28,163,891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FFFFFF" w:val="clear"/>
            <w:tcMar>
              <w:bottom w:w="28" w:type="dxa"/>
            </w:tcMar>
            <w:vAlign w:val="center"/>
          </w:tcPr>
          <w:p>
            <w:pPr>
              <w:pStyle w:val="TableContents"/>
              <w:spacing w:before="0" w:after="283"/>
              <w:jc w:val="right"/>
              <w:rPr/>
            </w:pPr>
            <w:r>
              <w:rPr/>
              <w:t>617,368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3"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01" w:type="dxa"/>
            <w:tcBorders>
              <w:bottom w:val="single" w:sz="2" w:space="0" w:color="000000"/>
            </w:tcBorders>
            <w:shd w:fill="FFFFFF" w:val="clear"/>
            <w:tcMar>
              <w:bottom w:w="28" w:type="dxa"/>
            </w:tcMar>
            <w:vAlign w:val="center"/>
          </w:tcPr>
          <w:p>
            <w:pPr>
              <w:pStyle w:val="TableContents"/>
              <w:spacing w:before="0" w:after="283"/>
              <w:jc w:val="right"/>
              <w:rPr/>
            </w:pPr>
            <w:r>
              <w:rPr/>
              <w:t>(7,371</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2"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918" w:type="dxa"/>
            <w:tcBorders>
              <w:bottom w:val="single" w:sz="2" w:space="0" w:color="000000"/>
            </w:tcBorders>
            <w:shd w:fill="FFFFFF" w:val="clear"/>
            <w:tcMar>
              <w:bottom w:w="28" w:type="dxa"/>
            </w:tcMar>
            <w:vAlign w:val="center"/>
          </w:tcPr>
          <w:p>
            <w:pPr>
              <w:pStyle w:val="TableContents"/>
              <w:spacing w:before="0" w:after="283"/>
              <w:jc w:val="right"/>
              <w:rPr/>
            </w:pPr>
            <w:r>
              <w:rPr/>
              <w:t>(111,947</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283"/>
              <w:rPr/>
            </w:pPr>
            <w:r>
              <w:rPr/>
              <w:t>$</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28,661,941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FFFFFF" w:val="clear"/>
            <w:tcMar>
              <w:bottom w:w="28" w:type="dxa"/>
            </w:tcMar>
            <w:vAlign w:val="center"/>
          </w:tcPr>
          <w:p>
            <w:pPr>
              <w:pStyle w:val="TableContents"/>
              <w:spacing w:before="0" w:after="283"/>
              <w:jc w:val="right"/>
              <w:rPr/>
            </w:pPr>
            <w:r>
              <w:rPr/>
              <w:t>498,050</w:t>
            </w:r>
          </w:p>
        </w:tc>
        <w:tc>
          <w:tcPr>
            <w:tcW w:w="138" w:type="dxa"/>
            <w:tcBorders/>
            <w:shd w:fill="FFFFFF" w:val="clear"/>
            <w:vAlign w:val="center"/>
          </w:tcPr>
          <w:p>
            <w:pPr>
              <w:pStyle w:val="TableContents"/>
              <w:spacing w:before="0" w:after="0"/>
              <w:ind w:left="0" w:right="0" w:hanging="0"/>
              <w:rPr/>
            </w:pPr>
            <w:r>
              <w:rPr/>
              <w:t> </w:t>
            </w:r>
          </w:p>
        </w:tc>
      </w:tr>
      <w:tr>
        <w:trPr/>
        <w:tc>
          <w:tcPr>
            <w:tcW w:w="1503"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Total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145,045,584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130" w:type="dxa"/>
            <w:tcBorders>
              <w:bottom w:val="double" w:sz="6" w:space="0" w:color="000000"/>
            </w:tcBorders>
            <w:shd w:fill="CCEEFF" w:val="clear"/>
            <w:tcMar>
              <w:bottom w:w="28" w:type="dxa"/>
            </w:tcMar>
            <w:vAlign w:val="center"/>
          </w:tcPr>
          <w:p>
            <w:pPr>
              <w:pStyle w:val="TableContents"/>
              <w:spacing w:before="0" w:after="283"/>
              <w:jc w:val="right"/>
              <w:rPr/>
            </w:pPr>
            <w:r>
              <w:rPr/>
              <w:t>12,636,222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3" w:type="dxa"/>
            <w:tcBorders>
              <w:bottom w:val="double" w:sz="6" w:space="0" w:color="000000"/>
            </w:tcBorders>
            <w:shd w:fill="CCEEFF" w:val="clear"/>
            <w:tcMar>
              <w:bottom w:w="28" w:type="dxa"/>
            </w:tcMar>
            <w:vAlign w:val="center"/>
          </w:tcPr>
          <w:p>
            <w:pPr>
              <w:pStyle w:val="TableContents"/>
              <w:spacing w:before="0" w:after="283"/>
              <w:rPr/>
            </w:pPr>
            <w:r>
              <w:rPr/>
              <w:t>$</w:t>
            </w:r>
          </w:p>
        </w:tc>
        <w:tc>
          <w:tcPr>
            <w:tcW w:w="801" w:type="dxa"/>
            <w:tcBorders>
              <w:bottom w:val="double" w:sz="6" w:space="0" w:color="000000"/>
            </w:tcBorders>
            <w:shd w:fill="CCEEFF" w:val="clear"/>
            <w:tcMar>
              <w:bottom w:w="28" w:type="dxa"/>
            </w:tcMar>
            <w:vAlign w:val="center"/>
          </w:tcPr>
          <w:p>
            <w:pPr>
              <w:pStyle w:val="TableContents"/>
              <w:spacing w:before="0" w:after="283"/>
              <w:jc w:val="right"/>
              <w:rPr/>
            </w:pPr>
            <w:r>
              <w:rPr/>
              <w:t>(20,587</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2" w:type="dxa"/>
            <w:tcBorders>
              <w:bottom w:val="double" w:sz="6" w:space="0" w:color="000000"/>
            </w:tcBorders>
            <w:shd w:fill="CCEEFF" w:val="clear"/>
            <w:tcMar>
              <w:bottom w:w="28" w:type="dxa"/>
            </w:tcMar>
            <w:vAlign w:val="center"/>
          </w:tcPr>
          <w:p>
            <w:pPr>
              <w:pStyle w:val="TableContents"/>
              <w:spacing w:before="0" w:after="283"/>
              <w:rPr/>
            </w:pPr>
            <w:r>
              <w:rPr/>
              <w:t>$</w:t>
            </w:r>
          </w:p>
        </w:tc>
        <w:tc>
          <w:tcPr>
            <w:tcW w:w="918" w:type="dxa"/>
            <w:tcBorders>
              <w:bottom w:val="double" w:sz="6" w:space="0" w:color="000000"/>
            </w:tcBorders>
            <w:shd w:fill="CCEEFF" w:val="clear"/>
            <w:tcMar>
              <w:bottom w:w="28" w:type="dxa"/>
            </w:tcMar>
            <w:vAlign w:val="center"/>
          </w:tcPr>
          <w:p>
            <w:pPr>
              <w:pStyle w:val="TableContents"/>
              <w:spacing w:before="0" w:after="283"/>
              <w:jc w:val="right"/>
              <w:rPr/>
            </w:pPr>
            <w:r>
              <w:rPr/>
              <w:t>(111,947</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157,549,272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130" w:type="dxa"/>
            <w:tcBorders>
              <w:bottom w:val="double" w:sz="6" w:space="0" w:color="000000"/>
            </w:tcBorders>
            <w:shd w:fill="CCEEFF" w:val="clear"/>
            <w:tcMar>
              <w:bottom w:w="28" w:type="dxa"/>
            </w:tcMar>
            <w:vAlign w:val="center"/>
          </w:tcPr>
          <w:p>
            <w:pPr>
              <w:pStyle w:val="TableContents"/>
              <w:spacing w:before="0" w:after="283"/>
              <w:jc w:val="right"/>
              <w:rPr/>
            </w:pPr>
            <w:r>
              <w:rPr/>
              <w:t>12,503,688</w:t>
            </w:r>
          </w:p>
        </w:tc>
        <w:tc>
          <w:tcPr>
            <w:tcW w:w="138"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105"/>
        <w:gridCol w:w="234"/>
        <w:gridCol w:w="9866"/>
      </w:tblGrid>
      <w:tr>
        <w:trPr/>
        <w:tc>
          <w:tcPr>
            <w:tcW w:w="105" w:type="dxa"/>
            <w:tcBorders/>
            <w:shd w:fill="auto" w:val="clear"/>
            <w:vAlign w:val="center"/>
          </w:tcPr>
          <w:p>
            <w:pPr>
              <w:pStyle w:val="TableContents"/>
              <w:spacing w:before="0" w:after="0"/>
              <w:ind w:left="0" w:right="0" w:hanging="0"/>
              <w:rPr/>
            </w:pPr>
            <w:r>
              <w:rPr/>
              <w:t> </w:t>
            </w:r>
          </w:p>
        </w:tc>
        <w:tc>
          <w:tcPr>
            <w:tcW w:w="234"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(1) </w:t>
            </w:r>
          </w:p>
        </w:tc>
        <w:tc>
          <w:tcPr>
            <w:tcW w:w="9866"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KICO placed certain residential mortgage backed securities as eligible collateral in a designated custodian account related to its membership in the Federal Home Loan Bank of New York ("FHLBNY") (See Note 9). The eligible collateral would be pledged to FHLBNY if KICO draws an advance from the FHLBNY credit line. As of December 31, 2020, the estimated fair value of the eligible investments was approximately $11,391,000. KICO will retain all rights regarding all securities if pledged as collateral. As of December 31, 2020, there was no outstanding balance on the FHLBNY credit line.</w:t>
            </w:r>
          </w:p>
        </w:tc>
      </w:tr>
    </w:tbl>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F-15</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2020 AND 2019</w:t>
      </w:r>
    </w:p>
    <w:p>
      <w:pPr>
        <w:pStyle w:val="TextBody"/>
        <w:spacing w:before="0" w:after="0"/>
        <w:ind w:left="0" w:right="0" w:hanging="0"/>
        <w:jc w:val="center"/>
        <w:rPr/>
      </w:pPr>
      <w:r>
        <w:rPr>
          <w:rStyle w:val="StrongEmphasis"/>
        </w:rPr>
        <w:t> </w:t>
      </w:r>
    </w:p>
    <w:p>
      <w:pPr>
        <w:pStyle w:val="TextBody"/>
        <w:spacing w:before="0" w:after="0"/>
        <w:ind w:left="0" w:right="0" w:hanging="0"/>
        <w:rPr/>
      </w:pPr>
      <w:r>
        <w:rPr/>
        <w:t> </w:t>
      </w:r>
    </w:p>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1670"/>
        <w:gridCol w:w="90"/>
        <w:gridCol w:w="170"/>
        <w:gridCol w:w="1250"/>
        <w:gridCol w:w="90"/>
        <w:gridCol w:w="90"/>
        <w:gridCol w:w="170"/>
        <w:gridCol w:w="1010"/>
        <w:gridCol w:w="90"/>
        <w:gridCol w:w="90"/>
        <w:gridCol w:w="180"/>
        <w:gridCol w:w="832"/>
        <w:gridCol w:w="125"/>
        <w:gridCol w:w="90"/>
        <w:gridCol w:w="177"/>
        <w:gridCol w:w="948"/>
        <w:gridCol w:w="125"/>
        <w:gridCol w:w="90"/>
        <w:gridCol w:w="170"/>
        <w:gridCol w:w="1250"/>
        <w:gridCol w:w="90"/>
        <w:gridCol w:w="90"/>
        <w:gridCol w:w="170"/>
        <w:gridCol w:w="1010"/>
        <w:gridCol w:w="138"/>
      </w:tblGrid>
      <w:tr>
        <w:trPr/>
        <w:tc>
          <w:tcPr>
            <w:tcW w:w="167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307" w:type="dxa"/>
            <w:gridSpan w:val="2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2019</w:t>
            </w:r>
          </w:p>
        </w:tc>
        <w:tc>
          <w:tcPr>
            <w:tcW w:w="138" w:type="dxa"/>
            <w:tcBorders/>
            <w:shd w:fill="auto" w:val="clear"/>
            <w:vAlign w:val="center"/>
          </w:tcPr>
          <w:p>
            <w:pPr>
              <w:pStyle w:val="TableContents"/>
              <w:spacing w:before="0" w:after="0"/>
              <w:ind w:left="0" w:right="0" w:hanging="0"/>
              <w:rPr/>
            </w:pPr>
            <w:r>
              <w:rPr/>
              <w:t> </w:t>
            </w:r>
          </w:p>
        </w:tc>
      </w:tr>
      <w:tr>
        <w:trPr/>
        <w:tc>
          <w:tcPr>
            <w:tcW w:w="167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12" w:type="dxa"/>
            <w:gridSpan w:val="2"/>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25" w:type="dxa"/>
            <w:gridSpan w:val="2"/>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0"/>
              <w:ind w:left="0" w:right="0" w:hanging="0"/>
              <w:rPr/>
            </w:pPr>
            <w:r>
              <w:rPr/>
              <w:t> </w:t>
            </w:r>
          </w:p>
        </w:tc>
      </w:tr>
      <w:tr>
        <w:trPr/>
        <w:tc>
          <w:tcPr>
            <w:tcW w:w="167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Cost or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Gross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352"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Gross Unrealized Losses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Estimated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Net </w:t>
            </w:r>
          </w:p>
        </w:tc>
        <w:tc>
          <w:tcPr>
            <w:tcW w:w="138" w:type="dxa"/>
            <w:tcBorders/>
            <w:shd w:fill="auto" w:val="clear"/>
            <w:vAlign w:val="center"/>
          </w:tcPr>
          <w:p>
            <w:pPr>
              <w:pStyle w:val="TableContents"/>
              <w:spacing w:before="0" w:after="0"/>
              <w:ind w:left="0" w:right="0" w:hanging="0"/>
              <w:rPr/>
            </w:pPr>
            <w:r>
              <w:rPr/>
              <w:t> </w:t>
            </w:r>
          </w:p>
        </w:tc>
      </w:tr>
      <w:tr>
        <w:trPr/>
        <w:tc>
          <w:tcPr>
            <w:tcW w:w="167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Amortized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Unrealized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12"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Less than 12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25"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More than 12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Fair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Unrealized  </w:t>
            </w:r>
          </w:p>
        </w:tc>
        <w:tc>
          <w:tcPr>
            <w:tcW w:w="138" w:type="dxa"/>
            <w:tcBorders/>
            <w:shd w:fill="auto" w:val="clear"/>
            <w:vAlign w:val="center"/>
          </w:tcPr>
          <w:p>
            <w:pPr>
              <w:pStyle w:val="TableContents"/>
              <w:spacing w:before="0" w:after="0"/>
              <w:ind w:left="0" w:right="0" w:hanging="0"/>
              <w:rPr/>
            </w:pPr>
            <w:r>
              <w:rPr/>
              <w:t> </w:t>
            </w:r>
          </w:p>
        </w:tc>
      </w:tr>
      <w:tr>
        <w:trPr/>
        <w:tc>
          <w:tcPr>
            <w:tcW w:w="1670"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Fonts w:ascii="times new roman" w:hAnsi="times new roman"/>
                <w:sz w:val="20"/>
              </w:rPr>
              <w:t xml:space="preserve">Category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Cost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Gains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1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Months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2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Months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Value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Gains </w:t>
            </w:r>
          </w:p>
        </w:tc>
        <w:tc>
          <w:tcPr>
            <w:tcW w:w="138" w:type="dxa"/>
            <w:tcBorders/>
            <w:shd w:fill="auto" w:val="clear"/>
            <w:vAlign w:val="center"/>
          </w:tcPr>
          <w:p>
            <w:pPr>
              <w:pStyle w:val="TableContents"/>
              <w:spacing w:before="0" w:after="0"/>
              <w:ind w:left="0" w:right="0" w:hanging="0"/>
              <w:rPr/>
            </w:pPr>
            <w:r>
              <w:rPr/>
              <w:t> </w:t>
            </w:r>
          </w:p>
        </w:tc>
      </w:tr>
      <w:tr>
        <w:trPr/>
        <w:tc>
          <w:tcPr>
            <w:tcW w:w="167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12"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2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138" w:type="dxa"/>
            <w:tcBorders/>
            <w:shd w:fill="auto" w:val="clear"/>
            <w:vAlign w:val="center"/>
          </w:tcPr>
          <w:p>
            <w:pPr>
              <w:pStyle w:val="TableContents"/>
              <w:spacing w:before="0" w:after="0"/>
              <w:ind w:left="0" w:right="0" w:hanging="0"/>
              <w:rPr/>
            </w:pPr>
            <w:r>
              <w:rPr/>
              <w:t> </w:t>
            </w:r>
          </w:p>
        </w:tc>
      </w:tr>
      <w:tr>
        <w:trPr/>
        <w:tc>
          <w:tcPr>
            <w:tcW w:w="1670" w:type="dxa"/>
            <w:tcBorders/>
            <w:shd w:fill="auto" w:val="clear"/>
            <w:vAlign w:val="center"/>
          </w:tcPr>
          <w:p>
            <w:pPr>
              <w:pStyle w:val="TableContents"/>
              <w:spacing w:before="0" w:after="0"/>
              <w:ind w:left="0" w:right="0" w:hanging="0"/>
              <w:rPr/>
            </w:pPr>
            <w:r>
              <w:rPr>
                <w:rStyle w:val="StrongEmphasis"/>
                <w:rFonts w:ascii="times new roman" w:hAnsi="times new roman"/>
                <w:sz w:val="20"/>
              </w:rPr>
              <w:t xml:space="preserve">Fixed-Maturity Securities: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12"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2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138" w:type="dxa"/>
            <w:tcBorders/>
            <w:shd w:fill="auto" w:val="clear"/>
            <w:vAlign w:val="center"/>
          </w:tcPr>
          <w:p>
            <w:pPr>
              <w:pStyle w:val="TableContents"/>
              <w:spacing w:before="0" w:after="0"/>
              <w:ind w:left="0" w:right="0" w:hanging="0"/>
              <w:rPr/>
            </w:pPr>
            <w:r>
              <w:rPr/>
              <w:t> </w:t>
            </w:r>
          </w:p>
        </w:tc>
      </w:tr>
      <w:tr>
        <w:trPr/>
        <w:tc>
          <w:tcPr>
            <w:tcW w:w="1670"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U.S. Treasury securities and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12"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2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138" w:type="dxa"/>
            <w:tcBorders/>
            <w:shd w:fill="auto" w:val="clear"/>
            <w:vAlign w:val="center"/>
          </w:tcPr>
          <w:p>
            <w:pPr>
              <w:pStyle w:val="TableContents"/>
              <w:spacing w:before="0" w:after="0"/>
              <w:ind w:left="0" w:right="0" w:hanging="0"/>
              <w:rPr/>
            </w:pPr>
            <w:r>
              <w:rPr/>
              <w:t> </w:t>
            </w:r>
          </w:p>
        </w:tc>
      </w:tr>
      <w:tr>
        <w:trPr/>
        <w:tc>
          <w:tcPr>
            <w:tcW w:w="1670"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obligations of U.S. government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12"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2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138" w:type="dxa"/>
            <w:tcBorders/>
            <w:shd w:fill="auto" w:val="clear"/>
            <w:vAlign w:val="center"/>
          </w:tcPr>
          <w:p>
            <w:pPr>
              <w:pStyle w:val="TableContents"/>
              <w:spacing w:before="0" w:after="0"/>
              <w:ind w:left="0" w:right="0" w:hanging="0"/>
              <w:rPr/>
            </w:pPr>
            <w:r>
              <w:rPr/>
              <w:t> </w:t>
            </w:r>
          </w:p>
        </w:tc>
      </w:tr>
      <w:tr>
        <w:trPr/>
        <w:tc>
          <w:tcPr>
            <w:tcW w:w="167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corporations and agencies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7,037,856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23,244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0" w:type="dxa"/>
            <w:tcBorders/>
            <w:shd w:fill="CCEEFF" w:val="clear"/>
            <w:vAlign w:val="center"/>
          </w:tcPr>
          <w:p>
            <w:pPr>
              <w:pStyle w:val="TableContents"/>
              <w:spacing w:before="0" w:after="283"/>
              <w:rPr/>
            </w:pPr>
            <w:r>
              <w:rPr/>
              <w:t>$</w:t>
            </w:r>
          </w:p>
        </w:tc>
        <w:tc>
          <w:tcPr>
            <w:tcW w:w="832"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7" w:type="dxa"/>
            <w:tcBorders/>
            <w:shd w:fill="CCEEFF" w:val="clear"/>
            <w:vAlign w:val="center"/>
          </w:tcPr>
          <w:p>
            <w:pPr>
              <w:pStyle w:val="TableContents"/>
              <w:spacing w:before="0" w:after="283"/>
              <w:rPr/>
            </w:pPr>
            <w:r>
              <w:rPr/>
              <w:t>$</w:t>
            </w:r>
          </w:p>
        </w:tc>
        <w:tc>
          <w:tcPr>
            <w:tcW w:w="948"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7,061,100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23,244</w:t>
            </w:r>
          </w:p>
        </w:tc>
        <w:tc>
          <w:tcPr>
            <w:tcW w:w="138" w:type="dxa"/>
            <w:tcBorders/>
            <w:shd w:fill="CCEEFF" w:val="clear"/>
            <w:vAlign w:val="center"/>
          </w:tcPr>
          <w:p>
            <w:pPr>
              <w:pStyle w:val="TableContents"/>
              <w:spacing w:before="0" w:after="0"/>
              <w:ind w:left="0" w:right="0" w:hanging="0"/>
              <w:rPr/>
            </w:pPr>
            <w:r>
              <w:rPr/>
              <w:t> </w:t>
            </w:r>
          </w:p>
        </w:tc>
      </w:tr>
      <w:tr>
        <w:trPr/>
        <w:tc>
          <w:tcPr>
            <w:tcW w:w="167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0" w:type="dxa"/>
            <w:tcBorders/>
            <w:shd w:fill="FFFFFF" w:val="clear"/>
            <w:vAlign w:val="center"/>
          </w:tcPr>
          <w:p>
            <w:pPr>
              <w:pStyle w:val="TableContents"/>
              <w:spacing w:before="0" w:after="0"/>
              <w:ind w:left="0" w:right="0" w:hanging="0"/>
              <w:rPr/>
            </w:pPr>
            <w:r>
              <w:rPr/>
              <w:t> </w:t>
            </w:r>
          </w:p>
        </w:tc>
        <w:tc>
          <w:tcPr>
            <w:tcW w:w="832"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7" w:type="dxa"/>
            <w:tcBorders/>
            <w:shd w:fill="FFFFFF" w:val="clear"/>
            <w:vAlign w:val="center"/>
          </w:tcPr>
          <w:p>
            <w:pPr>
              <w:pStyle w:val="TableContents"/>
              <w:spacing w:before="0" w:after="0"/>
              <w:ind w:left="0" w:right="0" w:hanging="0"/>
              <w:rPr/>
            </w:pPr>
            <w:r>
              <w:rPr/>
              <w:t> </w:t>
            </w:r>
          </w:p>
        </w:tc>
        <w:tc>
          <w:tcPr>
            <w:tcW w:w="948"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138" w:type="dxa"/>
            <w:tcBorders/>
            <w:shd w:fill="FFFFFF" w:val="clear"/>
            <w:vAlign w:val="center"/>
          </w:tcPr>
          <w:p>
            <w:pPr>
              <w:pStyle w:val="TableContents"/>
              <w:spacing w:before="0" w:after="0"/>
              <w:ind w:left="0" w:right="0" w:hanging="0"/>
              <w:rPr/>
            </w:pPr>
            <w:r>
              <w:rPr/>
              <w:t> </w:t>
            </w:r>
          </w:p>
        </w:tc>
      </w:tr>
      <w:tr>
        <w:trPr/>
        <w:tc>
          <w:tcPr>
            <w:tcW w:w="167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Political subdivisions of States,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0" w:type="dxa"/>
            <w:tcBorders/>
            <w:shd w:fill="CCEEFF" w:val="clear"/>
            <w:vAlign w:val="center"/>
          </w:tcPr>
          <w:p>
            <w:pPr>
              <w:pStyle w:val="TableContents"/>
              <w:spacing w:before="0" w:after="0"/>
              <w:ind w:left="0" w:right="0" w:hanging="0"/>
              <w:rPr/>
            </w:pPr>
            <w:r>
              <w:rPr/>
              <w:t> </w:t>
            </w:r>
          </w:p>
        </w:tc>
        <w:tc>
          <w:tcPr>
            <w:tcW w:w="832"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7" w:type="dxa"/>
            <w:tcBorders/>
            <w:shd w:fill="CCEEFF" w:val="clear"/>
            <w:vAlign w:val="center"/>
          </w:tcPr>
          <w:p>
            <w:pPr>
              <w:pStyle w:val="TableContents"/>
              <w:spacing w:before="0" w:after="0"/>
              <w:ind w:left="0" w:right="0" w:hanging="0"/>
              <w:rPr/>
            </w:pPr>
            <w:r>
              <w:rPr/>
              <w:t> </w:t>
            </w:r>
          </w:p>
        </w:tc>
        <w:tc>
          <w:tcPr>
            <w:tcW w:w="948"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138" w:type="dxa"/>
            <w:tcBorders/>
            <w:shd w:fill="CCEEFF" w:val="clear"/>
            <w:vAlign w:val="center"/>
          </w:tcPr>
          <w:p>
            <w:pPr>
              <w:pStyle w:val="TableContents"/>
              <w:spacing w:before="0" w:after="0"/>
              <w:ind w:left="0" w:right="0" w:hanging="0"/>
              <w:rPr/>
            </w:pPr>
            <w:r>
              <w:rPr/>
              <w:t> </w:t>
            </w:r>
          </w:p>
        </w:tc>
      </w:tr>
      <w:tr>
        <w:trPr/>
        <w:tc>
          <w:tcPr>
            <w:tcW w:w="167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Territories and Possessions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9,151,293</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181,835</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0" w:type="dxa"/>
            <w:tcBorders/>
            <w:shd w:fill="FFFFFF" w:val="clear"/>
            <w:vAlign w:val="center"/>
          </w:tcPr>
          <w:p>
            <w:pPr>
              <w:pStyle w:val="TableContents"/>
              <w:spacing w:before="0" w:after="0"/>
              <w:ind w:left="0" w:right="0" w:hanging="0"/>
              <w:rPr/>
            </w:pPr>
            <w:r>
              <w:rPr/>
              <w:t> </w:t>
            </w:r>
          </w:p>
        </w:tc>
        <w:tc>
          <w:tcPr>
            <w:tcW w:w="832" w:type="dxa"/>
            <w:tcBorders/>
            <w:shd w:fill="FFFFFF" w:val="clear"/>
            <w:vAlign w:val="center"/>
          </w:tcPr>
          <w:p>
            <w:pPr>
              <w:pStyle w:val="TableContents"/>
              <w:spacing w:before="0" w:after="283"/>
              <w:jc w:val="right"/>
              <w:rPr/>
            </w:pPr>
            <w:r>
              <w:rPr/>
              <w:t>(11,316</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7" w:type="dxa"/>
            <w:tcBorders/>
            <w:shd w:fill="FFFFFF" w:val="clear"/>
            <w:vAlign w:val="center"/>
          </w:tcPr>
          <w:p>
            <w:pPr>
              <w:pStyle w:val="TableContents"/>
              <w:spacing w:before="0" w:after="0"/>
              <w:ind w:left="0" w:right="0" w:hanging="0"/>
              <w:rPr/>
            </w:pPr>
            <w:r>
              <w:rPr/>
              <w:t> </w:t>
            </w:r>
          </w:p>
        </w:tc>
        <w:tc>
          <w:tcPr>
            <w:tcW w:w="948"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sz w:val="4"/>
                <w:szCs w:val="4"/>
              </w:rPr>
            </w:pPr>
            <w:r>
              <w:rPr>
                <w:sz w:val="4"/>
                <w:szCs w:val="4"/>
              </w:rPr>
            </w:r>
          </w:p>
        </w:tc>
        <w:tc>
          <w:tcPr>
            <w:tcW w:w="1250" w:type="dxa"/>
            <w:tcBorders/>
            <w:shd w:fill="FFFFFF" w:val="clear"/>
            <w:vAlign w:val="center"/>
          </w:tcPr>
          <w:p>
            <w:pPr>
              <w:pStyle w:val="TableContents"/>
              <w:spacing w:before="0" w:after="283"/>
              <w:jc w:val="right"/>
              <w:rPr/>
            </w:pPr>
            <w:r>
              <w:rPr/>
              <w:t>9,321,812</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170,519</w:t>
            </w:r>
          </w:p>
        </w:tc>
        <w:tc>
          <w:tcPr>
            <w:tcW w:w="138" w:type="dxa"/>
            <w:tcBorders/>
            <w:shd w:fill="FFFFFF" w:val="clear"/>
            <w:vAlign w:val="center"/>
          </w:tcPr>
          <w:p>
            <w:pPr>
              <w:pStyle w:val="TableContents"/>
              <w:spacing w:before="0" w:after="0"/>
              <w:ind w:left="0" w:right="0" w:hanging="0"/>
              <w:rPr/>
            </w:pPr>
            <w:r>
              <w:rPr/>
              <w:t> </w:t>
            </w:r>
          </w:p>
        </w:tc>
      </w:tr>
      <w:tr>
        <w:trPr/>
        <w:tc>
          <w:tcPr>
            <w:tcW w:w="167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0" w:type="dxa"/>
            <w:tcBorders/>
            <w:shd w:fill="CCEEFF" w:val="clear"/>
            <w:vAlign w:val="center"/>
          </w:tcPr>
          <w:p>
            <w:pPr>
              <w:pStyle w:val="TableContents"/>
              <w:spacing w:before="0" w:after="0"/>
              <w:ind w:left="0" w:right="0" w:hanging="0"/>
              <w:rPr/>
            </w:pPr>
            <w:r>
              <w:rPr/>
              <w:t> </w:t>
            </w:r>
          </w:p>
        </w:tc>
        <w:tc>
          <w:tcPr>
            <w:tcW w:w="832"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7" w:type="dxa"/>
            <w:tcBorders/>
            <w:shd w:fill="CCEEFF" w:val="clear"/>
            <w:vAlign w:val="center"/>
          </w:tcPr>
          <w:p>
            <w:pPr>
              <w:pStyle w:val="TableContents"/>
              <w:spacing w:before="0" w:after="0"/>
              <w:ind w:left="0" w:right="0" w:hanging="0"/>
              <w:rPr/>
            </w:pPr>
            <w:r>
              <w:rPr/>
              <w:t> </w:t>
            </w:r>
          </w:p>
        </w:tc>
        <w:tc>
          <w:tcPr>
            <w:tcW w:w="948"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138" w:type="dxa"/>
            <w:tcBorders/>
            <w:shd w:fill="CCEEFF" w:val="clear"/>
            <w:vAlign w:val="center"/>
          </w:tcPr>
          <w:p>
            <w:pPr>
              <w:pStyle w:val="TableContents"/>
              <w:spacing w:before="0" w:after="0"/>
              <w:ind w:left="0" w:right="0" w:hanging="0"/>
              <w:rPr/>
            </w:pPr>
            <w:r>
              <w:rPr/>
              <w:t> </w:t>
            </w:r>
          </w:p>
        </w:tc>
      </w:tr>
      <w:tr>
        <w:trPr/>
        <w:tc>
          <w:tcPr>
            <w:tcW w:w="167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Corporate and other bonds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0" w:type="dxa"/>
            <w:tcBorders/>
            <w:shd w:fill="FFFFFF" w:val="clear"/>
            <w:vAlign w:val="center"/>
          </w:tcPr>
          <w:p>
            <w:pPr>
              <w:pStyle w:val="TableContents"/>
              <w:spacing w:before="0" w:after="0"/>
              <w:ind w:left="0" w:right="0" w:hanging="0"/>
              <w:rPr/>
            </w:pPr>
            <w:r>
              <w:rPr/>
              <w:t> </w:t>
            </w:r>
          </w:p>
        </w:tc>
        <w:tc>
          <w:tcPr>
            <w:tcW w:w="832"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7" w:type="dxa"/>
            <w:tcBorders/>
            <w:shd w:fill="FFFFFF" w:val="clear"/>
            <w:vAlign w:val="center"/>
          </w:tcPr>
          <w:p>
            <w:pPr>
              <w:pStyle w:val="TableContents"/>
              <w:spacing w:before="0" w:after="0"/>
              <w:ind w:left="0" w:right="0" w:hanging="0"/>
              <w:rPr/>
            </w:pPr>
            <w:r>
              <w:rPr/>
              <w:t> </w:t>
            </w:r>
          </w:p>
        </w:tc>
        <w:tc>
          <w:tcPr>
            <w:tcW w:w="948"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138" w:type="dxa"/>
            <w:tcBorders/>
            <w:shd w:fill="FFFFFF" w:val="clear"/>
            <w:vAlign w:val="center"/>
          </w:tcPr>
          <w:p>
            <w:pPr>
              <w:pStyle w:val="TableContents"/>
              <w:spacing w:before="0" w:after="0"/>
              <w:ind w:left="0" w:right="0" w:hanging="0"/>
              <w:rPr/>
            </w:pPr>
            <w:r>
              <w:rPr/>
              <w:t> </w:t>
            </w:r>
          </w:p>
        </w:tc>
      </w:tr>
      <w:tr>
        <w:trPr/>
        <w:tc>
          <w:tcPr>
            <w:tcW w:w="167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Industrial and miscellaneous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119,874,573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5,777,624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0" w:type="dxa"/>
            <w:tcBorders/>
            <w:shd w:fill="CCEEFF" w:val="clear"/>
            <w:vAlign w:val="center"/>
          </w:tcPr>
          <w:p>
            <w:pPr>
              <w:pStyle w:val="TableContents"/>
              <w:spacing w:before="0" w:after="0"/>
              <w:ind w:left="0" w:right="0" w:hanging="0"/>
              <w:rPr/>
            </w:pPr>
            <w:r>
              <w:rPr/>
              <w:t> </w:t>
            </w:r>
          </w:p>
        </w:tc>
        <w:tc>
          <w:tcPr>
            <w:tcW w:w="832" w:type="dxa"/>
            <w:tcBorders/>
            <w:shd w:fill="CCEEFF" w:val="clear"/>
            <w:vAlign w:val="center"/>
          </w:tcPr>
          <w:p>
            <w:pPr>
              <w:pStyle w:val="TableContents"/>
              <w:spacing w:before="0" w:after="283"/>
              <w:jc w:val="right"/>
              <w:rPr/>
            </w:pPr>
            <w:r>
              <w:rPr/>
              <w:t>(16,685</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7" w:type="dxa"/>
            <w:tcBorders/>
            <w:shd w:fill="CCEEFF" w:val="clear"/>
            <w:vAlign w:val="center"/>
          </w:tcPr>
          <w:p>
            <w:pPr>
              <w:pStyle w:val="TableContents"/>
              <w:spacing w:before="0" w:after="0"/>
              <w:ind w:left="0" w:right="0" w:hanging="0"/>
              <w:rPr/>
            </w:pPr>
            <w:r>
              <w:rPr/>
              <w:t> </w:t>
            </w:r>
          </w:p>
        </w:tc>
        <w:tc>
          <w:tcPr>
            <w:tcW w:w="948" w:type="dxa"/>
            <w:tcBorders/>
            <w:shd w:fill="CCEEFF" w:val="clear"/>
            <w:vAlign w:val="center"/>
          </w:tcPr>
          <w:p>
            <w:pPr>
              <w:pStyle w:val="TableContents"/>
              <w:spacing w:before="0" w:after="283"/>
              <w:jc w:val="right"/>
              <w:rPr/>
            </w:pPr>
            <w:r>
              <w:rPr/>
              <w:t>(13,473</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sz w:val="4"/>
                <w:szCs w:val="4"/>
              </w:rPr>
            </w:pPr>
            <w:r>
              <w:rPr>
                <w:sz w:val="4"/>
                <w:szCs w:val="4"/>
              </w:rPr>
            </w:r>
          </w:p>
        </w:tc>
        <w:tc>
          <w:tcPr>
            <w:tcW w:w="1250" w:type="dxa"/>
            <w:tcBorders/>
            <w:shd w:fill="CCEEFF" w:val="clear"/>
            <w:vAlign w:val="center"/>
          </w:tcPr>
          <w:p>
            <w:pPr>
              <w:pStyle w:val="TableContents"/>
              <w:spacing w:before="0" w:after="283"/>
              <w:jc w:val="right"/>
              <w:rPr/>
            </w:pPr>
            <w:r>
              <w:rPr/>
              <w:t>125,622,039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5,747,466</w:t>
            </w:r>
          </w:p>
        </w:tc>
        <w:tc>
          <w:tcPr>
            <w:tcW w:w="138" w:type="dxa"/>
            <w:tcBorders/>
            <w:shd w:fill="CCEEFF" w:val="clear"/>
            <w:vAlign w:val="center"/>
          </w:tcPr>
          <w:p>
            <w:pPr>
              <w:pStyle w:val="TableContents"/>
              <w:spacing w:before="0" w:after="0"/>
              <w:ind w:left="0" w:right="0" w:hanging="0"/>
              <w:rPr/>
            </w:pPr>
            <w:r>
              <w:rPr/>
              <w:t> </w:t>
            </w:r>
          </w:p>
        </w:tc>
      </w:tr>
      <w:tr>
        <w:trPr/>
        <w:tc>
          <w:tcPr>
            <w:tcW w:w="167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0" w:type="dxa"/>
            <w:tcBorders/>
            <w:shd w:fill="FFFFFF" w:val="clear"/>
            <w:vAlign w:val="center"/>
          </w:tcPr>
          <w:p>
            <w:pPr>
              <w:pStyle w:val="TableContents"/>
              <w:spacing w:before="0" w:after="0"/>
              <w:ind w:left="0" w:right="0" w:hanging="0"/>
              <w:rPr/>
            </w:pPr>
            <w:r>
              <w:rPr/>
              <w:t> </w:t>
            </w:r>
          </w:p>
        </w:tc>
        <w:tc>
          <w:tcPr>
            <w:tcW w:w="832"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7" w:type="dxa"/>
            <w:tcBorders/>
            <w:shd w:fill="FFFFFF" w:val="clear"/>
            <w:vAlign w:val="center"/>
          </w:tcPr>
          <w:p>
            <w:pPr>
              <w:pStyle w:val="TableContents"/>
              <w:spacing w:before="0" w:after="0"/>
              <w:ind w:left="0" w:right="0" w:hanging="0"/>
              <w:rPr/>
            </w:pPr>
            <w:r>
              <w:rPr/>
              <w:t> </w:t>
            </w:r>
          </w:p>
        </w:tc>
        <w:tc>
          <w:tcPr>
            <w:tcW w:w="948"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138" w:type="dxa"/>
            <w:tcBorders/>
            <w:shd w:fill="FFFFFF" w:val="clear"/>
            <w:vAlign w:val="center"/>
          </w:tcPr>
          <w:p>
            <w:pPr>
              <w:pStyle w:val="TableContents"/>
              <w:spacing w:before="0" w:after="0"/>
              <w:ind w:left="0" w:right="0" w:hanging="0"/>
              <w:rPr/>
            </w:pPr>
            <w:r>
              <w:rPr/>
              <w:t> </w:t>
            </w:r>
          </w:p>
        </w:tc>
      </w:tr>
      <w:tr>
        <w:trPr/>
        <w:tc>
          <w:tcPr>
            <w:tcW w:w="167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Residential mortgage and other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0" w:type="dxa"/>
            <w:tcBorders/>
            <w:shd w:fill="CCEEFF" w:val="clear"/>
            <w:vAlign w:val="center"/>
          </w:tcPr>
          <w:p>
            <w:pPr>
              <w:pStyle w:val="TableContents"/>
              <w:spacing w:before="0" w:after="0"/>
              <w:ind w:left="0" w:right="0" w:hanging="0"/>
              <w:rPr/>
            </w:pPr>
            <w:r>
              <w:rPr/>
              <w:t> </w:t>
            </w:r>
          </w:p>
        </w:tc>
        <w:tc>
          <w:tcPr>
            <w:tcW w:w="832"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7" w:type="dxa"/>
            <w:tcBorders/>
            <w:shd w:fill="CCEEFF" w:val="clear"/>
            <w:vAlign w:val="center"/>
          </w:tcPr>
          <w:p>
            <w:pPr>
              <w:pStyle w:val="TableContents"/>
              <w:spacing w:before="0" w:after="0"/>
              <w:ind w:left="0" w:right="0" w:hanging="0"/>
              <w:rPr/>
            </w:pPr>
            <w:r>
              <w:rPr/>
              <w:t> </w:t>
            </w:r>
          </w:p>
        </w:tc>
        <w:tc>
          <w:tcPr>
            <w:tcW w:w="948"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138" w:type="dxa"/>
            <w:tcBorders/>
            <w:shd w:fill="CCEEFF" w:val="clear"/>
            <w:vAlign w:val="center"/>
          </w:tcPr>
          <w:p>
            <w:pPr>
              <w:pStyle w:val="TableContents"/>
              <w:spacing w:before="0" w:after="0"/>
              <w:ind w:left="0" w:right="0" w:hanging="0"/>
              <w:rPr/>
            </w:pPr>
            <w:r>
              <w:rPr/>
              <w:t> </w:t>
            </w:r>
          </w:p>
        </w:tc>
      </w:tr>
      <w:tr>
        <w:trPr/>
        <w:tc>
          <w:tcPr>
            <w:tcW w:w="167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asset backed securities (1)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26,138,633</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283"/>
              <w:jc w:val="right"/>
              <w:rPr/>
            </w:pPr>
            <w:r>
              <w:rPr/>
              <w:t>437,841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2" w:type="dxa"/>
            <w:tcBorders>
              <w:bottom w:val="single" w:sz="2" w:space="0" w:color="000000"/>
            </w:tcBorders>
            <w:shd w:fill="FFFFFF" w:val="clear"/>
            <w:tcMar>
              <w:bottom w:w="28" w:type="dxa"/>
            </w:tcMar>
            <w:vAlign w:val="center"/>
          </w:tcPr>
          <w:p>
            <w:pPr>
              <w:pStyle w:val="TableContents"/>
              <w:spacing w:before="0" w:after="283"/>
              <w:jc w:val="right"/>
              <w:rPr/>
            </w:pPr>
            <w:r>
              <w:rPr/>
              <w:t>(68,793</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7"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948" w:type="dxa"/>
            <w:tcBorders>
              <w:bottom w:val="single" w:sz="2" w:space="0" w:color="000000"/>
            </w:tcBorders>
            <w:shd w:fill="FFFFFF" w:val="clear"/>
            <w:tcMar>
              <w:bottom w:w="28" w:type="dxa"/>
            </w:tcMar>
            <w:vAlign w:val="center"/>
          </w:tcPr>
          <w:p>
            <w:pPr>
              <w:pStyle w:val="TableContents"/>
              <w:spacing w:before="0" w:after="283"/>
              <w:jc w:val="right"/>
              <w:rPr/>
            </w:pPr>
            <w:r>
              <w:rPr/>
              <w:t>(276,451</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283"/>
              <w:rPr/>
            </w:pPr>
            <w:r>
              <w:rPr/>
              <w:t>$</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26,231,230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283"/>
              <w:jc w:val="right"/>
              <w:rPr/>
            </w:pPr>
            <w:r>
              <w:rPr/>
              <w:t>92,597</w:t>
            </w:r>
          </w:p>
        </w:tc>
        <w:tc>
          <w:tcPr>
            <w:tcW w:w="138" w:type="dxa"/>
            <w:tcBorders/>
            <w:shd w:fill="FFFFFF" w:val="clear"/>
            <w:vAlign w:val="center"/>
          </w:tcPr>
          <w:p>
            <w:pPr>
              <w:pStyle w:val="TableContents"/>
              <w:spacing w:before="0" w:after="0"/>
              <w:ind w:left="0" w:right="0" w:hanging="0"/>
              <w:rPr/>
            </w:pPr>
            <w:r>
              <w:rPr/>
              <w:t> </w:t>
            </w:r>
          </w:p>
        </w:tc>
      </w:tr>
      <w:tr>
        <w:trPr/>
        <w:tc>
          <w:tcPr>
            <w:tcW w:w="167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Total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162,202,355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6" w:space="0" w:color="000000"/>
            </w:tcBorders>
            <w:shd w:fill="CCEEFF" w:val="clear"/>
            <w:tcMar>
              <w:bottom w:w="28" w:type="dxa"/>
            </w:tcMar>
            <w:vAlign w:val="center"/>
          </w:tcPr>
          <w:p>
            <w:pPr>
              <w:pStyle w:val="TableContents"/>
              <w:spacing w:before="0" w:after="283"/>
              <w:jc w:val="right"/>
              <w:rPr/>
            </w:pPr>
            <w:r>
              <w:rPr/>
              <w:t>6,420,544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0" w:type="dxa"/>
            <w:tcBorders>
              <w:bottom w:val="double" w:sz="6" w:space="0" w:color="000000"/>
            </w:tcBorders>
            <w:shd w:fill="CCEEFF" w:val="clear"/>
            <w:tcMar>
              <w:bottom w:w="28" w:type="dxa"/>
            </w:tcMar>
            <w:vAlign w:val="center"/>
          </w:tcPr>
          <w:p>
            <w:pPr>
              <w:pStyle w:val="TableContents"/>
              <w:spacing w:before="0" w:after="283"/>
              <w:rPr/>
            </w:pPr>
            <w:r>
              <w:rPr/>
              <w:t>$</w:t>
            </w:r>
          </w:p>
        </w:tc>
        <w:tc>
          <w:tcPr>
            <w:tcW w:w="832" w:type="dxa"/>
            <w:tcBorders>
              <w:bottom w:val="double" w:sz="6" w:space="0" w:color="000000"/>
            </w:tcBorders>
            <w:shd w:fill="CCEEFF" w:val="clear"/>
            <w:tcMar>
              <w:bottom w:w="28" w:type="dxa"/>
            </w:tcMar>
            <w:vAlign w:val="center"/>
          </w:tcPr>
          <w:p>
            <w:pPr>
              <w:pStyle w:val="TableContents"/>
              <w:spacing w:before="0" w:after="283"/>
              <w:jc w:val="right"/>
              <w:rPr/>
            </w:pPr>
            <w:r>
              <w:rPr/>
              <w:t>(96,794</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7" w:type="dxa"/>
            <w:tcBorders>
              <w:bottom w:val="double" w:sz="6" w:space="0" w:color="000000"/>
            </w:tcBorders>
            <w:shd w:fill="CCEEFF" w:val="clear"/>
            <w:tcMar>
              <w:bottom w:w="28" w:type="dxa"/>
            </w:tcMar>
            <w:vAlign w:val="center"/>
          </w:tcPr>
          <w:p>
            <w:pPr>
              <w:pStyle w:val="TableContents"/>
              <w:spacing w:before="0" w:after="283"/>
              <w:rPr/>
            </w:pPr>
            <w:r>
              <w:rPr/>
              <w:t>$</w:t>
            </w:r>
          </w:p>
        </w:tc>
        <w:tc>
          <w:tcPr>
            <w:tcW w:w="948" w:type="dxa"/>
            <w:tcBorders>
              <w:bottom w:val="double" w:sz="6" w:space="0" w:color="000000"/>
            </w:tcBorders>
            <w:shd w:fill="CCEEFF" w:val="clear"/>
            <w:tcMar>
              <w:bottom w:w="28" w:type="dxa"/>
            </w:tcMar>
            <w:vAlign w:val="center"/>
          </w:tcPr>
          <w:p>
            <w:pPr>
              <w:pStyle w:val="TableContents"/>
              <w:spacing w:before="0" w:after="283"/>
              <w:jc w:val="right"/>
              <w:rPr/>
            </w:pPr>
            <w:r>
              <w:rPr/>
              <w:t>(289,924</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168,236,181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6" w:space="0" w:color="000000"/>
            </w:tcBorders>
            <w:shd w:fill="CCEEFF" w:val="clear"/>
            <w:tcMar>
              <w:bottom w:w="28" w:type="dxa"/>
            </w:tcMar>
            <w:vAlign w:val="center"/>
          </w:tcPr>
          <w:p>
            <w:pPr>
              <w:pStyle w:val="TableContents"/>
              <w:spacing w:before="0" w:after="283"/>
              <w:jc w:val="right"/>
              <w:rPr/>
            </w:pPr>
            <w:r>
              <w:rPr/>
              <w:t>6,033,826</w:t>
            </w:r>
          </w:p>
        </w:tc>
        <w:tc>
          <w:tcPr>
            <w:tcW w:w="138"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105"/>
        <w:gridCol w:w="234"/>
        <w:gridCol w:w="9866"/>
      </w:tblGrid>
      <w:tr>
        <w:trPr/>
        <w:tc>
          <w:tcPr>
            <w:tcW w:w="105" w:type="dxa"/>
            <w:tcBorders/>
            <w:shd w:fill="auto" w:val="clear"/>
            <w:vAlign w:val="center"/>
          </w:tcPr>
          <w:p>
            <w:pPr>
              <w:pStyle w:val="TableContents"/>
              <w:spacing w:before="0" w:after="0"/>
              <w:ind w:left="0" w:right="0" w:hanging="0"/>
              <w:rPr/>
            </w:pPr>
            <w:r>
              <w:rPr/>
              <w:t> </w:t>
            </w:r>
          </w:p>
        </w:tc>
        <w:tc>
          <w:tcPr>
            <w:tcW w:w="234"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(1) </w:t>
            </w:r>
          </w:p>
        </w:tc>
        <w:tc>
          <w:tcPr>
            <w:tcW w:w="9866"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KICO placed certain residential mortgage backed securities as eligible collateral in a designated custodian account related to its membership in the Federal Home Loan Bank of New York ("FHLBNY") (See Note 9). The eligible collateral would be pledged to FHLBNY if KICO draws an advance from the FHLBNY credit line. As of December 31, 2019, the estimated fair value of the eligible investments was approximately $7,284,000. KICO will retain all rights regarding all securities if pledged as collateral. As of December 31, 2019, there was no outstanding balance on the FHLBNY credit line.</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 summary of the amortized cost and estimated fair value of the Company’s investments in available-for-sale fixed-maturity securities by contractual maturity as of December 31, 2020 and 2019 is shown below:</w:t>
      </w:r>
    </w:p>
    <w:p>
      <w:pPr>
        <w:pStyle w:val="TextBody"/>
        <w:spacing w:before="0" w:after="0"/>
        <w:ind w:left="0" w:right="0" w:hanging="0"/>
        <w:jc w:val="both"/>
        <w:rPr/>
      </w:pPr>
      <w:r>
        <w:rPr/>
        <w:t>  </w:t>
      </w:r>
    </w:p>
    <w:p>
      <w:pPr>
        <w:pStyle w:val="TextBody"/>
        <w:spacing w:before="0" w:after="0"/>
        <w:ind w:left="0" w:right="0" w:hanging="0"/>
        <w:rPr/>
      </w:pPr>
      <w:r>
        <w:rPr/>
        <w:t> </w:t>
      </w:r>
    </w:p>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3760"/>
        <w:gridCol w:w="90"/>
        <w:gridCol w:w="170"/>
        <w:gridCol w:w="1250"/>
        <w:gridCol w:w="90"/>
        <w:gridCol w:w="90"/>
        <w:gridCol w:w="170"/>
        <w:gridCol w:w="1250"/>
        <w:gridCol w:w="90"/>
        <w:gridCol w:w="90"/>
        <w:gridCol w:w="170"/>
        <w:gridCol w:w="1250"/>
        <w:gridCol w:w="90"/>
        <w:gridCol w:w="90"/>
        <w:gridCol w:w="170"/>
        <w:gridCol w:w="1250"/>
        <w:gridCol w:w="135"/>
      </w:tblGrid>
      <w:tr>
        <w:trPr/>
        <w:tc>
          <w:tcPr>
            <w:tcW w:w="376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3020"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December 31, 2020</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3020"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December 31, 2019</w:t>
            </w:r>
          </w:p>
        </w:tc>
        <w:tc>
          <w:tcPr>
            <w:tcW w:w="135" w:type="dxa"/>
            <w:tcBorders/>
            <w:shd w:fill="auto" w:val="clear"/>
            <w:vAlign w:val="center"/>
          </w:tcPr>
          <w:p>
            <w:pPr>
              <w:pStyle w:val="TableContents"/>
              <w:spacing w:before="0" w:after="0"/>
              <w:ind w:left="0" w:right="0" w:hanging="0"/>
              <w:rPr/>
            </w:pPr>
            <w:r>
              <w:rPr/>
              <w:t> </w:t>
            </w:r>
          </w:p>
        </w:tc>
      </w:tr>
      <w:tr>
        <w:trPr/>
        <w:tc>
          <w:tcPr>
            <w:tcW w:w="376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Amortized</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Estimated</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Amortized</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Estimated</w:t>
            </w:r>
          </w:p>
        </w:tc>
        <w:tc>
          <w:tcPr>
            <w:tcW w:w="135" w:type="dxa"/>
            <w:tcBorders/>
            <w:shd w:fill="auto" w:val="clear"/>
            <w:vAlign w:val="center"/>
          </w:tcPr>
          <w:p>
            <w:pPr>
              <w:pStyle w:val="TableContents"/>
              <w:spacing w:before="0" w:after="0"/>
              <w:ind w:left="0" w:right="0" w:hanging="0"/>
              <w:rPr/>
            </w:pPr>
            <w:r>
              <w:rPr/>
              <w:t> </w:t>
            </w:r>
          </w:p>
        </w:tc>
      </w:tr>
      <w:tr>
        <w:trPr/>
        <w:tc>
          <w:tcPr>
            <w:tcW w:w="3760"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Remaining Time to Maturity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Cost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Fair Value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Cost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Fair Value </w:t>
            </w:r>
          </w:p>
        </w:tc>
        <w:tc>
          <w:tcPr>
            <w:tcW w:w="135" w:type="dxa"/>
            <w:tcBorders/>
            <w:shd w:fill="auto" w:val="clear"/>
            <w:vAlign w:val="center"/>
          </w:tcPr>
          <w:p>
            <w:pPr>
              <w:pStyle w:val="TableContents"/>
              <w:spacing w:before="0" w:after="0"/>
              <w:ind w:left="0" w:right="0" w:hanging="0"/>
              <w:rPr/>
            </w:pPr>
            <w:r>
              <w:rPr/>
              <w:t> </w:t>
            </w:r>
          </w:p>
        </w:tc>
      </w:tr>
      <w:tr>
        <w:trPr/>
        <w:tc>
          <w:tcPr>
            <w:tcW w:w="376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c>
          <w:tcPr>
            <w:tcW w:w="125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c>
          <w:tcPr>
            <w:tcW w:w="125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c>
          <w:tcPr>
            <w:tcW w:w="125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c>
          <w:tcPr>
            <w:tcW w:w="1250" w:type="dxa"/>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376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Less than one year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8,559,005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8,668,064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11,986,401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12,025,804</w:t>
            </w:r>
          </w:p>
        </w:tc>
        <w:tc>
          <w:tcPr>
            <w:tcW w:w="135" w:type="dxa"/>
            <w:tcBorders/>
            <w:shd w:fill="CCEEFF" w:val="clear"/>
            <w:vAlign w:val="center"/>
          </w:tcPr>
          <w:p>
            <w:pPr>
              <w:pStyle w:val="TableContents"/>
              <w:spacing w:before="0" w:after="0"/>
              <w:ind w:left="0" w:right="0" w:hanging="0"/>
              <w:rPr/>
            </w:pPr>
            <w:r>
              <w:rPr/>
              <w:t> </w:t>
            </w:r>
          </w:p>
        </w:tc>
      </w:tr>
      <w:tr>
        <w:trPr/>
        <w:tc>
          <w:tcPr>
            <w:tcW w:w="376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One to five years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44,137,567</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47,745,430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49,715,422</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51,000,025</w:t>
            </w:r>
          </w:p>
        </w:tc>
        <w:tc>
          <w:tcPr>
            <w:tcW w:w="135" w:type="dxa"/>
            <w:tcBorders/>
            <w:shd w:fill="FFFFFF" w:val="clear"/>
            <w:vAlign w:val="center"/>
          </w:tcPr>
          <w:p>
            <w:pPr>
              <w:pStyle w:val="TableContents"/>
              <w:spacing w:before="0" w:after="0"/>
              <w:ind w:left="0" w:right="0" w:hanging="0"/>
              <w:rPr/>
            </w:pPr>
            <w:r>
              <w:rPr/>
              <w:t> </w:t>
            </w:r>
          </w:p>
        </w:tc>
      </w:tr>
      <w:tr>
        <w:trPr/>
        <w:tc>
          <w:tcPr>
            <w:tcW w:w="376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Five to ten years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55,508,712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63,159,775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69,850,104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74,410,275</w:t>
            </w:r>
          </w:p>
        </w:tc>
        <w:tc>
          <w:tcPr>
            <w:tcW w:w="135" w:type="dxa"/>
            <w:tcBorders/>
            <w:shd w:fill="CCEEFF" w:val="clear"/>
            <w:vAlign w:val="center"/>
          </w:tcPr>
          <w:p>
            <w:pPr>
              <w:pStyle w:val="TableContents"/>
              <w:spacing w:before="0" w:after="0"/>
              <w:ind w:left="0" w:right="0" w:hanging="0"/>
              <w:rPr/>
            </w:pPr>
            <w:r>
              <w:rPr/>
              <w:t> </w:t>
            </w:r>
          </w:p>
        </w:tc>
      </w:tr>
      <w:tr>
        <w:trPr/>
        <w:tc>
          <w:tcPr>
            <w:tcW w:w="376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More than 10 years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8,676,409</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9,314,062</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4,511,795</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4,568,847</w:t>
            </w:r>
          </w:p>
        </w:tc>
        <w:tc>
          <w:tcPr>
            <w:tcW w:w="135" w:type="dxa"/>
            <w:tcBorders/>
            <w:shd w:fill="FFFFFF" w:val="clear"/>
            <w:vAlign w:val="center"/>
          </w:tcPr>
          <w:p>
            <w:pPr>
              <w:pStyle w:val="TableContents"/>
              <w:spacing w:before="0" w:after="0"/>
              <w:ind w:left="0" w:right="0" w:hanging="0"/>
              <w:rPr/>
            </w:pPr>
            <w:r>
              <w:rPr/>
              <w:t> </w:t>
            </w:r>
          </w:p>
        </w:tc>
      </w:tr>
      <w:tr>
        <w:trPr/>
        <w:tc>
          <w:tcPr>
            <w:tcW w:w="376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Residential mortgage and other asset backed securities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28,163,891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28,661,941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26,138,633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26,231,230</w:t>
            </w:r>
          </w:p>
        </w:tc>
        <w:tc>
          <w:tcPr>
            <w:tcW w:w="135" w:type="dxa"/>
            <w:tcBorders/>
            <w:shd w:fill="CCEEFF" w:val="clear"/>
            <w:vAlign w:val="center"/>
          </w:tcPr>
          <w:p>
            <w:pPr>
              <w:pStyle w:val="TableContents"/>
              <w:spacing w:before="0" w:after="0"/>
              <w:ind w:left="0" w:right="0" w:hanging="0"/>
              <w:rPr/>
            </w:pPr>
            <w:r>
              <w:rPr/>
              <w:t> </w:t>
            </w:r>
          </w:p>
        </w:tc>
      </w:tr>
      <w:tr>
        <w:trPr/>
        <w:tc>
          <w:tcPr>
            <w:tcW w:w="376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Total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145,045,584</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157,549,272</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162,202,355</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168,236,181</w:t>
            </w:r>
          </w:p>
        </w:tc>
        <w:tc>
          <w:tcPr>
            <w:tcW w:w="135" w:type="dxa"/>
            <w:tcBorders/>
            <w:shd w:fill="FFFF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actual maturities may differ from contractual maturities because certain borrowers have the right to call or prepay obligations with or without penalties.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F-16</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2020 AND 2019</w:t>
      </w:r>
    </w:p>
    <w:p>
      <w:pPr>
        <w:pStyle w:val="TextBody"/>
        <w:spacing w:before="0" w:after="0"/>
        <w:ind w:left="0" w:right="0" w:hanging="0"/>
        <w:jc w:val="center"/>
        <w:rPr/>
      </w:pPr>
      <w:r>
        <w:rPr>
          <w:rStyle w:val="StrongEmphasis"/>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Equity Securities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cost and estimated fair value of, and gross unrealized gains and losses on, investments in equity securities as of December 31, 2020 and 2019 are as follows:</w:t>
      </w:r>
    </w:p>
    <w:p>
      <w:pPr>
        <w:pStyle w:val="TextBody"/>
        <w:spacing w:before="0" w:after="0"/>
        <w:ind w:left="0" w:right="0" w:hanging="0"/>
        <w:jc w:val="both"/>
        <w:rPr/>
      </w:pPr>
      <w:r>
        <w:rPr/>
        <w:t> </w:t>
      </w:r>
    </w:p>
    <w:p>
      <w:pPr>
        <w:pStyle w:val="TextBody"/>
        <w:spacing w:before="0" w:after="0"/>
        <w:ind w:left="0" w:right="0" w:hanging="0"/>
        <w:rPr/>
      </w:pPr>
      <w:r>
        <w:rPr/>
        <w:t> </w:t>
      </w:r>
    </w:p>
    <w:tbl>
      <w:tblPr>
        <w:tblW w:w="8270" w:type="dxa"/>
        <w:jc w:val="left"/>
        <w:tblInd w:w="0" w:type="dxa"/>
        <w:tblCellMar>
          <w:top w:w="0" w:type="dxa"/>
          <w:left w:w="0" w:type="dxa"/>
          <w:bottom w:w="0" w:type="dxa"/>
          <w:right w:w="0" w:type="dxa"/>
        </w:tblCellMar>
      </w:tblPr>
      <w:tblGrid>
        <w:gridCol w:w="2615"/>
        <w:gridCol w:w="90"/>
        <w:gridCol w:w="170"/>
        <w:gridCol w:w="1130"/>
        <w:gridCol w:w="90"/>
        <w:gridCol w:w="90"/>
        <w:gridCol w:w="170"/>
        <w:gridCol w:w="1010"/>
        <w:gridCol w:w="90"/>
        <w:gridCol w:w="90"/>
        <w:gridCol w:w="170"/>
        <w:gridCol w:w="905"/>
        <w:gridCol w:w="125"/>
        <w:gridCol w:w="90"/>
        <w:gridCol w:w="170"/>
        <w:gridCol w:w="1130"/>
        <w:gridCol w:w="135"/>
      </w:tblGrid>
      <w:tr>
        <w:trPr/>
        <w:tc>
          <w:tcPr>
            <w:tcW w:w="261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5430" w:type="dxa"/>
            <w:gridSpan w:val="14"/>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2020</w:t>
            </w:r>
          </w:p>
        </w:tc>
        <w:tc>
          <w:tcPr>
            <w:tcW w:w="135" w:type="dxa"/>
            <w:tcBorders/>
            <w:shd w:fill="auto" w:val="clear"/>
            <w:vAlign w:val="center"/>
          </w:tcPr>
          <w:p>
            <w:pPr>
              <w:pStyle w:val="TableContents"/>
              <w:spacing w:before="0" w:after="0"/>
              <w:ind w:left="0" w:right="0" w:hanging="0"/>
              <w:rPr/>
            </w:pPr>
            <w:r>
              <w:rPr/>
              <w:t> </w:t>
            </w:r>
          </w:p>
        </w:tc>
      </w:tr>
      <w:tr>
        <w:trPr/>
        <w:tc>
          <w:tcPr>
            <w:tcW w:w="261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Gross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Gross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Estimated </w:t>
            </w:r>
          </w:p>
        </w:tc>
        <w:tc>
          <w:tcPr>
            <w:tcW w:w="135" w:type="dxa"/>
            <w:tcBorders/>
            <w:shd w:fill="auto" w:val="clear"/>
            <w:vAlign w:val="center"/>
          </w:tcPr>
          <w:p>
            <w:pPr>
              <w:pStyle w:val="TableContents"/>
              <w:spacing w:before="0" w:after="0"/>
              <w:ind w:left="0" w:right="0" w:hanging="0"/>
              <w:rPr/>
            </w:pPr>
            <w:r>
              <w:rPr/>
              <w:t> </w:t>
            </w:r>
          </w:p>
        </w:tc>
      </w:tr>
      <w:tr>
        <w:trPr/>
        <w:tc>
          <w:tcPr>
            <w:tcW w:w="2615"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Fonts w:ascii="times new roman" w:hAnsi="times new roman"/>
                <w:sz w:val="20"/>
              </w:rPr>
              <w:t xml:space="preserve">Category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Cost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Gains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Losses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Fair Value </w:t>
            </w:r>
          </w:p>
        </w:tc>
        <w:tc>
          <w:tcPr>
            <w:tcW w:w="135" w:type="dxa"/>
            <w:tcBorders/>
            <w:shd w:fill="auto" w:val="clear"/>
            <w:vAlign w:val="center"/>
          </w:tcPr>
          <w:p>
            <w:pPr>
              <w:pStyle w:val="TableContents"/>
              <w:spacing w:before="0" w:after="0"/>
              <w:ind w:left="0" w:right="0" w:hanging="0"/>
              <w:rPr/>
            </w:pPr>
            <w:r>
              <w:rPr/>
              <w:t> </w:t>
            </w:r>
          </w:p>
        </w:tc>
      </w:tr>
      <w:tr>
        <w:trPr/>
        <w:tc>
          <w:tcPr>
            <w:tcW w:w="261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2615" w:type="dxa"/>
            <w:tcBorders/>
            <w:shd w:fill="auto" w:val="clear"/>
            <w:vAlign w:val="center"/>
          </w:tcPr>
          <w:p>
            <w:pPr>
              <w:pStyle w:val="TableContents"/>
              <w:spacing w:before="0" w:after="0"/>
              <w:ind w:left="0" w:right="0" w:hanging="0"/>
              <w:rPr/>
            </w:pPr>
            <w:r>
              <w:rPr>
                <w:rStyle w:val="StrongEmphasis"/>
                <w:rFonts w:ascii="times new roman" w:hAnsi="times new roman"/>
                <w:sz w:val="20"/>
              </w:rPr>
              <w:t xml:space="preserve">Equity Securities: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261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Preferred stocks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18,097,942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853,277</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905" w:type="dxa"/>
            <w:tcBorders/>
            <w:shd w:fill="CCEEFF" w:val="clear"/>
            <w:vAlign w:val="center"/>
          </w:tcPr>
          <w:p>
            <w:pPr>
              <w:pStyle w:val="TableContents"/>
              <w:spacing w:before="0" w:after="283"/>
              <w:jc w:val="right"/>
              <w:rPr/>
            </w:pPr>
            <w:r>
              <w:rPr/>
              <w:t>(426,942</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18,524,277</w:t>
            </w:r>
          </w:p>
        </w:tc>
        <w:tc>
          <w:tcPr>
            <w:tcW w:w="135" w:type="dxa"/>
            <w:tcBorders/>
            <w:shd w:fill="CCEEFF" w:val="clear"/>
            <w:vAlign w:val="center"/>
          </w:tcPr>
          <w:p>
            <w:pPr>
              <w:pStyle w:val="TableContents"/>
              <w:spacing w:before="0" w:after="0"/>
              <w:ind w:left="0" w:right="0" w:hanging="0"/>
              <w:rPr/>
            </w:pPr>
            <w:r>
              <w:rPr/>
              <w:t> </w:t>
            </w:r>
          </w:p>
        </w:tc>
      </w:tr>
      <w:tr>
        <w:trPr/>
        <w:tc>
          <w:tcPr>
            <w:tcW w:w="261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Common stocks, mutual funds,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135" w:type="dxa"/>
            <w:tcBorders/>
            <w:shd w:fill="FFFFFF" w:val="clear"/>
            <w:vAlign w:val="center"/>
          </w:tcPr>
          <w:p>
            <w:pPr>
              <w:pStyle w:val="TableContents"/>
              <w:spacing w:before="0" w:after="0"/>
              <w:ind w:left="0" w:right="0" w:hanging="0"/>
              <w:rPr/>
            </w:pPr>
            <w:r>
              <w:rPr/>
              <w:t> </w:t>
            </w:r>
          </w:p>
        </w:tc>
      </w:tr>
      <w:tr>
        <w:trPr/>
        <w:tc>
          <w:tcPr>
            <w:tcW w:w="2615" w:type="dxa"/>
            <w:tcBorders/>
            <w:shd w:fill="CCEE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 xml:space="preserve">and exchange traded funds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CCEEFF" w:val="clear"/>
            <w:tcMar>
              <w:bottom w:w="28" w:type="dxa"/>
            </w:tcMar>
            <w:vAlign w:val="center"/>
          </w:tcPr>
          <w:p>
            <w:pPr>
              <w:pStyle w:val="TableContents"/>
              <w:spacing w:before="0" w:after="283"/>
              <w:jc w:val="right"/>
              <w:rPr/>
            </w:pPr>
            <w:r>
              <w:rPr/>
              <w:t>14,473,224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1,820,512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05" w:type="dxa"/>
            <w:tcBorders>
              <w:bottom w:val="single" w:sz="2" w:space="0" w:color="000000"/>
            </w:tcBorders>
            <w:shd w:fill="CCEEFF" w:val="clear"/>
            <w:tcMar>
              <w:bottom w:w="28" w:type="dxa"/>
            </w:tcMar>
            <w:vAlign w:val="center"/>
          </w:tcPr>
          <w:p>
            <w:pPr>
              <w:pStyle w:val="TableContents"/>
              <w:spacing w:before="0" w:after="283"/>
              <w:jc w:val="right"/>
              <w:rPr/>
            </w:pPr>
            <w:r>
              <w:rPr/>
              <w:t>(404,700</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CCEEFF" w:val="clear"/>
            <w:tcMar>
              <w:bottom w:w="28" w:type="dxa"/>
            </w:tcMar>
            <w:vAlign w:val="center"/>
          </w:tcPr>
          <w:p>
            <w:pPr>
              <w:pStyle w:val="TableContents"/>
              <w:spacing w:before="0" w:after="283"/>
              <w:jc w:val="right"/>
              <w:rPr/>
            </w:pPr>
            <w:r>
              <w:rPr/>
              <w:t>15,889,036</w:t>
            </w:r>
          </w:p>
        </w:tc>
        <w:tc>
          <w:tcPr>
            <w:tcW w:w="135" w:type="dxa"/>
            <w:tcBorders/>
            <w:shd w:fill="CCEEFF" w:val="clear"/>
            <w:vAlign w:val="center"/>
          </w:tcPr>
          <w:p>
            <w:pPr>
              <w:pStyle w:val="TableContents"/>
              <w:spacing w:before="0" w:after="0"/>
              <w:ind w:left="0" w:right="0" w:hanging="0"/>
              <w:rPr/>
            </w:pPr>
            <w:r>
              <w:rPr/>
              <w:t> </w:t>
            </w:r>
          </w:p>
        </w:tc>
      </w:tr>
      <w:tr>
        <w:trPr/>
        <w:tc>
          <w:tcPr>
            <w:tcW w:w="261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Total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130" w:type="dxa"/>
            <w:tcBorders>
              <w:bottom w:val="double" w:sz="6" w:space="0" w:color="000000"/>
            </w:tcBorders>
            <w:shd w:fill="FFFFFF" w:val="clear"/>
            <w:tcMar>
              <w:bottom w:w="28" w:type="dxa"/>
            </w:tcMar>
            <w:vAlign w:val="center"/>
          </w:tcPr>
          <w:p>
            <w:pPr>
              <w:pStyle w:val="TableContents"/>
              <w:spacing w:before="0" w:after="283"/>
              <w:jc w:val="right"/>
              <w:rPr/>
            </w:pPr>
            <w:r>
              <w:rPr/>
              <w:t>32,571,166</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010" w:type="dxa"/>
            <w:tcBorders>
              <w:bottom w:val="double" w:sz="6" w:space="0" w:color="000000"/>
            </w:tcBorders>
            <w:shd w:fill="FFFFFF" w:val="clear"/>
            <w:tcMar>
              <w:bottom w:w="28" w:type="dxa"/>
            </w:tcMar>
            <w:vAlign w:val="center"/>
          </w:tcPr>
          <w:p>
            <w:pPr>
              <w:pStyle w:val="TableContents"/>
              <w:spacing w:before="0" w:after="283"/>
              <w:jc w:val="right"/>
              <w:rPr/>
            </w:pPr>
            <w:r>
              <w:rPr/>
              <w:t>2,673,789</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905" w:type="dxa"/>
            <w:tcBorders>
              <w:bottom w:val="double" w:sz="6" w:space="0" w:color="000000"/>
            </w:tcBorders>
            <w:shd w:fill="FFFFFF" w:val="clear"/>
            <w:tcMar>
              <w:bottom w:w="28" w:type="dxa"/>
            </w:tcMar>
            <w:vAlign w:val="center"/>
          </w:tcPr>
          <w:p>
            <w:pPr>
              <w:pStyle w:val="TableContents"/>
              <w:spacing w:before="0" w:after="283"/>
              <w:jc w:val="right"/>
              <w:rPr/>
            </w:pPr>
            <w:r>
              <w:rPr/>
              <w:t>(831,642</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130" w:type="dxa"/>
            <w:tcBorders>
              <w:bottom w:val="double" w:sz="6" w:space="0" w:color="000000"/>
            </w:tcBorders>
            <w:shd w:fill="FFFFFF" w:val="clear"/>
            <w:tcMar>
              <w:bottom w:w="28" w:type="dxa"/>
            </w:tcMar>
            <w:vAlign w:val="center"/>
          </w:tcPr>
          <w:p>
            <w:pPr>
              <w:pStyle w:val="TableContents"/>
              <w:spacing w:before="0" w:after="283"/>
              <w:jc w:val="right"/>
              <w:rPr/>
            </w:pPr>
            <w:r>
              <w:rPr/>
              <w:t>34,413,313</w:t>
            </w:r>
          </w:p>
        </w:tc>
        <w:tc>
          <w:tcPr>
            <w:tcW w:w="135" w:type="dxa"/>
            <w:tcBorders/>
            <w:shd w:fill="FFFF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hanging="0"/>
        <w:rPr/>
      </w:pPr>
      <w:r>
        <w:rPr/>
        <w:t> </w:t>
      </w:r>
    </w:p>
    <w:tbl>
      <w:tblPr>
        <w:tblW w:w="8270" w:type="dxa"/>
        <w:jc w:val="left"/>
        <w:tblInd w:w="0" w:type="dxa"/>
        <w:tblCellMar>
          <w:top w:w="0" w:type="dxa"/>
          <w:left w:w="0" w:type="dxa"/>
          <w:bottom w:w="0" w:type="dxa"/>
          <w:right w:w="0" w:type="dxa"/>
        </w:tblCellMar>
      </w:tblPr>
      <w:tblGrid>
        <w:gridCol w:w="2615"/>
        <w:gridCol w:w="90"/>
        <w:gridCol w:w="170"/>
        <w:gridCol w:w="1130"/>
        <w:gridCol w:w="90"/>
        <w:gridCol w:w="90"/>
        <w:gridCol w:w="170"/>
        <w:gridCol w:w="1010"/>
        <w:gridCol w:w="90"/>
        <w:gridCol w:w="90"/>
        <w:gridCol w:w="170"/>
        <w:gridCol w:w="905"/>
        <w:gridCol w:w="125"/>
        <w:gridCol w:w="90"/>
        <w:gridCol w:w="170"/>
        <w:gridCol w:w="1130"/>
        <w:gridCol w:w="135"/>
      </w:tblGrid>
      <w:tr>
        <w:trPr/>
        <w:tc>
          <w:tcPr>
            <w:tcW w:w="261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5430" w:type="dxa"/>
            <w:gridSpan w:val="14"/>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2019</w:t>
            </w:r>
          </w:p>
        </w:tc>
        <w:tc>
          <w:tcPr>
            <w:tcW w:w="135" w:type="dxa"/>
            <w:tcBorders/>
            <w:shd w:fill="auto" w:val="clear"/>
            <w:vAlign w:val="center"/>
          </w:tcPr>
          <w:p>
            <w:pPr>
              <w:pStyle w:val="TableContents"/>
              <w:spacing w:before="0" w:after="0"/>
              <w:ind w:left="0" w:right="0" w:hanging="0"/>
              <w:rPr/>
            </w:pPr>
            <w:r>
              <w:rPr/>
              <w:t> </w:t>
            </w:r>
          </w:p>
        </w:tc>
      </w:tr>
      <w:tr>
        <w:trPr/>
        <w:tc>
          <w:tcPr>
            <w:tcW w:w="261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Gross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Gross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Estimated </w:t>
            </w:r>
          </w:p>
        </w:tc>
        <w:tc>
          <w:tcPr>
            <w:tcW w:w="135" w:type="dxa"/>
            <w:tcBorders/>
            <w:shd w:fill="auto" w:val="clear"/>
            <w:vAlign w:val="center"/>
          </w:tcPr>
          <w:p>
            <w:pPr>
              <w:pStyle w:val="TableContents"/>
              <w:spacing w:before="0" w:after="0"/>
              <w:ind w:left="0" w:right="0" w:hanging="0"/>
              <w:rPr/>
            </w:pPr>
            <w:r>
              <w:rPr/>
              <w:t> </w:t>
            </w:r>
          </w:p>
        </w:tc>
      </w:tr>
      <w:tr>
        <w:trPr/>
        <w:tc>
          <w:tcPr>
            <w:tcW w:w="2615"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Fonts w:ascii="times new roman" w:hAnsi="times new roman"/>
                <w:sz w:val="20"/>
              </w:rPr>
              <w:t xml:space="preserve">Category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Cost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Gains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Losses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Fair Value </w:t>
            </w:r>
          </w:p>
        </w:tc>
        <w:tc>
          <w:tcPr>
            <w:tcW w:w="135" w:type="dxa"/>
            <w:tcBorders/>
            <w:shd w:fill="auto" w:val="clear"/>
            <w:vAlign w:val="center"/>
          </w:tcPr>
          <w:p>
            <w:pPr>
              <w:pStyle w:val="TableContents"/>
              <w:spacing w:before="0" w:after="0"/>
              <w:ind w:left="0" w:right="0" w:hanging="0"/>
              <w:rPr/>
            </w:pPr>
            <w:r>
              <w:rPr/>
              <w:t> </w:t>
            </w:r>
          </w:p>
        </w:tc>
      </w:tr>
      <w:tr>
        <w:trPr/>
        <w:tc>
          <w:tcPr>
            <w:tcW w:w="261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2615" w:type="dxa"/>
            <w:tcBorders/>
            <w:shd w:fill="auto" w:val="clear"/>
            <w:vAlign w:val="center"/>
          </w:tcPr>
          <w:p>
            <w:pPr>
              <w:pStyle w:val="TableContents"/>
              <w:spacing w:before="0" w:after="0"/>
              <w:ind w:left="0" w:right="0" w:hanging="0"/>
              <w:rPr/>
            </w:pPr>
            <w:r>
              <w:rPr>
                <w:rStyle w:val="StrongEmphasis"/>
                <w:rFonts w:ascii="times new roman" w:hAnsi="times new roman"/>
                <w:sz w:val="20"/>
              </w:rPr>
              <w:t xml:space="preserve">Equity Securities: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261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Preferred stocks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8,374,424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339,257</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905" w:type="dxa"/>
            <w:tcBorders/>
            <w:shd w:fill="CCEEFF" w:val="clear"/>
            <w:vAlign w:val="center"/>
          </w:tcPr>
          <w:p>
            <w:pPr>
              <w:pStyle w:val="TableContents"/>
              <w:spacing w:before="0" w:after="283"/>
              <w:jc w:val="right"/>
              <w:rPr/>
            </w:pPr>
            <w:r>
              <w:rPr/>
              <w:t>(11,794</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8,701,887</w:t>
            </w:r>
          </w:p>
        </w:tc>
        <w:tc>
          <w:tcPr>
            <w:tcW w:w="135" w:type="dxa"/>
            <w:tcBorders/>
            <w:shd w:fill="CCEEFF" w:val="clear"/>
            <w:vAlign w:val="center"/>
          </w:tcPr>
          <w:p>
            <w:pPr>
              <w:pStyle w:val="TableContents"/>
              <w:spacing w:before="0" w:after="0"/>
              <w:ind w:left="0" w:right="0" w:hanging="0"/>
              <w:rPr/>
            </w:pPr>
            <w:r>
              <w:rPr/>
              <w:t> </w:t>
            </w:r>
          </w:p>
        </w:tc>
      </w:tr>
      <w:tr>
        <w:trPr/>
        <w:tc>
          <w:tcPr>
            <w:tcW w:w="261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Common stocks, mutual funds,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135" w:type="dxa"/>
            <w:tcBorders/>
            <w:shd w:fill="FFFFFF" w:val="clear"/>
            <w:vAlign w:val="center"/>
          </w:tcPr>
          <w:p>
            <w:pPr>
              <w:pStyle w:val="TableContents"/>
              <w:spacing w:before="0" w:after="0"/>
              <w:ind w:left="0" w:right="0" w:hanging="0"/>
              <w:rPr/>
            </w:pPr>
            <w:r>
              <w:rPr/>
              <w:t> </w:t>
            </w:r>
          </w:p>
        </w:tc>
      </w:tr>
      <w:tr>
        <w:trPr/>
        <w:tc>
          <w:tcPr>
            <w:tcW w:w="2615" w:type="dxa"/>
            <w:tcBorders/>
            <w:shd w:fill="CCEE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 xml:space="preserve">and exchange traded funds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CCEEFF" w:val="clear"/>
            <w:tcMar>
              <w:bottom w:w="28" w:type="dxa"/>
            </w:tcMar>
            <w:vAlign w:val="center"/>
          </w:tcPr>
          <w:p>
            <w:pPr>
              <w:pStyle w:val="TableContents"/>
              <w:spacing w:before="0" w:after="283"/>
              <w:jc w:val="right"/>
              <w:rPr/>
            </w:pPr>
            <w:r>
              <w:rPr/>
              <w:t>14,250,244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1,982,878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05" w:type="dxa"/>
            <w:tcBorders>
              <w:bottom w:val="single" w:sz="2" w:space="0" w:color="000000"/>
            </w:tcBorders>
            <w:shd w:fill="CCEEFF" w:val="clear"/>
            <w:tcMar>
              <w:bottom w:w="28" w:type="dxa"/>
            </w:tcMar>
            <w:vAlign w:val="center"/>
          </w:tcPr>
          <w:p>
            <w:pPr>
              <w:pStyle w:val="TableContents"/>
              <w:spacing w:before="0" w:after="283"/>
              <w:jc w:val="right"/>
              <w:rPr/>
            </w:pPr>
            <w:r>
              <w:rPr/>
              <w:t>(273,627</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CCEEFF" w:val="clear"/>
            <w:tcMar>
              <w:bottom w:w="28" w:type="dxa"/>
            </w:tcMar>
            <w:vAlign w:val="center"/>
          </w:tcPr>
          <w:p>
            <w:pPr>
              <w:pStyle w:val="TableContents"/>
              <w:spacing w:before="0" w:after="283"/>
              <w:jc w:val="right"/>
              <w:rPr/>
            </w:pPr>
            <w:r>
              <w:rPr/>
              <w:t>15,959,495</w:t>
            </w:r>
          </w:p>
        </w:tc>
        <w:tc>
          <w:tcPr>
            <w:tcW w:w="135" w:type="dxa"/>
            <w:tcBorders/>
            <w:shd w:fill="CCEEFF" w:val="clear"/>
            <w:vAlign w:val="center"/>
          </w:tcPr>
          <w:p>
            <w:pPr>
              <w:pStyle w:val="TableContents"/>
              <w:spacing w:before="0" w:after="0"/>
              <w:ind w:left="0" w:right="0" w:hanging="0"/>
              <w:rPr/>
            </w:pPr>
            <w:r>
              <w:rPr/>
              <w:t> </w:t>
            </w:r>
          </w:p>
        </w:tc>
      </w:tr>
      <w:tr>
        <w:trPr/>
        <w:tc>
          <w:tcPr>
            <w:tcW w:w="261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Total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130" w:type="dxa"/>
            <w:tcBorders>
              <w:bottom w:val="double" w:sz="6" w:space="0" w:color="000000"/>
            </w:tcBorders>
            <w:shd w:fill="FFFFFF" w:val="clear"/>
            <w:tcMar>
              <w:bottom w:w="28" w:type="dxa"/>
            </w:tcMar>
            <w:vAlign w:val="center"/>
          </w:tcPr>
          <w:p>
            <w:pPr>
              <w:pStyle w:val="TableContents"/>
              <w:spacing w:before="0" w:after="283"/>
              <w:jc w:val="right"/>
              <w:rPr/>
            </w:pPr>
            <w:r>
              <w:rPr/>
              <w:t>22,624,668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010" w:type="dxa"/>
            <w:tcBorders>
              <w:bottom w:val="double" w:sz="6" w:space="0" w:color="000000"/>
            </w:tcBorders>
            <w:shd w:fill="FFFFFF" w:val="clear"/>
            <w:tcMar>
              <w:bottom w:w="28" w:type="dxa"/>
            </w:tcMar>
            <w:vAlign w:val="center"/>
          </w:tcPr>
          <w:p>
            <w:pPr>
              <w:pStyle w:val="TableContents"/>
              <w:spacing w:before="0" w:after="283"/>
              <w:jc w:val="right"/>
              <w:rPr/>
            </w:pPr>
            <w:r>
              <w:rPr/>
              <w:t>2,322,135</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905" w:type="dxa"/>
            <w:tcBorders>
              <w:bottom w:val="double" w:sz="6" w:space="0" w:color="000000"/>
            </w:tcBorders>
            <w:shd w:fill="FFFFFF" w:val="clear"/>
            <w:tcMar>
              <w:bottom w:w="28" w:type="dxa"/>
            </w:tcMar>
            <w:vAlign w:val="center"/>
          </w:tcPr>
          <w:p>
            <w:pPr>
              <w:pStyle w:val="TableContents"/>
              <w:spacing w:before="0" w:after="283"/>
              <w:jc w:val="right"/>
              <w:rPr/>
            </w:pPr>
            <w:r>
              <w:rPr/>
              <w:t>(285,421</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130" w:type="dxa"/>
            <w:tcBorders>
              <w:bottom w:val="double" w:sz="6" w:space="0" w:color="000000"/>
            </w:tcBorders>
            <w:shd w:fill="FFFFFF" w:val="clear"/>
            <w:tcMar>
              <w:bottom w:w="28" w:type="dxa"/>
            </w:tcMar>
            <w:vAlign w:val="center"/>
          </w:tcPr>
          <w:p>
            <w:pPr>
              <w:pStyle w:val="TableContents"/>
              <w:spacing w:before="0" w:after="283"/>
              <w:jc w:val="right"/>
              <w:rPr/>
            </w:pPr>
            <w:r>
              <w:rPr/>
              <w:t>24,661,382</w:t>
            </w:r>
          </w:p>
        </w:tc>
        <w:tc>
          <w:tcPr>
            <w:tcW w:w="135" w:type="dxa"/>
            <w:tcBorders/>
            <w:shd w:fill="FFFF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Other Investments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cost and estimated fair value of, and gross unrealized gains on, the Company’s other investments as of December 31, 2020 and 2019 are as follows:</w:t>
      </w:r>
    </w:p>
    <w:p>
      <w:pPr>
        <w:pStyle w:val="TextBody"/>
        <w:spacing w:before="0" w:after="0"/>
        <w:ind w:left="0" w:right="0" w:hanging="0"/>
        <w:jc w:val="both"/>
        <w:rPr/>
      </w:pPr>
      <w:r>
        <w:rPr/>
        <w:t>  </w:t>
      </w:r>
    </w:p>
    <w:p>
      <w:pPr>
        <w:pStyle w:val="TextBody"/>
        <w:spacing w:before="0" w:after="0"/>
        <w:ind w:left="0" w:right="0" w:hanging="0"/>
        <w:rPr/>
      </w:pPr>
      <w:r>
        <w:rPr/>
        <w:t> </w:t>
      </w:r>
    </w:p>
    <w:p>
      <w:pPr>
        <w:pStyle w:val="TextBody"/>
        <w:spacing w:before="0" w:after="0"/>
        <w:ind w:left="0" w:right="0" w:hanging="0"/>
        <w:rPr/>
      </w:pPr>
      <w:r>
        <w:rPr/>
        <w:t> </w:t>
      </w:r>
    </w:p>
    <w:tbl>
      <w:tblPr>
        <w:tblW w:w="9740" w:type="dxa"/>
        <w:jc w:val="left"/>
        <w:tblInd w:w="0" w:type="dxa"/>
        <w:tblCellMar>
          <w:top w:w="0" w:type="dxa"/>
          <w:left w:w="0" w:type="dxa"/>
          <w:bottom w:w="0" w:type="dxa"/>
          <w:right w:w="0" w:type="dxa"/>
        </w:tblCellMar>
      </w:tblPr>
      <w:tblGrid>
        <w:gridCol w:w="1715"/>
        <w:gridCol w:w="90"/>
        <w:gridCol w:w="170"/>
        <w:gridCol w:w="1010"/>
        <w:gridCol w:w="90"/>
        <w:gridCol w:w="90"/>
        <w:gridCol w:w="170"/>
        <w:gridCol w:w="1010"/>
        <w:gridCol w:w="90"/>
        <w:gridCol w:w="90"/>
        <w:gridCol w:w="170"/>
        <w:gridCol w:w="1010"/>
        <w:gridCol w:w="90"/>
        <w:gridCol w:w="90"/>
        <w:gridCol w:w="170"/>
        <w:gridCol w:w="1010"/>
        <w:gridCol w:w="90"/>
        <w:gridCol w:w="90"/>
        <w:gridCol w:w="170"/>
        <w:gridCol w:w="830"/>
        <w:gridCol w:w="90"/>
        <w:gridCol w:w="90"/>
        <w:gridCol w:w="170"/>
        <w:gridCol w:w="1010"/>
        <w:gridCol w:w="135"/>
      </w:tblGrid>
      <w:tr>
        <w:trPr/>
        <w:tc>
          <w:tcPr>
            <w:tcW w:w="171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3900" w:type="dxa"/>
            <w:gridSpan w:val="10"/>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2020</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3720" w:type="dxa"/>
            <w:gridSpan w:val="10"/>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2019</w:t>
            </w:r>
          </w:p>
        </w:tc>
        <w:tc>
          <w:tcPr>
            <w:tcW w:w="135" w:type="dxa"/>
            <w:tcBorders/>
            <w:shd w:fill="auto" w:val="clear"/>
            <w:vAlign w:val="center"/>
          </w:tcPr>
          <w:p>
            <w:pPr>
              <w:pStyle w:val="TableContents"/>
              <w:spacing w:before="0" w:after="0"/>
              <w:ind w:left="0" w:right="0" w:hanging="0"/>
              <w:rPr/>
            </w:pPr>
            <w:r>
              <w:rPr/>
              <w:t> </w:t>
            </w:r>
          </w:p>
        </w:tc>
      </w:tr>
      <w:tr>
        <w:trPr/>
        <w:tc>
          <w:tcPr>
            <w:tcW w:w="171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Gross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Estimated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Gross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Estimated </w:t>
            </w:r>
          </w:p>
        </w:tc>
        <w:tc>
          <w:tcPr>
            <w:tcW w:w="135" w:type="dxa"/>
            <w:tcBorders/>
            <w:shd w:fill="auto" w:val="clear"/>
            <w:vAlign w:val="center"/>
          </w:tcPr>
          <w:p>
            <w:pPr>
              <w:pStyle w:val="TableContents"/>
              <w:spacing w:before="0" w:after="0"/>
              <w:ind w:left="0" w:right="0" w:hanging="0"/>
              <w:rPr/>
            </w:pPr>
            <w:r>
              <w:rPr/>
              <w:t> </w:t>
            </w:r>
          </w:p>
        </w:tc>
      </w:tr>
      <w:tr>
        <w:trPr/>
        <w:tc>
          <w:tcPr>
            <w:tcW w:w="1715"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Fonts w:ascii="times new roman" w:hAnsi="times new roman"/>
                <w:sz w:val="20"/>
              </w:rPr>
              <w:t xml:space="preserve">Category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Cost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Gains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Fair Value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Cost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Gains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Fair Value </w:t>
            </w:r>
          </w:p>
        </w:tc>
        <w:tc>
          <w:tcPr>
            <w:tcW w:w="135" w:type="dxa"/>
            <w:tcBorders/>
            <w:shd w:fill="auto" w:val="clear"/>
            <w:vAlign w:val="center"/>
          </w:tcPr>
          <w:p>
            <w:pPr>
              <w:pStyle w:val="TableContents"/>
              <w:spacing w:before="0" w:after="0"/>
              <w:ind w:left="0" w:right="0" w:hanging="0"/>
              <w:rPr/>
            </w:pPr>
            <w:r>
              <w:rPr/>
              <w:t> </w:t>
            </w:r>
          </w:p>
        </w:tc>
      </w:tr>
      <w:tr>
        <w:trPr/>
        <w:tc>
          <w:tcPr>
            <w:tcW w:w="171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495" w:type="dxa"/>
            <w:gridSpan w:val="7"/>
            <w:tcBorders/>
            <w:shd w:fill="auto" w:val="clear"/>
            <w:vAlign w:val="center"/>
          </w:tcPr>
          <w:p>
            <w:pPr>
              <w:pStyle w:val="TableContents"/>
              <w:spacing w:before="0" w:after="0"/>
              <w:ind w:left="0" w:right="0" w:hanging="0"/>
              <w:rPr/>
            </w:pPr>
            <w:r>
              <w:rPr/>
              <w:t> </w:t>
            </w:r>
          </w:p>
        </w:tc>
      </w:tr>
      <w:tr>
        <w:trPr/>
        <w:tc>
          <w:tcPr>
            <w:tcW w:w="1715" w:type="dxa"/>
            <w:tcBorders/>
            <w:shd w:fill="auto" w:val="clear"/>
            <w:vAlign w:val="center"/>
          </w:tcPr>
          <w:p>
            <w:pPr>
              <w:pStyle w:val="TableContents"/>
              <w:spacing w:before="0" w:after="0"/>
              <w:ind w:left="0" w:right="0" w:hanging="0"/>
              <w:rPr/>
            </w:pPr>
            <w:r>
              <w:rPr>
                <w:rStyle w:val="StrongEmphasis"/>
                <w:rFonts w:ascii="times new roman" w:hAnsi="times new roman"/>
                <w:sz w:val="20"/>
              </w:rPr>
              <w:t xml:space="preserve">Other Investments: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171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Hedge fund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283"/>
              <w:rPr/>
            </w:pPr>
            <w:r>
              <w:rPr/>
              <w:t>$</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1,999,381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283"/>
              <w:rPr/>
            </w:pPr>
            <w:r>
              <w:rPr/>
              <w:t>$</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1,519,245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283"/>
              <w:rPr/>
            </w:pPr>
            <w:r>
              <w:rPr/>
              <w:t>$</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3,518,626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283"/>
              <w:rPr/>
            </w:pPr>
            <w:r>
              <w:rPr/>
              <w:t>$</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1,999,381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283"/>
              <w:rPr/>
            </w:pPr>
            <w:r>
              <w:rPr/>
              <w:t>$</w:t>
            </w:r>
          </w:p>
        </w:tc>
        <w:tc>
          <w:tcPr>
            <w:tcW w:w="830" w:type="dxa"/>
            <w:tcBorders>
              <w:bottom w:val="single" w:sz="2" w:space="0" w:color="000000"/>
            </w:tcBorders>
            <w:shd w:fill="CCEEFF" w:val="clear"/>
            <w:tcMar>
              <w:bottom w:w="28" w:type="dxa"/>
            </w:tcMar>
            <w:vAlign w:val="center"/>
          </w:tcPr>
          <w:p>
            <w:pPr>
              <w:pStyle w:val="TableContents"/>
              <w:spacing w:before="0" w:after="283"/>
              <w:jc w:val="right"/>
              <w:rPr/>
            </w:pPr>
            <w:r>
              <w:rPr/>
              <w:t>585,532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283"/>
              <w:rPr/>
            </w:pPr>
            <w:r>
              <w:rPr/>
              <w:t>$</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2,584,913</w:t>
            </w:r>
          </w:p>
        </w:tc>
        <w:tc>
          <w:tcPr>
            <w:tcW w:w="135" w:type="dxa"/>
            <w:tcBorders/>
            <w:shd w:fill="CCEEFF" w:val="clear"/>
            <w:vAlign w:val="center"/>
          </w:tcPr>
          <w:p>
            <w:pPr>
              <w:pStyle w:val="TableContents"/>
              <w:spacing w:before="0" w:after="0"/>
              <w:ind w:left="0" w:right="0" w:hanging="0"/>
              <w:rPr/>
            </w:pPr>
            <w:r>
              <w:rPr/>
              <w:t> </w:t>
            </w:r>
          </w:p>
        </w:tc>
      </w:tr>
      <w:tr>
        <w:trPr/>
        <w:tc>
          <w:tcPr>
            <w:tcW w:w="171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Total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010" w:type="dxa"/>
            <w:tcBorders>
              <w:bottom w:val="double" w:sz="6" w:space="0" w:color="000000"/>
            </w:tcBorders>
            <w:shd w:fill="FFFFFF" w:val="clear"/>
            <w:tcMar>
              <w:bottom w:w="28" w:type="dxa"/>
            </w:tcMar>
            <w:vAlign w:val="center"/>
          </w:tcPr>
          <w:p>
            <w:pPr>
              <w:pStyle w:val="TableContents"/>
              <w:spacing w:before="0" w:after="283"/>
              <w:jc w:val="right"/>
              <w:rPr/>
            </w:pPr>
            <w:r>
              <w:rPr/>
              <w:t>1,999,381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010" w:type="dxa"/>
            <w:tcBorders>
              <w:bottom w:val="double" w:sz="6" w:space="0" w:color="000000"/>
            </w:tcBorders>
            <w:shd w:fill="FFFFFF" w:val="clear"/>
            <w:tcMar>
              <w:bottom w:w="28" w:type="dxa"/>
            </w:tcMar>
            <w:vAlign w:val="center"/>
          </w:tcPr>
          <w:p>
            <w:pPr>
              <w:pStyle w:val="TableContents"/>
              <w:spacing w:before="0" w:after="283"/>
              <w:jc w:val="right"/>
              <w:rPr/>
            </w:pPr>
            <w:r>
              <w:rPr/>
              <w:t>1,519,245</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010" w:type="dxa"/>
            <w:tcBorders>
              <w:bottom w:val="double" w:sz="6" w:space="0" w:color="000000"/>
            </w:tcBorders>
            <w:shd w:fill="FFFFFF" w:val="clear"/>
            <w:tcMar>
              <w:bottom w:w="28" w:type="dxa"/>
            </w:tcMar>
            <w:vAlign w:val="center"/>
          </w:tcPr>
          <w:p>
            <w:pPr>
              <w:pStyle w:val="TableContents"/>
              <w:spacing w:before="0" w:after="283"/>
              <w:jc w:val="right"/>
              <w:rPr/>
            </w:pPr>
            <w:r>
              <w:rPr/>
              <w:t>3,518,626</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010" w:type="dxa"/>
            <w:tcBorders>
              <w:bottom w:val="double" w:sz="6" w:space="0" w:color="000000"/>
            </w:tcBorders>
            <w:shd w:fill="FFFFFF" w:val="clear"/>
            <w:tcMar>
              <w:bottom w:w="28" w:type="dxa"/>
            </w:tcMar>
            <w:vAlign w:val="center"/>
          </w:tcPr>
          <w:p>
            <w:pPr>
              <w:pStyle w:val="TableContents"/>
              <w:spacing w:before="0" w:after="283"/>
              <w:jc w:val="right"/>
              <w:rPr/>
            </w:pPr>
            <w:r>
              <w:rPr/>
              <w:t>1,999,381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830" w:type="dxa"/>
            <w:tcBorders>
              <w:bottom w:val="double" w:sz="6" w:space="0" w:color="000000"/>
            </w:tcBorders>
            <w:shd w:fill="FFFFFF" w:val="clear"/>
            <w:tcMar>
              <w:bottom w:w="28" w:type="dxa"/>
            </w:tcMar>
            <w:vAlign w:val="center"/>
          </w:tcPr>
          <w:p>
            <w:pPr>
              <w:pStyle w:val="TableContents"/>
              <w:spacing w:before="0" w:after="283"/>
              <w:jc w:val="right"/>
              <w:rPr/>
            </w:pPr>
            <w:r>
              <w:rPr/>
              <w:t>585,532</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010" w:type="dxa"/>
            <w:tcBorders>
              <w:bottom w:val="double" w:sz="6" w:space="0" w:color="000000"/>
            </w:tcBorders>
            <w:shd w:fill="FFFFFF" w:val="clear"/>
            <w:tcMar>
              <w:bottom w:w="28" w:type="dxa"/>
            </w:tcMar>
            <w:vAlign w:val="center"/>
          </w:tcPr>
          <w:p>
            <w:pPr>
              <w:pStyle w:val="TableContents"/>
              <w:spacing w:before="0" w:after="283"/>
              <w:jc w:val="right"/>
              <w:rPr/>
            </w:pPr>
            <w:r>
              <w:rPr/>
              <w:t>2,584,913</w:t>
            </w:r>
          </w:p>
        </w:tc>
        <w:tc>
          <w:tcPr>
            <w:tcW w:w="135" w:type="dxa"/>
            <w:tcBorders/>
            <w:shd w:fill="FFFF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F-17</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2020 AND 2019</w:t>
      </w:r>
    </w:p>
    <w:p>
      <w:pPr>
        <w:pStyle w:val="TextBody"/>
        <w:spacing w:before="0" w:after="0"/>
        <w:ind w:left="0" w:right="0" w:hanging="0"/>
        <w:jc w:val="center"/>
        <w:rPr/>
      </w:pPr>
      <w:r>
        <w:rPr>
          <w:rStyle w:val="StrongEmphasis"/>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Held-to-Maturity Securities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cost or amortized cost and estimated fair value of, and unrealized gross gains and losses on, investments in held-to-maturity fixed-maturity securities as of December 31, 2020 and 2019 are summarized as follows:</w:t>
      </w:r>
    </w:p>
    <w:p>
      <w:pPr>
        <w:pStyle w:val="TextBody"/>
        <w:spacing w:before="0" w:after="0"/>
        <w:ind w:left="0" w:right="0" w:hanging="0"/>
        <w:jc w:val="both"/>
        <w:rPr/>
      </w:pPr>
      <w:r>
        <w:rPr/>
        <w:t> </w:t>
      </w:r>
    </w:p>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2236"/>
        <w:gridCol w:w="90"/>
        <w:gridCol w:w="170"/>
        <w:gridCol w:w="1010"/>
        <w:gridCol w:w="90"/>
        <w:gridCol w:w="90"/>
        <w:gridCol w:w="180"/>
        <w:gridCol w:w="887"/>
        <w:gridCol w:w="90"/>
        <w:gridCol w:w="90"/>
        <w:gridCol w:w="629"/>
        <w:gridCol w:w="379"/>
        <w:gridCol w:w="204"/>
        <w:gridCol w:w="204"/>
        <w:gridCol w:w="659"/>
        <w:gridCol w:w="406"/>
        <w:gridCol w:w="90"/>
        <w:gridCol w:w="90"/>
        <w:gridCol w:w="170"/>
        <w:gridCol w:w="1010"/>
        <w:gridCol w:w="90"/>
        <w:gridCol w:w="90"/>
        <w:gridCol w:w="188"/>
        <w:gridCol w:w="924"/>
        <w:gridCol w:w="139"/>
      </w:tblGrid>
      <w:tr>
        <w:trPr/>
        <w:tc>
          <w:tcPr>
            <w:tcW w:w="2236"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740" w:type="dxa"/>
            <w:gridSpan w:val="2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2020</w:t>
            </w:r>
          </w:p>
        </w:tc>
        <w:tc>
          <w:tcPr>
            <w:tcW w:w="139" w:type="dxa"/>
            <w:tcBorders/>
            <w:shd w:fill="auto" w:val="clear"/>
            <w:vAlign w:val="center"/>
          </w:tcPr>
          <w:p>
            <w:pPr>
              <w:pStyle w:val="TableContents"/>
              <w:spacing w:before="0" w:after="0"/>
              <w:ind w:left="0" w:right="0" w:hanging="0"/>
              <w:rPr/>
            </w:pPr>
            <w:r>
              <w:rPr/>
              <w:t> </w:t>
            </w:r>
          </w:p>
        </w:tc>
      </w:tr>
      <w:tr>
        <w:trPr/>
        <w:tc>
          <w:tcPr>
            <w:tcW w:w="2236"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67"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8" w:type="dxa"/>
            <w:gridSpan w:val="2"/>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0"/>
              <w:ind w:left="0" w:right="0" w:hanging="0"/>
              <w:rPr/>
            </w:pPr>
            <w:r>
              <w:rPr/>
              <w:t> </w:t>
            </w:r>
          </w:p>
        </w:tc>
        <w:tc>
          <w:tcPr>
            <w:tcW w:w="204" w:type="dxa"/>
            <w:tcBorders/>
            <w:shd w:fill="auto" w:val="clear"/>
            <w:vAlign w:val="center"/>
          </w:tcPr>
          <w:p>
            <w:pPr>
              <w:pStyle w:val="TableContents"/>
              <w:spacing w:before="0" w:after="0"/>
              <w:ind w:left="0" w:right="0" w:hanging="0"/>
              <w:rPr/>
            </w:pPr>
            <w:r>
              <w:rPr/>
              <w:t> </w:t>
            </w:r>
          </w:p>
        </w:tc>
        <w:tc>
          <w:tcPr>
            <w:tcW w:w="1065"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12" w:type="dxa"/>
            <w:gridSpan w:val="2"/>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0"/>
              <w:ind w:left="0" w:right="0" w:hanging="0"/>
              <w:rPr/>
            </w:pPr>
            <w:r>
              <w:rPr/>
              <w:t> </w:t>
            </w:r>
          </w:p>
        </w:tc>
      </w:tr>
      <w:tr>
        <w:trPr/>
        <w:tc>
          <w:tcPr>
            <w:tcW w:w="2236"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Cost or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67"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Gross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481"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Gross Unrealized Losses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Estimated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12"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Net </w:t>
            </w:r>
          </w:p>
        </w:tc>
        <w:tc>
          <w:tcPr>
            <w:tcW w:w="139" w:type="dxa"/>
            <w:tcBorders/>
            <w:shd w:fill="auto" w:val="clear"/>
            <w:vAlign w:val="center"/>
          </w:tcPr>
          <w:p>
            <w:pPr>
              <w:pStyle w:val="TableContents"/>
              <w:spacing w:before="0" w:after="0"/>
              <w:ind w:left="0" w:right="0" w:hanging="0"/>
              <w:rPr/>
            </w:pPr>
            <w:r>
              <w:rPr/>
              <w:t> </w:t>
            </w:r>
          </w:p>
        </w:tc>
      </w:tr>
      <w:tr>
        <w:trPr/>
        <w:tc>
          <w:tcPr>
            <w:tcW w:w="2236"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Amortized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67"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Unrealized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8"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Less than 12 </w:t>
            </w:r>
          </w:p>
        </w:tc>
        <w:tc>
          <w:tcPr>
            <w:tcW w:w="204" w:type="dxa"/>
            <w:tcBorders/>
            <w:shd w:fill="auto" w:val="clear"/>
            <w:vAlign w:val="center"/>
          </w:tcPr>
          <w:p>
            <w:pPr>
              <w:pStyle w:val="TableContents"/>
              <w:spacing w:before="0" w:after="0"/>
              <w:ind w:left="0" w:right="0" w:hanging="0"/>
              <w:rPr/>
            </w:pPr>
            <w:r>
              <w:rPr/>
              <w:t> </w:t>
            </w:r>
          </w:p>
        </w:tc>
        <w:tc>
          <w:tcPr>
            <w:tcW w:w="204" w:type="dxa"/>
            <w:tcBorders/>
            <w:shd w:fill="auto" w:val="clear"/>
            <w:vAlign w:val="center"/>
          </w:tcPr>
          <w:p>
            <w:pPr>
              <w:pStyle w:val="TableContents"/>
              <w:spacing w:before="0" w:after="0"/>
              <w:ind w:left="0" w:right="0" w:hanging="0"/>
              <w:rPr/>
            </w:pPr>
            <w:r>
              <w:rPr/>
              <w:t> </w:t>
            </w:r>
          </w:p>
        </w:tc>
        <w:tc>
          <w:tcPr>
            <w:tcW w:w="1065"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More than 12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Fair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12"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Unrealized  </w:t>
            </w:r>
          </w:p>
        </w:tc>
        <w:tc>
          <w:tcPr>
            <w:tcW w:w="139" w:type="dxa"/>
            <w:tcBorders/>
            <w:shd w:fill="auto" w:val="clear"/>
            <w:vAlign w:val="center"/>
          </w:tcPr>
          <w:p>
            <w:pPr>
              <w:pStyle w:val="TableContents"/>
              <w:spacing w:before="0" w:after="0"/>
              <w:ind w:left="0" w:right="0" w:hanging="0"/>
              <w:rPr/>
            </w:pPr>
            <w:r>
              <w:rPr/>
              <w:t> </w:t>
            </w:r>
          </w:p>
        </w:tc>
      </w:tr>
      <w:tr>
        <w:trPr/>
        <w:tc>
          <w:tcPr>
            <w:tcW w:w="2236"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Fonts w:ascii="times new roman" w:hAnsi="times new roman"/>
                <w:sz w:val="20"/>
              </w:rPr>
              <w:t xml:space="preserve">Category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Cost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6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Gains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Months </w:t>
            </w:r>
          </w:p>
        </w:tc>
        <w:tc>
          <w:tcPr>
            <w:tcW w:w="204" w:type="dxa"/>
            <w:tcBorders/>
            <w:shd w:fill="auto" w:val="clear"/>
            <w:vAlign w:val="center"/>
          </w:tcPr>
          <w:p>
            <w:pPr>
              <w:pStyle w:val="TableContents"/>
              <w:spacing w:before="0" w:after="0"/>
              <w:ind w:left="0" w:right="0" w:hanging="0"/>
              <w:rPr/>
            </w:pPr>
            <w:r>
              <w:rPr/>
              <w:t> </w:t>
            </w:r>
          </w:p>
        </w:tc>
        <w:tc>
          <w:tcPr>
            <w:tcW w:w="204" w:type="dxa"/>
            <w:tcBorders/>
            <w:shd w:fill="auto" w:val="clear"/>
            <w:vAlign w:val="center"/>
          </w:tcPr>
          <w:p>
            <w:pPr>
              <w:pStyle w:val="TableContents"/>
              <w:spacing w:before="0" w:after="0"/>
              <w:ind w:left="0" w:right="0" w:hanging="0"/>
              <w:rPr/>
            </w:pPr>
            <w:r>
              <w:rPr/>
              <w:t> </w:t>
            </w:r>
          </w:p>
        </w:tc>
        <w:tc>
          <w:tcPr>
            <w:tcW w:w="106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Months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Value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1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Gains </w:t>
            </w:r>
          </w:p>
        </w:tc>
        <w:tc>
          <w:tcPr>
            <w:tcW w:w="139" w:type="dxa"/>
            <w:tcBorders/>
            <w:shd w:fill="auto" w:val="clear"/>
            <w:vAlign w:val="center"/>
          </w:tcPr>
          <w:p>
            <w:pPr>
              <w:pStyle w:val="TableContents"/>
              <w:spacing w:before="0" w:after="0"/>
              <w:ind w:left="0" w:right="0" w:hanging="0"/>
              <w:rPr/>
            </w:pPr>
            <w:r>
              <w:rPr/>
              <w:t> </w:t>
            </w:r>
          </w:p>
        </w:tc>
      </w:tr>
      <w:tr>
        <w:trPr/>
        <w:tc>
          <w:tcPr>
            <w:tcW w:w="2236"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80" w:type="dxa"/>
            <w:tcBorders/>
            <w:shd w:fill="auto" w:val="clear"/>
            <w:vAlign w:val="center"/>
          </w:tcPr>
          <w:p>
            <w:pPr>
              <w:pStyle w:val="TableContents"/>
              <w:spacing w:before="0" w:after="0"/>
              <w:ind w:left="0" w:right="0" w:hanging="0"/>
              <w:rPr/>
            </w:pPr>
            <w:r>
              <w:rPr/>
              <w:t> </w:t>
            </w:r>
          </w:p>
        </w:tc>
        <w:tc>
          <w:tcPr>
            <w:tcW w:w="887"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5362" w:type="dxa"/>
            <w:gridSpan w:val="16"/>
            <w:tcBorders/>
            <w:shd w:fill="auto" w:val="clear"/>
            <w:vAlign w:val="center"/>
          </w:tcPr>
          <w:p>
            <w:pPr>
              <w:pStyle w:val="TableContents"/>
              <w:spacing w:before="0" w:after="0"/>
              <w:ind w:left="0" w:right="0" w:hanging="0"/>
              <w:rPr/>
            </w:pPr>
            <w:r>
              <w:rPr/>
              <w:t> </w:t>
            </w:r>
          </w:p>
        </w:tc>
      </w:tr>
      <w:tr>
        <w:trPr/>
        <w:tc>
          <w:tcPr>
            <w:tcW w:w="2236" w:type="dxa"/>
            <w:tcBorders/>
            <w:shd w:fill="auto" w:val="clear"/>
            <w:vAlign w:val="center"/>
          </w:tcPr>
          <w:p>
            <w:pPr>
              <w:pStyle w:val="TableContents"/>
              <w:spacing w:before="0" w:after="0"/>
              <w:ind w:left="0" w:right="0" w:hanging="0"/>
              <w:rPr/>
            </w:pPr>
            <w:r>
              <w:rPr>
                <w:rStyle w:val="StrongEmphasis"/>
                <w:rFonts w:ascii="times new roman" w:hAnsi="times new roman"/>
                <w:sz w:val="20"/>
              </w:rPr>
              <w:t xml:space="preserve">Held-to-Maturity Securities: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67"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8" w:type="dxa"/>
            <w:gridSpan w:val="2"/>
            <w:tcBorders/>
            <w:shd w:fill="auto" w:val="clear"/>
            <w:vAlign w:val="center"/>
          </w:tcPr>
          <w:p>
            <w:pPr>
              <w:pStyle w:val="TableContents"/>
              <w:spacing w:before="0" w:after="0"/>
              <w:ind w:left="0" w:right="0" w:hanging="0"/>
              <w:rPr/>
            </w:pPr>
            <w:r>
              <w:rPr/>
              <w:t> </w:t>
            </w:r>
          </w:p>
        </w:tc>
        <w:tc>
          <w:tcPr>
            <w:tcW w:w="204" w:type="dxa"/>
            <w:tcBorders/>
            <w:shd w:fill="auto" w:val="clear"/>
            <w:vAlign w:val="center"/>
          </w:tcPr>
          <w:p>
            <w:pPr>
              <w:pStyle w:val="TableContents"/>
              <w:spacing w:before="0" w:after="0"/>
              <w:ind w:left="0" w:right="0" w:hanging="0"/>
              <w:rPr/>
            </w:pPr>
            <w:r>
              <w:rPr/>
              <w:t> </w:t>
            </w:r>
          </w:p>
        </w:tc>
        <w:tc>
          <w:tcPr>
            <w:tcW w:w="204" w:type="dxa"/>
            <w:tcBorders/>
            <w:shd w:fill="auto" w:val="clear"/>
            <w:vAlign w:val="center"/>
          </w:tcPr>
          <w:p>
            <w:pPr>
              <w:pStyle w:val="TableContents"/>
              <w:spacing w:before="0" w:after="0"/>
              <w:ind w:left="0" w:right="0" w:hanging="0"/>
              <w:rPr/>
            </w:pPr>
            <w:r>
              <w:rPr/>
              <w:t> </w:t>
            </w:r>
          </w:p>
        </w:tc>
        <w:tc>
          <w:tcPr>
            <w:tcW w:w="1065"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12" w:type="dxa"/>
            <w:gridSpan w:val="2"/>
            <w:tcBorders/>
            <w:shd w:fill="auto" w:val="clear"/>
            <w:vAlign w:val="center"/>
          </w:tcPr>
          <w:p>
            <w:pPr>
              <w:pStyle w:val="TableContents"/>
              <w:spacing w:before="0" w:after="0"/>
              <w:ind w:left="0" w:right="0" w:hanging="0"/>
              <w:rPr/>
            </w:pPr>
            <w:r>
              <w:rPr/>
              <w:t> </w:t>
            </w:r>
          </w:p>
        </w:tc>
        <w:tc>
          <w:tcPr>
            <w:tcW w:w="139" w:type="dxa"/>
            <w:tcBorders/>
            <w:shd w:fill="auto" w:val="clear"/>
            <w:vAlign w:val="center"/>
          </w:tcPr>
          <w:p>
            <w:pPr>
              <w:pStyle w:val="TableContents"/>
              <w:spacing w:before="0" w:after="0"/>
              <w:ind w:left="0" w:right="0" w:hanging="0"/>
              <w:rPr/>
            </w:pPr>
            <w:r>
              <w:rPr/>
              <w:t> </w:t>
            </w:r>
          </w:p>
        </w:tc>
      </w:tr>
      <w:tr>
        <w:trPr/>
        <w:tc>
          <w:tcPr>
            <w:tcW w:w="223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U.S. Treasury securities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729,595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0" w:type="dxa"/>
            <w:tcBorders/>
            <w:shd w:fill="CCEEFF" w:val="clear"/>
            <w:vAlign w:val="center"/>
          </w:tcPr>
          <w:p>
            <w:pPr>
              <w:pStyle w:val="TableContents"/>
              <w:spacing w:before="0" w:after="283"/>
              <w:rPr/>
            </w:pPr>
            <w:r>
              <w:rPr/>
              <w:t>$</w:t>
            </w:r>
          </w:p>
        </w:tc>
        <w:tc>
          <w:tcPr>
            <w:tcW w:w="887" w:type="dxa"/>
            <w:tcBorders/>
            <w:shd w:fill="CCEEFF" w:val="clear"/>
            <w:vAlign w:val="center"/>
          </w:tcPr>
          <w:p>
            <w:pPr>
              <w:pStyle w:val="TableContents"/>
              <w:spacing w:before="0" w:after="283"/>
              <w:jc w:val="right"/>
              <w:rPr/>
            </w:pPr>
            <w:r>
              <w:rPr/>
              <w:t>319,714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629" w:type="dxa"/>
            <w:tcBorders/>
            <w:shd w:fill="CCEEFF" w:val="clear"/>
            <w:vAlign w:val="center"/>
          </w:tcPr>
          <w:p>
            <w:pPr>
              <w:pStyle w:val="TableContents"/>
              <w:spacing w:before="0" w:after="283"/>
              <w:rPr/>
            </w:pPr>
            <w:r>
              <w:rPr/>
              <w:t>$</w:t>
            </w:r>
          </w:p>
        </w:tc>
        <w:tc>
          <w:tcPr>
            <w:tcW w:w="379" w:type="dxa"/>
            <w:tcBorders/>
            <w:shd w:fill="CCEEFF" w:val="clear"/>
            <w:vAlign w:val="center"/>
          </w:tcPr>
          <w:p>
            <w:pPr>
              <w:pStyle w:val="TableContents"/>
              <w:spacing w:before="0" w:after="283"/>
              <w:jc w:val="right"/>
              <w:rPr/>
            </w:pPr>
            <w:r>
              <w:rPr/>
              <w:t>-</w:t>
            </w:r>
          </w:p>
        </w:tc>
        <w:tc>
          <w:tcPr>
            <w:tcW w:w="204" w:type="dxa"/>
            <w:tcBorders/>
            <w:shd w:fill="CCEEFF" w:val="clear"/>
            <w:vAlign w:val="center"/>
          </w:tcPr>
          <w:p>
            <w:pPr>
              <w:pStyle w:val="TableContents"/>
              <w:spacing w:before="0" w:after="0"/>
              <w:ind w:left="0" w:right="0" w:hanging="0"/>
              <w:rPr/>
            </w:pPr>
            <w:r>
              <w:rPr/>
              <w:t> </w:t>
            </w:r>
          </w:p>
        </w:tc>
        <w:tc>
          <w:tcPr>
            <w:tcW w:w="204" w:type="dxa"/>
            <w:tcBorders/>
            <w:shd w:fill="CCEEFF" w:val="clear"/>
            <w:vAlign w:val="center"/>
          </w:tcPr>
          <w:p>
            <w:pPr>
              <w:pStyle w:val="TableContents"/>
              <w:spacing w:before="0" w:after="0"/>
              <w:ind w:left="0" w:right="0" w:hanging="0"/>
              <w:rPr/>
            </w:pPr>
            <w:r>
              <w:rPr/>
              <w:t> </w:t>
            </w:r>
          </w:p>
        </w:tc>
        <w:tc>
          <w:tcPr>
            <w:tcW w:w="659" w:type="dxa"/>
            <w:tcBorders/>
            <w:shd w:fill="CCEEFF" w:val="clear"/>
            <w:vAlign w:val="center"/>
          </w:tcPr>
          <w:p>
            <w:pPr>
              <w:pStyle w:val="TableContents"/>
              <w:spacing w:before="0" w:after="283"/>
              <w:rPr/>
            </w:pPr>
            <w:r>
              <w:rPr/>
              <w:t>$</w:t>
            </w:r>
          </w:p>
        </w:tc>
        <w:tc>
          <w:tcPr>
            <w:tcW w:w="406"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1,049,309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8" w:type="dxa"/>
            <w:tcBorders/>
            <w:shd w:fill="CCEEFF" w:val="clear"/>
            <w:vAlign w:val="center"/>
          </w:tcPr>
          <w:p>
            <w:pPr>
              <w:pStyle w:val="TableContents"/>
              <w:spacing w:before="0" w:after="283"/>
              <w:rPr/>
            </w:pPr>
            <w:r>
              <w:rPr/>
              <w:t>$</w:t>
            </w:r>
          </w:p>
        </w:tc>
        <w:tc>
          <w:tcPr>
            <w:tcW w:w="924" w:type="dxa"/>
            <w:tcBorders/>
            <w:shd w:fill="CCEEFF" w:val="clear"/>
            <w:vAlign w:val="center"/>
          </w:tcPr>
          <w:p>
            <w:pPr>
              <w:pStyle w:val="TableContents"/>
              <w:spacing w:before="0" w:after="283"/>
              <w:jc w:val="right"/>
              <w:rPr/>
            </w:pPr>
            <w:r>
              <w:rPr/>
              <w:t>319,714</w:t>
            </w:r>
          </w:p>
        </w:tc>
        <w:tc>
          <w:tcPr>
            <w:tcW w:w="139" w:type="dxa"/>
            <w:tcBorders/>
            <w:shd w:fill="CCEEFF" w:val="clear"/>
            <w:vAlign w:val="center"/>
          </w:tcPr>
          <w:p>
            <w:pPr>
              <w:pStyle w:val="TableContents"/>
              <w:spacing w:before="0" w:after="0"/>
              <w:ind w:left="0" w:right="0" w:hanging="0"/>
              <w:rPr/>
            </w:pPr>
            <w:r>
              <w:rPr/>
              <w:t> </w:t>
            </w:r>
          </w:p>
        </w:tc>
      </w:tr>
      <w:tr>
        <w:trPr/>
        <w:tc>
          <w:tcPr>
            <w:tcW w:w="2236"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0" w:type="dxa"/>
            <w:tcBorders/>
            <w:shd w:fill="FFFFFF" w:val="clear"/>
            <w:vAlign w:val="center"/>
          </w:tcPr>
          <w:p>
            <w:pPr>
              <w:pStyle w:val="TableContents"/>
              <w:spacing w:before="0" w:after="0"/>
              <w:ind w:left="0" w:right="0" w:hanging="0"/>
              <w:rPr/>
            </w:pPr>
            <w:r>
              <w:rPr/>
              <w:t> </w:t>
            </w:r>
          </w:p>
        </w:tc>
        <w:tc>
          <w:tcPr>
            <w:tcW w:w="887"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629" w:type="dxa"/>
            <w:tcBorders/>
            <w:shd w:fill="FFFFFF" w:val="clear"/>
            <w:vAlign w:val="center"/>
          </w:tcPr>
          <w:p>
            <w:pPr>
              <w:pStyle w:val="TableContents"/>
              <w:spacing w:before="0" w:after="0"/>
              <w:ind w:left="0" w:right="0" w:hanging="0"/>
              <w:rPr/>
            </w:pPr>
            <w:r>
              <w:rPr/>
              <w:t> </w:t>
            </w:r>
          </w:p>
        </w:tc>
        <w:tc>
          <w:tcPr>
            <w:tcW w:w="379" w:type="dxa"/>
            <w:tcBorders/>
            <w:shd w:fill="FFFFFF" w:val="clear"/>
            <w:vAlign w:val="center"/>
          </w:tcPr>
          <w:p>
            <w:pPr>
              <w:pStyle w:val="TableContents"/>
              <w:spacing w:before="0" w:after="0"/>
              <w:ind w:left="0" w:right="0" w:hanging="0"/>
              <w:rPr/>
            </w:pPr>
            <w:r>
              <w:rPr/>
              <w:t> </w:t>
            </w:r>
          </w:p>
        </w:tc>
        <w:tc>
          <w:tcPr>
            <w:tcW w:w="204" w:type="dxa"/>
            <w:tcBorders/>
            <w:shd w:fill="FFFFFF" w:val="clear"/>
            <w:vAlign w:val="center"/>
          </w:tcPr>
          <w:p>
            <w:pPr>
              <w:pStyle w:val="TableContents"/>
              <w:spacing w:before="0" w:after="0"/>
              <w:ind w:left="0" w:right="0" w:hanging="0"/>
              <w:rPr/>
            </w:pPr>
            <w:r>
              <w:rPr/>
              <w:t> </w:t>
            </w:r>
          </w:p>
        </w:tc>
        <w:tc>
          <w:tcPr>
            <w:tcW w:w="204" w:type="dxa"/>
            <w:tcBorders/>
            <w:shd w:fill="FFFFFF" w:val="clear"/>
            <w:vAlign w:val="center"/>
          </w:tcPr>
          <w:p>
            <w:pPr>
              <w:pStyle w:val="TableContents"/>
              <w:spacing w:before="0" w:after="0"/>
              <w:ind w:left="0" w:right="0" w:hanging="0"/>
              <w:rPr/>
            </w:pPr>
            <w:r>
              <w:rPr/>
              <w:t> </w:t>
            </w:r>
          </w:p>
        </w:tc>
        <w:tc>
          <w:tcPr>
            <w:tcW w:w="659" w:type="dxa"/>
            <w:tcBorders/>
            <w:shd w:fill="FFFFFF" w:val="clear"/>
            <w:vAlign w:val="center"/>
          </w:tcPr>
          <w:p>
            <w:pPr>
              <w:pStyle w:val="TableContents"/>
              <w:spacing w:before="0" w:after="0"/>
              <w:ind w:left="0" w:right="0" w:hanging="0"/>
              <w:rPr/>
            </w:pPr>
            <w:r>
              <w:rPr/>
              <w:t> </w:t>
            </w:r>
          </w:p>
        </w:tc>
        <w:tc>
          <w:tcPr>
            <w:tcW w:w="406"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8" w:type="dxa"/>
            <w:tcBorders/>
            <w:shd w:fill="FFFFFF" w:val="clear"/>
            <w:vAlign w:val="center"/>
          </w:tcPr>
          <w:p>
            <w:pPr>
              <w:pStyle w:val="TableContents"/>
              <w:spacing w:before="0" w:after="0"/>
              <w:ind w:left="0" w:right="0" w:hanging="0"/>
              <w:rPr/>
            </w:pPr>
            <w:r>
              <w:rPr/>
              <w:t> </w:t>
            </w:r>
          </w:p>
        </w:tc>
        <w:tc>
          <w:tcPr>
            <w:tcW w:w="924" w:type="dxa"/>
            <w:tcBorders/>
            <w:shd w:fill="FFFFFF" w:val="clear"/>
            <w:vAlign w:val="center"/>
          </w:tcPr>
          <w:p>
            <w:pPr>
              <w:pStyle w:val="TableContents"/>
              <w:spacing w:before="0" w:after="0"/>
              <w:ind w:left="0" w:right="0" w:hanging="0"/>
              <w:rPr/>
            </w:pPr>
            <w:r>
              <w:rPr/>
              <w:t> </w:t>
            </w:r>
          </w:p>
        </w:tc>
        <w:tc>
          <w:tcPr>
            <w:tcW w:w="139" w:type="dxa"/>
            <w:tcBorders/>
            <w:shd w:fill="FFFFFF" w:val="clear"/>
            <w:vAlign w:val="center"/>
          </w:tcPr>
          <w:p>
            <w:pPr>
              <w:pStyle w:val="TableContents"/>
              <w:spacing w:before="0" w:after="0"/>
              <w:ind w:left="0" w:right="0" w:hanging="0"/>
              <w:rPr/>
            </w:pPr>
            <w:r>
              <w:rPr/>
              <w:t> </w:t>
            </w:r>
          </w:p>
        </w:tc>
      </w:tr>
      <w:tr>
        <w:trPr/>
        <w:tc>
          <w:tcPr>
            <w:tcW w:w="223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Political subdivisions of States,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0" w:type="dxa"/>
            <w:tcBorders/>
            <w:shd w:fill="CCEEFF" w:val="clear"/>
            <w:vAlign w:val="center"/>
          </w:tcPr>
          <w:p>
            <w:pPr>
              <w:pStyle w:val="TableContents"/>
              <w:spacing w:before="0" w:after="0"/>
              <w:ind w:left="0" w:right="0" w:hanging="0"/>
              <w:rPr/>
            </w:pPr>
            <w:r>
              <w:rPr/>
              <w:t> </w:t>
            </w:r>
          </w:p>
        </w:tc>
        <w:tc>
          <w:tcPr>
            <w:tcW w:w="887"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629" w:type="dxa"/>
            <w:tcBorders/>
            <w:shd w:fill="CCEEFF" w:val="clear"/>
            <w:vAlign w:val="center"/>
          </w:tcPr>
          <w:p>
            <w:pPr>
              <w:pStyle w:val="TableContents"/>
              <w:spacing w:before="0" w:after="0"/>
              <w:ind w:left="0" w:right="0" w:hanging="0"/>
              <w:rPr/>
            </w:pPr>
            <w:r>
              <w:rPr/>
              <w:t> </w:t>
            </w:r>
          </w:p>
        </w:tc>
        <w:tc>
          <w:tcPr>
            <w:tcW w:w="379" w:type="dxa"/>
            <w:tcBorders/>
            <w:shd w:fill="CCEEFF" w:val="clear"/>
            <w:vAlign w:val="center"/>
          </w:tcPr>
          <w:p>
            <w:pPr>
              <w:pStyle w:val="TableContents"/>
              <w:spacing w:before="0" w:after="0"/>
              <w:ind w:left="0" w:right="0" w:hanging="0"/>
              <w:rPr/>
            </w:pPr>
            <w:r>
              <w:rPr/>
              <w:t> </w:t>
            </w:r>
          </w:p>
        </w:tc>
        <w:tc>
          <w:tcPr>
            <w:tcW w:w="204" w:type="dxa"/>
            <w:tcBorders/>
            <w:shd w:fill="CCEEFF" w:val="clear"/>
            <w:vAlign w:val="center"/>
          </w:tcPr>
          <w:p>
            <w:pPr>
              <w:pStyle w:val="TableContents"/>
              <w:spacing w:before="0" w:after="0"/>
              <w:ind w:left="0" w:right="0" w:hanging="0"/>
              <w:rPr/>
            </w:pPr>
            <w:r>
              <w:rPr/>
              <w:t> </w:t>
            </w:r>
          </w:p>
        </w:tc>
        <w:tc>
          <w:tcPr>
            <w:tcW w:w="204" w:type="dxa"/>
            <w:tcBorders/>
            <w:shd w:fill="CCEEFF" w:val="clear"/>
            <w:vAlign w:val="center"/>
          </w:tcPr>
          <w:p>
            <w:pPr>
              <w:pStyle w:val="TableContents"/>
              <w:spacing w:before="0" w:after="0"/>
              <w:ind w:left="0" w:right="0" w:hanging="0"/>
              <w:rPr/>
            </w:pPr>
            <w:r>
              <w:rPr/>
              <w:t> </w:t>
            </w:r>
          </w:p>
        </w:tc>
        <w:tc>
          <w:tcPr>
            <w:tcW w:w="659" w:type="dxa"/>
            <w:tcBorders/>
            <w:shd w:fill="CCEEFF" w:val="clear"/>
            <w:vAlign w:val="center"/>
          </w:tcPr>
          <w:p>
            <w:pPr>
              <w:pStyle w:val="TableContents"/>
              <w:spacing w:before="0" w:after="0"/>
              <w:ind w:left="0" w:right="0" w:hanging="0"/>
              <w:rPr/>
            </w:pPr>
            <w:r>
              <w:rPr/>
              <w:t> </w:t>
            </w:r>
          </w:p>
        </w:tc>
        <w:tc>
          <w:tcPr>
            <w:tcW w:w="406"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8" w:type="dxa"/>
            <w:tcBorders/>
            <w:shd w:fill="CCEEFF" w:val="clear"/>
            <w:vAlign w:val="center"/>
          </w:tcPr>
          <w:p>
            <w:pPr>
              <w:pStyle w:val="TableContents"/>
              <w:spacing w:before="0" w:after="0"/>
              <w:ind w:left="0" w:right="0" w:hanging="0"/>
              <w:rPr/>
            </w:pPr>
            <w:r>
              <w:rPr/>
              <w:t> </w:t>
            </w:r>
          </w:p>
        </w:tc>
        <w:tc>
          <w:tcPr>
            <w:tcW w:w="924" w:type="dxa"/>
            <w:tcBorders/>
            <w:shd w:fill="CCEEFF" w:val="clear"/>
            <w:vAlign w:val="center"/>
          </w:tcPr>
          <w:p>
            <w:pPr>
              <w:pStyle w:val="TableContents"/>
              <w:spacing w:before="0" w:after="0"/>
              <w:ind w:left="0" w:right="0" w:hanging="0"/>
              <w:rPr/>
            </w:pPr>
            <w:r>
              <w:rPr/>
              <w:t> </w:t>
            </w:r>
          </w:p>
        </w:tc>
        <w:tc>
          <w:tcPr>
            <w:tcW w:w="139" w:type="dxa"/>
            <w:tcBorders/>
            <w:shd w:fill="CCEEFF" w:val="clear"/>
            <w:vAlign w:val="center"/>
          </w:tcPr>
          <w:p>
            <w:pPr>
              <w:pStyle w:val="TableContents"/>
              <w:spacing w:before="0" w:after="0"/>
              <w:ind w:left="0" w:right="0" w:hanging="0"/>
              <w:rPr/>
            </w:pPr>
            <w:r>
              <w:rPr/>
              <w:t> </w:t>
            </w:r>
          </w:p>
        </w:tc>
      </w:tr>
      <w:tr>
        <w:trPr/>
        <w:tc>
          <w:tcPr>
            <w:tcW w:w="2236"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Territories and Possessions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998,428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0" w:type="dxa"/>
            <w:tcBorders/>
            <w:shd w:fill="FFFFFF" w:val="clear"/>
            <w:vAlign w:val="center"/>
          </w:tcPr>
          <w:p>
            <w:pPr>
              <w:pStyle w:val="TableContents"/>
              <w:spacing w:before="0" w:after="0"/>
              <w:ind w:left="0" w:right="0" w:hanging="0"/>
              <w:rPr/>
            </w:pPr>
            <w:r>
              <w:rPr/>
              <w:t> </w:t>
            </w:r>
          </w:p>
        </w:tc>
        <w:tc>
          <w:tcPr>
            <w:tcW w:w="887" w:type="dxa"/>
            <w:tcBorders/>
            <w:shd w:fill="FFFFFF" w:val="clear"/>
            <w:vAlign w:val="center"/>
          </w:tcPr>
          <w:p>
            <w:pPr>
              <w:pStyle w:val="TableContents"/>
              <w:spacing w:before="0" w:after="283"/>
              <w:jc w:val="right"/>
              <w:rPr/>
            </w:pPr>
            <w:r>
              <w:rPr/>
              <w:t>50,917</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629" w:type="dxa"/>
            <w:tcBorders/>
            <w:shd w:fill="FFFFFF" w:val="clear"/>
            <w:vAlign w:val="center"/>
          </w:tcPr>
          <w:p>
            <w:pPr>
              <w:pStyle w:val="TableContents"/>
              <w:spacing w:before="0" w:after="0"/>
              <w:ind w:left="0" w:right="0" w:hanging="0"/>
              <w:rPr/>
            </w:pPr>
            <w:r>
              <w:rPr/>
              <w:t> </w:t>
            </w:r>
          </w:p>
        </w:tc>
        <w:tc>
          <w:tcPr>
            <w:tcW w:w="379" w:type="dxa"/>
            <w:tcBorders/>
            <w:shd w:fill="FFFFFF" w:val="clear"/>
            <w:vAlign w:val="center"/>
          </w:tcPr>
          <w:p>
            <w:pPr>
              <w:pStyle w:val="TableContents"/>
              <w:spacing w:before="0" w:after="283"/>
              <w:jc w:val="right"/>
              <w:rPr/>
            </w:pPr>
            <w:r>
              <w:rPr/>
              <w:t>-</w:t>
            </w:r>
          </w:p>
        </w:tc>
        <w:tc>
          <w:tcPr>
            <w:tcW w:w="204" w:type="dxa"/>
            <w:tcBorders/>
            <w:shd w:fill="FFFFFF" w:val="clear"/>
            <w:vAlign w:val="center"/>
          </w:tcPr>
          <w:p>
            <w:pPr>
              <w:pStyle w:val="TableContents"/>
              <w:spacing w:before="0" w:after="0"/>
              <w:ind w:left="0" w:right="0" w:hanging="0"/>
              <w:rPr/>
            </w:pPr>
            <w:r>
              <w:rPr/>
              <w:t> </w:t>
            </w:r>
          </w:p>
        </w:tc>
        <w:tc>
          <w:tcPr>
            <w:tcW w:w="204" w:type="dxa"/>
            <w:tcBorders/>
            <w:shd w:fill="FFFFFF" w:val="clear"/>
            <w:vAlign w:val="center"/>
          </w:tcPr>
          <w:p>
            <w:pPr>
              <w:pStyle w:val="TableContents"/>
              <w:spacing w:before="0" w:after="0"/>
              <w:ind w:left="0" w:right="0" w:hanging="0"/>
              <w:rPr/>
            </w:pPr>
            <w:r>
              <w:rPr/>
              <w:t> </w:t>
            </w:r>
          </w:p>
        </w:tc>
        <w:tc>
          <w:tcPr>
            <w:tcW w:w="659" w:type="dxa"/>
            <w:tcBorders/>
            <w:shd w:fill="FFFFFF" w:val="clear"/>
            <w:vAlign w:val="center"/>
          </w:tcPr>
          <w:p>
            <w:pPr>
              <w:pStyle w:val="TableContents"/>
              <w:spacing w:before="0" w:after="0"/>
              <w:ind w:left="0" w:right="0" w:hanging="0"/>
              <w:rPr/>
            </w:pPr>
            <w:r>
              <w:rPr/>
              <w:t> </w:t>
            </w:r>
          </w:p>
        </w:tc>
        <w:tc>
          <w:tcPr>
            <w:tcW w:w="406" w:type="dxa"/>
            <w:tcBorders/>
            <w:shd w:fill="FFFFFF" w:val="cle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1,049,345</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8" w:type="dxa"/>
            <w:tcBorders/>
            <w:shd w:fill="FFFFFF" w:val="clear"/>
            <w:vAlign w:val="center"/>
          </w:tcPr>
          <w:p>
            <w:pPr>
              <w:pStyle w:val="TableContents"/>
              <w:spacing w:before="0" w:after="0"/>
              <w:ind w:left="0" w:right="0" w:hanging="0"/>
              <w:rPr/>
            </w:pPr>
            <w:r>
              <w:rPr/>
              <w:t> </w:t>
            </w:r>
          </w:p>
        </w:tc>
        <w:tc>
          <w:tcPr>
            <w:tcW w:w="924" w:type="dxa"/>
            <w:tcBorders/>
            <w:shd w:fill="FFFFFF" w:val="clear"/>
            <w:vAlign w:val="center"/>
          </w:tcPr>
          <w:p>
            <w:pPr>
              <w:pStyle w:val="TableContents"/>
              <w:spacing w:before="0" w:after="283"/>
              <w:jc w:val="right"/>
              <w:rPr/>
            </w:pPr>
            <w:r>
              <w:rPr/>
              <w:t>50,917</w:t>
            </w:r>
          </w:p>
        </w:tc>
        <w:tc>
          <w:tcPr>
            <w:tcW w:w="139" w:type="dxa"/>
            <w:tcBorders/>
            <w:shd w:fill="FFFFFF" w:val="clear"/>
            <w:vAlign w:val="center"/>
          </w:tcPr>
          <w:p>
            <w:pPr>
              <w:pStyle w:val="TableContents"/>
              <w:spacing w:before="0" w:after="0"/>
              <w:ind w:left="0" w:right="0" w:hanging="0"/>
              <w:rPr/>
            </w:pPr>
            <w:r>
              <w:rPr/>
              <w:t> </w:t>
            </w:r>
          </w:p>
        </w:tc>
      </w:tr>
      <w:tr>
        <w:trPr/>
        <w:tc>
          <w:tcPr>
            <w:tcW w:w="2236"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0" w:type="dxa"/>
            <w:tcBorders/>
            <w:shd w:fill="CCEEFF" w:val="clear"/>
            <w:vAlign w:val="center"/>
          </w:tcPr>
          <w:p>
            <w:pPr>
              <w:pStyle w:val="TableContents"/>
              <w:spacing w:before="0" w:after="0"/>
              <w:ind w:left="0" w:right="0" w:hanging="0"/>
              <w:rPr/>
            </w:pPr>
            <w:r>
              <w:rPr/>
              <w:t> </w:t>
            </w:r>
          </w:p>
        </w:tc>
        <w:tc>
          <w:tcPr>
            <w:tcW w:w="887"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629" w:type="dxa"/>
            <w:tcBorders/>
            <w:shd w:fill="CCEEFF" w:val="clear"/>
            <w:vAlign w:val="center"/>
          </w:tcPr>
          <w:p>
            <w:pPr>
              <w:pStyle w:val="TableContents"/>
              <w:spacing w:before="0" w:after="0"/>
              <w:ind w:left="0" w:right="0" w:hanging="0"/>
              <w:rPr/>
            </w:pPr>
            <w:r>
              <w:rPr/>
              <w:t> </w:t>
            </w:r>
          </w:p>
        </w:tc>
        <w:tc>
          <w:tcPr>
            <w:tcW w:w="379" w:type="dxa"/>
            <w:tcBorders/>
            <w:shd w:fill="CCEEFF" w:val="clear"/>
            <w:vAlign w:val="center"/>
          </w:tcPr>
          <w:p>
            <w:pPr>
              <w:pStyle w:val="TableContents"/>
              <w:spacing w:before="0" w:after="0"/>
              <w:ind w:left="0" w:right="0" w:hanging="0"/>
              <w:rPr/>
            </w:pPr>
            <w:r>
              <w:rPr/>
              <w:t> </w:t>
            </w:r>
          </w:p>
        </w:tc>
        <w:tc>
          <w:tcPr>
            <w:tcW w:w="204" w:type="dxa"/>
            <w:tcBorders/>
            <w:shd w:fill="CCEEFF" w:val="clear"/>
            <w:vAlign w:val="center"/>
          </w:tcPr>
          <w:p>
            <w:pPr>
              <w:pStyle w:val="TableContents"/>
              <w:spacing w:before="0" w:after="0"/>
              <w:ind w:left="0" w:right="0" w:hanging="0"/>
              <w:rPr/>
            </w:pPr>
            <w:r>
              <w:rPr/>
              <w:t> </w:t>
            </w:r>
          </w:p>
        </w:tc>
        <w:tc>
          <w:tcPr>
            <w:tcW w:w="204" w:type="dxa"/>
            <w:tcBorders/>
            <w:shd w:fill="CCEEFF" w:val="clear"/>
            <w:vAlign w:val="center"/>
          </w:tcPr>
          <w:p>
            <w:pPr>
              <w:pStyle w:val="TableContents"/>
              <w:spacing w:before="0" w:after="0"/>
              <w:ind w:left="0" w:right="0" w:hanging="0"/>
              <w:rPr/>
            </w:pPr>
            <w:r>
              <w:rPr/>
              <w:t> </w:t>
            </w:r>
          </w:p>
        </w:tc>
        <w:tc>
          <w:tcPr>
            <w:tcW w:w="659" w:type="dxa"/>
            <w:tcBorders/>
            <w:shd w:fill="CCEEFF" w:val="clear"/>
            <w:vAlign w:val="center"/>
          </w:tcPr>
          <w:p>
            <w:pPr>
              <w:pStyle w:val="TableContents"/>
              <w:spacing w:before="0" w:after="0"/>
              <w:ind w:left="0" w:right="0" w:hanging="0"/>
              <w:rPr/>
            </w:pPr>
            <w:r>
              <w:rPr/>
              <w:t> </w:t>
            </w:r>
          </w:p>
        </w:tc>
        <w:tc>
          <w:tcPr>
            <w:tcW w:w="406"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8" w:type="dxa"/>
            <w:tcBorders/>
            <w:shd w:fill="CCEEFF" w:val="clear"/>
            <w:vAlign w:val="center"/>
          </w:tcPr>
          <w:p>
            <w:pPr>
              <w:pStyle w:val="TableContents"/>
              <w:spacing w:before="0" w:after="0"/>
              <w:ind w:left="0" w:right="0" w:hanging="0"/>
              <w:rPr/>
            </w:pPr>
            <w:r>
              <w:rPr/>
              <w:t> </w:t>
            </w:r>
          </w:p>
        </w:tc>
        <w:tc>
          <w:tcPr>
            <w:tcW w:w="924" w:type="dxa"/>
            <w:tcBorders/>
            <w:shd w:fill="CCEEFF" w:val="clear"/>
            <w:vAlign w:val="center"/>
          </w:tcPr>
          <w:p>
            <w:pPr>
              <w:pStyle w:val="TableContents"/>
              <w:spacing w:before="0" w:after="0"/>
              <w:ind w:left="0" w:right="0" w:hanging="0"/>
              <w:rPr/>
            </w:pPr>
            <w:r>
              <w:rPr/>
              <w:t> </w:t>
            </w:r>
          </w:p>
        </w:tc>
        <w:tc>
          <w:tcPr>
            <w:tcW w:w="139" w:type="dxa"/>
            <w:tcBorders/>
            <w:shd w:fill="CCEEFF" w:val="clear"/>
            <w:vAlign w:val="center"/>
          </w:tcPr>
          <w:p>
            <w:pPr>
              <w:pStyle w:val="TableContents"/>
              <w:spacing w:before="0" w:after="0"/>
              <w:ind w:left="0" w:right="0" w:hanging="0"/>
              <w:rPr/>
            </w:pPr>
            <w:r>
              <w:rPr/>
              <w:t> </w:t>
            </w:r>
          </w:p>
        </w:tc>
      </w:tr>
      <w:tr>
        <w:trPr/>
        <w:tc>
          <w:tcPr>
            <w:tcW w:w="2236"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Corporate and other bonds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0" w:type="dxa"/>
            <w:tcBorders/>
            <w:shd w:fill="FFFFFF" w:val="clear"/>
            <w:vAlign w:val="center"/>
          </w:tcPr>
          <w:p>
            <w:pPr>
              <w:pStyle w:val="TableContents"/>
              <w:spacing w:before="0" w:after="0"/>
              <w:ind w:left="0" w:right="0" w:hanging="0"/>
              <w:rPr/>
            </w:pPr>
            <w:r>
              <w:rPr/>
              <w:t> </w:t>
            </w:r>
          </w:p>
        </w:tc>
        <w:tc>
          <w:tcPr>
            <w:tcW w:w="887"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629" w:type="dxa"/>
            <w:tcBorders/>
            <w:shd w:fill="FFFFFF" w:val="clear"/>
            <w:vAlign w:val="center"/>
          </w:tcPr>
          <w:p>
            <w:pPr>
              <w:pStyle w:val="TableContents"/>
              <w:spacing w:before="0" w:after="0"/>
              <w:ind w:left="0" w:right="0" w:hanging="0"/>
              <w:rPr/>
            </w:pPr>
            <w:r>
              <w:rPr/>
              <w:t> </w:t>
            </w:r>
          </w:p>
        </w:tc>
        <w:tc>
          <w:tcPr>
            <w:tcW w:w="379" w:type="dxa"/>
            <w:tcBorders/>
            <w:shd w:fill="FFFFFF" w:val="clear"/>
            <w:vAlign w:val="center"/>
          </w:tcPr>
          <w:p>
            <w:pPr>
              <w:pStyle w:val="TableContents"/>
              <w:spacing w:before="0" w:after="0"/>
              <w:ind w:left="0" w:right="0" w:hanging="0"/>
              <w:rPr/>
            </w:pPr>
            <w:r>
              <w:rPr/>
              <w:t> </w:t>
            </w:r>
          </w:p>
        </w:tc>
        <w:tc>
          <w:tcPr>
            <w:tcW w:w="204" w:type="dxa"/>
            <w:tcBorders/>
            <w:shd w:fill="FFFFFF" w:val="clear"/>
            <w:vAlign w:val="center"/>
          </w:tcPr>
          <w:p>
            <w:pPr>
              <w:pStyle w:val="TableContents"/>
              <w:spacing w:before="0" w:after="0"/>
              <w:ind w:left="0" w:right="0" w:hanging="0"/>
              <w:rPr/>
            </w:pPr>
            <w:r>
              <w:rPr/>
              <w:t> </w:t>
            </w:r>
          </w:p>
        </w:tc>
        <w:tc>
          <w:tcPr>
            <w:tcW w:w="204" w:type="dxa"/>
            <w:tcBorders/>
            <w:shd w:fill="FFFFFF" w:val="clear"/>
            <w:vAlign w:val="center"/>
          </w:tcPr>
          <w:p>
            <w:pPr>
              <w:pStyle w:val="TableContents"/>
              <w:spacing w:before="0" w:after="0"/>
              <w:ind w:left="0" w:right="0" w:hanging="0"/>
              <w:rPr/>
            </w:pPr>
            <w:r>
              <w:rPr/>
              <w:t> </w:t>
            </w:r>
          </w:p>
        </w:tc>
        <w:tc>
          <w:tcPr>
            <w:tcW w:w="659" w:type="dxa"/>
            <w:tcBorders/>
            <w:shd w:fill="FFFFFF" w:val="clear"/>
            <w:vAlign w:val="center"/>
          </w:tcPr>
          <w:p>
            <w:pPr>
              <w:pStyle w:val="TableContents"/>
              <w:spacing w:before="0" w:after="0"/>
              <w:ind w:left="0" w:right="0" w:hanging="0"/>
              <w:rPr/>
            </w:pPr>
            <w:r>
              <w:rPr/>
              <w:t> </w:t>
            </w:r>
          </w:p>
        </w:tc>
        <w:tc>
          <w:tcPr>
            <w:tcW w:w="406"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8" w:type="dxa"/>
            <w:tcBorders/>
            <w:shd w:fill="FFFFFF" w:val="clear"/>
            <w:vAlign w:val="center"/>
          </w:tcPr>
          <w:p>
            <w:pPr>
              <w:pStyle w:val="TableContents"/>
              <w:spacing w:before="0" w:after="0"/>
              <w:ind w:left="0" w:right="0" w:hanging="0"/>
              <w:rPr/>
            </w:pPr>
            <w:r>
              <w:rPr/>
              <w:t> </w:t>
            </w:r>
          </w:p>
        </w:tc>
        <w:tc>
          <w:tcPr>
            <w:tcW w:w="924" w:type="dxa"/>
            <w:tcBorders/>
            <w:shd w:fill="FFFFFF" w:val="clear"/>
            <w:vAlign w:val="center"/>
          </w:tcPr>
          <w:p>
            <w:pPr>
              <w:pStyle w:val="TableContents"/>
              <w:spacing w:before="0" w:after="0"/>
              <w:ind w:left="0" w:right="0" w:hanging="0"/>
              <w:rPr/>
            </w:pPr>
            <w:r>
              <w:rPr/>
              <w:t> </w:t>
            </w:r>
          </w:p>
        </w:tc>
        <w:tc>
          <w:tcPr>
            <w:tcW w:w="139" w:type="dxa"/>
            <w:tcBorders/>
            <w:shd w:fill="FFFFFF" w:val="clear"/>
            <w:vAlign w:val="center"/>
          </w:tcPr>
          <w:p>
            <w:pPr>
              <w:pStyle w:val="TableContents"/>
              <w:spacing w:before="0" w:after="0"/>
              <w:ind w:left="0" w:right="0" w:hanging="0"/>
              <w:rPr/>
            </w:pPr>
            <w:r>
              <w:rPr/>
              <w:t> </w:t>
            </w:r>
          </w:p>
        </w:tc>
      </w:tr>
      <w:tr>
        <w:trPr/>
        <w:tc>
          <w:tcPr>
            <w:tcW w:w="223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Industrial and miscellaneous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5,640,792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87" w:type="dxa"/>
            <w:tcBorders>
              <w:bottom w:val="single" w:sz="2" w:space="0" w:color="000000"/>
            </w:tcBorders>
            <w:shd w:fill="CCEEFF" w:val="clear"/>
            <w:tcMar>
              <w:bottom w:w="28" w:type="dxa"/>
            </w:tcMar>
            <w:vAlign w:val="center"/>
          </w:tcPr>
          <w:p>
            <w:pPr>
              <w:pStyle w:val="TableContents"/>
              <w:spacing w:before="0" w:after="283"/>
              <w:jc w:val="right"/>
              <w:rPr/>
            </w:pPr>
            <w:r>
              <w:rPr/>
              <w:t>455,378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62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379"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204" w:type="dxa"/>
            <w:tcBorders/>
            <w:shd w:fill="CCEEFF" w:val="clear"/>
            <w:vAlign w:val="center"/>
          </w:tcPr>
          <w:p>
            <w:pPr>
              <w:pStyle w:val="TableContents"/>
              <w:spacing w:before="0" w:after="0"/>
              <w:ind w:left="0" w:right="0" w:hanging="0"/>
              <w:rPr/>
            </w:pPr>
            <w:r>
              <w:rPr/>
              <w:t> </w:t>
            </w:r>
          </w:p>
        </w:tc>
        <w:tc>
          <w:tcPr>
            <w:tcW w:w="204" w:type="dxa"/>
            <w:tcBorders/>
            <w:shd w:fill="CCEEFF" w:val="clear"/>
            <w:vAlign w:val="center"/>
          </w:tcPr>
          <w:p>
            <w:pPr>
              <w:pStyle w:val="TableContents"/>
              <w:spacing w:before="0" w:after="0"/>
              <w:ind w:left="0" w:right="0" w:hanging="0"/>
              <w:rPr/>
            </w:pPr>
            <w:r>
              <w:rPr/>
              <w:t> </w:t>
            </w:r>
          </w:p>
        </w:tc>
        <w:tc>
          <w:tcPr>
            <w:tcW w:w="65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406"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6,096,170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24" w:type="dxa"/>
            <w:tcBorders>
              <w:bottom w:val="single" w:sz="2" w:space="0" w:color="000000"/>
            </w:tcBorders>
            <w:shd w:fill="CCEEFF" w:val="clear"/>
            <w:tcMar>
              <w:bottom w:w="28" w:type="dxa"/>
            </w:tcMar>
            <w:vAlign w:val="center"/>
          </w:tcPr>
          <w:p>
            <w:pPr>
              <w:pStyle w:val="TableContents"/>
              <w:spacing w:before="0" w:after="283"/>
              <w:jc w:val="right"/>
              <w:rPr/>
            </w:pPr>
            <w:r>
              <w:rPr/>
              <w:t>455,378</w:t>
            </w:r>
          </w:p>
        </w:tc>
        <w:tc>
          <w:tcPr>
            <w:tcW w:w="139" w:type="dxa"/>
            <w:tcBorders/>
            <w:shd w:fill="CCEEFF" w:val="clear"/>
            <w:vAlign w:val="center"/>
          </w:tcPr>
          <w:p>
            <w:pPr>
              <w:pStyle w:val="TableContents"/>
              <w:spacing w:before="0" w:after="0"/>
              <w:ind w:left="0" w:right="0" w:hanging="0"/>
              <w:rPr/>
            </w:pPr>
            <w:r>
              <w:rPr/>
              <w:t> </w:t>
            </w:r>
          </w:p>
        </w:tc>
      </w:tr>
      <w:tr>
        <w:trPr/>
        <w:tc>
          <w:tcPr>
            <w:tcW w:w="2236"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0" w:type="dxa"/>
            <w:tcBorders/>
            <w:shd w:fill="FFFFFF" w:val="clear"/>
            <w:vAlign w:val="center"/>
          </w:tcPr>
          <w:p>
            <w:pPr>
              <w:pStyle w:val="TableContents"/>
              <w:spacing w:before="0" w:after="0"/>
              <w:ind w:left="0" w:right="0" w:hanging="0"/>
              <w:rPr/>
            </w:pPr>
            <w:r>
              <w:rPr/>
              <w:t> </w:t>
            </w:r>
          </w:p>
        </w:tc>
        <w:tc>
          <w:tcPr>
            <w:tcW w:w="887"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629" w:type="dxa"/>
            <w:tcBorders/>
            <w:shd w:fill="FFFFFF" w:val="clear"/>
            <w:vAlign w:val="center"/>
          </w:tcPr>
          <w:p>
            <w:pPr>
              <w:pStyle w:val="TableContents"/>
              <w:spacing w:before="0" w:after="0"/>
              <w:ind w:left="0" w:right="0" w:hanging="0"/>
              <w:rPr/>
            </w:pPr>
            <w:r>
              <w:rPr/>
              <w:t> </w:t>
            </w:r>
          </w:p>
        </w:tc>
        <w:tc>
          <w:tcPr>
            <w:tcW w:w="379" w:type="dxa"/>
            <w:tcBorders/>
            <w:shd w:fill="FFFFFF" w:val="clear"/>
            <w:vAlign w:val="center"/>
          </w:tcPr>
          <w:p>
            <w:pPr>
              <w:pStyle w:val="TableContents"/>
              <w:spacing w:before="0" w:after="0"/>
              <w:ind w:left="0" w:right="0" w:hanging="0"/>
              <w:rPr/>
            </w:pPr>
            <w:r>
              <w:rPr/>
              <w:t> </w:t>
            </w:r>
          </w:p>
        </w:tc>
        <w:tc>
          <w:tcPr>
            <w:tcW w:w="204" w:type="dxa"/>
            <w:tcBorders/>
            <w:shd w:fill="FFFFFF" w:val="clear"/>
            <w:vAlign w:val="center"/>
          </w:tcPr>
          <w:p>
            <w:pPr>
              <w:pStyle w:val="TableContents"/>
              <w:spacing w:before="0" w:after="0"/>
              <w:ind w:left="0" w:right="0" w:hanging="0"/>
              <w:rPr/>
            </w:pPr>
            <w:r>
              <w:rPr/>
              <w:t> </w:t>
            </w:r>
          </w:p>
        </w:tc>
        <w:tc>
          <w:tcPr>
            <w:tcW w:w="204" w:type="dxa"/>
            <w:tcBorders/>
            <w:shd w:fill="FFFFFF" w:val="clear"/>
            <w:vAlign w:val="center"/>
          </w:tcPr>
          <w:p>
            <w:pPr>
              <w:pStyle w:val="TableContents"/>
              <w:spacing w:before="0" w:after="0"/>
              <w:ind w:left="0" w:right="0" w:hanging="0"/>
              <w:rPr/>
            </w:pPr>
            <w:r>
              <w:rPr/>
              <w:t> </w:t>
            </w:r>
          </w:p>
        </w:tc>
        <w:tc>
          <w:tcPr>
            <w:tcW w:w="659" w:type="dxa"/>
            <w:tcBorders/>
            <w:shd w:fill="FFFFFF" w:val="clear"/>
            <w:vAlign w:val="center"/>
          </w:tcPr>
          <w:p>
            <w:pPr>
              <w:pStyle w:val="TableContents"/>
              <w:spacing w:before="0" w:after="0"/>
              <w:ind w:left="0" w:right="0" w:hanging="0"/>
              <w:rPr/>
            </w:pPr>
            <w:r>
              <w:rPr/>
              <w:t> </w:t>
            </w:r>
          </w:p>
        </w:tc>
        <w:tc>
          <w:tcPr>
            <w:tcW w:w="406"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8" w:type="dxa"/>
            <w:tcBorders/>
            <w:shd w:fill="FFFFFF" w:val="clear"/>
            <w:vAlign w:val="center"/>
          </w:tcPr>
          <w:p>
            <w:pPr>
              <w:pStyle w:val="TableContents"/>
              <w:spacing w:before="0" w:after="0"/>
              <w:ind w:left="0" w:right="0" w:hanging="0"/>
              <w:rPr/>
            </w:pPr>
            <w:r>
              <w:rPr/>
              <w:t> </w:t>
            </w:r>
          </w:p>
        </w:tc>
        <w:tc>
          <w:tcPr>
            <w:tcW w:w="924" w:type="dxa"/>
            <w:tcBorders/>
            <w:shd w:fill="FFFFFF" w:val="clear"/>
            <w:vAlign w:val="center"/>
          </w:tcPr>
          <w:p>
            <w:pPr>
              <w:pStyle w:val="TableContents"/>
              <w:spacing w:before="0" w:after="0"/>
              <w:ind w:left="0" w:right="0" w:hanging="0"/>
              <w:rPr/>
            </w:pPr>
            <w:r>
              <w:rPr/>
              <w:t> </w:t>
            </w:r>
          </w:p>
        </w:tc>
        <w:tc>
          <w:tcPr>
            <w:tcW w:w="139" w:type="dxa"/>
            <w:tcBorders/>
            <w:shd w:fill="FFFFFF" w:val="clear"/>
            <w:vAlign w:val="center"/>
          </w:tcPr>
          <w:p>
            <w:pPr>
              <w:pStyle w:val="TableContents"/>
              <w:spacing w:before="0" w:after="0"/>
              <w:ind w:left="0" w:right="0" w:hanging="0"/>
              <w:rPr/>
            </w:pPr>
            <w:r>
              <w:rPr/>
              <w:t> </w:t>
            </w:r>
          </w:p>
        </w:tc>
      </w:tr>
      <w:tr>
        <w:trPr/>
        <w:tc>
          <w:tcPr>
            <w:tcW w:w="223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Total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6" w:space="0" w:color="000000"/>
            </w:tcBorders>
            <w:shd w:fill="CCEEFF" w:val="clear"/>
            <w:tcMar>
              <w:bottom w:w="28" w:type="dxa"/>
            </w:tcMar>
            <w:vAlign w:val="center"/>
          </w:tcPr>
          <w:p>
            <w:pPr>
              <w:pStyle w:val="TableContents"/>
              <w:spacing w:before="0" w:after="283"/>
              <w:jc w:val="right"/>
              <w:rPr/>
            </w:pPr>
            <w:r>
              <w:rPr/>
              <w:t>7,368,815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0" w:type="dxa"/>
            <w:tcBorders>
              <w:bottom w:val="double" w:sz="6" w:space="0" w:color="000000"/>
            </w:tcBorders>
            <w:shd w:fill="CCEEFF" w:val="clear"/>
            <w:tcMar>
              <w:bottom w:w="28" w:type="dxa"/>
            </w:tcMar>
            <w:vAlign w:val="center"/>
          </w:tcPr>
          <w:p>
            <w:pPr>
              <w:pStyle w:val="TableContents"/>
              <w:spacing w:before="0" w:after="283"/>
              <w:rPr/>
            </w:pPr>
            <w:r>
              <w:rPr/>
              <w:t>$</w:t>
            </w:r>
          </w:p>
        </w:tc>
        <w:tc>
          <w:tcPr>
            <w:tcW w:w="887" w:type="dxa"/>
            <w:tcBorders>
              <w:bottom w:val="double" w:sz="6" w:space="0" w:color="000000"/>
            </w:tcBorders>
            <w:shd w:fill="CCEEFF" w:val="clear"/>
            <w:tcMar>
              <w:bottom w:w="28" w:type="dxa"/>
            </w:tcMar>
            <w:vAlign w:val="center"/>
          </w:tcPr>
          <w:p>
            <w:pPr>
              <w:pStyle w:val="TableContents"/>
              <w:spacing w:before="0" w:after="283"/>
              <w:jc w:val="right"/>
              <w:rPr/>
            </w:pPr>
            <w:r>
              <w:rPr/>
              <w:t>826,009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629" w:type="dxa"/>
            <w:tcBorders>
              <w:bottom w:val="double" w:sz="6" w:space="0" w:color="000000"/>
            </w:tcBorders>
            <w:shd w:fill="CCEEFF" w:val="clear"/>
            <w:tcMar>
              <w:bottom w:w="28" w:type="dxa"/>
            </w:tcMar>
            <w:vAlign w:val="center"/>
          </w:tcPr>
          <w:p>
            <w:pPr>
              <w:pStyle w:val="TableContents"/>
              <w:spacing w:before="0" w:after="283"/>
              <w:rPr/>
            </w:pPr>
            <w:r>
              <w:rPr/>
              <w:t>$</w:t>
            </w:r>
          </w:p>
        </w:tc>
        <w:tc>
          <w:tcPr>
            <w:tcW w:w="379" w:type="dxa"/>
            <w:tcBorders>
              <w:bottom w:val="double" w:sz="6" w:space="0" w:color="000000"/>
            </w:tcBorders>
            <w:shd w:fill="CCEEFF" w:val="clear"/>
            <w:tcMar>
              <w:bottom w:w="28" w:type="dxa"/>
            </w:tcMar>
            <w:vAlign w:val="center"/>
          </w:tcPr>
          <w:p>
            <w:pPr>
              <w:pStyle w:val="TableContents"/>
              <w:spacing w:before="0" w:after="283"/>
              <w:jc w:val="right"/>
              <w:rPr/>
            </w:pPr>
            <w:r>
              <w:rPr/>
              <w:t>-</w:t>
            </w:r>
          </w:p>
        </w:tc>
        <w:tc>
          <w:tcPr>
            <w:tcW w:w="204" w:type="dxa"/>
            <w:tcBorders/>
            <w:shd w:fill="CCEEFF" w:val="clear"/>
            <w:vAlign w:val="center"/>
          </w:tcPr>
          <w:p>
            <w:pPr>
              <w:pStyle w:val="TableContents"/>
              <w:spacing w:before="0" w:after="0"/>
              <w:ind w:left="0" w:right="0" w:hanging="0"/>
              <w:rPr/>
            </w:pPr>
            <w:r>
              <w:rPr/>
              <w:t> </w:t>
            </w:r>
          </w:p>
        </w:tc>
        <w:tc>
          <w:tcPr>
            <w:tcW w:w="204" w:type="dxa"/>
            <w:tcBorders/>
            <w:shd w:fill="CCEEFF" w:val="clear"/>
            <w:vAlign w:val="center"/>
          </w:tcPr>
          <w:p>
            <w:pPr>
              <w:pStyle w:val="TableContents"/>
              <w:spacing w:before="0" w:after="0"/>
              <w:ind w:left="0" w:right="0" w:hanging="0"/>
              <w:rPr/>
            </w:pPr>
            <w:r>
              <w:rPr/>
              <w:t> </w:t>
            </w:r>
          </w:p>
        </w:tc>
        <w:tc>
          <w:tcPr>
            <w:tcW w:w="659" w:type="dxa"/>
            <w:tcBorders>
              <w:bottom w:val="double" w:sz="6" w:space="0" w:color="000000"/>
            </w:tcBorders>
            <w:shd w:fill="CCEEFF" w:val="clear"/>
            <w:tcMar>
              <w:bottom w:w="28" w:type="dxa"/>
            </w:tcMar>
            <w:vAlign w:val="center"/>
          </w:tcPr>
          <w:p>
            <w:pPr>
              <w:pStyle w:val="TableContents"/>
              <w:spacing w:before="0" w:after="283"/>
              <w:rPr/>
            </w:pPr>
            <w:r>
              <w:rPr/>
              <w:t>$</w:t>
            </w:r>
          </w:p>
        </w:tc>
        <w:tc>
          <w:tcPr>
            <w:tcW w:w="406" w:type="dxa"/>
            <w:tcBorders>
              <w:bottom w:val="double" w:sz="6" w:space="0" w:color="000000"/>
            </w:tcBorders>
            <w:shd w:fill="CCEEFF" w:val="clear"/>
            <w:tcMar>
              <w:bottom w:w="28" w:type="dxa"/>
            </w:tcM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6" w:space="0" w:color="000000"/>
            </w:tcBorders>
            <w:shd w:fill="CCEEFF" w:val="clear"/>
            <w:tcMar>
              <w:bottom w:w="28" w:type="dxa"/>
            </w:tcMar>
            <w:vAlign w:val="center"/>
          </w:tcPr>
          <w:p>
            <w:pPr>
              <w:pStyle w:val="TableContents"/>
              <w:spacing w:before="0" w:after="283"/>
              <w:jc w:val="right"/>
              <w:rPr/>
            </w:pPr>
            <w:r>
              <w:rPr/>
              <w:t>8,194,824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8" w:type="dxa"/>
            <w:tcBorders>
              <w:bottom w:val="double" w:sz="6" w:space="0" w:color="000000"/>
            </w:tcBorders>
            <w:shd w:fill="CCEEFF" w:val="clear"/>
            <w:tcMar>
              <w:bottom w:w="28" w:type="dxa"/>
            </w:tcMar>
            <w:vAlign w:val="center"/>
          </w:tcPr>
          <w:p>
            <w:pPr>
              <w:pStyle w:val="TableContents"/>
              <w:spacing w:before="0" w:after="283"/>
              <w:rPr/>
            </w:pPr>
            <w:r>
              <w:rPr/>
              <w:t>$</w:t>
            </w:r>
          </w:p>
        </w:tc>
        <w:tc>
          <w:tcPr>
            <w:tcW w:w="924" w:type="dxa"/>
            <w:tcBorders>
              <w:bottom w:val="double" w:sz="6" w:space="0" w:color="000000"/>
            </w:tcBorders>
            <w:shd w:fill="CCEEFF" w:val="clear"/>
            <w:tcMar>
              <w:bottom w:w="28" w:type="dxa"/>
            </w:tcMar>
            <w:vAlign w:val="center"/>
          </w:tcPr>
          <w:p>
            <w:pPr>
              <w:pStyle w:val="TableContents"/>
              <w:spacing w:before="0" w:after="283"/>
              <w:jc w:val="right"/>
              <w:rPr/>
            </w:pPr>
            <w:r>
              <w:rPr/>
              <w:t>826,009</w:t>
            </w:r>
          </w:p>
        </w:tc>
        <w:tc>
          <w:tcPr>
            <w:tcW w:w="139"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2254"/>
        <w:gridCol w:w="90"/>
        <w:gridCol w:w="170"/>
        <w:gridCol w:w="1010"/>
        <w:gridCol w:w="90"/>
        <w:gridCol w:w="90"/>
        <w:gridCol w:w="180"/>
        <w:gridCol w:w="887"/>
        <w:gridCol w:w="90"/>
        <w:gridCol w:w="90"/>
        <w:gridCol w:w="278"/>
        <w:gridCol w:w="769"/>
        <w:gridCol w:w="197"/>
        <w:gridCol w:w="142"/>
        <w:gridCol w:w="635"/>
        <w:gridCol w:w="440"/>
        <w:gridCol w:w="90"/>
        <w:gridCol w:w="90"/>
        <w:gridCol w:w="170"/>
        <w:gridCol w:w="1010"/>
        <w:gridCol w:w="90"/>
        <w:gridCol w:w="90"/>
        <w:gridCol w:w="188"/>
        <w:gridCol w:w="924"/>
        <w:gridCol w:w="141"/>
      </w:tblGrid>
      <w:tr>
        <w:trPr/>
        <w:tc>
          <w:tcPr>
            <w:tcW w:w="2254"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720" w:type="dxa"/>
            <w:gridSpan w:val="2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2019</w:t>
            </w:r>
          </w:p>
        </w:tc>
        <w:tc>
          <w:tcPr>
            <w:tcW w:w="141" w:type="dxa"/>
            <w:tcBorders/>
            <w:shd w:fill="auto" w:val="clear"/>
            <w:vAlign w:val="center"/>
          </w:tcPr>
          <w:p>
            <w:pPr>
              <w:pStyle w:val="TableContents"/>
              <w:spacing w:before="0" w:after="0"/>
              <w:ind w:left="0" w:right="0" w:hanging="0"/>
              <w:rPr/>
            </w:pPr>
            <w:r>
              <w:rPr/>
              <w:t> </w:t>
            </w:r>
          </w:p>
        </w:tc>
      </w:tr>
      <w:tr>
        <w:trPr/>
        <w:tc>
          <w:tcPr>
            <w:tcW w:w="2254"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67"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47" w:type="dxa"/>
            <w:gridSpan w:val="2"/>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0"/>
              <w:ind w:left="0" w:right="0" w:hanging="0"/>
              <w:rPr/>
            </w:pPr>
            <w:r>
              <w:rPr/>
              <w:t> </w:t>
            </w:r>
          </w:p>
        </w:tc>
        <w:tc>
          <w:tcPr>
            <w:tcW w:w="142"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12" w:type="dxa"/>
            <w:gridSpan w:val="2"/>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0"/>
              <w:ind w:left="0" w:right="0" w:hanging="0"/>
              <w:rPr/>
            </w:pPr>
            <w:r>
              <w:rPr/>
              <w:t> </w:t>
            </w:r>
          </w:p>
        </w:tc>
      </w:tr>
      <w:tr>
        <w:trPr/>
        <w:tc>
          <w:tcPr>
            <w:tcW w:w="2254"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Cost or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67"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Gross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461"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Gross Unrealized Losses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Estimated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12"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Net </w:t>
            </w:r>
          </w:p>
        </w:tc>
        <w:tc>
          <w:tcPr>
            <w:tcW w:w="141" w:type="dxa"/>
            <w:tcBorders/>
            <w:shd w:fill="auto" w:val="clear"/>
            <w:vAlign w:val="center"/>
          </w:tcPr>
          <w:p>
            <w:pPr>
              <w:pStyle w:val="TableContents"/>
              <w:spacing w:before="0" w:after="0"/>
              <w:ind w:left="0" w:right="0" w:hanging="0"/>
              <w:rPr/>
            </w:pPr>
            <w:r>
              <w:rPr/>
              <w:t> </w:t>
            </w:r>
          </w:p>
        </w:tc>
      </w:tr>
      <w:tr>
        <w:trPr/>
        <w:tc>
          <w:tcPr>
            <w:tcW w:w="2254"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Amortized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67"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Unrealized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47"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Less than 12 </w:t>
            </w:r>
          </w:p>
        </w:tc>
        <w:tc>
          <w:tcPr>
            <w:tcW w:w="197" w:type="dxa"/>
            <w:tcBorders/>
            <w:shd w:fill="auto" w:val="clear"/>
            <w:vAlign w:val="center"/>
          </w:tcPr>
          <w:p>
            <w:pPr>
              <w:pStyle w:val="TableContents"/>
              <w:spacing w:before="0" w:after="0"/>
              <w:ind w:left="0" w:right="0" w:hanging="0"/>
              <w:rPr/>
            </w:pPr>
            <w:r>
              <w:rPr/>
              <w:t> </w:t>
            </w:r>
          </w:p>
        </w:tc>
        <w:tc>
          <w:tcPr>
            <w:tcW w:w="142"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More than 12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Fair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12"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Unrealized  </w:t>
            </w:r>
          </w:p>
        </w:tc>
        <w:tc>
          <w:tcPr>
            <w:tcW w:w="141" w:type="dxa"/>
            <w:tcBorders/>
            <w:shd w:fill="auto" w:val="clear"/>
            <w:vAlign w:val="center"/>
          </w:tcPr>
          <w:p>
            <w:pPr>
              <w:pStyle w:val="TableContents"/>
              <w:spacing w:before="0" w:after="0"/>
              <w:ind w:left="0" w:right="0" w:hanging="0"/>
              <w:rPr/>
            </w:pPr>
            <w:r>
              <w:rPr/>
              <w:t> </w:t>
            </w:r>
          </w:p>
        </w:tc>
      </w:tr>
      <w:tr>
        <w:trPr/>
        <w:tc>
          <w:tcPr>
            <w:tcW w:w="2254"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Fonts w:ascii="times new roman" w:hAnsi="times new roman"/>
                <w:sz w:val="20"/>
              </w:rPr>
              <w:t xml:space="preserve">Category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Cost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6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Gains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Months </w:t>
            </w:r>
          </w:p>
        </w:tc>
        <w:tc>
          <w:tcPr>
            <w:tcW w:w="197" w:type="dxa"/>
            <w:tcBorders/>
            <w:shd w:fill="auto" w:val="clear"/>
            <w:vAlign w:val="center"/>
          </w:tcPr>
          <w:p>
            <w:pPr>
              <w:pStyle w:val="TableContents"/>
              <w:spacing w:before="0" w:after="0"/>
              <w:ind w:left="0" w:right="0" w:hanging="0"/>
              <w:rPr/>
            </w:pPr>
            <w:r>
              <w:rPr/>
              <w:t> </w:t>
            </w:r>
          </w:p>
        </w:tc>
        <w:tc>
          <w:tcPr>
            <w:tcW w:w="142" w:type="dxa"/>
            <w:tcBorders/>
            <w:shd w:fill="auto" w:val="clear"/>
            <w:vAlign w:val="center"/>
          </w:tcPr>
          <w:p>
            <w:pPr>
              <w:pStyle w:val="TableContents"/>
              <w:spacing w:before="0" w:after="0"/>
              <w:ind w:left="0" w:right="0" w:hanging="0"/>
              <w:rPr/>
            </w:pPr>
            <w:r>
              <w:rPr/>
              <w:t> </w:t>
            </w:r>
          </w:p>
        </w:tc>
        <w:tc>
          <w:tcPr>
            <w:tcW w:w="10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Months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Value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1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Gains </w:t>
            </w:r>
          </w:p>
        </w:tc>
        <w:tc>
          <w:tcPr>
            <w:tcW w:w="141" w:type="dxa"/>
            <w:tcBorders/>
            <w:shd w:fill="auto" w:val="clear"/>
            <w:vAlign w:val="center"/>
          </w:tcPr>
          <w:p>
            <w:pPr>
              <w:pStyle w:val="TableContents"/>
              <w:spacing w:before="0" w:after="0"/>
              <w:ind w:left="0" w:right="0" w:hanging="0"/>
              <w:rPr/>
            </w:pPr>
            <w:r>
              <w:rPr/>
              <w:t> </w:t>
            </w:r>
          </w:p>
        </w:tc>
      </w:tr>
      <w:tr>
        <w:trPr/>
        <w:tc>
          <w:tcPr>
            <w:tcW w:w="2254"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80" w:type="dxa"/>
            <w:tcBorders/>
            <w:shd w:fill="auto" w:val="clear"/>
            <w:vAlign w:val="center"/>
          </w:tcPr>
          <w:p>
            <w:pPr>
              <w:pStyle w:val="TableContents"/>
              <w:spacing w:before="0" w:after="0"/>
              <w:ind w:left="0" w:right="0" w:hanging="0"/>
              <w:rPr/>
            </w:pPr>
            <w:r>
              <w:rPr/>
              <w:t> </w:t>
            </w:r>
          </w:p>
        </w:tc>
        <w:tc>
          <w:tcPr>
            <w:tcW w:w="887"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5344" w:type="dxa"/>
            <w:gridSpan w:val="16"/>
            <w:tcBorders/>
            <w:shd w:fill="auto" w:val="clear"/>
            <w:vAlign w:val="center"/>
          </w:tcPr>
          <w:p>
            <w:pPr>
              <w:pStyle w:val="TableContents"/>
              <w:spacing w:before="0" w:after="0"/>
              <w:ind w:left="0" w:right="0" w:hanging="0"/>
              <w:rPr/>
            </w:pPr>
            <w:r>
              <w:rPr/>
              <w:t> </w:t>
            </w:r>
          </w:p>
        </w:tc>
      </w:tr>
      <w:tr>
        <w:trPr/>
        <w:tc>
          <w:tcPr>
            <w:tcW w:w="2254" w:type="dxa"/>
            <w:tcBorders/>
            <w:shd w:fill="auto" w:val="clear"/>
            <w:vAlign w:val="center"/>
          </w:tcPr>
          <w:p>
            <w:pPr>
              <w:pStyle w:val="TableContents"/>
              <w:spacing w:before="0" w:after="0"/>
              <w:ind w:left="0" w:right="0" w:hanging="0"/>
              <w:rPr/>
            </w:pPr>
            <w:r>
              <w:rPr>
                <w:rStyle w:val="StrongEmphasis"/>
                <w:rFonts w:ascii="times new roman" w:hAnsi="times new roman"/>
                <w:sz w:val="20"/>
              </w:rPr>
              <w:t xml:space="preserve">Held-to-Maturity Securities: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67"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47" w:type="dxa"/>
            <w:gridSpan w:val="2"/>
            <w:tcBorders/>
            <w:shd w:fill="auto" w:val="clear"/>
            <w:vAlign w:val="center"/>
          </w:tcPr>
          <w:p>
            <w:pPr>
              <w:pStyle w:val="TableContents"/>
              <w:spacing w:before="0" w:after="0"/>
              <w:ind w:left="0" w:right="0" w:hanging="0"/>
              <w:rPr/>
            </w:pPr>
            <w:r>
              <w:rPr/>
              <w:t> </w:t>
            </w:r>
          </w:p>
        </w:tc>
        <w:tc>
          <w:tcPr>
            <w:tcW w:w="197" w:type="dxa"/>
            <w:tcBorders/>
            <w:shd w:fill="auto" w:val="clear"/>
            <w:vAlign w:val="center"/>
          </w:tcPr>
          <w:p>
            <w:pPr>
              <w:pStyle w:val="TableContents"/>
              <w:spacing w:before="0" w:after="0"/>
              <w:ind w:left="0" w:right="0" w:hanging="0"/>
              <w:rPr/>
            </w:pPr>
            <w:r>
              <w:rPr/>
              <w:t> </w:t>
            </w:r>
          </w:p>
        </w:tc>
        <w:tc>
          <w:tcPr>
            <w:tcW w:w="142"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12" w:type="dxa"/>
            <w:gridSpan w:val="2"/>
            <w:tcBorders/>
            <w:shd w:fill="auto" w:val="clear"/>
            <w:vAlign w:val="center"/>
          </w:tcPr>
          <w:p>
            <w:pPr>
              <w:pStyle w:val="TableContents"/>
              <w:spacing w:before="0" w:after="0"/>
              <w:ind w:left="0" w:right="0" w:hanging="0"/>
              <w:rPr/>
            </w:pPr>
            <w:r>
              <w:rPr/>
              <w:t> </w:t>
            </w:r>
          </w:p>
        </w:tc>
        <w:tc>
          <w:tcPr>
            <w:tcW w:w="141" w:type="dxa"/>
            <w:tcBorders/>
            <w:shd w:fill="auto" w:val="clear"/>
            <w:vAlign w:val="center"/>
          </w:tcPr>
          <w:p>
            <w:pPr>
              <w:pStyle w:val="TableContents"/>
              <w:spacing w:before="0" w:after="0"/>
              <w:ind w:left="0" w:right="0" w:hanging="0"/>
              <w:rPr/>
            </w:pPr>
            <w:r>
              <w:rPr/>
              <w:t> </w:t>
            </w:r>
          </w:p>
        </w:tc>
      </w:tr>
      <w:tr>
        <w:trPr/>
        <w:tc>
          <w:tcPr>
            <w:tcW w:w="2254"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U.S. Treasury securities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729,550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0" w:type="dxa"/>
            <w:tcBorders/>
            <w:shd w:fill="CCEEFF" w:val="clear"/>
            <w:vAlign w:val="center"/>
          </w:tcPr>
          <w:p>
            <w:pPr>
              <w:pStyle w:val="TableContents"/>
              <w:spacing w:before="0" w:after="283"/>
              <w:rPr/>
            </w:pPr>
            <w:r>
              <w:rPr/>
              <w:t>$</w:t>
            </w:r>
          </w:p>
        </w:tc>
        <w:tc>
          <w:tcPr>
            <w:tcW w:w="887" w:type="dxa"/>
            <w:tcBorders/>
            <w:shd w:fill="CCEEFF" w:val="clear"/>
            <w:vAlign w:val="center"/>
          </w:tcPr>
          <w:p>
            <w:pPr>
              <w:pStyle w:val="TableContents"/>
              <w:spacing w:before="0" w:after="283"/>
              <w:jc w:val="right"/>
              <w:rPr/>
            </w:pPr>
            <w:r>
              <w:rPr/>
              <w:t>151,002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78" w:type="dxa"/>
            <w:tcBorders/>
            <w:shd w:fill="CCEEFF" w:val="clear"/>
            <w:vAlign w:val="center"/>
          </w:tcPr>
          <w:p>
            <w:pPr>
              <w:pStyle w:val="TableContents"/>
              <w:spacing w:before="0" w:after="283"/>
              <w:rPr/>
            </w:pPr>
            <w:r>
              <w:rPr/>
              <w:t>$</w:t>
            </w:r>
          </w:p>
        </w:tc>
        <w:tc>
          <w:tcPr>
            <w:tcW w:w="769" w:type="dxa"/>
            <w:tcBorders/>
            <w:shd w:fill="CCEEFF" w:val="clear"/>
            <w:vAlign w:val="center"/>
          </w:tcPr>
          <w:p>
            <w:pPr>
              <w:pStyle w:val="TableContents"/>
              <w:spacing w:before="0" w:after="283"/>
              <w:jc w:val="right"/>
              <w:rPr/>
            </w:pPr>
            <w:r>
              <w:rPr/>
              <w:t>-</w:t>
            </w:r>
          </w:p>
        </w:tc>
        <w:tc>
          <w:tcPr>
            <w:tcW w:w="197" w:type="dxa"/>
            <w:tcBorders/>
            <w:shd w:fill="CCEEFF" w:val="clear"/>
            <w:vAlign w:val="center"/>
          </w:tcPr>
          <w:p>
            <w:pPr>
              <w:pStyle w:val="TableContents"/>
              <w:spacing w:before="0" w:after="0"/>
              <w:ind w:left="0" w:right="0" w:hanging="0"/>
              <w:rPr/>
            </w:pPr>
            <w:r>
              <w:rPr/>
              <w:t> </w:t>
            </w:r>
          </w:p>
        </w:tc>
        <w:tc>
          <w:tcPr>
            <w:tcW w:w="142" w:type="dxa"/>
            <w:tcBorders/>
            <w:shd w:fill="CCEEFF" w:val="clear"/>
            <w:vAlign w:val="center"/>
          </w:tcPr>
          <w:p>
            <w:pPr>
              <w:pStyle w:val="TableContents"/>
              <w:spacing w:before="0" w:after="0"/>
              <w:ind w:left="0" w:right="0" w:hanging="0"/>
              <w:rPr/>
            </w:pPr>
            <w:r>
              <w:rPr/>
              <w:t> </w:t>
            </w:r>
          </w:p>
        </w:tc>
        <w:tc>
          <w:tcPr>
            <w:tcW w:w="635" w:type="dxa"/>
            <w:tcBorders/>
            <w:shd w:fill="CCEEFF" w:val="clear"/>
            <w:vAlign w:val="center"/>
          </w:tcPr>
          <w:p>
            <w:pPr>
              <w:pStyle w:val="TableContents"/>
              <w:spacing w:before="0" w:after="283"/>
              <w:rPr/>
            </w:pPr>
            <w:r>
              <w:rPr/>
              <w:t>$</w:t>
            </w:r>
          </w:p>
        </w:tc>
        <w:tc>
          <w:tcPr>
            <w:tcW w:w="44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880,552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8" w:type="dxa"/>
            <w:tcBorders/>
            <w:shd w:fill="CCEEFF" w:val="clear"/>
            <w:vAlign w:val="center"/>
          </w:tcPr>
          <w:p>
            <w:pPr>
              <w:pStyle w:val="TableContents"/>
              <w:spacing w:before="0" w:after="283"/>
              <w:rPr/>
            </w:pPr>
            <w:r>
              <w:rPr/>
              <w:t>$</w:t>
            </w:r>
          </w:p>
        </w:tc>
        <w:tc>
          <w:tcPr>
            <w:tcW w:w="924" w:type="dxa"/>
            <w:tcBorders/>
            <w:shd w:fill="CCEEFF" w:val="clear"/>
            <w:vAlign w:val="center"/>
          </w:tcPr>
          <w:p>
            <w:pPr>
              <w:pStyle w:val="TableContents"/>
              <w:spacing w:before="0" w:after="283"/>
              <w:jc w:val="right"/>
              <w:rPr/>
            </w:pPr>
            <w:r>
              <w:rPr/>
              <w:t>151,002</w:t>
            </w:r>
          </w:p>
        </w:tc>
        <w:tc>
          <w:tcPr>
            <w:tcW w:w="141" w:type="dxa"/>
            <w:tcBorders/>
            <w:shd w:fill="CCEEFF" w:val="clear"/>
            <w:vAlign w:val="center"/>
          </w:tcPr>
          <w:p>
            <w:pPr>
              <w:pStyle w:val="TableContents"/>
              <w:spacing w:before="0" w:after="0"/>
              <w:ind w:left="0" w:right="0" w:hanging="0"/>
              <w:rPr/>
            </w:pPr>
            <w:r>
              <w:rPr/>
              <w:t> </w:t>
            </w:r>
          </w:p>
        </w:tc>
      </w:tr>
      <w:tr>
        <w:trPr/>
        <w:tc>
          <w:tcPr>
            <w:tcW w:w="2254"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0" w:type="dxa"/>
            <w:tcBorders/>
            <w:shd w:fill="FFFFFF" w:val="clear"/>
            <w:vAlign w:val="center"/>
          </w:tcPr>
          <w:p>
            <w:pPr>
              <w:pStyle w:val="TableContents"/>
              <w:spacing w:before="0" w:after="0"/>
              <w:ind w:left="0" w:right="0" w:hanging="0"/>
              <w:rPr/>
            </w:pPr>
            <w:r>
              <w:rPr/>
              <w:t> </w:t>
            </w:r>
          </w:p>
        </w:tc>
        <w:tc>
          <w:tcPr>
            <w:tcW w:w="887"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78" w:type="dxa"/>
            <w:tcBorders/>
            <w:shd w:fill="FFFFFF" w:val="clear"/>
            <w:vAlign w:val="center"/>
          </w:tcPr>
          <w:p>
            <w:pPr>
              <w:pStyle w:val="TableContents"/>
              <w:spacing w:before="0" w:after="0"/>
              <w:ind w:left="0" w:right="0" w:hanging="0"/>
              <w:rPr/>
            </w:pPr>
            <w:r>
              <w:rPr/>
              <w:t> </w:t>
            </w:r>
          </w:p>
        </w:tc>
        <w:tc>
          <w:tcPr>
            <w:tcW w:w="769" w:type="dxa"/>
            <w:tcBorders/>
            <w:shd w:fill="FFFFFF" w:val="clear"/>
            <w:vAlign w:val="center"/>
          </w:tcPr>
          <w:p>
            <w:pPr>
              <w:pStyle w:val="TableContents"/>
              <w:spacing w:before="0" w:after="0"/>
              <w:ind w:left="0" w:right="0" w:hanging="0"/>
              <w:rPr/>
            </w:pPr>
            <w:r>
              <w:rPr/>
              <w:t> </w:t>
            </w:r>
          </w:p>
        </w:tc>
        <w:tc>
          <w:tcPr>
            <w:tcW w:w="197" w:type="dxa"/>
            <w:tcBorders/>
            <w:shd w:fill="FFFFFF" w:val="clear"/>
            <w:vAlign w:val="center"/>
          </w:tcPr>
          <w:p>
            <w:pPr>
              <w:pStyle w:val="TableContents"/>
              <w:spacing w:before="0" w:after="0"/>
              <w:ind w:left="0" w:right="0" w:hanging="0"/>
              <w:rPr/>
            </w:pPr>
            <w:r>
              <w:rPr/>
              <w:t> </w:t>
            </w:r>
          </w:p>
        </w:tc>
        <w:tc>
          <w:tcPr>
            <w:tcW w:w="142" w:type="dxa"/>
            <w:tcBorders/>
            <w:shd w:fill="FFFFFF" w:val="clear"/>
            <w:vAlign w:val="center"/>
          </w:tcPr>
          <w:p>
            <w:pPr>
              <w:pStyle w:val="TableContents"/>
              <w:spacing w:before="0" w:after="0"/>
              <w:ind w:left="0" w:right="0" w:hanging="0"/>
              <w:rPr/>
            </w:pPr>
            <w:r>
              <w:rPr/>
              <w:t> </w:t>
            </w:r>
          </w:p>
        </w:tc>
        <w:tc>
          <w:tcPr>
            <w:tcW w:w="635" w:type="dxa"/>
            <w:tcBorders/>
            <w:shd w:fill="FFFFFF" w:val="clear"/>
            <w:vAlign w:val="center"/>
          </w:tcPr>
          <w:p>
            <w:pPr>
              <w:pStyle w:val="TableContents"/>
              <w:spacing w:before="0" w:after="0"/>
              <w:ind w:left="0" w:right="0" w:hanging="0"/>
              <w:rPr/>
            </w:pPr>
            <w:r>
              <w:rPr/>
              <w:t> </w:t>
            </w:r>
          </w:p>
        </w:tc>
        <w:tc>
          <w:tcPr>
            <w:tcW w:w="44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8" w:type="dxa"/>
            <w:tcBorders/>
            <w:shd w:fill="FFFFFF" w:val="clear"/>
            <w:vAlign w:val="center"/>
          </w:tcPr>
          <w:p>
            <w:pPr>
              <w:pStyle w:val="TableContents"/>
              <w:spacing w:before="0" w:after="0"/>
              <w:ind w:left="0" w:right="0" w:hanging="0"/>
              <w:rPr/>
            </w:pPr>
            <w:r>
              <w:rPr/>
              <w:t> </w:t>
            </w:r>
          </w:p>
        </w:tc>
        <w:tc>
          <w:tcPr>
            <w:tcW w:w="924" w:type="dxa"/>
            <w:tcBorders/>
            <w:shd w:fill="FFFFFF" w:val="clear"/>
            <w:vAlign w:val="center"/>
          </w:tcPr>
          <w:p>
            <w:pPr>
              <w:pStyle w:val="TableContents"/>
              <w:spacing w:before="0" w:after="0"/>
              <w:ind w:left="0" w:right="0" w:hanging="0"/>
              <w:rPr/>
            </w:pPr>
            <w:r>
              <w:rPr/>
              <w:t> </w:t>
            </w:r>
          </w:p>
        </w:tc>
        <w:tc>
          <w:tcPr>
            <w:tcW w:w="141" w:type="dxa"/>
            <w:tcBorders/>
            <w:shd w:fill="FFFFFF" w:val="clear"/>
            <w:vAlign w:val="center"/>
          </w:tcPr>
          <w:p>
            <w:pPr>
              <w:pStyle w:val="TableContents"/>
              <w:spacing w:before="0" w:after="0"/>
              <w:ind w:left="0" w:right="0" w:hanging="0"/>
              <w:rPr/>
            </w:pPr>
            <w:r>
              <w:rPr/>
              <w:t> </w:t>
            </w:r>
          </w:p>
        </w:tc>
      </w:tr>
      <w:tr>
        <w:trPr/>
        <w:tc>
          <w:tcPr>
            <w:tcW w:w="2254"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Political subdivisions of States,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0" w:type="dxa"/>
            <w:tcBorders/>
            <w:shd w:fill="CCEEFF" w:val="clear"/>
            <w:vAlign w:val="center"/>
          </w:tcPr>
          <w:p>
            <w:pPr>
              <w:pStyle w:val="TableContents"/>
              <w:spacing w:before="0" w:after="0"/>
              <w:ind w:left="0" w:right="0" w:hanging="0"/>
              <w:rPr/>
            </w:pPr>
            <w:r>
              <w:rPr/>
              <w:t> </w:t>
            </w:r>
          </w:p>
        </w:tc>
        <w:tc>
          <w:tcPr>
            <w:tcW w:w="887"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78" w:type="dxa"/>
            <w:tcBorders/>
            <w:shd w:fill="CCEEFF" w:val="clear"/>
            <w:vAlign w:val="center"/>
          </w:tcPr>
          <w:p>
            <w:pPr>
              <w:pStyle w:val="TableContents"/>
              <w:spacing w:before="0" w:after="0"/>
              <w:ind w:left="0" w:right="0" w:hanging="0"/>
              <w:rPr/>
            </w:pPr>
            <w:r>
              <w:rPr/>
              <w:t> </w:t>
            </w:r>
          </w:p>
        </w:tc>
        <w:tc>
          <w:tcPr>
            <w:tcW w:w="769" w:type="dxa"/>
            <w:tcBorders/>
            <w:shd w:fill="CCEEFF" w:val="clear"/>
            <w:vAlign w:val="center"/>
          </w:tcPr>
          <w:p>
            <w:pPr>
              <w:pStyle w:val="TableContents"/>
              <w:spacing w:before="0" w:after="0"/>
              <w:ind w:left="0" w:right="0" w:hanging="0"/>
              <w:rPr/>
            </w:pPr>
            <w:r>
              <w:rPr/>
              <w:t> </w:t>
            </w:r>
          </w:p>
        </w:tc>
        <w:tc>
          <w:tcPr>
            <w:tcW w:w="197" w:type="dxa"/>
            <w:tcBorders/>
            <w:shd w:fill="CCEEFF" w:val="clear"/>
            <w:vAlign w:val="center"/>
          </w:tcPr>
          <w:p>
            <w:pPr>
              <w:pStyle w:val="TableContents"/>
              <w:spacing w:before="0" w:after="0"/>
              <w:ind w:left="0" w:right="0" w:hanging="0"/>
              <w:rPr/>
            </w:pPr>
            <w:r>
              <w:rPr/>
              <w:t> </w:t>
            </w:r>
          </w:p>
        </w:tc>
        <w:tc>
          <w:tcPr>
            <w:tcW w:w="142" w:type="dxa"/>
            <w:tcBorders/>
            <w:shd w:fill="CCEEFF" w:val="clear"/>
            <w:vAlign w:val="center"/>
          </w:tcPr>
          <w:p>
            <w:pPr>
              <w:pStyle w:val="TableContents"/>
              <w:spacing w:before="0" w:after="0"/>
              <w:ind w:left="0" w:right="0" w:hanging="0"/>
              <w:rPr/>
            </w:pPr>
            <w:r>
              <w:rPr/>
              <w:t> </w:t>
            </w:r>
          </w:p>
        </w:tc>
        <w:tc>
          <w:tcPr>
            <w:tcW w:w="635" w:type="dxa"/>
            <w:tcBorders/>
            <w:shd w:fill="CCEEFF" w:val="clear"/>
            <w:vAlign w:val="center"/>
          </w:tcPr>
          <w:p>
            <w:pPr>
              <w:pStyle w:val="TableContents"/>
              <w:spacing w:before="0" w:after="0"/>
              <w:ind w:left="0" w:right="0" w:hanging="0"/>
              <w:rPr/>
            </w:pPr>
            <w:r>
              <w:rPr/>
              <w:t> </w:t>
            </w:r>
          </w:p>
        </w:tc>
        <w:tc>
          <w:tcPr>
            <w:tcW w:w="44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8" w:type="dxa"/>
            <w:tcBorders/>
            <w:shd w:fill="CCEEFF" w:val="clear"/>
            <w:vAlign w:val="center"/>
          </w:tcPr>
          <w:p>
            <w:pPr>
              <w:pStyle w:val="TableContents"/>
              <w:spacing w:before="0" w:after="0"/>
              <w:ind w:left="0" w:right="0" w:hanging="0"/>
              <w:rPr/>
            </w:pPr>
            <w:r>
              <w:rPr/>
              <w:t> </w:t>
            </w:r>
          </w:p>
        </w:tc>
        <w:tc>
          <w:tcPr>
            <w:tcW w:w="924" w:type="dxa"/>
            <w:tcBorders/>
            <w:shd w:fill="CCEEFF" w:val="clear"/>
            <w:vAlign w:val="center"/>
          </w:tcPr>
          <w:p>
            <w:pPr>
              <w:pStyle w:val="TableContents"/>
              <w:spacing w:before="0" w:after="0"/>
              <w:ind w:left="0" w:right="0" w:hanging="0"/>
              <w:rPr/>
            </w:pPr>
            <w:r>
              <w:rPr/>
              <w:t> </w:t>
            </w:r>
          </w:p>
        </w:tc>
        <w:tc>
          <w:tcPr>
            <w:tcW w:w="141" w:type="dxa"/>
            <w:tcBorders/>
            <w:shd w:fill="CCEEFF" w:val="clear"/>
            <w:vAlign w:val="center"/>
          </w:tcPr>
          <w:p>
            <w:pPr>
              <w:pStyle w:val="TableContents"/>
              <w:spacing w:before="0" w:after="0"/>
              <w:ind w:left="0" w:right="0" w:hanging="0"/>
              <w:rPr/>
            </w:pPr>
            <w:r>
              <w:rPr/>
              <w:t> </w:t>
            </w:r>
          </w:p>
        </w:tc>
      </w:tr>
      <w:tr>
        <w:trPr/>
        <w:tc>
          <w:tcPr>
            <w:tcW w:w="2254"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Territories and Possessions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998,619</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0" w:type="dxa"/>
            <w:tcBorders/>
            <w:shd w:fill="FFFFFF" w:val="clear"/>
            <w:vAlign w:val="center"/>
          </w:tcPr>
          <w:p>
            <w:pPr>
              <w:pStyle w:val="TableContents"/>
              <w:spacing w:before="0" w:after="0"/>
              <w:ind w:left="0" w:right="0" w:hanging="0"/>
              <w:rPr/>
            </w:pPr>
            <w:r>
              <w:rPr/>
              <w:t> </w:t>
            </w:r>
          </w:p>
        </w:tc>
        <w:tc>
          <w:tcPr>
            <w:tcW w:w="887" w:type="dxa"/>
            <w:tcBorders/>
            <w:shd w:fill="FFFFFF" w:val="clear"/>
            <w:vAlign w:val="center"/>
          </w:tcPr>
          <w:p>
            <w:pPr>
              <w:pStyle w:val="TableContents"/>
              <w:spacing w:before="0" w:after="283"/>
              <w:jc w:val="right"/>
              <w:rPr/>
            </w:pPr>
            <w:r>
              <w:rPr/>
              <w:t>51,021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78" w:type="dxa"/>
            <w:tcBorders/>
            <w:shd w:fill="FFFFFF" w:val="clear"/>
            <w:vAlign w:val="center"/>
          </w:tcPr>
          <w:p>
            <w:pPr>
              <w:pStyle w:val="TableContents"/>
              <w:spacing w:before="0" w:after="0"/>
              <w:ind w:left="0" w:right="0" w:hanging="0"/>
              <w:rPr/>
            </w:pPr>
            <w:r>
              <w:rPr/>
              <w:t> </w:t>
            </w:r>
          </w:p>
        </w:tc>
        <w:tc>
          <w:tcPr>
            <w:tcW w:w="769" w:type="dxa"/>
            <w:tcBorders/>
            <w:shd w:fill="FFFFFF" w:val="clear"/>
            <w:vAlign w:val="center"/>
          </w:tcPr>
          <w:p>
            <w:pPr>
              <w:pStyle w:val="TableContents"/>
              <w:spacing w:before="0" w:after="283"/>
              <w:jc w:val="right"/>
              <w:rPr/>
            </w:pPr>
            <w:r>
              <w:rPr/>
              <w:t>-</w:t>
            </w:r>
          </w:p>
        </w:tc>
        <w:tc>
          <w:tcPr>
            <w:tcW w:w="197" w:type="dxa"/>
            <w:tcBorders/>
            <w:shd w:fill="FFFFFF" w:val="clear"/>
            <w:vAlign w:val="center"/>
          </w:tcPr>
          <w:p>
            <w:pPr>
              <w:pStyle w:val="TableContents"/>
              <w:spacing w:before="0" w:after="0"/>
              <w:ind w:left="0" w:right="0" w:hanging="0"/>
              <w:rPr/>
            </w:pPr>
            <w:r>
              <w:rPr/>
              <w:t> </w:t>
            </w:r>
          </w:p>
        </w:tc>
        <w:tc>
          <w:tcPr>
            <w:tcW w:w="142" w:type="dxa"/>
            <w:tcBorders/>
            <w:shd w:fill="FFFFFF" w:val="clear"/>
            <w:vAlign w:val="center"/>
          </w:tcPr>
          <w:p>
            <w:pPr>
              <w:pStyle w:val="TableContents"/>
              <w:spacing w:before="0" w:after="0"/>
              <w:ind w:left="0" w:right="0" w:hanging="0"/>
              <w:rPr/>
            </w:pPr>
            <w:r>
              <w:rPr/>
              <w:t> </w:t>
            </w:r>
          </w:p>
        </w:tc>
        <w:tc>
          <w:tcPr>
            <w:tcW w:w="635" w:type="dxa"/>
            <w:tcBorders/>
            <w:shd w:fill="FFFFFF" w:val="clear"/>
            <w:vAlign w:val="center"/>
          </w:tcPr>
          <w:p>
            <w:pPr>
              <w:pStyle w:val="TableContents"/>
              <w:spacing w:before="0" w:after="0"/>
              <w:ind w:left="0" w:right="0" w:hanging="0"/>
              <w:rPr/>
            </w:pPr>
            <w:r>
              <w:rPr/>
              <w:t> </w:t>
            </w:r>
          </w:p>
        </w:tc>
        <w:tc>
          <w:tcPr>
            <w:tcW w:w="440" w:type="dxa"/>
            <w:tcBorders/>
            <w:shd w:fill="FFFFFF" w:val="cle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1,049,640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8" w:type="dxa"/>
            <w:tcBorders/>
            <w:shd w:fill="FFFFFF" w:val="clear"/>
            <w:vAlign w:val="center"/>
          </w:tcPr>
          <w:p>
            <w:pPr>
              <w:pStyle w:val="TableContents"/>
              <w:spacing w:before="0" w:after="0"/>
              <w:ind w:left="0" w:right="0" w:hanging="0"/>
              <w:rPr/>
            </w:pPr>
            <w:r>
              <w:rPr/>
              <w:t> </w:t>
            </w:r>
          </w:p>
        </w:tc>
        <w:tc>
          <w:tcPr>
            <w:tcW w:w="924" w:type="dxa"/>
            <w:tcBorders/>
            <w:shd w:fill="FFFFFF" w:val="clear"/>
            <w:vAlign w:val="center"/>
          </w:tcPr>
          <w:p>
            <w:pPr>
              <w:pStyle w:val="TableContents"/>
              <w:spacing w:before="0" w:after="283"/>
              <w:jc w:val="right"/>
              <w:rPr/>
            </w:pPr>
            <w:r>
              <w:rPr/>
              <w:t>51,021</w:t>
            </w:r>
          </w:p>
        </w:tc>
        <w:tc>
          <w:tcPr>
            <w:tcW w:w="141" w:type="dxa"/>
            <w:tcBorders/>
            <w:shd w:fill="FFFFFF" w:val="clear"/>
            <w:vAlign w:val="center"/>
          </w:tcPr>
          <w:p>
            <w:pPr>
              <w:pStyle w:val="TableContents"/>
              <w:spacing w:before="0" w:after="0"/>
              <w:ind w:left="0" w:right="0" w:hanging="0"/>
              <w:rPr/>
            </w:pPr>
            <w:r>
              <w:rPr/>
              <w:t> </w:t>
            </w:r>
          </w:p>
        </w:tc>
      </w:tr>
      <w:tr>
        <w:trPr/>
        <w:tc>
          <w:tcPr>
            <w:tcW w:w="2254"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0" w:type="dxa"/>
            <w:tcBorders/>
            <w:shd w:fill="CCEEFF" w:val="clear"/>
            <w:vAlign w:val="center"/>
          </w:tcPr>
          <w:p>
            <w:pPr>
              <w:pStyle w:val="TableContents"/>
              <w:spacing w:before="0" w:after="0"/>
              <w:ind w:left="0" w:right="0" w:hanging="0"/>
              <w:rPr/>
            </w:pPr>
            <w:r>
              <w:rPr/>
              <w:t> </w:t>
            </w:r>
          </w:p>
        </w:tc>
        <w:tc>
          <w:tcPr>
            <w:tcW w:w="887"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78" w:type="dxa"/>
            <w:tcBorders/>
            <w:shd w:fill="CCEEFF" w:val="clear"/>
            <w:vAlign w:val="center"/>
          </w:tcPr>
          <w:p>
            <w:pPr>
              <w:pStyle w:val="TableContents"/>
              <w:spacing w:before="0" w:after="0"/>
              <w:ind w:left="0" w:right="0" w:hanging="0"/>
              <w:rPr/>
            </w:pPr>
            <w:r>
              <w:rPr/>
              <w:t> </w:t>
            </w:r>
          </w:p>
        </w:tc>
        <w:tc>
          <w:tcPr>
            <w:tcW w:w="769" w:type="dxa"/>
            <w:tcBorders/>
            <w:shd w:fill="CCEEFF" w:val="clear"/>
            <w:vAlign w:val="center"/>
          </w:tcPr>
          <w:p>
            <w:pPr>
              <w:pStyle w:val="TableContents"/>
              <w:spacing w:before="0" w:after="0"/>
              <w:ind w:left="0" w:right="0" w:hanging="0"/>
              <w:rPr/>
            </w:pPr>
            <w:r>
              <w:rPr/>
              <w:t> </w:t>
            </w:r>
          </w:p>
        </w:tc>
        <w:tc>
          <w:tcPr>
            <w:tcW w:w="197" w:type="dxa"/>
            <w:tcBorders/>
            <w:shd w:fill="CCEEFF" w:val="clear"/>
            <w:vAlign w:val="center"/>
          </w:tcPr>
          <w:p>
            <w:pPr>
              <w:pStyle w:val="TableContents"/>
              <w:spacing w:before="0" w:after="0"/>
              <w:ind w:left="0" w:right="0" w:hanging="0"/>
              <w:rPr/>
            </w:pPr>
            <w:r>
              <w:rPr/>
              <w:t> </w:t>
            </w:r>
          </w:p>
        </w:tc>
        <w:tc>
          <w:tcPr>
            <w:tcW w:w="142" w:type="dxa"/>
            <w:tcBorders/>
            <w:shd w:fill="CCEEFF" w:val="clear"/>
            <w:vAlign w:val="center"/>
          </w:tcPr>
          <w:p>
            <w:pPr>
              <w:pStyle w:val="TableContents"/>
              <w:spacing w:before="0" w:after="0"/>
              <w:ind w:left="0" w:right="0" w:hanging="0"/>
              <w:rPr/>
            </w:pPr>
            <w:r>
              <w:rPr/>
              <w:t> </w:t>
            </w:r>
          </w:p>
        </w:tc>
        <w:tc>
          <w:tcPr>
            <w:tcW w:w="635" w:type="dxa"/>
            <w:tcBorders/>
            <w:shd w:fill="CCEEFF" w:val="clear"/>
            <w:vAlign w:val="center"/>
          </w:tcPr>
          <w:p>
            <w:pPr>
              <w:pStyle w:val="TableContents"/>
              <w:spacing w:before="0" w:after="0"/>
              <w:ind w:left="0" w:right="0" w:hanging="0"/>
              <w:rPr/>
            </w:pPr>
            <w:r>
              <w:rPr/>
              <w:t> </w:t>
            </w:r>
          </w:p>
        </w:tc>
        <w:tc>
          <w:tcPr>
            <w:tcW w:w="44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8" w:type="dxa"/>
            <w:tcBorders/>
            <w:shd w:fill="CCEEFF" w:val="clear"/>
            <w:vAlign w:val="center"/>
          </w:tcPr>
          <w:p>
            <w:pPr>
              <w:pStyle w:val="TableContents"/>
              <w:spacing w:before="0" w:after="0"/>
              <w:ind w:left="0" w:right="0" w:hanging="0"/>
              <w:rPr/>
            </w:pPr>
            <w:r>
              <w:rPr/>
              <w:t> </w:t>
            </w:r>
          </w:p>
        </w:tc>
        <w:tc>
          <w:tcPr>
            <w:tcW w:w="924" w:type="dxa"/>
            <w:tcBorders/>
            <w:shd w:fill="CCEEFF" w:val="clear"/>
            <w:vAlign w:val="center"/>
          </w:tcPr>
          <w:p>
            <w:pPr>
              <w:pStyle w:val="TableContents"/>
              <w:spacing w:before="0" w:after="0"/>
              <w:ind w:left="0" w:right="0" w:hanging="0"/>
              <w:rPr/>
            </w:pPr>
            <w:r>
              <w:rPr/>
              <w:t> </w:t>
            </w:r>
          </w:p>
        </w:tc>
        <w:tc>
          <w:tcPr>
            <w:tcW w:w="141" w:type="dxa"/>
            <w:tcBorders/>
            <w:shd w:fill="CCEEFF" w:val="clear"/>
            <w:vAlign w:val="center"/>
          </w:tcPr>
          <w:p>
            <w:pPr>
              <w:pStyle w:val="TableContents"/>
              <w:spacing w:before="0" w:after="0"/>
              <w:ind w:left="0" w:right="0" w:hanging="0"/>
              <w:rPr/>
            </w:pPr>
            <w:r>
              <w:rPr/>
              <w:t> </w:t>
            </w:r>
          </w:p>
        </w:tc>
      </w:tr>
      <w:tr>
        <w:trPr/>
        <w:tc>
          <w:tcPr>
            <w:tcW w:w="2254"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Corporate and other bonds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0" w:type="dxa"/>
            <w:tcBorders/>
            <w:shd w:fill="FFFFFF" w:val="clear"/>
            <w:vAlign w:val="center"/>
          </w:tcPr>
          <w:p>
            <w:pPr>
              <w:pStyle w:val="TableContents"/>
              <w:spacing w:before="0" w:after="0"/>
              <w:ind w:left="0" w:right="0" w:hanging="0"/>
              <w:rPr/>
            </w:pPr>
            <w:r>
              <w:rPr/>
              <w:t> </w:t>
            </w:r>
          </w:p>
        </w:tc>
        <w:tc>
          <w:tcPr>
            <w:tcW w:w="887"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78" w:type="dxa"/>
            <w:tcBorders/>
            <w:shd w:fill="FFFFFF" w:val="clear"/>
            <w:vAlign w:val="center"/>
          </w:tcPr>
          <w:p>
            <w:pPr>
              <w:pStyle w:val="TableContents"/>
              <w:spacing w:before="0" w:after="0"/>
              <w:ind w:left="0" w:right="0" w:hanging="0"/>
              <w:rPr/>
            </w:pPr>
            <w:r>
              <w:rPr/>
              <w:t> </w:t>
            </w:r>
          </w:p>
        </w:tc>
        <w:tc>
          <w:tcPr>
            <w:tcW w:w="769" w:type="dxa"/>
            <w:tcBorders/>
            <w:shd w:fill="FFFFFF" w:val="clear"/>
            <w:vAlign w:val="center"/>
          </w:tcPr>
          <w:p>
            <w:pPr>
              <w:pStyle w:val="TableContents"/>
              <w:spacing w:before="0" w:after="0"/>
              <w:ind w:left="0" w:right="0" w:hanging="0"/>
              <w:rPr/>
            </w:pPr>
            <w:r>
              <w:rPr/>
              <w:t> </w:t>
            </w:r>
          </w:p>
        </w:tc>
        <w:tc>
          <w:tcPr>
            <w:tcW w:w="197" w:type="dxa"/>
            <w:tcBorders/>
            <w:shd w:fill="FFFFFF" w:val="clear"/>
            <w:vAlign w:val="center"/>
          </w:tcPr>
          <w:p>
            <w:pPr>
              <w:pStyle w:val="TableContents"/>
              <w:spacing w:before="0" w:after="0"/>
              <w:ind w:left="0" w:right="0" w:hanging="0"/>
              <w:rPr/>
            </w:pPr>
            <w:r>
              <w:rPr/>
              <w:t> </w:t>
            </w:r>
          </w:p>
        </w:tc>
        <w:tc>
          <w:tcPr>
            <w:tcW w:w="142" w:type="dxa"/>
            <w:tcBorders/>
            <w:shd w:fill="FFFFFF" w:val="clear"/>
            <w:vAlign w:val="center"/>
          </w:tcPr>
          <w:p>
            <w:pPr>
              <w:pStyle w:val="TableContents"/>
              <w:spacing w:before="0" w:after="0"/>
              <w:ind w:left="0" w:right="0" w:hanging="0"/>
              <w:rPr/>
            </w:pPr>
            <w:r>
              <w:rPr/>
              <w:t> </w:t>
            </w:r>
          </w:p>
        </w:tc>
        <w:tc>
          <w:tcPr>
            <w:tcW w:w="635" w:type="dxa"/>
            <w:tcBorders/>
            <w:shd w:fill="FFFFFF" w:val="clear"/>
            <w:vAlign w:val="center"/>
          </w:tcPr>
          <w:p>
            <w:pPr>
              <w:pStyle w:val="TableContents"/>
              <w:spacing w:before="0" w:after="0"/>
              <w:ind w:left="0" w:right="0" w:hanging="0"/>
              <w:rPr/>
            </w:pPr>
            <w:r>
              <w:rPr/>
              <w:t> </w:t>
            </w:r>
          </w:p>
        </w:tc>
        <w:tc>
          <w:tcPr>
            <w:tcW w:w="44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8" w:type="dxa"/>
            <w:tcBorders/>
            <w:shd w:fill="FFFFFF" w:val="clear"/>
            <w:vAlign w:val="center"/>
          </w:tcPr>
          <w:p>
            <w:pPr>
              <w:pStyle w:val="TableContents"/>
              <w:spacing w:before="0" w:after="0"/>
              <w:ind w:left="0" w:right="0" w:hanging="0"/>
              <w:rPr/>
            </w:pPr>
            <w:r>
              <w:rPr/>
              <w:t> </w:t>
            </w:r>
          </w:p>
        </w:tc>
        <w:tc>
          <w:tcPr>
            <w:tcW w:w="924" w:type="dxa"/>
            <w:tcBorders/>
            <w:shd w:fill="FFFFFF" w:val="clear"/>
            <w:vAlign w:val="center"/>
          </w:tcPr>
          <w:p>
            <w:pPr>
              <w:pStyle w:val="TableContents"/>
              <w:spacing w:before="0" w:after="0"/>
              <w:ind w:left="0" w:right="0" w:hanging="0"/>
              <w:rPr/>
            </w:pPr>
            <w:r>
              <w:rPr/>
              <w:t> </w:t>
            </w:r>
          </w:p>
        </w:tc>
        <w:tc>
          <w:tcPr>
            <w:tcW w:w="141" w:type="dxa"/>
            <w:tcBorders/>
            <w:shd w:fill="FFFFFF" w:val="clear"/>
            <w:vAlign w:val="center"/>
          </w:tcPr>
          <w:p>
            <w:pPr>
              <w:pStyle w:val="TableContents"/>
              <w:spacing w:before="0" w:after="0"/>
              <w:ind w:left="0" w:right="0" w:hanging="0"/>
              <w:rPr/>
            </w:pPr>
            <w:r>
              <w:rPr/>
              <w:t> </w:t>
            </w:r>
          </w:p>
        </w:tc>
      </w:tr>
      <w:tr>
        <w:trPr/>
        <w:tc>
          <w:tcPr>
            <w:tcW w:w="2254"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Industrial and miscellaneous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2,097,783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87" w:type="dxa"/>
            <w:tcBorders>
              <w:bottom w:val="single" w:sz="2" w:space="0" w:color="000000"/>
            </w:tcBorders>
            <w:shd w:fill="CCEEFF" w:val="clear"/>
            <w:tcMar>
              <w:bottom w:w="28" w:type="dxa"/>
            </w:tcMar>
            <w:vAlign w:val="center"/>
          </w:tcPr>
          <w:p>
            <w:pPr>
              <w:pStyle w:val="TableContents"/>
              <w:spacing w:before="0" w:after="283"/>
              <w:jc w:val="right"/>
              <w:rPr/>
            </w:pPr>
            <w:r>
              <w:rPr/>
              <w:t>97,627</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7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69" w:type="dxa"/>
            <w:tcBorders>
              <w:bottom w:val="single" w:sz="2" w:space="0" w:color="000000"/>
            </w:tcBorders>
            <w:shd w:fill="CCEEFF" w:val="clear"/>
            <w:tcMar>
              <w:bottom w:w="28" w:type="dxa"/>
            </w:tcMar>
            <w:vAlign w:val="center"/>
          </w:tcPr>
          <w:p>
            <w:pPr>
              <w:pStyle w:val="TableContents"/>
              <w:spacing w:before="0" w:after="283"/>
              <w:jc w:val="right"/>
              <w:rPr/>
            </w:pPr>
            <w:r>
              <w:rPr/>
              <w:t>(835</w:t>
            </w:r>
          </w:p>
        </w:tc>
        <w:tc>
          <w:tcPr>
            <w:tcW w:w="197" w:type="dxa"/>
            <w:tcBorders/>
            <w:shd w:fill="CCEEFF" w:val="clear"/>
            <w:vAlign w:val="center"/>
          </w:tcPr>
          <w:p>
            <w:pPr>
              <w:pStyle w:val="TableContents"/>
              <w:spacing w:before="0" w:after="283"/>
              <w:rPr/>
            </w:pPr>
            <w:r>
              <w:rPr/>
              <w:t>)</w:t>
            </w:r>
          </w:p>
        </w:tc>
        <w:tc>
          <w:tcPr>
            <w:tcW w:w="142" w:type="dxa"/>
            <w:tcBorders/>
            <w:shd w:fill="CCEEFF" w:val="clear"/>
            <w:vAlign w:val="center"/>
          </w:tcPr>
          <w:p>
            <w:pPr>
              <w:pStyle w:val="TableContents"/>
              <w:spacing w:before="0" w:after="0"/>
              <w:ind w:left="0" w:right="0" w:hanging="0"/>
              <w:rPr/>
            </w:pPr>
            <w:r>
              <w:rPr/>
              <w:t> </w:t>
            </w:r>
          </w:p>
        </w:tc>
        <w:tc>
          <w:tcPr>
            <w:tcW w:w="63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440"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2,194,575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24" w:type="dxa"/>
            <w:tcBorders>
              <w:bottom w:val="single" w:sz="2" w:space="0" w:color="000000"/>
            </w:tcBorders>
            <w:shd w:fill="CCEEFF" w:val="clear"/>
            <w:tcMar>
              <w:bottom w:w="28" w:type="dxa"/>
            </w:tcMar>
            <w:vAlign w:val="center"/>
          </w:tcPr>
          <w:p>
            <w:pPr>
              <w:pStyle w:val="TableContents"/>
              <w:spacing w:before="0" w:after="283"/>
              <w:jc w:val="right"/>
              <w:rPr/>
            </w:pPr>
            <w:r>
              <w:rPr/>
              <w:t>96,792</w:t>
            </w:r>
          </w:p>
        </w:tc>
        <w:tc>
          <w:tcPr>
            <w:tcW w:w="141" w:type="dxa"/>
            <w:tcBorders/>
            <w:shd w:fill="CCEEFF" w:val="clear"/>
            <w:vAlign w:val="center"/>
          </w:tcPr>
          <w:p>
            <w:pPr>
              <w:pStyle w:val="TableContents"/>
              <w:spacing w:before="0" w:after="0"/>
              <w:ind w:left="0" w:right="0" w:hanging="0"/>
              <w:rPr/>
            </w:pPr>
            <w:r>
              <w:rPr/>
              <w:t> </w:t>
            </w:r>
          </w:p>
        </w:tc>
      </w:tr>
      <w:tr>
        <w:trPr/>
        <w:tc>
          <w:tcPr>
            <w:tcW w:w="2254"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0" w:type="dxa"/>
            <w:tcBorders/>
            <w:shd w:fill="FFFFFF" w:val="clear"/>
            <w:vAlign w:val="center"/>
          </w:tcPr>
          <w:p>
            <w:pPr>
              <w:pStyle w:val="TableContents"/>
              <w:spacing w:before="0" w:after="0"/>
              <w:ind w:left="0" w:right="0" w:hanging="0"/>
              <w:rPr/>
            </w:pPr>
            <w:r>
              <w:rPr/>
              <w:t> </w:t>
            </w:r>
          </w:p>
        </w:tc>
        <w:tc>
          <w:tcPr>
            <w:tcW w:w="887"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78" w:type="dxa"/>
            <w:tcBorders/>
            <w:shd w:fill="FFFFFF" w:val="clear"/>
            <w:vAlign w:val="center"/>
          </w:tcPr>
          <w:p>
            <w:pPr>
              <w:pStyle w:val="TableContents"/>
              <w:spacing w:before="0" w:after="0"/>
              <w:ind w:left="0" w:right="0" w:hanging="0"/>
              <w:rPr/>
            </w:pPr>
            <w:r>
              <w:rPr/>
              <w:t> </w:t>
            </w:r>
          </w:p>
        </w:tc>
        <w:tc>
          <w:tcPr>
            <w:tcW w:w="769" w:type="dxa"/>
            <w:tcBorders/>
            <w:shd w:fill="FFFFFF" w:val="clear"/>
            <w:vAlign w:val="center"/>
          </w:tcPr>
          <w:p>
            <w:pPr>
              <w:pStyle w:val="TableContents"/>
              <w:spacing w:before="0" w:after="0"/>
              <w:ind w:left="0" w:right="0" w:hanging="0"/>
              <w:rPr/>
            </w:pPr>
            <w:r>
              <w:rPr/>
              <w:t> </w:t>
            </w:r>
          </w:p>
        </w:tc>
        <w:tc>
          <w:tcPr>
            <w:tcW w:w="197" w:type="dxa"/>
            <w:tcBorders/>
            <w:shd w:fill="FFFFFF" w:val="clear"/>
            <w:vAlign w:val="center"/>
          </w:tcPr>
          <w:p>
            <w:pPr>
              <w:pStyle w:val="TableContents"/>
              <w:spacing w:before="0" w:after="0"/>
              <w:ind w:left="0" w:right="0" w:hanging="0"/>
              <w:rPr/>
            </w:pPr>
            <w:r>
              <w:rPr/>
              <w:t> </w:t>
            </w:r>
          </w:p>
        </w:tc>
        <w:tc>
          <w:tcPr>
            <w:tcW w:w="142" w:type="dxa"/>
            <w:tcBorders/>
            <w:shd w:fill="FFFFFF" w:val="clear"/>
            <w:vAlign w:val="center"/>
          </w:tcPr>
          <w:p>
            <w:pPr>
              <w:pStyle w:val="TableContents"/>
              <w:spacing w:before="0" w:after="0"/>
              <w:ind w:left="0" w:right="0" w:hanging="0"/>
              <w:rPr/>
            </w:pPr>
            <w:r>
              <w:rPr/>
              <w:t> </w:t>
            </w:r>
          </w:p>
        </w:tc>
        <w:tc>
          <w:tcPr>
            <w:tcW w:w="635" w:type="dxa"/>
            <w:tcBorders/>
            <w:shd w:fill="FFFFFF" w:val="clear"/>
            <w:vAlign w:val="center"/>
          </w:tcPr>
          <w:p>
            <w:pPr>
              <w:pStyle w:val="TableContents"/>
              <w:spacing w:before="0" w:after="0"/>
              <w:ind w:left="0" w:right="0" w:hanging="0"/>
              <w:rPr/>
            </w:pPr>
            <w:r>
              <w:rPr/>
              <w:t> </w:t>
            </w:r>
          </w:p>
        </w:tc>
        <w:tc>
          <w:tcPr>
            <w:tcW w:w="44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8" w:type="dxa"/>
            <w:tcBorders/>
            <w:shd w:fill="FFFFFF" w:val="clear"/>
            <w:vAlign w:val="center"/>
          </w:tcPr>
          <w:p>
            <w:pPr>
              <w:pStyle w:val="TableContents"/>
              <w:spacing w:before="0" w:after="0"/>
              <w:ind w:left="0" w:right="0" w:hanging="0"/>
              <w:rPr/>
            </w:pPr>
            <w:r>
              <w:rPr/>
              <w:t> </w:t>
            </w:r>
          </w:p>
        </w:tc>
        <w:tc>
          <w:tcPr>
            <w:tcW w:w="924" w:type="dxa"/>
            <w:tcBorders/>
            <w:shd w:fill="FFFFFF" w:val="clear"/>
            <w:vAlign w:val="center"/>
          </w:tcPr>
          <w:p>
            <w:pPr>
              <w:pStyle w:val="TableContents"/>
              <w:spacing w:before="0" w:after="0"/>
              <w:ind w:left="0" w:right="0" w:hanging="0"/>
              <w:rPr/>
            </w:pPr>
            <w:r>
              <w:rPr/>
              <w:t> </w:t>
            </w:r>
          </w:p>
        </w:tc>
        <w:tc>
          <w:tcPr>
            <w:tcW w:w="141" w:type="dxa"/>
            <w:tcBorders/>
            <w:shd w:fill="FFFFFF" w:val="clear"/>
            <w:vAlign w:val="center"/>
          </w:tcPr>
          <w:p>
            <w:pPr>
              <w:pStyle w:val="TableContents"/>
              <w:spacing w:before="0" w:after="0"/>
              <w:ind w:left="0" w:right="0" w:hanging="0"/>
              <w:rPr/>
            </w:pPr>
            <w:r>
              <w:rPr/>
              <w:t> </w:t>
            </w:r>
          </w:p>
        </w:tc>
      </w:tr>
      <w:tr>
        <w:trPr/>
        <w:tc>
          <w:tcPr>
            <w:tcW w:w="2254"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Total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6" w:space="0" w:color="000000"/>
            </w:tcBorders>
            <w:shd w:fill="CCEEFF" w:val="clear"/>
            <w:tcMar>
              <w:bottom w:w="28" w:type="dxa"/>
            </w:tcMar>
            <w:vAlign w:val="center"/>
          </w:tcPr>
          <w:p>
            <w:pPr>
              <w:pStyle w:val="TableContents"/>
              <w:spacing w:before="0" w:after="283"/>
              <w:jc w:val="right"/>
              <w:rPr/>
            </w:pPr>
            <w:r>
              <w:rPr/>
              <w:t>3,825,952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0" w:type="dxa"/>
            <w:tcBorders>
              <w:bottom w:val="double" w:sz="6" w:space="0" w:color="000000"/>
            </w:tcBorders>
            <w:shd w:fill="CCEEFF" w:val="clear"/>
            <w:tcMar>
              <w:bottom w:w="28" w:type="dxa"/>
            </w:tcMar>
            <w:vAlign w:val="center"/>
          </w:tcPr>
          <w:p>
            <w:pPr>
              <w:pStyle w:val="TableContents"/>
              <w:spacing w:before="0" w:after="283"/>
              <w:rPr/>
            </w:pPr>
            <w:r>
              <w:rPr/>
              <w:t>$</w:t>
            </w:r>
          </w:p>
        </w:tc>
        <w:tc>
          <w:tcPr>
            <w:tcW w:w="887" w:type="dxa"/>
            <w:tcBorders>
              <w:bottom w:val="double" w:sz="6" w:space="0" w:color="000000"/>
            </w:tcBorders>
            <w:shd w:fill="CCEEFF" w:val="clear"/>
            <w:tcMar>
              <w:bottom w:w="28" w:type="dxa"/>
            </w:tcMar>
            <w:vAlign w:val="center"/>
          </w:tcPr>
          <w:p>
            <w:pPr>
              <w:pStyle w:val="TableContents"/>
              <w:spacing w:before="0" w:after="283"/>
              <w:jc w:val="right"/>
              <w:rPr/>
            </w:pPr>
            <w:r>
              <w:rPr/>
              <w:t>299,650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78" w:type="dxa"/>
            <w:tcBorders>
              <w:bottom w:val="double" w:sz="6" w:space="0" w:color="000000"/>
            </w:tcBorders>
            <w:shd w:fill="CCEEFF" w:val="clear"/>
            <w:tcMar>
              <w:bottom w:w="28" w:type="dxa"/>
            </w:tcMar>
            <w:vAlign w:val="center"/>
          </w:tcPr>
          <w:p>
            <w:pPr>
              <w:pStyle w:val="TableContents"/>
              <w:spacing w:before="0" w:after="283"/>
              <w:rPr/>
            </w:pPr>
            <w:r>
              <w:rPr/>
              <w:t>$</w:t>
            </w:r>
          </w:p>
        </w:tc>
        <w:tc>
          <w:tcPr>
            <w:tcW w:w="769" w:type="dxa"/>
            <w:tcBorders>
              <w:bottom w:val="double" w:sz="6" w:space="0" w:color="000000"/>
            </w:tcBorders>
            <w:shd w:fill="CCEEFF" w:val="clear"/>
            <w:tcMar>
              <w:bottom w:w="28" w:type="dxa"/>
            </w:tcMar>
            <w:vAlign w:val="center"/>
          </w:tcPr>
          <w:p>
            <w:pPr>
              <w:pStyle w:val="TableContents"/>
              <w:spacing w:before="0" w:after="283"/>
              <w:jc w:val="right"/>
              <w:rPr/>
            </w:pPr>
            <w:r>
              <w:rPr/>
              <w:t>(835</w:t>
            </w:r>
          </w:p>
        </w:tc>
        <w:tc>
          <w:tcPr>
            <w:tcW w:w="197" w:type="dxa"/>
            <w:tcBorders/>
            <w:shd w:fill="CCEEFF" w:val="clear"/>
            <w:vAlign w:val="center"/>
          </w:tcPr>
          <w:p>
            <w:pPr>
              <w:pStyle w:val="TableContents"/>
              <w:spacing w:before="0" w:after="283"/>
              <w:rPr/>
            </w:pPr>
            <w:r>
              <w:rPr/>
              <w:t>)</w:t>
            </w:r>
          </w:p>
        </w:tc>
        <w:tc>
          <w:tcPr>
            <w:tcW w:w="142" w:type="dxa"/>
            <w:tcBorders/>
            <w:shd w:fill="CCEEFF" w:val="clear"/>
            <w:vAlign w:val="center"/>
          </w:tcPr>
          <w:p>
            <w:pPr>
              <w:pStyle w:val="TableContents"/>
              <w:spacing w:before="0" w:after="0"/>
              <w:ind w:left="0" w:right="0" w:hanging="0"/>
              <w:rPr/>
            </w:pPr>
            <w:r>
              <w:rPr/>
              <w:t> </w:t>
            </w:r>
          </w:p>
        </w:tc>
        <w:tc>
          <w:tcPr>
            <w:tcW w:w="635" w:type="dxa"/>
            <w:tcBorders>
              <w:bottom w:val="double" w:sz="6" w:space="0" w:color="000000"/>
            </w:tcBorders>
            <w:shd w:fill="CCEEFF" w:val="clear"/>
            <w:tcMar>
              <w:bottom w:w="28" w:type="dxa"/>
            </w:tcMar>
            <w:vAlign w:val="center"/>
          </w:tcPr>
          <w:p>
            <w:pPr>
              <w:pStyle w:val="TableContents"/>
              <w:spacing w:before="0" w:after="283"/>
              <w:rPr/>
            </w:pPr>
            <w:r>
              <w:rPr/>
              <w:t>$</w:t>
            </w:r>
          </w:p>
        </w:tc>
        <w:tc>
          <w:tcPr>
            <w:tcW w:w="440" w:type="dxa"/>
            <w:tcBorders>
              <w:bottom w:val="double" w:sz="6" w:space="0" w:color="000000"/>
            </w:tcBorders>
            <w:shd w:fill="CCEEFF" w:val="clear"/>
            <w:tcMar>
              <w:bottom w:w="28" w:type="dxa"/>
            </w:tcM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6" w:space="0" w:color="000000"/>
            </w:tcBorders>
            <w:shd w:fill="CCEEFF" w:val="clear"/>
            <w:tcMar>
              <w:bottom w:w="28" w:type="dxa"/>
            </w:tcMar>
            <w:vAlign w:val="center"/>
          </w:tcPr>
          <w:p>
            <w:pPr>
              <w:pStyle w:val="TableContents"/>
              <w:spacing w:before="0" w:after="283"/>
              <w:jc w:val="right"/>
              <w:rPr/>
            </w:pPr>
            <w:r>
              <w:rPr/>
              <w:t>4,124,767</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8" w:type="dxa"/>
            <w:tcBorders>
              <w:bottom w:val="double" w:sz="6" w:space="0" w:color="000000"/>
            </w:tcBorders>
            <w:shd w:fill="CCEEFF" w:val="clear"/>
            <w:tcMar>
              <w:bottom w:w="28" w:type="dxa"/>
            </w:tcMar>
            <w:vAlign w:val="center"/>
          </w:tcPr>
          <w:p>
            <w:pPr>
              <w:pStyle w:val="TableContents"/>
              <w:spacing w:before="0" w:after="283"/>
              <w:rPr/>
            </w:pPr>
            <w:r>
              <w:rPr/>
              <w:t>$</w:t>
            </w:r>
          </w:p>
        </w:tc>
        <w:tc>
          <w:tcPr>
            <w:tcW w:w="924" w:type="dxa"/>
            <w:tcBorders>
              <w:bottom w:val="double" w:sz="6" w:space="0" w:color="000000"/>
            </w:tcBorders>
            <w:shd w:fill="CCEEFF" w:val="clear"/>
            <w:tcMar>
              <w:bottom w:w="28" w:type="dxa"/>
            </w:tcMar>
            <w:vAlign w:val="center"/>
          </w:tcPr>
          <w:p>
            <w:pPr>
              <w:pStyle w:val="TableContents"/>
              <w:spacing w:before="0" w:after="283"/>
              <w:jc w:val="right"/>
              <w:rPr/>
            </w:pPr>
            <w:r>
              <w:rPr/>
              <w:t>298,815</w:t>
            </w:r>
          </w:p>
        </w:tc>
        <w:tc>
          <w:tcPr>
            <w:tcW w:w="141"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Held-to-maturity U.S. Treasury securities are held in trust pursuant to various states’ minimum fund requirements.</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F-18</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2020 AND 2019</w:t>
      </w:r>
    </w:p>
    <w:p>
      <w:pPr>
        <w:pStyle w:val="TextBody"/>
        <w:spacing w:before="0" w:after="0"/>
        <w:ind w:left="0" w:right="0" w:hanging="0"/>
        <w:jc w:val="center"/>
        <w:rPr/>
      </w:pPr>
      <w:r>
        <w:rPr>
          <w:rStyle w:val="StrongEmphasis"/>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A summary of the amortized cost and the estimated fair value of the Company’s investments in held-to-maturity securities by contractual maturity as of December 31, 2020 and 2019 is shown below: </w:t>
      </w:r>
    </w:p>
    <w:p>
      <w:pPr>
        <w:pStyle w:val="TextBody"/>
        <w:spacing w:before="0" w:after="0"/>
        <w:ind w:left="0" w:right="0" w:hanging="0"/>
        <w:jc w:val="both"/>
        <w:rPr/>
      </w:pPr>
      <w:r>
        <w:rPr/>
        <w:t> </w:t>
      </w:r>
    </w:p>
    <w:p>
      <w:pPr>
        <w:pStyle w:val="TextBody"/>
        <w:spacing w:before="0" w:after="0"/>
        <w:ind w:left="0" w:right="0" w:hanging="0"/>
        <w:rPr/>
      </w:pPr>
      <w:r>
        <w:rPr/>
        <w:t> </w:t>
      </w:r>
    </w:p>
    <w:p>
      <w:pPr>
        <w:pStyle w:val="TextBody"/>
        <w:spacing w:before="0" w:after="0"/>
        <w:ind w:left="0" w:right="0" w:hanging="0"/>
        <w:rPr/>
      </w:pPr>
      <w:r>
        <w:rPr/>
        <w:t> </w:t>
      </w:r>
    </w:p>
    <w:tbl>
      <w:tblPr>
        <w:tblW w:w="7935" w:type="dxa"/>
        <w:jc w:val="left"/>
        <w:tblInd w:w="0" w:type="dxa"/>
        <w:tblCellMar>
          <w:top w:w="0" w:type="dxa"/>
          <w:left w:w="0" w:type="dxa"/>
          <w:bottom w:w="0" w:type="dxa"/>
          <w:right w:w="0" w:type="dxa"/>
        </w:tblCellMar>
      </w:tblPr>
      <w:tblGrid>
        <w:gridCol w:w="2450"/>
        <w:gridCol w:w="90"/>
        <w:gridCol w:w="170"/>
        <w:gridCol w:w="1010"/>
        <w:gridCol w:w="90"/>
        <w:gridCol w:w="90"/>
        <w:gridCol w:w="170"/>
        <w:gridCol w:w="1010"/>
        <w:gridCol w:w="90"/>
        <w:gridCol w:w="90"/>
        <w:gridCol w:w="170"/>
        <w:gridCol w:w="1010"/>
        <w:gridCol w:w="90"/>
        <w:gridCol w:w="90"/>
        <w:gridCol w:w="170"/>
        <w:gridCol w:w="1010"/>
        <w:gridCol w:w="135"/>
      </w:tblGrid>
      <w:tr>
        <w:trPr/>
        <w:tc>
          <w:tcPr>
            <w:tcW w:w="245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540" w:type="dxa"/>
            <w:gridSpan w:val="6"/>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December 31, 2020</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540" w:type="dxa"/>
            <w:gridSpan w:val="6"/>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December 31, 2019</w:t>
            </w:r>
          </w:p>
        </w:tc>
        <w:tc>
          <w:tcPr>
            <w:tcW w:w="135" w:type="dxa"/>
            <w:tcBorders/>
            <w:shd w:fill="auto" w:val="clear"/>
            <w:vAlign w:val="center"/>
          </w:tcPr>
          <w:p>
            <w:pPr>
              <w:pStyle w:val="TableContents"/>
              <w:spacing w:before="0" w:after="0"/>
              <w:ind w:left="0" w:right="0" w:hanging="0"/>
              <w:rPr/>
            </w:pPr>
            <w:r>
              <w:rPr/>
              <w:t> </w:t>
            </w:r>
          </w:p>
        </w:tc>
      </w:tr>
      <w:tr>
        <w:trPr/>
        <w:tc>
          <w:tcPr>
            <w:tcW w:w="245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Amortized</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Estimated</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Amortized</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Estimated</w:t>
            </w:r>
          </w:p>
        </w:tc>
        <w:tc>
          <w:tcPr>
            <w:tcW w:w="135" w:type="dxa"/>
            <w:tcBorders/>
            <w:shd w:fill="auto" w:val="clear"/>
            <w:vAlign w:val="center"/>
          </w:tcPr>
          <w:p>
            <w:pPr>
              <w:pStyle w:val="TableContents"/>
              <w:spacing w:before="0" w:after="0"/>
              <w:ind w:left="0" w:right="0" w:hanging="0"/>
              <w:rPr/>
            </w:pPr>
            <w:r>
              <w:rPr/>
              <w:t> </w:t>
            </w:r>
          </w:p>
        </w:tc>
      </w:tr>
      <w:tr>
        <w:trPr/>
        <w:tc>
          <w:tcPr>
            <w:tcW w:w="2450" w:type="dxa"/>
            <w:tcBorders>
              <w:bottom w:val="single" w:sz="8" w:space="0" w:color="000000"/>
            </w:tcBorders>
            <w:shd w:fill="auto" w:val="clear"/>
            <w:tcMar>
              <w:bottom w:w="28" w:type="dxa"/>
            </w:tcM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Remaining Time to Maturity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Cost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Fair Value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Cost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Fair Value </w:t>
            </w:r>
          </w:p>
        </w:tc>
        <w:tc>
          <w:tcPr>
            <w:tcW w:w="135" w:type="dxa"/>
            <w:tcBorders/>
            <w:shd w:fill="auto" w:val="clear"/>
            <w:vAlign w:val="center"/>
          </w:tcPr>
          <w:p>
            <w:pPr>
              <w:pStyle w:val="TableContents"/>
              <w:spacing w:before="0" w:after="0"/>
              <w:ind w:left="0" w:right="0" w:hanging="0"/>
              <w:rPr/>
            </w:pPr>
            <w:r>
              <w:rPr/>
              <w:t> </w:t>
            </w:r>
          </w:p>
        </w:tc>
      </w:tr>
      <w:tr>
        <w:trPr/>
        <w:tc>
          <w:tcPr>
            <w:tcW w:w="245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2450"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Less than one year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500,000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499,165</w:t>
            </w:r>
          </w:p>
        </w:tc>
        <w:tc>
          <w:tcPr>
            <w:tcW w:w="135" w:type="dxa"/>
            <w:tcBorders/>
            <w:shd w:fill="CCEEFF" w:val="clear"/>
            <w:vAlign w:val="center"/>
          </w:tcPr>
          <w:p>
            <w:pPr>
              <w:pStyle w:val="TableContents"/>
              <w:spacing w:before="0" w:after="0"/>
              <w:ind w:left="0" w:right="0" w:hanging="0"/>
              <w:rPr/>
            </w:pPr>
            <w:r>
              <w:rPr/>
              <w:t> </w:t>
            </w:r>
          </w:p>
        </w:tc>
      </w:tr>
      <w:tr>
        <w:trPr/>
        <w:tc>
          <w:tcPr>
            <w:tcW w:w="2450"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One to five years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2,598,193</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2,777,936</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2,099,268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2,215,640</w:t>
            </w:r>
          </w:p>
        </w:tc>
        <w:tc>
          <w:tcPr>
            <w:tcW w:w="135" w:type="dxa"/>
            <w:tcBorders/>
            <w:shd w:fill="FFFFFF" w:val="clear"/>
            <w:vAlign w:val="center"/>
          </w:tcPr>
          <w:p>
            <w:pPr>
              <w:pStyle w:val="TableContents"/>
              <w:spacing w:before="0" w:after="0"/>
              <w:ind w:left="0" w:right="0" w:hanging="0"/>
              <w:rPr/>
            </w:pPr>
            <w:r>
              <w:rPr/>
              <w:t> </w:t>
            </w:r>
          </w:p>
        </w:tc>
      </w:tr>
      <w:tr>
        <w:trPr/>
        <w:tc>
          <w:tcPr>
            <w:tcW w:w="2450"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Five to ten years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1,502,603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1,727,316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620,134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655,923</w:t>
            </w:r>
          </w:p>
        </w:tc>
        <w:tc>
          <w:tcPr>
            <w:tcW w:w="135" w:type="dxa"/>
            <w:tcBorders/>
            <w:shd w:fill="CCEEFF" w:val="clear"/>
            <w:vAlign w:val="center"/>
          </w:tcPr>
          <w:p>
            <w:pPr>
              <w:pStyle w:val="TableContents"/>
              <w:spacing w:before="0" w:after="0"/>
              <w:ind w:left="0" w:right="0" w:hanging="0"/>
              <w:rPr/>
            </w:pPr>
            <w:r>
              <w:rPr/>
              <w:t> </w:t>
            </w:r>
          </w:p>
        </w:tc>
      </w:tr>
      <w:tr>
        <w:trPr/>
        <w:tc>
          <w:tcPr>
            <w:tcW w:w="2450"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More than 10 years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283"/>
              <w:jc w:val="right"/>
              <w:rPr/>
            </w:pPr>
            <w:r>
              <w:rPr/>
              <w:t>3,268,019</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283"/>
              <w:jc w:val="right"/>
              <w:rPr/>
            </w:pPr>
            <w:r>
              <w:rPr/>
              <w:t>3,689,572</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283"/>
              <w:jc w:val="right"/>
              <w:rPr/>
            </w:pPr>
            <w:r>
              <w:rPr/>
              <w:t>606,550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283"/>
              <w:jc w:val="right"/>
              <w:rPr/>
            </w:pPr>
            <w:r>
              <w:rPr/>
              <w:t>754,039</w:t>
            </w:r>
          </w:p>
        </w:tc>
        <w:tc>
          <w:tcPr>
            <w:tcW w:w="135" w:type="dxa"/>
            <w:tcBorders/>
            <w:shd w:fill="FFFFFF" w:val="clear"/>
            <w:vAlign w:val="center"/>
          </w:tcPr>
          <w:p>
            <w:pPr>
              <w:pStyle w:val="TableContents"/>
              <w:spacing w:before="0" w:after="0"/>
              <w:ind w:left="0" w:right="0" w:hanging="0"/>
              <w:rPr/>
            </w:pPr>
            <w:r>
              <w:rPr/>
              <w:t> </w:t>
            </w:r>
          </w:p>
        </w:tc>
      </w:tr>
      <w:tr>
        <w:trPr/>
        <w:tc>
          <w:tcPr>
            <w:tcW w:w="2450"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Total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5" w:space="0" w:color="000000"/>
            </w:tcBorders>
            <w:shd w:fill="CCEEFF" w:val="clear"/>
            <w:tcMar>
              <w:bottom w:w="28" w:type="dxa"/>
            </w:tcMar>
            <w:vAlign w:val="center"/>
          </w:tcPr>
          <w:p>
            <w:pPr>
              <w:pStyle w:val="TableContents"/>
              <w:spacing w:before="0" w:after="283"/>
              <w:jc w:val="right"/>
              <w:rPr/>
            </w:pPr>
            <w:r>
              <w:rPr/>
              <w:t>7,368,815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5" w:space="0" w:color="000000"/>
            </w:tcBorders>
            <w:shd w:fill="CCEEFF" w:val="clear"/>
            <w:tcMar>
              <w:bottom w:w="28" w:type="dxa"/>
            </w:tcMar>
            <w:vAlign w:val="center"/>
          </w:tcPr>
          <w:p>
            <w:pPr>
              <w:pStyle w:val="TableContents"/>
              <w:spacing w:before="0" w:after="283"/>
              <w:jc w:val="right"/>
              <w:rPr/>
            </w:pPr>
            <w:r>
              <w:rPr/>
              <w:t>8,194,824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5" w:space="0" w:color="000000"/>
            </w:tcBorders>
            <w:shd w:fill="CCEEFF" w:val="clear"/>
            <w:tcMar>
              <w:bottom w:w="28" w:type="dxa"/>
            </w:tcMar>
            <w:vAlign w:val="center"/>
          </w:tcPr>
          <w:p>
            <w:pPr>
              <w:pStyle w:val="TableContents"/>
              <w:spacing w:before="0" w:after="283"/>
              <w:jc w:val="right"/>
              <w:rPr/>
            </w:pPr>
            <w:r>
              <w:rPr/>
              <w:t>3,825,952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5" w:space="0" w:color="000000"/>
            </w:tcBorders>
            <w:shd w:fill="CCEEFF" w:val="clear"/>
            <w:tcMar>
              <w:bottom w:w="28" w:type="dxa"/>
            </w:tcMar>
            <w:vAlign w:val="center"/>
          </w:tcPr>
          <w:p>
            <w:pPr>
              <w:pStyle w:val="TableContents"/>
              <w:spacing w:before="0" w:after="283"/>
              <w:jc w:val="right"/>
              <w:rPr/>
            </w:pPr>
            <w:r>
              <w:rPr/>
              <w:t>4,124,767</w:t>
            </w:r>
          </w:p>
        </w:tc>
        <w:tc>
          <w:tcPr>
            <w:tcW w:w="135"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actual maturities may differ from contractual maturities because certain borrowers have the right to call or prepay obligations with or without penalties.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Investment Income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Major categories of the Company’s net investment income are summarized as follows: </w:t>
      </w:r>
    </w:p>
    <w:p>
      <w:pPr>
        <w:pStyle w:val="TextBody"/>
        <w:spacing w:before="0" w:after="0"/>
        <w:ind w:left="0" w:right="0" w:hanging="0"/>
        <w:jc w:val="both"/>
        <w:rPr/>
      </w:pPr>
      <w:r>
        <w:rPr/>
        <w:t> </w:t>
      </w:r>
    </w:p>
    <w:p>
      <w:pPr>
        <w:pStyle w:val="TextBody"/>
        <w:spacing w:before="0" w:after="0"/>
        <w:ind w:left="0" w:right="0" w:hanging="0"/>
        <w:rPr/>
      </w:pPr>
      <w:r>
        <w:rPr/>
        <w:t> </w:t>
      </w:r>
    </w:p>
    <w:p>
      <w:pPr>
        <w:pStyle w:val="TextBody"/>
        <w:spacing w:before="0" w:after="0"/>
        <w:ind w:left="0" w:right="0" w:hanging="0"/>
        <w:rPr/>
      </w:pPr>
      <w:r>
        <w:rPr/>
        <w:t> </w:t>
      </w:r>
    </w:p>
    <w:tbl>
      <w:tblPr>
        <w:tblW w:w="5020" w:type="dxa"/>
        <w:jc w:val="left"/>
        <w:tblInd w:w="0" w:type="dxa"/>
        <w:tblCellMar>
          <w:top w:w="0" w:type="dxa"/>
          <w:left w:w="0" w:type="dxa"/>
          <w:bottom w:w="0" w:type="dxa"/>
          <w:right w:w="0" w:type="dxa"/>
        </w:tblCellMar>
      </w:tblPr>
      <w:tblGrid>
        <w:gridCol w:w="2255"/>
        <w:gridCol w:w="90"/>
        <w:gridCol w:w="170"/>
        <w:gridCol w:w="1010"/>
        <w:gridCol w:w="90"/>
        <w:gridCol w:w="90"/>
        <w:gridCol w:w="170"/>
        <w:gridCol w:w="1010"/>
        <w:gridCol w:w="135"/>
      </w:tblGrid>
      <w:tr>
        <w:trPr/>
        <w:tc>
          <w:tcPr>
            <w:tcW w:w="225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540" w:type="dxa"/>
            <w:gridSpan w:val="6"/>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Years ended </w:t>
            </w:r>
          </w:p>
        </w:tc>
        <w:tc>
          <w:tcPr>
            <w:tcW w:w="135" w:type="dxa"/>
            <w:tcBorders/>
            <w:shd w:fill="auto" w:val="clear"/>
            <w:vAlign w:val="center"/>
          </w:tcPr>
          <w:p>
            <w:pPr>
              <w:pStyle w:val="TableContents"/>
              <w:spacing w:before="0" w:after="0"/>
              <w:ind w:left="0" w:right="0" w:hanging="0"/>
              <w:rPr/>
            </w:pPr>
            <w:r>
              <w:rPr/>
              <w:t> </w:t>
            </w:r>
          </w:p>
        </w:tc>
      </w:tr>
      <w:tr>
        <w:trPr/>
        <w:tc>
          <w:tcPr>
            <w:tcW w:w="225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540" w:type="dxa"/>
            <w:gridSpan w:val="6"/>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tc>
        <w:tc>
          <w:tcPr>
            <w:tcW w:w="135" w:type="dxa"/>
            <w:tcBorders/>
            <w:shd w:fill="auto" w:val="clear"/>
            <w:vAlign w:val="center"/>
          </w:tcPr>
          <w:p>
            <w:pPr>
              <w:pStyle w:val="TableContents"/>
              <w:spacing w:before="0" w:after="0"/>
              <w:ind w:left="0" w:right="0" w:hanging="0"/>
              <w:rPr/>
            </w:pPr>
            <w:r>
              <w:rPr/>
              <w:t> </w:t>
            </w:r>
          </w:p>
        </w:tc>
      </w:tr>
      <w:tr>
        <w:trPr/>
        <w:tc>
          <w:tcPr>
            <w:tcW w:w="225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2020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2019 </w:t>
            </w:r>
          </w:p>
        </w:tc>
        <w:tc>
          <w:tcPr>
            <w:tcW w:w="135" w:type="dxa"/>
            <w:tcBorders/>
            <w:shd w:fill="auto" w:val="clear"/>
            <w:vAlign w:val="center"/>
          </w:tcPr>
          <w:p>
            <w:pPr>
              <w:pStyle w:val="TableContents"/>
              <w:spacing w:before="0" w:after="0"/>
              <w:ind w:left="0" w:right="0" w:hanging="0"/>
              <w:rPr/>
            </w:pPr>
            <w:r>
              <w:rPr/>
              <w:t> </w:t>
            </w:r>
          </w:p>
        </w:tc>
      </w:tr>
      <w:tr>
        <w:trPr/>
        <w:tc>
          <w:tcPr>
            <w:tcW w:w="225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Income: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2255"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Fixed-maturity securities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5,533,047</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5,943,889</w:t>
            </w:r>
          </w:p>
        </w:tc>
        <w:tc>
          <w:tcPr>
            <w:tcW w:w="135" w:type="dxa"/>
            <w:tcBorders/>
            <w:shd w:fill="CCEEFF" w:val="clear"/>
            <w:vAlign w:val="center"/>
          </w:tcPr>
          <w:p>
            <w:pPr>
              <w:pStyle w:val="TableContents"/>
              <w:spacing w:before="0" w:after="0"/>
              <w:ind w:left="0" w:right="0" w:hanging="0"/>
              <w:rPr/>
            </w:pPr>
            <w:r>
              <w:rPr/>
              <w:t> </w:t>
            </w:r>
          </w:p>
        </w:tc>
      </w:tr>
      <w:tr>
        <w:trPr/>
        <w:tc>
          <w:tcPr>
            <w:tcW w:w="2255"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Equity securities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1,159,507</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930,004</w:t>
            </w:r>
          </w:p>
        </w:tc>
        <w:tc>
          <w:tcPr>
            <w:tcW w:w="135" w:type="dxa"/>
            <w:tcBorders/>
            <w:shd w:fill="FFFFFF" w:val="clear"/>
            <w:vAlign w:val="center"/>
          </w:tcPr>
          <w:p>
            <w:pPr>
              <w:pStyle w:val="TableContents"/>
              <w:spacing w:before="0" w:after="0"/>
              <w:ind w:left="0" w:right="0" w:hanging="0"/>
              <w:rPr/>
            </w:pPr>
            <w:r>
              <w:rPr/>
              <w:t> </w:t>
            </w:r>
          </w:p>
        </w:tc>
      </w:tr>
      <w:tr>
        <w:trPr/>
        <w:tc>
          <w:tcPr>
            <w:tcW w:w="2255"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Cash and cash equivalents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91,603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337,602</w:t>
            </w:r>
          </w:p>
        </w:tc>
        <w:tc>
          <w:tcPr>
            <w:tcW w:w="135" w:type="dxa"/>
            <w:tcBorders/>
            <w:shd w:fill="CCEEFF" w:val="clear"/>
            <w:vAlign w:val="center"/>
          </w:tcPr>
          <w:p>
            <w:pPr>
              <w:pStyle w:val="TableContents"/>
              <w:spacing w:before="0" w:after="0"/>
              <w:ind w:left="0" w:right="0" w:hanging="0"/>
              <w:rPr/>
            </w:pPr>
            <w:r>
              <w:rPr/>
              <w:t> </w:t>
            </w:r>
          </w:p>
        </w:tc>
      </w:tr>
      <w:tr>
        <w:trPr/>
        <w:tc>
          <w:tcPr>
            <w:tcW w:w="2255"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Total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6,784,157</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7,211,495</w:t>
            </w:r>
          </w:p>
        </w:tc>
        <w:tc>
          <w:tcPr>
            <w:tcW w:w="135" w:type="dxa"/>
            <w:tcBorders/>
            <w:shd w:fill="FFFFFF" w:val="clear"/>
            <w:vAlign w:val="center"/>
          </w:tcPr>
          <w:p>
            <w:pPr>
              <w:pStyle w:val="TableContents"/>
              <w:spacing w:before="0" w:after="0"/>
              <w:ind w:left="0" w:right="0" w:hanging="0"/>
              <w:rPr/>
            </w:pPr>
            <w:r>
              <w:rPr/>
              <w:t> </w:t>
            </w:r>
          </w:p>
        </w:tc>
      </w:tr>
      <w:tr>
        <w:trPr/>
        <w:tc>
          <w:tcPr>
            <w:tcW w:w="2255"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Expenses: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135" w:type="dxa"/>
            <w:tcBorders/>
            <w:shd w:fill="CCEEFF" w:val="clear"/>
            <w:vAlign w:val="center"/>
          </w:tcPr>
          <w:p>
            <w:pPr>
              <w:pStyle w:val="TableContents"/>
              <w:spacing w:before="0" w:after="0"/>
              <w:ind w:left="0" w:right="0" w:hanging="0"/>
              <w:rPr/>
            </w:pPr>
            <w:r>
              <w:rPr/>
              <w:t> </w:t>
            </w:r>
          </w:p>
        </w:tc>
      </w:tr>
      <w:tr>
        <w:trPr/>
        <w:tc>
          <w:tcPr>
            <w:tcW w:w="2255"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Investment expenses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283"/>
              <w:jc w:val="right"/>
              <w:rPr/>
            </w:pPr>
            <w:r>
              <w:rPr/>
              <w:t>278,554</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283"/>
              <w:jc w:val="right"/>
              <w:rPr/>
            </w:pPr>
            <w:r>
              <w:rPr/>
              <w:t>342,149</w:t>
            </w:r>
          </w:p>
        </w:tc>
        <w:tc>
          <w:tcPr>
            <w:tcW w:w="135" w:type="dxa"/>
            <w:tcBorders/>
            <w:shd w:fill="FFFFFF" w:val="clear"/>
            <w:vAlign w:val="center"/>
          </w:tcPr>
          <w:p>
            <w:pPr>
              <w:pStyle w:val="TableContents"/>
              <w:spacing w:before="0" w:after="0"/>
              <w:ind w:left="0" w:right="0" w:hanging="0"/>
              <w:rPr/>
            </w:pPr>
            <w:r>
              <w:rPr/>
              <w:t> </w:t>
            </w:r>
          </w:p>
        </w:tc>
      </w:tr>
      <w:tr>
        <w:trPr/>
        <w:tc>
          <w:tcPr>
            <w:tcW w:w="2255"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Net investment income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5" w:space="0" w:color="000000"/>
            </w:tcBorders>
            <w:shd w:fill="CCEEFF" w:val="clear"/>
            <w:tcMar>
              <w:bottom w:w="28" w:type="dxa"/>
            </w:tcMar>
            <w:vAlign w:val="center"/>
          </w:tcPr>
          <w:p>
            <w:pPr>
              <w:pStyle w:val="TableContents"/>
              <w:spacing w:before="0" w:after="283"/>
              <w:jc w:val="right"/>
              <w:rPr/>
            </w:pPr>
            <w:r>
              <w:rPr/>
              <w:t>6,505,603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5" w:space="0" w:color="000000"/>
            </w:tcBorders>
            <w:shd w:fill="CCEEFF" w:val="clear"/>
            <w:tcMar>
              <w:bottom w:w="28" w:type="dxa"/>
            </w:tcMar>
            <w:vAlign w:val="center"/>
          </w:tcPr>
          <w:p>
            <w:pPr>
              <w:pStyle w:val="TableContents"/>
              <w:spacing w:before="0" w:after="283"/>
              <w:jc w:val="right"/>
              <w:rPr/>
            </w:pPr>
            <w:r>
              <w:rPr/>
              <w:t>6,869,346</w:t>
            </w:r>
          </w:p>
        </w:tc>
        <w:tc>
          <w:tcPr>
            <w:tcW w:w="135"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Proceeds from the sale and redemption of fixed-maturity securities held-to-maturity were $500,000and $400,000for the years ended December 31, 2020 and 2019, respectively.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Proceeds from the sale and maturity of fixed-maturity securities available-for-sale were $35,845,934and $16,567,284for the years ended December 31, 2020 and 2019, respectively.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Proceeds from the sale of equity securities were $11,096,028and $5,458,953for the years ended December 31, 2020 and 2019, respectively.</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F-19</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2020 AND 2019</w:t>
      </w:r>
    </w:p>
    <w:p>
      <w:pPr>
        <w:pStyle w:val="TextBody"/>
        <w:spacing w:before="0" w:after="0"/>
        <w:ind w:left="0" w:right="0" w:hanging="0"/>
        <w:jc w:val="center"/>
        <w:rPr/>
      </w:pPr>
      <w:r>
        <w:rPr>
          <w:rStyle w:val="StrongEmphasis"/>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Company’s net gains (losses) on investments are summarized as follows:</w:t>
      </w:r>
    </w:p>
    <w:p>
      <w:pPr>
        <w:pStyle w:val="TextBody"/>
        <w:spacing w:before="0" w:after="0"/>
        <w:ind w:left="0" w:right="0" w:hanging="0"/>
        <w:jc w:val="both"/>
        <w:rPr/>
      </w:pPr>
      <w:r>
        <w:rPr/>
        <w:t>  </w:t>
      </w:r>
    </w:p>
    <w:p>
      <w:pPr>
        <w:pStyle w:val="TextBody"/>
        <w:spacing w:before="0" w:after="0"/>
        <w:ind w:left="0" w:right="0" w:hanging="0"/>
        <w:rPr/>
      </w:pPr>
      <w:r>
        <w:rPr/>
        <w:t> </w:t>
      </w:r>
    </w:p>
    <w:p>
      <w:pPr>
        <w:pStyle w:val="TextBody"/>
        <w:spacing w:before="0" w:after="0"/>
        <w:ind w:left="0" w:right="0" w:hanging="0"/>
        <w:rPr/>
      </w:pPr>
      <w:r>
        <w:rPr/>
        <w:t> </w:t>
      </w:r>
    </w:p>
    <w:tbl>
      <w:tblPr>
        <w:tblW w:w="5135" w:type="dxa"/>
        <w:jc w:val="left"/>
        <w:tblInd w:w="0" w:type="dxa"/>
        <w:tblCellMar>
          <w:top w:w="0" w:type="dxa"/>
          <w:left w:w="0" w:type="dxa"/>
          <w:bottom w:w="0" w:type="dxa"/>
          <w:right w:w="0" w:type="dxa"/>
        </w:tblCellMar>
      </w:tblPr>
      <w:tblGrid>
        <w:gridCol w:w="2300"/>
        <w:gridCol w:w="90"/>
        <w:gridCol w:w="170"/>
        <w:gridCol w:w="1010"/>
        <w:gridCol w:w="125"/>
        <w:gridCol w:w="90"/>
        <w:gridCol w:w="170"/>
        <w:gridCol w:w="1010"/>
        <w:gridCol w:w="170"/>
      </w:tblGrid>
      <w:tr>
        <w:trPr/>
        <w:tc>
          <w:tcPr>
            <w:tcW w:w="230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575" w:type="dxa"/>
            <w:gridSpan w:val="6"/>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Years ended </w:t>
            </w:r>
          </w:p>
        </w:tc>
        <w:tc>
          <w:tcPr>
            <w:tcW w:w="170" w:type="dxa"/>
            <w:tcBorders/>
            <w:shd w:fill="auto" w:val="clear"/>
            <w:vAlign w:val="center"/>
          </w:tcPr>
          <w:p>
            <w:pPr>
              <w:pStyle w:val="TableContents"/>
              <w:spacing w:before="0" w:after="0"/>
              <w:ind w:left="0" w:right="0" w:hanging="0"/>
              <w:rPr/>
            </w:pPr>
            <w:r>
              <w:rPr/>
              <w:t> </w:t>
            </w:r>
          </w:p>
        </w:tc>
      </w:tr>
      <w:tr>
        <w:trPr/>
        <w:tc>
          <w:tcPr>
            <w:tcW w:w="230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575"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December 31, </w:t>
            </w:r>
          </w:p>
        </w:tc>
        <w:tc>
          <w:tcPr>
            <w:tcW w:w="170" w:type="dxa"/>
            <w:tcBorders/>
            <w:shd w:fill="auto" w:val="clear"/>
            <w:vAlign w:val="center"/>
          </w:tcPr>
          <w:p>
            <w:pPr>
              <w:pStyle w:val="TableContents"/>
              <w:spacing w:before="0" w:after="0"/>
              <w:ind w:left="0" w:right="0" w:hanging="0"/>
              <w:rPr/>
            </w:pPr>
            <w:r>
              <w:rPr/>
              <w:t> </w:t>
            </w:r>
          </w:p>
        </w:tc>
      </w:tr>
      <w:tr>
        <w:trPr/>
        <w:tc>
          <w:tcPr>
            <w:tcW w:w="230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2020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2019 </w:t>
            </w:r>
          </w:p>
        </w:tc>
        <w:tc>
          <w:tcPr>
            <w:tcW w:w="170" w:type="dxa"/>
            <w:tcBorders/>
            <w:shd w:fill="auto" w:val="clear"/>
            <w:vAlign w:val="center"/>
          </w:tcPr>
          <w:p>
            <w:pPr>
              <w:pStyle w:val="TableContents"/>
              <w:spacing w:before="0" w:after="0"/>
              <w:ind w:left="0" w:right="0" w:hanging="0"/>
              <w:rPr/>
            </w:pPr>
            <w:r>
              <w:rPr/>
              <w:t> </w:t>
            </w:r>
          </w:p>
        </w:tc>
      </w:tr>
      <w:tr>
        <w:trPr/>
        <w:tc>
          <w:tcPr>
            <w:tcW w:w="2300" w:type="dxa"/>
            <w:tcBorders/>
            <w:shd w:fill="auto" w:val="clear"/>
            <w:vAlign w:val="center"/>
          </w:tcPr>
          <w:p>
            <w:pPr>
              <w:pStyle w:val="TableContents"/>
              <w:spacing w:before="0" w:after="0"/>
              <w:ind w:left="0" w:right="0" w:hanging="0"/>
              <w:rPr/>
            </w:pPr>
            <w:r>
              <w:rPr>
                <w:rStyle w:val="StrongEmphasis"/>
                <w:rFonts w:ascii="times new roman" w:hAnsi="times new roman"/>
                <w:sz w:val="20"/>
              </w:rPr>
              <w:t xml:space="preserve">Realized Gains (Losses)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r>
      <w:tr>
        <w:trPr/>
        <w:tc>
          <w:tcPr>
            <w:tcW w:w="230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1440" w:type="dxa"/>
            <w:gridSpan w:val="4"/>
            <w:tcBorders/>
            <w:shd w:fill="auto" w:val="clear"/>
            <w:vAlign w:val="center"/>
          </w:tcPr>
          <w:p>
            <w:pPr>
              <w:pStyle w:val="TableContents"/>
              <w:spacing w:before="0" w:after="0"/>
              <w:ind w:left="0" w:right="0" w:hanging="0"/>
              <w:rPr/>
            </w:pPr>
            <w:r>
              <w:rPr/>
              <w:t> </w:t>
            </w:r>
          </w:p>
        </w:tc>
      </w:tr>
      <w:tr>
        <w:trPr/>
        <w:tc>
          <w:tcPr>
            <w:tcW w:w="2300" w:type="dxa"/>
            <w:tcBorders/>
            <w:shd w:fill="auto" w:val="clear"/>
            <w:vAlign w:val="center"/>
          </w:tcPr>
          <w:p>
            <w:pPr>
              <w:pStyle w:val="TableContents"/>
              <w:spacing w:before="0" w:after="0"/>
              <w:ind w:left="0" w:right="0" w:hanging="0"/>
              <w:rPr/>
            </w:pPr>
            <w:r>
              <w:rPr>
                <w:rStyle w:val="StrongEmphasis"/>
                <w:rFonts w:ascii="times new roman" w:hAnsi="times new roman"/>
                <w:sz w:val="20"/>
              </w:rPr>
              <w:t xml:space="preserve">Fixed-maturity securities: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r>
      <w:tr>
        <w:trPr/>
        <w:tc>
          <w:tcPr>
            <w:tcW w:w="230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Gross realized gains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1,108,159</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11,608</w:t>
            </w:r>
          </w:p>
        </w:tc>
        <w:tc>
          <w:tcPr>
            <w:tcW w:w="170" w:type="dxa"/>
            <w:tcBorders/>
            <w:shd w:fill="CCEEFF" w:val="clear"/>
            <w:vAlign w:val="center"/>
          </w:tcPr>
          <w:p>
            <w:pPr>
              <w:pStyle w:val="TableContents"/>
              <w:spacing w:before="0" w:after="0"/>
              <w:ind w:left="0" w:right="0" w:hanging="0"/>
              <w:rPr/>
            </w:pPr>
            <w:r>
              <w:rPr/>
              <w:t> </w:t>
            </w:r>
          </w:p>
        </w:tc>
      </w:tr>
      <w:tr>
        <w:trPr/>
        <w:tc>
          <w:tcPr>
            <w:tcW w:w="230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Gross realized losses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283"/>
              <w:jc w:val="right"/>
              <w:rPr/>
            </w:pPr>
            <w:r>
              <w:rPr/>
              <w:t>(327,890</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283"/>
              <w:jc w:val="right"/>
              <w:rPr/>
            </w:pPr>
            <w:r>
              <w:rPr/>
              <w:t>(134,533</w:t>
            </w:r>
          </w:p>
        </w:tc>
        <w:tc>
          <w:tcPr>
            <w:tcW w:w="170" w:type="dxa"/>
            <w:tcBorders/>
            <w:shd w:fill="FFFFFF" w:val="clear"/>
            <w:vAlign w:val="center"/>
          </w:tcPr>
          <w:p>
            <w:pPr>
              <w:pStyle w:val="TableContents"/>
              <w:spacing w:before="0" w:after="283"/>
              <w:rPr/>
            </w:pPr>
            <w:r>
              <w:rPr/>
              <w:t>)</w:t>
            </w:r>
          </w:p>
        </w:tc>
      </w:tr>
      <w:tr>
        <w:trPr/>
        <w:tc>
          <w:tcPr>
            <w:tcW w:w="230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780,269</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(122,925</w:t>
            </w:r>
          </w:p>
        </w:tc>
        <w:tc>
          <w:tcPr>
            <w:tcW w:w="170" w:type="dxa"/>
            <w:tcBorders/>
            <w:shd w:fill="CCEEFF" w:val="clear"/>
            <w:vAlign w:val="center"/>
          </w:tcPr>
          <w:p>
            <w:pPr>
              <w:pStyle w:val="TableContents"/>
              <w:spacing w:before="0" w:after="283"/>
              <w:rPr/>
            </w:pPr>
            <w:r>
              <w:rPr/>
              <w:t>)</w:t>
            </w:r>
          </w:p>
        </w:tc>
      </w:tr>
      <w:tr>
        <w:trPr/>
        <w:tc>
          <w:tcPr>
            <w:tcW w:w="230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2300" w:type="dxa"/>
            <w:tcBorders/>
            <w:shd w:fill="CCEEFF" w:val="clear"/>
            <w:vAlign w:val="center"/>
          </w:tcPr>
          <w:p>
            <w:pPr>
              <w:pStyle w:val="TableContents"/>
              <w:spacing w:before="0" w:after="0"/>
              <w:ind w:left="0" w:right="0" w:hanging="0"/>
              <w:rPr/>
            </w:pPr>
            <w:r>
              <w:rPr>
                <w:rStyle w:val="StrongEmphasis"/>
                <w:rFonts w:ascii="times new roman" w:hAnsi="times new roman"/>
                <w:sz w:val="20"/>
              </w:rPr>
              <w:t xml:space="preserve">Equity securities: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230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Gross realized gains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832,394</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316,924</w:t>
            </w:r>
          </w:p>
        </w:tc>
        <w:tc>
          <w:tcPr>
            <w:tcW w:w="170" w:type="dxa"/>
            <w:tcBorders/>
            <w:shd w:fill="FFFFFF" w:val="clear"/>
            <w:vAlign w:val="center"/>
          </w:tcPr>
          <w:p>
            <w:pPr>
              <w:pStyle w:val="TableContents"/>
              <w:spacing w:before="0" w:after="0"/>
              <w:ind w:left="0" w:right="0" w:hanging="0"/>
              <w:rPr/>
            </w:pPr>
            <w:r>
              <w:rPr/>
              <w:t> </w:t>
            </w:r>
          </w:p>
        </w:tc>
      </w:tr>
      <w:tr>
        <w:trPr/>
        <w:tc>
          <w:tcPr>
            <w:tcW w:w="230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Gross realized losses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(780,245</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(165,154</w:t>
            </w:r>
          </w:p>
        </w:tc>
        <w:tc>
          <w:tcPr>
            <w:tcW w:w="170" w:type="dxa"/>
            <w:tcBorders/>
            <w:shd w:fill="CCEEFF" w:val="clear"/>
            <w:vAlign w:val="center"/>
          </w:tcPr>
          <w:p>
            <w:pPr>
              <w:pStyle w:val="TableContents"/>
              <w:spacing w:before="0" w:after="283"/>
              <w:rPr/>
            </w:pPr>
            <w:r>
              <w:rPr/>
              <w:t>)</w:t>
            </w:r>
          </w:p>
        </w:tc>
      </w:tr>
      <w:tr>
        <w:trPr/>
        <w:tc>
          <w:tcPr>
            <w:tcW w:w="230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283"/>
              <w:jc w:val="right"/>
              <w:rPr/>
            </w:pPr>
            <w:r>
              <w:rPr/>
              <w:t>52,149</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283"/>
              <w:jc w:val="right"/>
              <w:rPr/>
            </w:pPr>
            <w:r>
              <w:rPr/>
              <w:t>151,770</w:t>
            </w:r>
          </w:p>
        </w:tc>
        <w:tc>
          <w:tcPr>
            <w:tcW w:w="170" w:type="dxa"/>
            <w:tcBorders/>
            <w:shd w:fill="FFFFFF" w:val="clear"/>
            <w:vAlign w:val="center"/>
          </w:tcPr>
          <w:p>
            <w:pPr>
              <w:pStyle w:val="TableContents"/>
              <w:spacing w:before="0" w:after="0"/>
              <w:ind w:left="0" w:right="0" w:hanging="0"/>
              <w:rPr/>
            </w:pPr>
            <w:r>
              <w:rPr/>
              <w:t> </w:t>
            </w:r>
          </w:p>
        </w:tc>
      </w:tr>
      <w:tr>
        <w:trPr/>
        <w:tc>
          <w:tcPr>
            <w:tcW w:w="230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2300" w:type="dxa"/>
            <w:tcBorders/>
            <w:shd w:fill="FFFF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 xml:space="preserve">Net realized gains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283"/>
              <w:jc w:val="right"/>
              <w:rPr/>
            </w:pPr>
            <w:r>
              <w:rPr/>
              <w:t>832,418</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283"/>
              <w:jc w:val="right"/>
              <w:rPr/>
            </w:pPr>
            <w:r>
              <w:rPr/>
              <w:t>28,845</w:t>
            </w:r>
          </w:p>
        </w:tc>
        <w:tc>
          <w:tcPr>
            <w:tcW w:w="170" w:type="dxa"/>
            <w:tcBorders/>
            <w:shd w:fill="FFFFFF" w:val="clear"/>
            <w:vAlign w:val="center"/>
          </w:tcPr>
          <w:p>
            <w:pPr>
              <w:pStyle w:val="TableContents"/>
              <w:spacing w:before="0" w:after="0"/>
              <w:ind w:left="0" w:right="0" w:hanging="0"/>
              <w:rPr/>
            </w:pPr>
            <w:r>
              <w:rPr/>
              <w:t> </w:t>
            </w:r>
          </w:p>
        </w:tc>
      </w:tr>
      <w:tr>
        <w:trPr/>
        <w:tc>
          <w:tcPr>
            <w:tcW w:w="230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2300" w:type="dxa"/>
            <w:tcBorders/>
            <w:shd w:fill="FFFFFF" w:val="clear"/>
            <w:vAlign w:val="center"/>
          </w:tcPr>
          <w:p>
            <w:pPr>
              <w:pStyle w:val="TableContents"/>
              <w:spacing w:before="0" w:after="0"/>
              <w:ind w:left="0" w:right="0" w:hanging="0"/>
              <w:rPr/>
            </w:pPr>
            <w:r>
              <w:rPr>
                <w:rStyle w:val="StrongEmphasis"/>
                <w:rFonts w:ascii="times new roman" w:hAnsi="times new roman"/>
                <w:sz w:val="20"/>
              </w:rPr>
              <w:t xml:space="preserve">Unrealized Gains (Losses)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230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5" w:type="dxa"/>
            <w:gridSpan w:val="2"/>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350" w:type="dxa"/>
            <w:gridSpan w:val="3"/>
            <w:tcBorders/>
            <w:shd w:fill="CCEEFF" w:val="clear"/>
            <w:vAlign w:val="center"/>
          </w:tcPr>
          <w:p>
            <w:pPr>
              <w:pStyle w:val="TableContents"/>
              <w:spacing w:before="0" w:after="0"/>
              <w:ind w:left="0" w:right="0" w:hanging="0"/>
              <w:rPr/>
            </w:pPr>
            <w:r>
              <w:rPr/>
              <w:t> </w:t>
            </w:r>
          </w:p>
        </w:tc>
      </w:tr>
      <w:tr>
        <w:trPr/>
        <w:tc>
          <w:tcPr>
            <w:tcW w:w="2300" w:type="dxa"/>
            <w:tcBorders/>
            <w:shd w:fill="FFFFFF" w:val="clear"/>
            <w:vAlign w:val="center"/>
          </w:tcPr>
          <w:p>
            <w:pPr>
              <w:pStyle w:val="TableContents"/>
              <w:spacing w:before="0" w:after="0"/>
              <w:ind w:left="0" w:right="0" w:hanging="0"/>
              <w:rPr/>
            </w:pPr>
            <w:r>
              <w:rPr>
                <w:rStyle w:val="StrongEmphasis"/>
                <w:rFonts w:ascii="times new roman" w:hAnsi="times new roman"/>
                <w:sz w:val="20"/>
              </w:rPr>
              <w:t xml:space="preserve">Equity Securities: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230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Gross gains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41,517</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3,832,486</w:t>
            </w:r>
          </w:p>
        </w:tc>
        <w:tc>
          <w:tcPr>
            <w:tcW w:w="170" w:type="dxa"/>
            <w:tcBorders/>
            <w:shd w:fill="CCEEFF" w:val="clear"/>
            <w:vAlign w:val="center"/>
          </w:tcPr>
          <w:p>
            <w:pPr>
              <w:pStyle w:val="TableContents"/>
              <w:spacing w:before="0" w:after="0"/>
              <w:ind w:left="0" w:right="0" w:hanging="0"/>
              <w:rPr/>
            </w:pPr>
            <w:r>
              <w:rPr/>
              <w:t> </w:t>
            </w:r>
          </w:p>
        </w:tc>
      </w:tr>
      <w:tr>
        <w:trPr/>
        <w:tc>
          <w:tcPr>
            <w:tcW w:w="230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Gross losses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283"/>
              <w:jc w:val="right"/>
              <w:rPr/>
            </w:pPr>
            <w:r>
              <w:rPr/>
              <w:t>(217,032</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170" w:type="dxa"/>
            <w:tcBorders/>
            <w:shd w:fill="FFFFFF" w:val="clear"/>
            <w:vAlign w:val="center"/>
          </w:tcPr>
          <w:p>
            <w:pPr>
              <w:pStyle w:val="TableContents"/>
              <w:spacing w:before="0" w:after="0"/>
              <w:ind w:left="0" w:right="0" w:hanging="0"/>
              <w:rPr/>
            </w:pPr>
            <w:r>
              <w:rPr/>
              <w:t> </w:t>
            </w:r>
          </w:p>
        </w:tc>
      </w:tr>
      <w:tr>
        <w:trPr/>
        <w:tc>
          <w:tcPr>
            <w:tcW w:w="230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(175,515</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3,832,486</w:t>
            </w:r>
          </w:p>
        </w:tc>
        <w:tc>
          <w:tcPr>
            <w:tcW w:w="170" w:type="dxa"/>
            <w:tcBorders/>
            <w:shd w:fill="CCEEFF" w:val="clear"/>
            <w:vAlign w:val="center"/>
          </w:tcPr>
          <w:p>
            <w:pPr>
              <w:pStyle w:val="TableContents"/>
              <w:spacing w:before="0" w:after="0"/>
              <w:ind w:left="0" w:right="0" w:hanging="0"/>
              <w:rPr/>
            </w:pPr>
            <w:r>
              <w:rPr/>
              <w:t> </w:t>
            </w:r>
          </w:p>
        </w:tc>
      </w:tr>
      <w:tr>
        <w:trPr/>
        <w:tc>
          <w:tcPr>
            <w:tcW w:w="230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2300" w:type="dxa"/>
            <w:tcBorders/>
            <w:shd w:fill="CCEEFF" w:val="clear"/>
            <w:vAlign w:val="center"/>
          </w:tcPr>
          <w:p>
            <w:pPr>
              <w:pStyle w:val="TableContents"/>
              <w:spacing w:before="0" w:after="0"/>
              <w:ind w:left="0" w:right="0" w:hanging="0"/>
              <w:rPr/>
            </w:pPr>
            <w:r>
              <w:rPr>
                <w:rStyle w:val="StrongEmphasis"/>
                <w:rFonts w:ascii="times new roman" w:hAnsi="times new roman"/>
                <w:sz w:val="20"/>
              </w:rPr>
              <w:t xml:space="preserve">Other Investments: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230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Gross gains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933,713</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729,688</w:t>
            </w:r>
          </w:p>
        </w:tc>
        <w:tc>
          <w:tcPr>
            <w:tcW w:w="170" w:type="dxa"/>
            <w:tcBorders/>
            <w:shd w:fill="FFFFFF" w:val="clear"/>
            <w:vAlign w:val="center"/>
          </w:tcPr>
          <w:p>
            <w:pPr>
              <w:pStyle w:val="TableContents"/>
              <w:spacing w:before="0" w:after="0"/>
              <w:ind w:left="0" w:right="0" w:hanging="0"/>
              <w:rPr/>
            </w:pPr>
            <w:r>
              <w:rPr/>
              <w:t> </w:t>
            </w:r>
          </w:p>
        </w:tc>
      </w:tr>
      <w:tr>
        <w:trPr/>
        <w:tc>
          <w:tcPr>
            <w:tcW w:w="230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Gross losses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70" w:type="dxa"/>
            <w:tcBorders/>
            <w:shd w:fill="CCEEFF" w:val="clear"/>
            <w:vAlign w:val="center"/>
          </w:tcPr>
          <w:p>
            <w:pPr>
              <w:pStyle w:val="TableContents"/>
              <w:spacing w:before="0" w:after="0"/>
              <w:ind w:left="0" w:right="0" w:hanging="0"/>
              <w:rPr/>
            </w:pPr>
            <w:r>
              <w:rPr/>
              <w:t> </w:t>
            </w:r>
          </w:p>
        </w:tc>
      </w:tr>
      <w:tr>
        <w:trPr/>
        <w:tc>
          <w:tcPr>
            <w:tcW w:w="230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283"/>
              <w:jc w:val="right"/>
              <w:rPr/>
            </w:pPr>
            <w:r>
              <w:rPr/>
              <w:t>933,713</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283"/>
              <w:jc w:val="right"/>
              <w:rPr/>
            </w:pPr>
            <w:r>
              <w:rPr/>
              <w:t>729,688</w:t>
            </w:r>
          </w:p>
        </w:tc>
        <w:tc>
          <w:tcPr>
            <w:tcW w:w="170" w:type="dxa"/>
            <w:tcBorders/>
            <w:shd w:fill="FFFFFF" w:val="clear"/>
            <w:vAlign w:val="center"/>
          </w:tcPr>
          <w:p>
            <w:pPr>
              <w:pStyle w:val="TableContents"/>
              <w:spacing w:before="0" w:after="0"/>
              <w:ind w:left="0" w:right="0" w:hanging="0"/>
              <w:rPr/>
            </w:pPr>
            <w:r>
              <w:rPr/>
              <w:t> </w:t>
            </w:r>
          </w:p>
        </w:tc>
      </w:tr>
      <w:tr>
        <w:trPr/>
        <w:tc>
          <w:tcPr>
            <w:tcW w:w="230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2300" w:type="dxa"/>
            <w:tcBorders/>
            <w:shd w:fill="FFFF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 xml:space="preserve">Net unrealized gains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283"/>
              <w:jc w:val="right"/>
              <w:rPr/>
            </w:pPr>
            <w:r>
              <w:rPr/>
              <w:t>758,198</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283"/>
              <w:jc w:val="right"/>
              <w:rPr/>
            </w:pPr>
            <w:r>
              <w:rPr/>
              <w:t>4,562,174</w:t>
            </w:r>
          </w:p>
        </w:tc>
        <w:tc>
          <w:tcPr>
            <w:tcW w:w="170" w:type="dxa"/>
            <w:tcBorders/>
            <w:shd w:fill="FFFFFF" w:val="clear"/>
            <w:vAlign w:val="center"/>
          </w:tcPr>
          <w:p>
            <w:pPr>
              <w:pStyle w:val="TableContents"/>
              <w:spacing w:before="0" w:after="0"/>
              <w:ind w:left="0" w:right="0" w:hanging="0"/>
              <w:rPr/>
            </w:pPr>
            <w:r>
              <w:rPr/>
              <w:t> </w:t>
            </w:r>
          </w:p>
        </w:tc>
      </w:tr>
      <w:tr>
        <w:trPr/>
        <w:tc>
          <w:tcPr>
            <w:tcW w:w="230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230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Net gains on investments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010" w:type="dxa"/>
            <w:tcBorders>
              <w:bottom w:val="double" w:sz="6" w:space="0" w:color="000000"/>
            </w:tcBorders>
            <w:shd w:fill="FFFFFF" w:val="clear"/>
            <w:tcMar>
              <w:bottom w:w="28" w:type="dxa"/>
            </w:tcMar>
            <w:vAlign w:val="center"/>
          </w:tcPr>
          <w:p>
            <w:pPr>
              <w:pStyle w:val="TableContents"/>
              <w:spacing w:before="0" w:after="283"/>
              <w:jc w:val="right"/>
              <w:rPr/>
            </w:pPr>
            <w:r>
              <w:rPr/>
              <w:t>1,590,616</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010" w:type="dxa"/>
            <w:tcBorders>
              <w:bottom w:val="double" w:sz="6" w:space="0" w:color="000000"/>
            </w:tcBorders>
            <w:shd w:fill="FFFFFF" w:val="clear"/>
            <w:tcMar>
              <w:bottom w:w="28" w:type="dxa"/>
            </w:tcMar>
            <w:vAlign w:val="center"/>
          </w:tcPr>
          <w:p>
            <w:pPr>
              <w:pStyle w:val="TableContents"/>
              <w:spacing w:before="0" w:after="283"/>
              <w:jc w:val="right"/>
              <w:rPr/>
            </w:pPr>
            <w:r>
              <w:rPr/>
              <w:t>4,591,019</w:t>
            </w:r>
          </w:p>
        </w:tc>
        <w:tc>
          <w:tcPr>
            <w:tcW w:w="170" w:type="dxa"/>
            <w:tcBorders/>
            <w:shd w:fill="FFFF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F-20</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2020 AND 2019</w:t>
      </w:r>
    </w:p>
    <w:p>
      <w:pPr>
        <w:pStyle w:val="TextBody"/>
        <w:spacing w:before="0" w:after="0"/>
        <w:ind w:left="0" w:right="0" w:hanging="0"/>
        <w:jc w:val="center"/>
        <w:rPr/>
      </w:pPr>
      <w:r>
        <w:rPr>
          <w:rStyle w:val="StrongEmphasis"/>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Impairment Review</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Impairment of investment securities results in a charge to operations when a market decline below cost is deemed to be other-than-temporary. The Company regularly reviews its fixed-maturity securities to evaluate the necessity of recording impairment losses for other-than-temporary declines in the estimated fair value of investments. In evaluating potential impairment, GAAP specifies (i) if the Company does not have the intent to sell a debt security prior to recovery and (ii) it is more likely than not that it will not have to sell the debt security prior to recovery, the security would not be considered other-than-temporarily impaired unless there is a credit loss.  When the Company does not intend to sell the security and it is more likely than not that the Company will not have to sell the security before recovery of its cost basis, it will recognize the credit component of an other-than-temporary impairment (“OTTI”) of a debt security in earnings and the remaining portion in comprehensive income.  The credit loss component recognized in earnings is identified as the amount of principal cash flows not expected to be received over the remaining term of the security based on cash flow projections.  For held-to-maturity fixed-maturity securities, the amount of OTTI recorded in comprehensive income for the noncredit portion of a previous OTTI is amortized prospectively over the remaining life of the security based on timing of future estimated cash flows of the security.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OTTI losses are recorded in the consolidated statements of operations and comprehensive income as net realized losses on investments and result in a permanent reduction of the cost basis of the underlying investment. The determination of OTTI is a subjective process and different judgments and assumptions could affect the timing of loss realization. At December 31, 2020 and December 31, 2019, there were 16 and 39 fixed-maturity securities, respectively, that accounted for the gross unrealized losses.  The Company determined that none of the unrealized losses were deemed to be OTTI for its portfolio of investments for the years ended December 31, 2020 and 2019.  Significant factors influencing the Company’s determination that unrealized losses were temporary included the magnitude of the unrealized losses in relation to each security’s cost, the nature of the investment and management’s intent and ability to hold the investment for a period of time sufficient to allow for an anticipated recovery of estimated fair value to the Company’s cost basis.</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F-21</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2020 AND 2019</w:t>
      </w:r>
    </w:p>
    <w:p>
      <w:pPr>
        <w:pStyle w:val="TextBody"/>
        <w:spacing w:before="0" w:after="0"/>
        <w:ind w:left="0" w:right="0" w:hanging="0"/>
        <w:jc w:val="center"/>
        <w:rPr/>
      </w:pPr>
      <w:r>
        <w:rPr>
          <w:rStyle w:val="StrongEmphasis"/>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held available-for-sale securities with unrealized losses representing declines that were considered temporary at December 31, 2020 and 2019 as follows:</w:t>
      </w:r>
    </w:p>
    <w:p>
      <w:pPr>
        <w:pStyle w:val="TextBody"/>
        <w:spacing w:before="0" w:after="0"/>
        <w:ind w:left="0" w:right="0" w:hanging="0"/>
        <w:jc w:val="both"/>
        <w:rPr/>
      </w:pPr>
      <w:r>
        <w:rPr/>
        <w:t> </w:t>
      </w:r>
    </w:p>
    <w:p>
      <w:pPr>
        <w:pStyle w:val="TextBody"/>
        <w:spacing w:before="0" w:after="0"/>
        <w:ind w:left="0" w:right="0" w:hanging="0"/>
        <w:rPr/>
      </w:pPr>
      <w:r>
        <w:rPr/>
        <w:t> </w:t>
      </w:r>
    </w:p>
    <w:p>
      <w:pPr>
        <w:pStyle w:val="TextBody"/>
        <w:spacing w:before="0" w:after="0"/>
        <w:ind w:left="0" w:right="0" w:hanging="0"/>
        <w:rPr/>
      </w:pPr>
      <w:r>
        <w:rPr/>
        <w:t> </w:t>
      </w:r>
    </w:p>
    <w:tbl>
      <w:tblPr>
        <w:tblW w:w="11560" w:type="dxa"/>
        <w:jc w:val="left"/>
        <w:tblInd w:w="0" w:type="dxa"/>
        <w:tblCellMar>
          <w:top w:w="0" w:type="dxa"/>
          <w:left w:w="0" w:type="dxa"/>
          <w:bottom w:w="0" w:type="dxa"/>
          <w:right w:w="0" w:type="dxa"/>
        </w:tblCellMar>
      </w:tblPr>
      <w:tblGrid>
        <w:gridCol w:w="1370"/>
        <w:gridCol w:w="90"/>
        <w:gridCol w:w="170"/>
        <w:gridCol w:w="1010"/>
        <w:gridCol w:w="90"/>
        <w:gridCol w:w="90"/>
        <w:gridCol w:w="185"/>
        <w:gridCol w:w="855"/>
        <w:gridCol w:w="125"/>
        <w:gridCol w:w="90"/>
        <w:gridCol w:w="301"/>
        <w:gridCol w:w="574"/>
        <w:gridCol w:w="90"/>
        <w:gridCol w:w="90"/>
        <w:gridCol w:w="170"/>
        <w:gridCol w:w="1010"/>
        <w:gridCol w:w="90"/>
        <w:gridCol w:w="90"/>
        <w:gridCol w:w="170"/>
        <w:gridCol w:w="905"/>
        <w:gridCol w:w="125"/>
        <w:gridCol w:w="90"/>
        <w:gridCol w:w="206"/>
        <w:gridCol w:w="669"/>
        <w:gridCol w:w="90"/>
        <w:gridCol w:w="90"/>
        <w:gridCol w:w="170"/>
        <w:gridCol w:w="1130"/>
        <w:gridCol w:w="90"/>
        <w:gridCol w:w="90"/>
        <w:gridCol w:w="170"/>
        <w:gridCol w:w="905"/>
        <w:gridCol w:w="170"/>
      </w:tblGrid>
      <w:tr>
        <w:trPr/>
        <w:tc>
          <w:tcPr>
            <w:tcW w:w="137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930" w:type="dxa"/>
            <w:gridSpan w:val="30"/>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2020</w:t>
            </w:r>
          </w:p>
        </w:tc>
        <w:tc>
          <w:tcPr>
            <w:tcW w:w="170" w:type="dxa"/>
            <w:tcBorders/>
            <w:shd w:fill="auto" w:val="clear"/>
            <w:vAlign w:val="center"/>
          </w:tcPr>
          <w:p>
            <w:pPr>
              <w:pStyle w:val="TableContents"/>
              <w:spacing w:before="0" w:after="0"/>
              <w:ind w:left="0" w:right="0" w:hanging="0"/>
              <w:rPr/>
            </w:pPr>
            <w:r>
              <w:rPr/>
              <w:t> </w:t>
            </w:r>
          </w:p>
        </w:tc>
      </w:tr>
      <w:tr>
        <w:trPr/>
        <w:tc>
          <w:tcPr>
            <w:tcW w:w="137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3490" w:type="dxa"/>
            <w:gridSpan w:val="10"/>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Less than 12 months</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3525" w:type="dxa"/>
            <w:gridSpan w:val="10"/>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12 months or more</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555"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Total</w:t>
            </w:r>
          </w:p>
        </w:tc>
        <w:tc>
          <w:tcPr>
            <w:tcW w:w="170" w:type="dxa"/>
            <w:tcBorders/>
            <w:shd w:fill="auto" w:val="clear"/>
            <w:vAlign w:val="center"/>
          </w:tcPr>
          <w:p>
            <w:pPr>
              <w:pStyle w:val="TableContents"/>
              <w:spacing w:before="0" w:after="0"/>
              <w:ind w:left="0" w:right="0" w:hanging="0"/>
              <w:rPr/>
            </w:pPr>
            <w:r>
              <w:rPr/>
              <w:t> </w:t>
            </w:r>
          </w:p>
        </w:tc>
      </w:tr>
      <w:tr>
        <w:trPr/>
        <w:tc>
          <w:tcPr>
            <w:tcW w:w="137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Estimated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40" w:type="dxa"/>
            <w:gridSpan w:val="2"/>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75"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No. of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Estimated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75"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No. of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Estimated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0"/>
              <w:ind w:left="0" w:right="0" w:hanging="0"/>
              <w:rPr/>
            </w:pPr>
            <w:r>
              <w:rPr/>
              <w:t> </w:t>
            </w:r>
          </w:p>
        </w:tc>
      </w:tr>
      <w:tr>
        <w:trPr/>
        <w:tc>
          <w:tcPr>
            <w:tcW w:w="137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Fair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4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Unrealized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75"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Positions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Fair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Unrealized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75"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Positions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Fair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Unrealized </w:t>
            </w:r>
          </w:p>
        </w:tc>
        <w:tc>
          <w:tcPr>
            <w:tcW w:w="170" w:type="dxa"/>
            <w:tcBorders/>
            <w:shd w:fill="auto" w:val="clear"/>
            <w:vAlign w:val="center"/>
          </w:tcPr>
          <w:p>
            <w:pPr>
              <w:pStyle w:val="TableContents"/>
              <w:spacing w:before="0" w:after="0"/>
              <w:ind w:left="0" w:right="0" w:hanging="0"/>
              <w:rPr/>
            </w:pPr>
            <w:r>
              <w:rPr/>
              <w:t> </w:t>
            </w:r>
          </w:p>
        </w:tc>
      </w:tr>
      <w:tr>
        <w:trPr/>
        <w:tc>
          <w:tcPr>
            <w:tcW w:w="1370"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Pr>
              <w:t> </w:t>
            </w:r>
            <w:r>
              <w:rPr>
                <w:rStyle w:val="StrongEmphasis"/>
                <w:rFonts w:ascii="times new roman" w:hAnsi="times new roman"/>
                <w:sz w:val="20"/>
              </w:rPr>
              <w:t xml:space="preserve">Category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Value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Losses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Held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Value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Losses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Held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Value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Losses </w:t>
            </w:r>
          </w:p>
        </w:tc>
        <w:tc>
          <w:tcPr>
            <w:tcW w:w="170" w:type="dxa"/>
            <w:tcBorders/>
            <w:shd w:fill="auto" w:val="clear"/>
            <w:vAlign w:val="center"/>
          </w:tcPr>
          <w:p>
            <w:pPr>
              <w:pStyle w:val="TableContents"/>
              <w:spacing w:before="0" w:after="0"/>
              <w:ind w:left="0" w:right="0" w:hanging="0"/>
              <w:rPr/>
            </w:pPr>
            <w:r>
              <w:rPr/>
              <w:t> </w:t>
            </w:r>
          </w:p>
        </w:tc>
      </w:tr>
      <w:tr>
        <w:trPr/>
        <w:tc>
          <w:tcPr>
            <w:tcW w:w="137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85" w:type="dxa"/>
            <w:tcBorders/>
            <w:shd w:fill="auto" w:val="clear"/>
            <w:vAlign w:val="center"/>
          </w:tcPr>
          <w:p>
            <w:pPr>
              <w:pStyle w:val="TableContents"/>
              <w:spacing w:before="0" w:after="0"/>
              <w:ind w:left="0" w:right="0" w:hanging="0"/>
              <w:rPr/>
            </w:pPr>
            <w:r>
              <w:rPr/>
              <w:t> </w:t>
            </w:r>
          </w:p>
        </w:tc>
        <w:tc>
          <w:tcPr>
            <w:tcW w:w="855" w:type="dxa"/>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301" w:type="dxa"/>
            <w:tcBorders/>
            <w:shd w:fill="auto" w:val="clear"/>
            <w:vAlign w:val="center"/>
          </w:tcPr>
          <w:p>
            <w:pPr>
              <w:pStyle w:val="TableContents"/>
              <w:spacing w:before="0" w:after="0"/>
              <w:ind w:left="0" w:right="0" w:hanging="0"/>
              <w:rPr/>
            </w:pPr>
            <w:r>
              <w:rPr/>
              <w:t> </w:t>
            </w:r>
          </w:p>
        </w:tc>
        <w:tc>
          <w:tcPr>
            <w:tcW w:w="7184" w:type="dxa"/>
            <w:gridSpan w:val="22"/>
            <w:tcBorders/>
            <w:shd w:fill="auto" w:val="clear"/>
            <w:vAlign w:val="center"/>
          </w:tcPr>
          <w:p>
            <w:pPr>
              <w:pStyle w:val="TableContents"/>
              <w:spacing w:before="0" w:after="0"/>
              <w:ind w:left="0" w:right="0" w:hanging="0"/>
              <w:rPr/>
            </w:pPr>
            <w:r>
              <w:rPr/>
              <w:t> </w:t>
            </w:r>
          </w:p>
        </w:tc>
      </w:tr>
      <w:tr>
        <w:trPr/>
        <w:tc>
          <w:tcPr>
            <w:tcW w:w="1370" w:type="dxa"/>
            <w:tcBorders/>
            <w:shd w:fill="auto" w:val="clear"/>
            <w:vAlign w:val="center"/>
          </w:tcPr>
          <w:p>
            <w:pPr>
              <w:pStyle w:val="TableContents"/>
              <w:spacing w:before="0" w:after="0"/>
              <w:ind w:left="0" w:right="0" w:hanging="0"/>
              <w:rPr/>
            </w:pPr>
            <w:r>
              <w:rPr>
                <w:rStyle w:val="StrongEmphasis"/>
                <w:rFonts w:ascii="times new roman" w:hAnsi="times new roman"/>
                <w:sz w:val="20"/>
              </w:rPr>
              <w:t xml:space="preserve">Fixed-Maturity Securities: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40"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75"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75"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r>
      <w:tr>
        <w:trPr/>
        <w:tc>
          <w:tcPr>
            <w:tcW w:w="1370"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U.S. Treasury securities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40"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75"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75"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r>
      <w:tr>
        <w:trPr/>
        <w:tc>
          <w:tcPr>
            <w:tcW w:w="1370"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and obligations of U.S.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40"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75"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75"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r>
      <w:tr>
        <w:trPr/>
        <w:tc>
          <w:tcPr>
            <w:tcW w:w="1370"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government corporations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40"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75"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75"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r>
      <w:tr>
        <w:trPr/>
        <w:tc>
          <w:tcPr>
            <w:tcW w:w="137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and agencies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5" w:type="dxa"/>
            <w:tcBorders/>
            <w:shd w:fill="CCEEFF" w:val="clear"/>
            <w:vAlign w:val="center"/>
          </w:tcPr>
          <w:p>
            <w:pPr>
              <w:pStyle w:val="TableContents"/>
              <w:spacing w:before="0" w:after="283"/>
              <w:rPr/>
            </w:pPr>
            <w:r>
              <w:rPr/>
              <w:t>$</w:t>
            </w:r>
          </w:p>
        </w:tc>
        <w:tc>
          <w:tcPr>
            <w:tcW w:w="855"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301" w:type="dxa"/>
            <w:tcBorders/>
            <w:shd w:fill="CCEEFF" w:val="clear"/>
            <w:vAlign w:val="center"/>
          </w:tcPr>
          <w:p>
            <w:pPr>
              <w:pStyle w:val="TableContents"/>
              <w:spacing w:before="0" w:after="0"/>
              <w:ind w:left="0" w:right="0" w:hanging="0"/>
              <w:rPr/>
            </w:pPr>
            <w:r>
              <w:rPr/>
              <w:t> </w:t>
            </w:r>
          </w:p>
        </w:tc>
        <w:tc>
          <w:tcPr>
            <w:tcW w:w="574"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905"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6" w:type="dxa"/>
            <w:tcBorders/>
            <w:shd w:fill="CCEEFF" w:val="clear"/>
            <w:vAlign w:val="center"/>
          </w:tcPr>
          <w:p>
            <w:pPr>
              <w:pStyle w:val="TableContents"/>
              <w:spacing w:before="0" w:after="0"/>
              <w:ind w:left="0" w:right="0" w:hanging="0"/>
              <w:rPr/>
            </w:pPr>
            <w:r>
              <w:rPr/>
              <w:t> </w:t>
            </w:r>
          </w:p>
        </w:tc>
        <w:tc>
          <w:tcPr>
            <w:tcW w:w="669"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905" w:type="dxa"/>
            <w:tcBorders/>
            <w:shd w:fill="CCEEFF" w:val="clear"/>
            <w:vAlign w:val="center"/>
          </w:tcPr>
          <w:p>
            <w:pPr>
              <w:pStyle w:val="TableContents"/>
              <w:spacing w:before="0" w:after="283"/>
              <w:jc w:val="right"/>
              <w:rPr/>
            </w:pPr>
            <w:r>
              <w:rPr/>
              <w:t>-</w:t>
            </w:r>
          </w:p>
        </w:tc>
        <w:tc>
          <w:tcPr>
            <w:tcW w:w="170" w:type="dxa"/>
            <w:tcBorders/>
            <w:shd w:fill="CCEEFF" w:val="clear"/>
            <w:vAlign w:val="center"/>
          </w:tcPr>
          <w:p>
            <w:pPr>
              <w:pStyle w:val="TableContents"/>
              <w:spacing w:before="0" w:after="0"/>
              <w:ind w:left="0" w:right="0" w:hanging="0"/>
              <w:rPr/>
            </w:pPr>
            <w:r>
              <w:rPr/>
              <w:t> </w:t>
            </w:r>
          </w:p>
        </w:tc>
      </w:tr>
      <w:tr>
        <w:trPr/>
        <w:tc>
          <w:tcPr>
            <w:tcW w:w="137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5" w:type="dxa"/>
            <w:tcBorders/>
            <w:shd w:fill="FFFFFF" w:val="clear"/>
            <w:vAlign w:val="center"/>
          </w:tcPr>
          <w:p>
            <w:pPr>
              <w:pStyle w:val="TableContents"/>
              <w:spacing w:before="0" w:after="0"/>
              <w:ind w:left="0" w:right="0" w:hanging="0"/>
              <w:rPr/>
            </w:pPr>
            <w:r>
              <w:rPr/>
              <w:t> </w:t>
            </w:r>
          </w:p>
        </w:tc>
        <w:tc>
          <w:tcPr>
            <w:tcW w:w="85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301" w:type="dxa"/>
            <w:tcBorders/>
            <w:shd w:fill="FFFFFF" w:val="clear"/>
            <w:vAlign w:val="center"/>
          </w:tcPr>
          <w:p>
            <w:pPr>
              <w:pStyle w:val="TableContents"/>
              <w:spacing w:before="0" w:after="0"/>
              <w:ind w:left="0" w:right="0" w:hanging="0"/>
              <w:rPr/>
            </w:pPr>
            <w:r>
              <w:rPr/>
              <w:t> </w:t>
            </w:r>
          </w:p>
        </w:tc>
        <w:tc>
          <w:tcPr>
            <w:tcW w:w="574"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06" w:type="dxa"/>
            <w:tcBorders/>
            <w:shd w:fill="FFFFFF" w:val="clear"/>
            <w:vAlign w:val="center"/>
          </w:tcPr>
          <w:p>
            <w:pPr>
              <w:pStyle w:val="TableContents"/>
              <w:spacing w:before="0" w:after="0"/>
              <w:ind w:left="0" w:right="0" w:hanging="0"/>
              <w:rPr/>
            </w:pPr>
            <w:r>
              <w:rPr/>
              <w:t> </w:t>
            </w:r>
          </w:p>
        </w:tc>
        <w:tc>
          <w:tcPr>
            <w:tcW w:w="669"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137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Political subdivisions of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5" w:type="dxa"/>
            <w:tcBorders/>
            <w:shd w:fill="CCEEFF" w:val="clear"/>
            <w:vAlign w:val="center"/>
          </w:tcPr>
          <w:p>
            <w:pPr>
              <w:pStyle w:val="TableContents"/>
              <w:spacing w:before="0" w:after="0"/>
              <w:ind w:left="0" w:right="0" w:hanging="0"/>
              <w:rPr/>
            </w:pPr>
            <w:r>
              <w:rPr/>
              <w:t> </w:t>
            </w:r>
          </w:p>
        </w:tc>
        <w:tc>
          <w:tcPr>
            <w:tcW w:w="85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301" w:type="dxa"/>
            <w:tcBorders/>
            <w:shd w:fill="CCEEFF" w:val="clear"/>
            <w:vAlign w:val="center"/>
          </w:tcPr>
          <w:p>
            <w:pPr>
              <w:pStyle w:val="TableContents"/>
              <w:spacing w:before="0" w:after="0"/>
              <w:ind w:left="0" w:right="0" w:hanging="0"/>
              <w:rPr/>
            </w:pPr>
            <w:r>
              <w:rPr/>
              <w:t> </w:t>
            </w:r>
          </w:p>
        </w:tc>
        <w:tc>
          <w:tcPr>
            <w:tcW w:w="574"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6" w:type="dxa"/>
            <w:tcBorders/>
            <w:shd w:fill="CCEEFF" w:val="clear"/>
            <w:vAlign w:val="center"/>
          </w:tcPr>
          <w:p>
            <w:pPr>
              <w:pStyle w:val="TableContents"/>
              <w:spacing w:before="0" w:after="0"/>
              <w:ind w:left="0" w:right="0" w:hanging="0"/>
              <w:rPr/>
            </w:pPr>
            <w:r>
              <w:rPr/>
              <w:t> </w:t>
            </w:r>
          </w:p>
        </w:tc>
        <w:tc>
          <w:tcPr>
            <w:tcW w:w="669"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137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States, Territories and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5" w:type="dxa"/>
            <w:tcBorders/>
            <w:shd w:fill="FFFFFF" w:val="clear"/>
            <w:vAlign w:val="center"/>
          </w:tcPr>
          <w:p>
            <w:pPr>
              <w:pStyle w:val="TableContents"/>
              <w:spacing w:before="0" w:after="0"/>
              <w:ind w:left="0" w:right="0" w:hanging="0"/>
              <w:rPr/>
            </w:pPr>
            <w:r>
              <w:rPr/>
              <w:t> </w:t>
            </w:r>
          </w:p>
        </w:tc>
        <w:tc>
          <w:tcPr>
            <w:tcW w:w="85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301" w:type="dxa"/>
            <w:tcBorders/>
            <w:shd w:fill="FFFFFF" w:val="clear"/>
            <w:vAlign w:val="center"/>
          </w:tcPr>
          <w:p>
            <w:pPr>
              <w:pStyle w:val="TableContents"/>
              <w:spacing w:before="0" w:after="0"/>
              <w:ind w:left="0" w:right="0" w:hanging="0"/>
              <w:rPr/>
            </w:pPr>
            <w:r>
              <w:rPr/>
              <w:t> </w:t>
            </w:r>
          </w:p>
        </w:tc>
        <w:tc>
          <w:tcPr>
            <w:tcW w:w="574"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06" w:type="dxa"/>
            <w:tcBorders/>
            <w:shd w:fill="FFFFFF" w:val="clear"/>
            <w:vAlign w:val="center"/>
          </w:tcPr>
          <w:p>
            <w:pPr>
              <w:pStyle w:val="TableContents"/>
              <w:spacing w:before="0" w:after="0"/>
              <w:ind w:left="0" w:right="0" w:hanging="0"/>
              <w:rPr/>
            </w:pPr>
            <w:r>
              <w:rPr/>
              <w:t> </w:t>
            </w:r>
          </w:p>
        </w:tc>
        <w:tc>
          <w:tcPr>
            <w:tcW w:w="669"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137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Possessions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5" w:type="dxa"/>
            <w:tcBorders/>
            <w:shd w:fill="CCEEFF" w:val="clear"/>
            <w:vAlign w:val="center"/>
          </w:tcPr>
          <w:p>
            <w:pPr>
              <w:pStyle w:val="TableContents"/>
              <w:spacing w:before="0" w:after="0"/>
              <w:ind w:left="0" w:right="0" w:hanging="0"/>
              <w:rPr/>
            </w:pPr>
            <w:r>
              <w:rPr/>
              <w:t> </w:t>
            </w:r>
          </w:p>
        </w:tc>
        <w:tc>
          <w:tcPr>
            <w:tcW w:w="855"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301" w:type="dxa"/>
            <w:tcBorders/>
            <w:shd w:fill="CCEEFF" w:val="clear"/>
            <w:vAlign w:val="center"/>
          </w:tcPr>
          <w:p>
            <w:pPr>
              <w:pStyle w:val="TableContents"/>
              <w:spacing w:before="0" w:after="0"/>
              <w:ind w:left="0" w:right="0" w:hanging="0"/>
              <w:rPr/>
            </w:pPr>
            <w:r>
              <w:rPr/>
              <w:t> </w:t>
            </w:r>
          </w:p>
        </w:tc>
        <w:tc>
          <w:tcPr>
            <w:tcW w:w="574"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6" w:type="dxa"/>
            <w:tcBorders/>
            <w:shd w:fill="CCEEFF" w:val="clear"/>
            <w:vAlign w:val="center"/>
          </w:tcPr>
          <w:p>
            <w:pPr>
              <w:pStyle w:val="TableContents"/>
              <w:spacing w:before="0" w:after="0"/>
              <w:ind w:left="0" w:right="0" w:hanging="0"/>
              <w:rPr/>
            </w:pPr>
            <w:r>
              <w:rPr/>
              <w:t> </w:t>
            </w:r>
          </w:p>
        </w:tc>
        <w:tc>
          <w:tcPr>
            <w:tcW w:w="669"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283"/>
              <w:jc w:val="right"/>
              <w:rPr/>
            </w:pPr>
            <w:r>
              <w:rPr/>
              <w:t>-</w:t>
            </w:r>
          </w:p>
        </w:tc>
        <w:tc>
          <w:tcPr>
            <w:tcW w:w="170" w:type="dxa"/>
            <w:tcBorders/>
            <w:shd w:fill="CCEEFF" w:val="clear"/>
            <w:vAlign w:val="center"/>
          </w:tcPr>
          <w:p>
            <w:pPr>
              <w:pStyle w:val="TableContents"/>
              <w:spacing w:before="0" w:after="0"/>
              <w:ind w:left="0" w:right="0" w:hanging="0"/>
              <w:rPr/>
            </w:pPr>
            <w:r>
              <w:rPr/>
              <w:t> </w:t>
            </w:r>
          </w:p>
        </w:tc>
      </w:tr>
      <w:tr>
        <w:trPr/>
        <w:tc>
          <w:tcPr>
            <w:tcW w:w="137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5" w:type="dxa"/>
            <w:tcBorders/>
            <w:shd w:fill="FFFFFF" w:val="clear"/>
            <w:vAlign w:val="center"/>
          </w:tcPr>
          <w:p>
            <w:pPr>
              <w:pStyle w:val="TableContents"/>
              <w:spacing w:before="0" w:after="0"/>
              <w:ind w:left="0" w:right="0" w:hanging="0"/>
              <w:rPr/>
            </w:pPr>
            <w:r>
              <w:rPr/>
              <w:t> </w:t>
            </w:r>
          </w:p>
        </w:tc>
        <w:tc>
          <w:tcPr>
            <w:tcW w:w="85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301" w:type="dxa"/>
            <w:tcBorders/>
            <w:shd w:fill="FFFFFF" w:val="clear"/>
            <w:vAlign w:val="center"/>
          </w:tcPr>
          <w:p>
            <w:pPr>
              <w:pStyle w:val="TableContents"/>
              <w:spacing w:before="0" w:after="0"/>
              <w:ind w:left="0" w:right="0" w:hanging="0"/>
              <w:rPr/>
            </w:pPr>
            <w:r>
              <w:rPr/>
              <w:t> </w:t>
            </w:r>
          </w:p>
        </w:tc>
        <w:tc>
          <w:tcPr>
            <w:tcW w:w="574"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06" w:type="dxa"/>
            <w:tcBorders/>
            <w:shd w:fill="FFFFFF" w:val="clear"/>
            <w:vAlign w:val="center"/>
          </w:tcPr>
          <w:p>
            <w:pPr>
              <w:pStyle w:val="TableContents"/>
              <w:spacing w:before="0" w:after="0"/>
              <w:ind w:left="0" w:right="0" w:hanging="0"/>
              <w:rPr/>
            </w:pPr>
            <w:r>
              <w:rPr/>
              <w:t> </w:t>
            </w:r>
          </w:p>
        </w:tc>
        <w:tc>
          <w:tcPr>
            <w:tcW w:w="669"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137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Corporate and other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5" w:type="dxa"/>
            <w:tcBorders/>
            <w:shd w:fill="CCEEFF" w:val="clear"/>
            <w:vAlign w:val="center"/>
          </w:tcPr>
          <w:p>
            <w:pPr>
              <w:pStyle w:val="TableContents"/>
              <w:spacing w:before="0" w:after="0"/>
              <w:ind w:left="0" w:right="0" w:hanging="0"/>
              <w:rPr/>
            </w:pPr>
            <w:r>
              <w:rPr/>
              <w:t> </w:t>
            </w:r>
          </w:p>
        </w:tc>
        <w:tc>
          <w:tcPr>
            <w:tcW w:w="85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301" w:type="dxa"/>
            <w:tcBorders/>
            <w:shd w:fill="CCEEFF" w:val="clear"/>
            <w:vAlign w:val="center"/>
          </w:tcPr>
          <w:p>
            <w:pPr>
              <w:pStyle w:val="TableContents"/>
              <w:spacing w:before="0" w:after="0"/>
              <w:ind w:left="0" w:right="0" w:hanging="0"/>
              <w:rPr/>
            </w:pPr>
            <w:r>
              <w:rPr/>
              <w:t> </w:t>
            </w:r>
          </w:p>
        </w:tc>
        <w:tc>
          <w:tcPr>
            <w:tcW w:w="574"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6" w:type="dxa"/>
            <w:tcBorders/>
            <w:shd w:fill="CCEEFF" w:val="clear"/>
            <w:vAlign w:val="center"/>
          </w:tcPr>
          <w:p>
            <w:pPr>
              <w:pStyle w:val="TableContents"/>
              <w:spacing w:before="0" w:after="0"/>
              <w:ind w:left="0" w:right="0" w:hanging="0"/>
              <w:rPr/>
            </w:pPr>
            <w:r>
              <w:rPr/>
              <w:t> </w:t>
            </w:r>
          </w:p>
        </w:tc>
        <w:tc>
          <w:tcPr>
            <w:tcW w:w="669"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137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bonds industrial and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5" w:type="dxa"/>
            <w:tcBorders/>
            <w:shd w:fill="FFFFFF" w:val="clear"/>
            <w:vAlign w:val="center"/>
          </w:tcPr>
          <w:p>
            <w:pPr>
              <w:pStyle w:val="TableContents"/>
              <w:spacing w:before="0" w:after="0"/>
              <w:ind w:left="0" w:right="0" w:hanging="0"/>
              <w:rPr/>
            </w:pPr>
            <w:r>
              <w:rPr/>
              <w:t> </w:t>
            </w:r>
          </w:p>
        </w:tc>
        <w:tc>
          <w:tcPr>
            <w:tcW w:w="85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301" w:type="dxa"/>
            <w:tcBorders/>
            <w:shd w:fill="FFFFFF" w:val="clear"/>
            <w:vAlign w:val="center"/>
          </w:tcPr>
          <w:p>
            <w:pPr>
              <w:pStyle w:val="TableContents"/>
              <w:spacing w:before="0" w:after="0"/>
              <w:ind w:left="0" w:right="0" w:hanging="0"/>
              <w:rPr/>
            </w:pPr>
            <w:r>
              <w:rPr/>
              <w:t> </w:t>
            </w:r>
          </w:p>
        </w:tc>
        <w:tc>
          <w:tcPr>
            <w:tcW w:w="574"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06" w:type="dxa"/>
            <w:tcBorders/>
            <w:shd w:fill="FFFFFF" w:val="clear"/>
            <w:vAlign w:val="center"/>
          </w:tcPr>
          <w:p>
            <w:pPr>
              <w:pStyle w:val="TableContents"/>
              <w:spacing w:before="0" w:after="0"/>
              <w:ind w:left="0" w:right="0" w:hanging="0"/>
              <w:rPr/>
            </w:pPr>
            <w:r>
              <w:rPr/>
              <w:t> </w:t>
            </w:r>
          </w:p>
        </w:tc>
        <w:tc>
          <w:tcPr>
            <w:tcW w:w="669"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137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miscellaneous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1,006,901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5" w:type="dxa"/>
            <w:tcBorders/>
            <w:shd w:fill="CCEEFF" w:val="clear"/>
            <w:vAlign w:val="center"/>
          </w:tcPr>
          <w:p>
            <w:pPr>
              <w:pStyle w:val="TableContents"/>
              <w:spacing w:before="0" w:after="0"/>
              <w:ind w:left="0" w:right="0" w:hanging="0"/>
              <w:rPr/>
            </w:pPr>
            <w:r>
              <w:rPr/>
              <w:t> </w:t>
            </w:r>
          </w:p>
        </w:tc>
        <w:tc>
          <w:tcPr>
            <w:tcW w:w="855" w:type="dxa"/>
            <w:tcBorders/>
            <w:shd w:fill="CCEEFF" w:val="clear"/>
            <w:vAlign w:val="center"/>
          </w:tcPr>
          <w:p>
            <w:pPr>
              <w:pStyle w:val="TableContents"/>
              <w:spacing w:before="0" w:after="283"/>
              <w:jc w:val="right"/>
              <w:rPr/>
            </w:pPr>
            <w:r>
              <w:rPr/>
              <w:t>(13,216</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301" w:type="dxa"/>
            <w:tcBorders/>
            <w:shd w:fill="CCEEFF" w:val="clear"/>
            <w:vAlign w:val="center"/>
          </w:tcPr>
          <w:p>
            <w:pPr>
              <w:pStyle w:val="TableContents"/>
              <w:spacing w:before="0" w:after="0"/>
              <w:ind w:left="0" w:right="0" w:hanging="0"/>
              <w:rPr/>
            </w:pPr>
            <w:r>
              <w:rPr/>
              <w:t> </w:t>
            </w:r>
          </w:p>
        </w:tc>
        <w:tc>
          <w:tcPr>
            <w:tcW w:w="574" w:type="dxa"/>
            <w:tcBorders/>
            <w:shd w:fill="CCEEFF" w:val="clear"/>
            <w:vAlign w:val="center"/>
          </w:tcPr>
          <w:p>
            <w:pPr>
              <w:pStyle w:val="TableContents"/>
              <w:spacing w:before="0" w:after="283"/>
              <w:jc w:val="right"/>
              <w:rPr/>
            </w:pPr>
            <w:r>
              <w:rPr/>
              <w:t>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6" w:type="dxa"/>
            <w:tcBorders/>
            <w:shd w:fill="CCEEFF" w:val="clear"/>
            <w:vAlign w:val="center"/>
          </w:tcPr>
          <w:p>
            <w:pPr>
              <w:pStyle w:val="TableContents"/>
              <w:spacing w:before="0" w:after="0"/>
              <w:ind w:left="0" w:right="0" w:hanging="0"/>
              <w:rPr/>
            </w:pPr>
            <w:r>
              <w:rPr/>
              <w:t> </w:t>
            </w:r>
          </w:p>
        </w:tc>
        <w:tc>
          <w:tcPr>
            <w:tcW w:w="669"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1,006,901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283"/>
              <w:jc w:val="right"/>
              <w:rPr/>
            </w:pPr>
            <w:r>
              <w:rPr/>
              <w:t>(13,216</w:t>
            </w:r>
          </w:p>
        </w:tc>
        <w:tc>
          <w:tcPr>
            <w:tcW w:w="170" w:type="dxa"/>
            <w:tcBorders/>
            <w:shd w:fill="CCEEFF" w:val="clear"/>
            <w:vAlign w:val="center"/>
          </w:tcPr>
          <w:p>
            <w:pPr>
              <w:pStyle w:val="TableContents"/>
              <w:spacing w:before="0" w:after="283"/>
              <w:rPr/>
            </w:pPr>
            <w:r>
              <w:rPr/>
              <w:t>)</w:t>
            </w:r>
          </w:p>
        </w:tc>
      </w:tr>
      <w:tr>
        <w:trPr/>
        <w:tc>
          <w:tcPr>
            <w:tcW w:w="137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5" w:type="dxa"/>
            <w:tcBorders/>
            <w:shd w:fill="FFFFFF" w:val="clear"/>
            <w:vAlign w:val="center"/>
          </w:tcPr>
          <w:p>
            <w:pPr>
              <w:pStyle w:val="TableContents"/>
              <w:spacing w:before="0" w:after="0"/>
              <w:ind w:left="0" w:right="0" w:hanging="0"/>
              <w:rPr/>
            </w:pPr>
            <w:r>
              <w:rPr/>
              <w:t> </w:t>
            </w:r>
          </w:p>
        </w:tc>
        <w:tc>
          <w:tcPr>
            <w:tcW w:w="85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301" w:type="dxa"/>
            <w:tcBorders/>
            <w:shd w:fill="FFFFFF" w:val="clear"/>
            <w:vAlign w:val="center"/>
          </w:tcPr>
          <w:p>
            <w:pPr>
              <w:pStyle w:val="TableContents"/>
              <w:spacing w:before="0" w:after="0"/>
              <w:ind w:left="0" w:right="0" w:hanging="0"/>
              <w:rPr/>
            </w:pPr>
            <w:r>
              <w:rPr/>
              <w:t> </w:t>
            </w:r>
          </w:p>
        </w:tc>
        <w:tc>
          <w:tcPr>
            <w:tcW w:w="574"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06" w:type="dxa"/>
            <w:tcBorders/>
            <w:shd w:fill="FFFFFF" w:val="clear"/>
            <w:vAlign w:val="center"/>
          </w:tcPr>
          <w:p>
            <w:pPr>
              <w:pStyle w:val="TableContents"/>
              <w:spacing w:before="0" w:after="0"/>
              <w:ind w:left="0" w:right="0" w:hanging="0"/>
              <w:rPr/>
            </w:pPr>
            <w:r>
              <w:rPr/>
              <w:t> </w:t>
            </w:r>
          </w:p>
        </w:tc>
        <w:tc>
          <w:tcPr>
            <w:tcW w:w="669"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137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Residential mortgage and other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5" w:type="dxa"/>
            <w:tcBorders/>
            <w:shd w:fill="CCEEFF" w:val="clear"/>
            <w:vAlign w:val="center"/>
          </w:tcPr>
          <w:p>
            <w:pPr>
              <w:pStyle w:val="TableContents"/>
              <w:spacing w:before="0" w:after="0"/>
              <w:ind w:left="0" w:right="0" w:hanging="0"/>
              <w:rPr/>
            </w:pPr>
            <w:r>
              <w:rPr/>
              <w:t> </w:t>
            </w:r>
          </w:p>
        </w:tc>
        <w:tc>
          <w:tcPr>
            <w:tcW w:w="85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301" w:type="dxa"/>
            <w:tcBorders/>
            <w:shd w:fill="CCEEFF" w:val="clear"/>
            <w:vAlign w:val="center"/>
          </w:tcPr>
          <w:p>
            <w:pPr>
              <w:pStyle w:val="TableContents"/>
              <w:spacing w:before="0" w:after="0"/>
              <w:ind w:left="0" w:right="0" w:hanging="0"/>
              <w:rPr/>
            </w:pPr>
            <w:r>
              <w:rPr/>
              <w:t> </w:t>
            </w:r>
          </w:p>
        </w:tc>
        <w:tc>
          <w:tcPr>
            <w:tcW w:w="574"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6" w:type="dxa"/>
            <w:tcBorders/>
            <w:shd w:fill="CCEEFF" w:val="clear"/>
            <w:vAlign w:val="center"/>
          </w:tcPr>
          <w:p>
            <w:pPr>
              <w:pStyle w:val="TableContents"/>
              <w:spacing w:before="0" w:after="0"/>
              <w:ind w:left="0" w:right="0" w:hanging="0"/>
              <w:rPr/>
            </w:pPr>
            <w:r>
              <w:rPr/>
              <w:t> </w:t>
            </w:r>
          </w:p>
        </w:tc>
        <w:tc>
          <w:tcPr>
            <w:tcW w:w="669"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137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asset backed securities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283"/>
              <w:jc w:val="right"/>
              <w:rPr/>
            </w:pPr>
            <w:r>
              <w:rPr/>
              <w:t>6,137,522</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5"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55" w:type="dxa"/>
            <w:tcBorders>
              <w:bottom w:val="single" w:sz="2" w:space="0" w:color="000000"/>
            </w:tcBorders>
            <w:shd w:fill="FFFFFF" w:val="clear"/>
            <w:tcMar>
              <w:bottom w:w="28" w:type="dxa"/>
            </w:tcMar>
            <w:vAlign w:val="center"/>
          </w:tcPr>
          <w:p>
            <w:pPr>
              <w:pStyle w:val="TableContents"/>
              <w:spacing w:before="0" w:after="283"/>
              <w:jc w:val="right"/>
              <w:rPr/>
            </w:pPr>
            <w:r>
              <w:rPr/>
              <w:t>(7,371</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301"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574" w:type="dxa"/>
            <w:tcBorders>
              <w:bottom w:val="single" w:sz="2" w:space="0" w:color="000000"/>
            </w:tcBorders>
            <w:shd w:fill="FFFFFF" w:val="clear"/>
            <w:tcMar>
              <w:bottom w:w="28" w:type="dxa"/>
            </w:tcMar>
            <w:vAlign w:val="center"/>
          </w:tcPr>
          <w:p>
            <w:pPr>
              <w:pStyle w:val="TableContents"/>
              <w:spacing w:before="0" w:after="283"/>
              <w:jc w:val="right"/>
              <w:rPr/>
            </w:pPr>
            <w:r>
              <w:rPr/>
              <w:t>5</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283"/>
              <w:jc w:val="right"/>
              <w:rPr/>
            </w:pPr>
            <w:r>
              <w:rPr/>
              <w:t>3,735,732</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905" w:type="dxa"/>
            <w:tcBorders>
              <w:bottom w:val="single" w:sz="2" w:space="0" w:color="000000"/>
            </w:tcBorders>
            <w:shd w:fill="FFFFFF" w:val="clear"/>
            <w:tcMar>
              <w:bottom w:w="28" w:type="dxa"/>
            </w:tcMar>
            <w:vAlign w:val="center"/>
          </w:tcPr>
          <w:p>
            <w:pPr>
              <w:pStyle w:val="TableContents"/>
              <w:spacing w:before="0" w:after="283"/>
              <w:jc w:val="right"/>
              <w:rPr/>
            </w:pPr>
            <w:r>
              <w:rPr/>
              <w:t>(111,947</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206"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669" w:type="dxa"/>
            <w:tcBorders>
              <w:bottom w:val="single" w:sz="2" w:space="0" w:color="000000"/>
            </w:tcBorders>
            <w:shd w:fill="FFFFFF" w:val="clear"/>
            <w:tcMar>
              <w:bottom w:w="28" w:type="dxa"/>
            </w:tcMar>
            <w:vAlign w:val="center"/>
          </w:tcPr>
          <w:p>
            <w:pPr>
              <w:pStyle w:val="TableContents"/>
              <w:spacing w:before="0" w:after="283"/>
              <w:jc w:val="right"/>
              <w:rPr/>
            </w:pPr>
            <w:r>
              <w:rPr/>
              <w:t>10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FFFFFF" w:val="clear"/>
            <w:tcMar>
              <w:bottom w:w="28" w:type="dxa"/>
            </w:tcMar>
            <w:vAlign w:val="center"/>
          </w:tcPr>
          <w:p>
            <w:pPr>
              <w:pStyle w:val="TableContents"/>
              <w:spacing w:before="0" w:after="283"/>
              <w:jc w:val="right"/>
              <w:rPr/>
            </w:pPr>
            <w:r>
              <w:rPr/>
              <w:t>9,873,254</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905" w:type="dxa"/>
            <w:tcBorders>
              <w:bottom w:val="single" w:sz="2" w:space="0" w:color="000000"/>
            </w:tcBorders>
            <w:shd w:fill="FFFFFF" w:val="clear"/>
            <w:tcMar>
              <w:bottom w:w="28" w:type="dxa"/>
            </w:tcMar>
            <w:vAlign w:val="center"/>
          </w:tcPr>
          <w:p>
            <w:pPr>
              <w:pStyle w:val="TableContents"/>
              <w:spacing w:before="0" w:after="283"/>
              <w:jc w:val="right"/>
              <w:rPr/>
            </w:pPr>
            <w:r>
              <w:rPr/>
              <w:t>(119,318</w:t>
            </w:r>
          </w:p>
        </w:tc>
        <w:tc>
          <w:tcPr>
            <w:tcW w:w="170" w:type="dxa"/>
            <w:tcBorders/>
            <w:shd w:fill="FFFFFF" w:val="clear"/>
            <w:vAlign w:val="center"/>
          </w:tcPr>
          <w:p>
            <w:pPr>
              <w:pStyle w:val="TableContents"/>
              <w:spacing w:before="0" w:after="283"/>
              <w:rPr/>
            </w:pPr>
            <w:r>
              <w:rPr/>
              <w:t>)</w:t>
            </w:r>
          </w:p>
        </w:tc>
      </w:tr>
      <w:tr>
        <w:trPr/>
        <w:tc>
          <w:tcPr>
            <w:tcW w:w="137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5" w:type="dxa"/>
            <w:tcBorders/>
            <w:shd w:fill="CCEEFF" w:val="clear"/>
            <w:vAlign w:val="center"/>
          </w:tcPr>
          <w:p>
            <w:pPr>
              <w:pStyle w:val="TableContents"/>
              <w:spacing w:before="0" w:after="0"/>
              <w:ind w:left="0" w:right="0" w:hanging="0"/>
              <w:rPr/>
            </w:pPr>
            <w:r>
              <w:rPr/>
              <w:t> </w:t>
            </w:r>
          </w:p>
        </w:tc>
        <w:tc>
          <w:tcPr>
            <w:tcW w:w="85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301" w:type="dxa"/>
            <w:tcBorders/>
            <w:shd w:fill="CCEEFF" w:val="clear"/>
            <w:vAlign w:val="center"/>
          </w:tcPr>
          <w:p>
            <w:pPr>
              <w:pStyle w:val="TableContents"/>
              <w:spacing w:before="0" w:after="0"/>
              <w:ind w:left="0" w:right="0" w:hanging="0"/>
              <w:rPr/>
            </w:pPr>
            <w:r>
              <w:rPr/>
              <w:t> </w:t>
            </w:r>
          </w:p>
        </w:tc>
        <w:tc>
          <w:tcPr>
            <w:tcW w:w="574"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6" w:type="dxa"/>
            <w:tcBorders/>
            <w:shd w:fill="CCEEFF" w:val="clear"/>
            <w:vAlign w:val="center"/>
          </w:tcPr>
          <w:p>
            <w:pPr>
              <w:pStyle w:val="TableContents"/>
              <w:spacing w:before="0" w:after="0"/>
              <w:ind w:left="0" w:right="0" w:hanging="0"/>
              <w:rPr/>
            </w:pPr>
            <w:r>
              <w:rPr/>
              <w:t> </w:t>
            </w:r>
          </w:p>
        </w:tc>
        <w:tc>
          <w:tcPr>
            <w:tcW w:w="669"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137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Total fixed-maturity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5" w:type="dxa"/>
            <w:tcBorders/>
            <w:shd w:fill="FFFFFF" w:val="clear"/>
            <w:vAlign w:val="center"/>
          </w:tcPr>
          <w:p>
            <w:pPr>
              <w:pStyle w:val="TableContents"/>
              <w:spacing w:before="0" w:after="0"/>
              <w:ind w:left="0" w:right="0" w:hanging="0"/>
              <w:rPr/>
            </w:pPr>
            <w:r>
              <w:rPr/>
              <w:t> </w:t>
            </w:r>
          </w:p>
        </w:tc>
        <w:tc>
          <w:tcPr>
            <w:tcW w:w="85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301" w:type="dxa"/>
            <w:tcBorders/>
            <w:shd w:fill="FFFFFF" w:val="clear"/>
            <w:vAlign w:val="center"/>
          </w:tcPr>
          <w:p>
            <w:pPr>
              <w:pStyle w:val="TableContents"/>
              <w:spacing w:before="0" w:after="0"/>
              <w:ind w:left="0" w:right="0" w:hanging="0"/>
              <w:rPr/>
            </w:pPr>
            <w:r>
              <w:rPr/>
              <w:t> </w:t>
            </w:r>
          </w:p>
        </w:tc>
        <w:tc>
          <w:tcPr>
            <w:tcW w:w="574"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06" w:type="dxa"/>
            <w:tcBorders/>
            <w:shd w:fill="FFFFFF" w:val="clear"/>
            <w:vAlign w:val="center"/>
          </w:tcPr>
          <w:p>
            <w:pPr>
              <w:pStyle w:val="TableContents"/>
              <w:spacing w:before="0" w:after="0"/>
              <w:ind w:left="0" w:right="0" w:hanging="0"/>
              <w:rPr/>
            </w:pPr>
            <w:r>
              <w:rPr/>
              <w:t> </w:t>
            </w:r>
          </w:p>
        </w:tc>
        <w:tc>
          <w:tcPr>
            <w:tcW w:w="669"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137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securities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6" w:space="0" w:color="000000"/>
            </w:tcBorders>
            <w:shd w:fill="CCEEFF" w:val="clear"/>
            <w:tcMar>
              <w:bottom w:w="28" w:type="dxa"/>
            </w:tcMar>
            <w:vAlign w:val="center"/>
          </w:tcPr>
          <w:p>
            <w:pPr>
              <w:pStyle w:val="TableContents"/>
              <w:spacing w:before="0" w:after="283"/>
              <w:jc w:val="right"/>
              <w:rPr/>
            </w:pPr>
            <w:r>
              <w:rPr/>
              <w:t>7,144,423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5" w:type="dxa"/>
            <w:tcBorders>
              <w:bottom w:val="double" w:sz="6" w:space="0" w:color="000000"/>
            </w:tcBorders>
            <w:shd w:fill="CCEEFF" w:val="clear"/>
            <w:tcMar>
              <w:bottom w:w="28" w:type="dxa"/>
            </w:tcMar>
            <w:vAlign w:val="center"/>
          </w:tcPr>
          <w:p>
            <w:pPr>
              <w:pStyle w:val="TableContents"/>
              <w:spacing w:before="0" w:after="283"/>
              <w:rPr/>
            </w:pPr>
            <w:r>
              <w:rPr/>
              <w:t>$</w:t>
            </w:r>
          </w:p>
        </w:tc>
        <w:tc>
          <w:tcPr>
            <w:tcW w:w="855" w:type="dxa"/>
            <w:tcBorders>
              <w:bottom w:val="double" w:sz="6" w:space="0" w:color="000000"/>
            </w:tcBorders>
            <w:shd w:fill="CCEEFF" w:val="clear"/>
            <w:tcMar>
              <w:bottom w:w="28" w:type="dxa"/>
            </w:tcMar>
            <w:vAlign w:val="center"/>
          </w:tcPr>
          <w:p>
            <w:pPr>
              <w:pStyle w:val="TableContents"/>
              <w:spacing w:before="0" w:after="283"/>
              <w:jc w:val="right"/>
              <w:rPr/>
            </w:pPr>
            <w:r>
              <w:rPr/>
              <w:t>(20,587</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301"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574" w:type="dxa"/>
            <w:tcBorders>
              <w:bottom w:val="double" w:sz="6" w:space="0" w:color="000000"/>
            </w:tcBorders>
            <w:shd w:fill="CCEEFF" w:val="clear"/>
            <w:tcMar>
              <w:bottom w:w="28" w:type="dxa"/>
            </w:tcMar>
            <w:vAlign w:val="center"/>
          </w:tcPr>
          <w:p>
            <w:pPr>
              <w:pStyle w:val="TableContents"/>
              <w:spacing w:before="0" w:after="283"/>
              <w:jc w:val="right"/>
              <w:rPr/>
            </w:pPr>
            <w:r>
              <w:rPr/>
              <w:t>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6" w:space="0" w:color="000000"/>
            </w:tcBorders>
            <w:shd w:fill="CCEEFF" w:val="clear"/>
            <w:tcMar>
              <w:bottom w:w="28" w:type="dxa"/>
            </w:tcMar>
            <w:vAlign w:val="center"/>
          </w:tcPr>
          <w:p>
            <w:pPr>
              <w:pStyle w:val="TableContents"/>
              <w:spacing w:before="0" w:after="283"/>
              <w:jc w:val="right"/>
              <w:rPr/>
            </w:pPr>
            <w:r>
              <w:rPr/>
              <w:t>3,735,732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905" w:type="dxa"/>
            <w:tcBorders>
              <w:bottom w:val="double" w:sz="6" w:space="0" w:color="000000"/>
            </w:tcBorders>
            <w:shd w:fill="CCEEFF" w:val="clear"/>
            <w:tcMar>
              <w:bottom w:w="28" w:type="dxa"/>
            </w:tcMar>
            <w:vAlign w:val="center"/>
          </w:tcPr>
          <w:p>
            <w:pPr>
              <w:pStyle w:val="TableContents"/>
              <w:spacing w:before="0" w:after="283"/>
              <w:jc w:val="right"/>
              <w:rPr/>
            </w:pPr>
            <w:r>
              <w:rPr/>
              <w:t>(111,947</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206"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669" w:type="dxa"/>
            <w:tcBorders>
              <w:bottom w:val="double" w:sz="6" w:space="0" w:color="000000"/>
            </w:tcBorders>
            <w:shd w:fill="CCEEFF" w:val="clear"/>
            <w:tcMar>
              <w:bottom w:w="28" w:type="dxa"/>
            </w:tcMar>
            <w:vAlign w:val="center"/>
          </w:tcPr>
          <w:p>
            <w:pPr>
              <w:pStyle w:val="TableContents"/>
              <w:spacing w:before="0" w:after="283"/>
              <w:jc w:val="right"/>
              <w:rPr/>
            </w:pPr>
            <w:r>
              <w:rPr/>
              <w:t>10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130" w:type="dxa"/>
            <w:tcBorders>
              <w:bottom w:val="double" w:sz="6" w:space="0" w:color="000000"/>
            </w:tcBorders>
            <w:shd w:fill="CCEEFF" w:val="clear"/>
            <w:tcMar>
              <w:bottom w:w="28" w:type="dxa"/>
            </w:tcMar>
            <w:vAlign w:val="center"/>
          </w:tcPr>
          <w:p>
            <w:pPr>
              <w:pStyle w:val="TableContents"/>
              <w:spacing w:before="0" w:after="283"/>
              <w:jc w:val="right"/>
              <w:rPr/>
            </w:pPr>
            <w:r>
              <w:rPr/>
              <w:t>10,880,155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905" w:type="dxa"/>
            <w:tcBorders>
              <w:bottom w:val="double" w:sz="6" w:space="0" w:color="000000"/>
            </w:tcBorders>
            <w:shd w:fill="CCEEFF" w:val="clear"/>
            <w:tcMar>
              <w:bottom w:w="28" w:type="dxa"/>
            </w:tcMar>
            <w:vAlign w:val="center"/>
          </w:tcPr>
          <w:p>
            <w:pPr>
              <w:pStyle w:val="TableContents"/>
              <w:spacing w:before="0" w:after="283"/>
              <w:jc w:val="right"/>
              <w:rPr/>
            </w:pPr>
            <w:r>
              <w:rPr/>
              <w:t>(132,534</w:t>
            </w:r>
          </w:p>
        </w:tc>
        <w:tc>
          <w:tcPr>
            <w:tcW w:w="170" w:type="dxa"/>
            <w:tcBorders/>
            <w:shd w:fill="CCEEFF" w:val="clear"/>
            <w:vAlign w:val="center"/>
          </w:tcPr>
          <w:p>
            <w:pPr>
              <w:pStyle w:val="TableContents"/>
              <w:spacing w:before="0" w:after="283"/>
              <w:rPr/>
            </w:pPr>
            <w:r>
              <w:rPr/>
              <w:t>)</w:t>
            </w:r>
          </w:p>
        </w:tc>
      </w:tr>
    </w:tbl>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F-22</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2020 AND 2019</w:t>
      </w:r>
    </w:p>
    <w:p>
      <w:pPr>
        <w:pStyle w:val="TextBody"/>
        <w:spacing w:before="0" w:after="0"/>
        <w:ind w:left="0" w:right="0" w:hanging="0"/>
        <w:jc w:val="center"/>
        <w:rPr/>
      </w:pPr>
      <w:r>
        <w:rPr>
          <w:rStyle w:val="StrongEmphasis"/>
        </w:rPr>
        <w:t> </w:t>
      </w:r>
    </w:p>
    <w:p>
      <w:pPr>
        <w:pStyle w:val="TextBody"/>
        <w:spacing w:before="0" w:after="0"/>
        <w:ind w:left="0" w:right="0" w:hanging="0"/>
        <w:rPr/>
      </w:pPr>
      <w:r>
        <w:rPr/>
        <w:t> </w:t>
      </w:r>
    </w:p>
    <w:p>
      <w:pPr>
        <w:pStyle w:val="TextBody"/>
        <w:spacing w:before="0" w:after="0"/>
        <w:ind w:left="0" w:right="0" w:hanging="0"/>
        <w:rPr/>
      </w:pPr>
      <w:r>
        <w:rPr/>
        <w:t> </w:t>
      </w:r>
    </w:p>
    <w:tbl>
      <w:tblPr>
        <w:tblW w:w="11800" w:type="dxa"/>
        <w:jc w:val="left"/>
        <w:tblInd w:w="0" w:type="dxa"/>
        <w:tblCellMar>
          <w:top w:w="0" w:type="dxa"/>
          <w:left w:w="0" w:type="dxa"/>
          <w:bottom w:w="0" w:type="dxa"/>
          <w:right w:w="0" w:type="dxa"/>
        </w:tblCellMar>
      </w:tblPr>
      <w:tblGrid>
        <w:gridCol w:w="1370"/>
        <w:gridCol w:w="90"/>
        <w:gridCol w:w="170"/>
        <w:gridCol w:w="1130"/>
        <w:gridCol w:w="90"/>
        <w:gridCol w:w="90"/>
        <w:gridCol w:w="185"/>
        <w:gridCol w:w="855"/>
        <w:gridCol w:w="125"/>
        <w:gridCol w:w="90"/>
        <w:gridCol w:w="206"/>
        <w:gridCol w:w="669"/>
        <w:gridCol w:w="90"/>
        <w:gridCol w:w="90"/>
        <w:gridCol w:w="170"/>
        <w:gridCol w:w="1130"/>
        <w:gridCol w:w="90"/>
        <w:gridCol w:w="90"/>
        <w:gridCol w:w="170"/>
        <w:gridCol w:w="905"/>
        <w:gridCol w:w="125"/>
        <w:gridCol w:w="90"/>
        <w:gridCol w:w="206"/>
        <w:gridCol w:w="669"/>
        <w:gridCol w:w="90"/>
        <w:gridCol w:w="90"/>
        <w:gridCol w:w="170"/>
        <w:gridCol w:w="1130"/>
        <w:gridCol w:w="90"/>
        <w:gridCol w:w="90"/>
        <w:gridCol w:w="170"/>
        <w:gridCol w:w="905"/>
        <w:gridCol w:w="170"/>
      </w:tblGrid>
      <w:tr>
        <w:trPr/>
        <w:tc>
          <w:tcPr>
            <w:tcW w:w="137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170" w:type="dxa"/>
            <w:gridSpan w:val="30"/>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2019</w:t>
            </w:r>
          </w:p>
        </w:tc>
        <w:tc>
          <w:tcPr>
            <w:tcW w:w="170" w:type="dxa"/>
            <w:tcBorders/>
            <w:shd w:fill="auto" w:val="clear"/>
            <w:vAlign w:val="center"/>
          </w:tcPr>
          <w:p>
            <w:pPr>
              <w:pStyle w:val="TableContents"/>
              <w:spacing w:before="0" w:after="0"/>
              <w:ind w:left="0" w:right="0" w:hanging="0"/>
              <w:rPr/>
            </w:pPr>
            <w:r>
              <w:rPr/>
              <w:t> </w:t>
            </w:r>
          </w:p>
        </w:tc>
      </w:tr>
      <w:tr>
        <w:trPr/>
        <w:tc>
          <w:tcPr>
            <w:tcW w:w="137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3610" w:type="dxa"/>
            <w:gridSpan w:val="10"/>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Less than 12 months</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3645" w:type="dxa"/>
            <w:gridSpan w:val="10"/>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12 months or more</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555"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Total</w:t>
            </w:r>
          </w:p>
        </w:tc>
        <w:tc>
          <w:tcPr>
            <w:tcW w:w="170" w:type="dxa"/>
            <w:tcBorders/>
            <w:shd w:fill="auto" w:val="clear"/>
            <w:vAlign w:val="center"/>
          </w:tcPr>
          <w:p>
            <w:pPr>
              <w:pStyle w:val="TableContents"/>
              <w:spacing w:before="0" w:after="0"/>
              <w:ind w:left="0" w:right="0" w:hanging="0"/>
              <w:rPr/>
            </w:pPr>
            <w:r>
              <w:rPr/>
              <w:t> </w:t>
            </w:r>
          </w:p>
        </w:tc>
      </w:tr>
      <w:tr>
        <w:trPr/>
        <w:tc>
          <w:tcPr>
            <w:tcW w:w="137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Estimated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40" w:type="dxa"/>
            <w:gridSpan w:val="2"/>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75"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No. of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Estimated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75"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No. of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Estimated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0"/>
              <w:ind w:left="0" w:right="0" w:hanging="0"/>
              <w:rPr/>
            </w:pPr>
            <w:r>
              <w:rPr/>
              <w:t> </w:t>
            </w:r>
          </w:p>
        </w:tc>
      </w:tr>
      <w:tr>
        <w:trPr/>
        <w:tc>
          <w:tcPr>
            <w:tcW w:w="137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Fair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4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Unrealized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75"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Positions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Fair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Unrealized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75"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Positions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Fair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Unrealized </w:t>
            </w:r>
          </w:p>
        </w:tc>
        <w:tc>
          <w:tcPr>
            <w:tcW w:w="170" w:type="dxa"/>
            <w:tcBorders/>
            <w:shd w:fill="auto" w:val="clear"/>
            <w:vAlign w:val="center"/>
          </w:tcPr>
          <w:p>
            <w:pPr>
              <w:pStyle w:val="TableContents"/>
              <w:spacing w:before="0" w:after="0"/>
              <w:ind w:left="0" w:right="0" w:hanging="0"/>
              <w:rPr/>
            </w:pPr>
            <w:r>
              <w:rPr/>
              <w:t> </w:t>
            </w:r>
          </w:p>
        </w:tc>
      </w:tr>
      <w:tr>
        <w:trPr/>
        <w:tc>
          <w:tcPr>
            <w:tcW w:w="1370"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Fonts w:ascii="times new roman" w:hAnsi="times new roman"/>
                <w:sz w:val="20"/>
              </w:rPr>
              <w:t xml:space="preserve">Category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Value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Losses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Held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Value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Losses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Held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Value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Losses </w:t>
            </w:r>
          </w:p>
        </w:tc>
        <w:tc>
          <w:tcPr>
            <w:tcW w:w="170" w:type="dxa"/>
            <w:tcBorders/>
            <w:shd w:fill="auto" w:val="clear"/>
            <w:vAlign w:val="center"/>
          </w:tcPr>
          <w:p>
            <w:pPr>
              <w:pStyle w:val="TableContents"/>
              <w:spacing w:before="0" w:after="0"/>
              <w:ind w:left="0" w:right="0" w:hanging="0"/>
              <w:rPr/>
            </w:pPr>
            <w:r>
              <w:rPr/>
              <w:t> </w:t>
            </w:r>
          </w:p>
        </w:tc>
      </w:tr>
      <w:tr>
        <w:trPr/>
        <w:tc>
          <w:tcPr>
            <w:tcW w:w="137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85" w:type="dxa"/>
            <w:tcBorders/>
            <w:shd w:fill="auto" w:val="clear"/>
            <w:vAlign w:val="center"/>
          </w:tcPr>
          <w:p>
            <w:pPr>
              <w:pStyle w:val="TableContents"/>
              <w:spacing w:before="0" w:after="0"/>
              <w:ind w:left="0" w:right="0" w:hanging="0"/>
              <w:rPr/>
            </w:pPr>
            <w:r>
              <w:rPr/>
              <w:t> </w:t>
            </w:r>
          </w:p>
        </w:tc>
        <w:tc>
          <w:tcPr>
            <w:tcW w:w="855" w:type="dxa"/>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06" w:type="dxa"/>
            <w:tcBorders/>
            <w:shd w:fill="auto" w:val="clear"/>
            <w:vAlign w:val="center"/>
          </w:tcPr>
          <w:p>
            <w:pPr>
              <w:pStyle w:val="TableContents"/>
              <w:spacing w:before="0" w:after="0"/>
              <w:ind w:left="0" w:right="0" w:hanging="0"/>
              <w:rPr/>
            </w:pPr>
            <w:r>
              <w:rPr/>
              <w:t> </w:t>
            </w:r>
          </w:p>
        </w:tc>
        <w:tc>
          <w:tcPr>
            <w:tcW w:w="7399" w:type="dxa"/>
            <w:gridSpan w:val="22"/>
            <w:tcBorders/>
            <w:shd w:fill="auto" w:val="clear"/>
            <w:vAlign w:val="center"/>
          </w:tcPr>
          <w:p>
            <w:pPr>
              <w:pStyle w:val="TableContents"/>
              <w:spacing w:before="0" w:after="0"/>
              <w:ind w:left="0" w:right="0" w:hanging="0"/>
              <w:rPr/>
            </w:pPr>
            <w:r>
              <w:rPr/>
              <w:t> </w:t>
            </w:r>
          </w:p>
        </w:tc>
      </w:tr>
      <w:tr>
        <w:trPr/>
        <w:tc>
          <w:tcPr>
            <w:tcW w:w="1370" w:type="dxa"/>
            <w:tcBorders/>
            <w:shd w:fill="auto" w:val="clear"/>
            <w:vAlign w:val="center"/>
          </w:tcPr>
          <w:p>
            <w:pPr>
              <w:pStyle w:val="TableContents"/>
              <w:spacing w:before="0" w:after="0"/>
              <w:ind w:left="0" w:right="0" w:hanging="0"/>
              <w:rPr/>
            </w:pPr>
            <w:r>
              <w:rPr>
                <w:rStyle w:val="StrongEmphasis"/>
                <w:rFonts w:ascii="times new roman" w:hAnsi="times new roman"/>
                <w:sz w:val="20"/>
              </w:rPr>
              <w:t xml:space="preserve">Fixed-Maturity Securities: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40"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75"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75"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r>
      <w:tr>
        <w:trPr/>
        <w:tc>
          <w:tcPr>
            <w:tcW w:w="1370"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U.S. Treasury securities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40"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75"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75"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r>
      <w:tr>
        <w:trPr/>
        <w:tc>
          <w:tcPr>
            <w:tcW w:w="1370"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and obligations of U.S.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40"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75"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75"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r>
      <w:tr>
        <w:trPr/>
        <w:tc>
          <w:tcPr>
            <w:tcW w:w="1370"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government corporations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40"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75"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75"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r>
      <w:tr>
        <w:trPr/>
        <w:tc>
          <w:tcPr>
            <w:tcW w:w="137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and agencies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5" w:type="dxa"/>
            <w:tcBorders/>
            <w:shd w:fill="CCEEFF" w:val="clear"/>
            <w:vAlign w:val="center"/>
          </w:tcPr>
          <w:p>
            <w:pPr>
              <w:pStyle w:val="TableContents"/>
              <w:spacing w:before="0" w:after="283"/>
              <w:rPr/>
            </w:pPr>
            <w:r>
              <w:rPr/>
              <w:t>$</w:t>
            </w:r>
          </w:p>
        </w:tc>
        <w:tc>
          <w:tcPr>
            <w:tcW w:w="855"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6" w:type="dxa"/>
            <w:tcBorders/>
            <w:shd w:fill="CCEEFF" w:val="clear"/>
            <w:vAlign w:val="center"/>
          </w:tcPr>
          <w:p>
            <w:pPr>
              <w:pStyle w:val="TableContents"/>
              <w:spacing w:before="0" w:after="0"/>
              <w:ind w:left="0" w:right="0" w:hanging="0"/>
              <w:rPr/>
            </w:pPr>
            <w:r>
              <w:rPr/>
              <w:t> </w:t>
            </w:r>
          </w:p>
        </w:tc>
        <w:tc>
          <w:tcPr>
            <w:tcW w:w="669"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905"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6" w:type="dxa"/>
            <w:tcBorders/>
            <w:shd w:fill="CCEEFF" w:val="clear"/>
            <w:vAlign w:val="center"/>
          </w:tcPr>
          <w:p>
            <w:pPr>
              <w:pStyle w:val="TableContents"/>
              <w:spacing w:before="0" w:after="0"/>
              <w:ind w:left="0" w:right="0" w:hanging="0"/>
              <w:rPr/>
            </w:pPr>
            <w:r>
              <w:rPr/>
              <w:t> </w:t>
            </w:r>
          </w:p>
        </w:tc>
        <w:tc>
          <w:tcPr>
            <w:tcW w:w="669"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905" w:type="dxa"/>
            <w:tcBorders/>
            <w:shd w:fill="CCEEFF" w:val="clear"/>
            <w:vAlign w:val="center"/>
          </w:tcPr>
          <w:p>
            <w:pPr>
              <w:pStyle w:val="TableContents"/>
              <w:spacing w:before="0" w:after="283"/>
              <w:jc w:val="right"/>
              <w:rPr/>
            </w:pPr>
            <w:r>
              <w:rPr/>
              <w:t>-</w:t>
            </w:r>
          </w:p>
        </w:tc>
        <w:tc>
          <w:tcPr>
            <w:tcW w:w="170" w:type="dxa"/>
            <w:tcBorders/>
            <w:shd w:fill="CCEEFF" w:val="clear"/>
            <w:vAlign w:val="center"/>
          </w:tcPr>
          <w:p>
            <w:pPr>
              <w:pStyle w:val="TableContents"/>
              <w:spacing w:before="0" w:after="0"/>
              <w:ind w:left="0" w:right="0" w:hanging="0"/>
              <w:rPr/>
            </w:pPr>
            <w:r>
              <w:rPr/>
              <w:t> </w:t>
            </w:r>
          </w:p>
        </w:tc>
      </w:tr>
      <w:tr>
        <w:trPr/>
        <w:tc>
          <w:tcPr>
            <w:tcW w:w="137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5" w:type="dxa"/>
            <w:tcBorders/>
            <w:shd w:fill="FFFFFF" w:val="clear"/>
            <w:vAlign w:val="center"/>
          </w:tcPr>
          <w:p>
            <w:pPr>
              <w:pStyle w:val="TableContents"/>
              <w:spacing w:before="0" w:after="0"/>
              <w:ind w:left="0" w:right="0" w:hanging="0"/>
              <w:rPr/>
            </w:pPr>
            <w:r>
              <w:rPr/>
              <w:t> </w:t>
            </w:r>
          </w:p>
        </w:tc>
        <w:tc>
          <w:tcPr>
            <w:tcW w:w="85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06" w:type="dxa"/>
            <w:tcBorders/>
            <w:shd w:fill="FFFFFF" w:val="clear"/>
            <w:vAlign w:val="center"/>
          </w:tcPr>
          <w:p>
            <w:pPr>
              <w:pStyle w:val="TableContents"/>
              <w:spacing w:before="0" w:after="0"/>
              <w:ind w:left="0" w:right="0" w:hanging="0"/>
              <w:rPr/>
            </w:pPr>
            <w:r>
              <w:rPr/>
              <w:t> </w:t>
            </w:r>
          </w:p>
        </w:tc>
        <w:tc>
          <w:tcPr>
            <w:tcW w:w="669"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06" w:type="dxa"/>
            <w:tcBorders/>
            <w:shd w:fill="FFFFFF" w:val="clear"/>
            <w:vAlign w:val="center"/>
          </w:tcPr>
          <w:p>
            <w:pPr>
              <w:pStyle w:val="TableContents"/>
              <w:spacing w:before="0" w:after="0"/>
              <w:ind w:left="0" w:right="0" w:hanging="0"/>
              <w:rPr/>
            </w:pPr>
            <w:r>
              <w:rPr/>
              <w:t> </w:t>
            </w:r>
          </w:p>
        </w:tc>
        <w:tc>
          <w:tcPr>
            <w:tcW w:w="669"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137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Political subdivisions of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5" w:type="dxa"/>
            <w:tcBorders/>
            <w:shd w:fill="CCEEFF" w:val="clear"/>
            <w:vAlign w:val="center"/>
          </w:tcPr>
          <w:p>
            <w:pPr>
              <w:pStyle w:val="TableContents"/>
              <w:spacing w:before="0" w:after="0"/>
              <w:ind w:left="0" w:right="0" w:hanging="0"/>
              <w:rPr/>
            </w:pPr>
            <w:r>
              <w:rPr/>
              <w:t> </w:t>
            </w:r>
          </w:p>
        </w:tc>
        <w:tc>
          <w:tcPr>
            <w:tcW w:w="85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6" w:type="dxa"/>
            <w:tcBorders/>
            <w:shd w:fill="CCEEFF" w:val="clear"/>
            <w:vAlign w:val="center"/>
          </w:tcPr>
          <w:p>
            <w:pPr>
              <w:pStyle w:val="TableContents"/>
              <w:spacing w:before="0" w:after="0"/>
              <w:ind w:left="0" w:right="0" w:hanging="0"/>
              <w:rPr/>
            </w:pPr>
            <w:r>
              <w:rPr/>
              <w:t> </w:t>
            </w:r>
          </w:p>
        </w:tc>
        <w:tc>
          <w:tcPr>
            <w:tcW w:w="669"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6" w:type="dxa"/>
            <w:tcBorders/>
            <w:shd w:fill="CCEEFF" w:val="clear"/>
            <w:vAlign w:val="center"/>
          </w:tcPr>
          <w:p>
            <w:pPr>
              <w:pStyle w:val="TableContents"/>
              <w:spacing w:before="0" w:after="0"/>
              <w:ind w:left="0" w:right="0" w:hanging="0"/>
              <w:rPr/>
            </w:pPr>
            <w:r>
              <w:rPr/>
              <w:t> </w:t>
            </w:r>
          </w:p>
        </w:tc>
        <w:tc>
          <w:tcPr>
            <w:tcW w:w="669"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137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States, Territories and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5" w:type="dxa"/>
            <w:tcBorders/>
            <w:shd w:fill="FFFFFF" w:val="clear"/>
            <w:vAlign w:val="center"/>
          </w:tcPr>
          <w:p>
            <w:pPr>
              <w:pStyle w:val="TableContents"/>
              <w:spacing w:before="0" w:after="0"/>
              <w:ind w:left="0" w:right="0" w:hanging="0"/>
              <w:rPr/>
            </w:pPr>
            <w:r>
              <w:rPr/>
              <w:t> </w:t>
            </w:r>
          </w:p>
        </w:tc>
        <w:tc>
          <w:tcPr>
            <w:tcW w:w="85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06" w:type="dxa"/>
            <w:tcBorders/>
            <w:shd w:fill="FFFFFF" w:val="clear"/>
            <w:vAlign w:val="center"/>
          </w:tcPr>
          <w:p>
            <w:pPr>
              <w:pStyle w:val="TableContents"/>
              <w:spacing w:before="0" w:after="0"/>
              <w:ind w:left="0" w:right="0" w:hanging="0"/>
              <w:rPr/>
            </w:pPr>
            <w:r>
              <w:rPr/>
              <w:t> </w:t>
            </w:r>
          </w:p>
        </w:tc>
        <w:tc>
          <w:tcPr>
            <w:tcW w:w="669"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06" w:type="dxa"/>
            <w:tcBorders/>
            <w:shd w:fill="FFFFFF" w:val="clear"/>
            <w:vAlign w:val="center"/>
          </w:tcPr>
          <w:p>
            <w:pPr>
              <w:pStyle w:val="TableContents"/>
              <w:spacing w:before="0" w:after="0"/>
              <w:ind w:left="0" w:right="0" w:hanging="0"/>
              <w:rPr/>
            </w:pPr>
            <w:r>
              <w:rPr/>
              <w:t> </w:t>
            </w:r>
          </w:p>
        </w:tc>
        <w:tc>
          <w:tcPr>
            <w:tcW w:w="669"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137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Possessions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3,067,428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5" w:type="dxa"/>
            <w:tcBorders/>
            <w:shd w:fill="CCEEFF" w:val="clear"/>
            <w:vAlign w:val="center"/>
          </w:tcPr>
          <w:p>
            <w:pPr>
              <w:pStyle w:val="TableContents"/>
              <w:spacing w:before="0" w:after="0"/>
              <w:ind w:left="0" w:right="0" w:hanging="0"/>
              <w:rPr/>
            </w:pPr>
            <w:r>
              <w:rPr/>
              <w:t> </w:t>
            </w:r>
          </w:p>
        </w:tc>
        <w:tc>
          <w:tcPr>
            <w:tcW w:w="855" w:type="dxa"/>
            <w:tcBorders/>
            <w:shd w:fill="CCEEFF" w:val="clear"/>
            <w:vAlign w:val="center"/>
          </w:tcPr>
          <w:p>
            <w:pPr>
              <w:pStyle w:val="TableContents"/>
              <w:spacing w:before="0" w:after="283"/>
              <w:jc w:val="right"/>
              <w:rPr/>
            </w:pPr>
            <w:r>
              <w:rPr/>
              <w:t>(11,316</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206" w:type="dxa"/>
            <w:tcBorders/>
            <w:shd w:fill="CCEEFF" w:val="clear"/>
            <w:vAlign w:val="center"/>
          </w:tcPr>
          <w:p>
            <w:pPr>
              <w:pStyle w:val="TableContents"/>
              <w:spacing w:before="0" w:after="0"/>
              <w:ind w:left="0" w:right="0" w:hanging="0"/>
              <w:rPr/>
            </w:pPr>
            <w:r>
              <w:rPr/>
              <w:t> </w:t>
            </w:r>
          </w:p>
        </w:tc>
        <w:tc>
          <w:tcPr>
            <w:tcW w:w="669" w:type="dxa"/>
            <w:tcBorders/>
            <w:shd w:fill="CCEEFF" w:val="clear"/>
            <w:vAlign w:val="center"/>
          </w:tcPr>
          <w:p>
            <w:pPr>
              <w:pStyle w:val="TableContents"/>
              <w:spacing w:before="0" w:after="283"/>
              <w:jc w:val="right"/>
              <w:rPr/>
            </w:pPr>
            <w:r>
              <w:rPr/>
              <w:t>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6" w:type="dxa"/>
            <w:tcBorders/>
            <w:shd w:fill="CCEEFF" w:val="clear"/>
            <w:vAlign w:val="center"/>
          </w:tcPr>
          <w:p>
            <w:pPr>
              <w:pStyle w:val="TableContents"/>
              <w:spacing w:before="0" w:after="0"/>
              <w:ind w:left="0" w:right="0" w:hanging="0"/>
              <w:rPr/>
            </w:pPr>
            <w:r>
              <w:rPr/>
              <w:t> </w:t>
            </w:r>
          </w:p>
        </w:tc>
        <w:tc>
          <w:tcPr>
            <w:tcW w:w="669"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3,067,428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283"/>
              <w:jc w:val="right"/>
              <w:rPr/>
            </w:pPr>
            <w:r>
              <w:rPr/>
              <w:t>(11,316</w:t>
            </w:r>
          </w:p>
        </w:tc>
        <w:tc>
          <w:tcPr>
            <w:tcW w:w="170" w:type="dxa"/>
            <w:tcBorders/>
            <w:shd w:fill="CCEEFF" w:val="clear"/>
            <w:vAlign w:val="center"/>
          </w:tcPr>
          <w:p>
            <w:pPr>
              <w:pStyle w:val="TableContents"/>
              <w:spacing w:before="0" w:after="283"/>
              <w:rPr/>
            </w:pPr>
            <w:r>
              <w:rPr/>
              <w:t>)</w:t>
            </w:r>
          </w:p>
        </w:tc>
      </w:tr>
      <w:tr>
        <w:trPr/>
        <w:tc>
          <w:tcPr>
            <w:tcW w:w="137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5" w:type="dxa"/>
            <w:tcBorders/>
            <w:shd w:fill="FFFFFF" w:val="clear"/>
            <w:vAlign w:val="center"/>
          </w:tcPr>
          <w:p>
            <w:pPr>
              <w:pStyle w:val="TableContents"/>
              <w:spacing w:before="0" w:after="0"/>
              <w:ind w:left="0" w:right="0" w:hanging="0"/>
              <w:rPr/>
            </w:pPr>
            <w:r>
              <w:rPr/>
              <w:t> </w:t>
            </w:r>
          </w:p>
        </w:tc>
        <w:tc>
          <w:tcPr>
            <w:tcW w:w="85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06" w:type="dxa"/>
            <w:tcBorders/>
            <w:shd w:fill="FFFFFF" w:val="clear"/>
            <w:vAlign w:val="center"/>
          </w:tcPr>
          <w:p>
            <w:pPr>
              <w:pStyle w:val="TableContents"/>
              <w:spacing w:before="0" w:after="0"/>
              <w:ind w:left="0" w:right="0" w:hanging="0"/>
              <w:rPr/>
            </w:pPr>
            <w:r>
              <w:rPr/>
              <w:t> </w:t>
            </w:r>
          </w:p>
        </w:tc>
        <w:tc>
          <w:tcPr>
            <w:tcW w:w="669"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06" w:type="dxa"/>
            <w:tcBorders/>
            <w:shd w:fill="FFFFFF" w:val="clear"/>
            <w:vAlign w:val="center"/>
          </w:tcPr>
          <w:p>
            <w:pPr>
              <w:pStyle w:val="TableContents"/>
              <w:spacing w:before="0" w:after="0"/>
              <w:ind w:left="0" w:right="0" w:hanging="0"/>
              <w:rPr/>
            </w:pPr>
            <w:r>
              <w:rPr/>
              <w:t> </w:t>
            </w:r>
          </w:p>
        </w:tc>
        <w:tc>
          <w:tcPr>
            <w:tcW w:w="669"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137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Corporate and other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5" w:type="dxa"/>
            <w:tcBorders/>
            <w:shd w:fill="CCEEFF" w:val="clear"/>
            <w:vAlign w:val="center"/>
          </w:tcPr>
          <w:p>
            <w:pPr>
              <w:pStyle w:val="TableContents"/>
              <w:spacing w:before="0" w:after="0"/>
              <w:ind w:left="0" w:right="0" w:hanging="0"/>
              <w:rPr/>
            </w:pPr>
            <w:r>
              <w:rPr/>
              <w:t> </w:t>
            </w:r>
          </w:p>
        </w:tc>
        <w:tc>
          <w:tcPr>
            <w:tcW w:w="85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6" w:type="dxa"/>
            <w:tcBorders/>
            <w:shd w:fill="CCEEFF" w:val="clear"/>
            <w:vAlign w:val="center"/>
          </w:tcPr>
          <w:p>
            <w:pPr>
              <w:pStyle w:val="TableContents"/>
              <w:spacing w:before="0" w:after="0"/>
              <w:ind w:left="0" w:right="0" w:hanging="0"/>
              <w:rPr/>
            </w:pPr>
            <w:r>
              <w:rPr/>
              <w:t> </w:t>
            </w:r>
          </w:p>
        </w:tc>
        <w:tc>
          <w:tcPr>
            <w:tcW w:w="669"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6" w:type="dxa"/>
            <w:tcBorders/>
            <w:shd w:fill="CCEEFF" w:val="clear"/>
            <w:vAlign w:val="center"/>
          </w:tcPr>
          <w:p>
            <w:pPr>
              <w:pStyle w:val="TableContents"/>
              <w:spacing w:before="0" w:after="0"/>
              <w:ind w:left="0" w:right="0" w:hanging="0"/>
              <w:rPr/>
            </w:pPr>
            <w:r>
              <w:rPr/>
              <w:t> </w:t>
            </w:r>
          </w:p>
        </w:tc>
        <w:tc>
          <w:tcPr>
            <w:tcW w:w="669"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137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bonds industrial and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5" w:type="dxa"/>
            <w:tcBorders/>
            <w:shd w:fill="FFFFFF" w:val="clear"/>
            <w:vAlign w:val="center"/>
          </w:tcPr>
          <w:p>
            <w:pPr>
              <w:pStyle w:val="TableContents"/>
              <w:spacing w:before="0" w:after="0"/>
              <w:ind w:left="0" w:right="0" w:hanging="0"/>
              <w:rPr/>
            </w:pPr>
            <w:r>
              <w:rPr/>
              <w:t> </w:t>
            </w:r>
          </w:p>
        </w:tc>
        <w:tc>
          <w:tcPr>
            <w:tcW w:w="85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06" w:type="dxa"/>
            <w:tcBorders/>
            <w:shd w:fill="FFFFFF" w:val="clear"/>
            <w:vAlign w:val="center"/>
          </w:tcPr>
          <w:p>
            <w:pPr>
              <w:pStyle w:val="TableContents"/>
              <w:spacing w:before="0" w:after="0"/>
              <w:ind w:left="0" w:right="0" w:hanging="0"/>
              <w:rPr/>
            </w:pPr>
            <w:r>
              <w:rPr/>
              <w:t> </w:t>
            </w:r>
          </w:p>
        </w:tc>
        <w:tc>
          <w:tcPr>
            <w:tcW w:w="669"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06" w:type="dxa"/>
            <w:tcBorders/>
            <w:shd w:fill="FFFFFF" w:val="clear"/>
            <w:vAlign w:val="center"/>
          </w:tcPr>
          <w:p>
            <w:pPr>
              <w:pStyle w:val="TableContents"/>
              <w:spacing w:before="0" w:after="0"/>
              <w:ind w:left="0" w:right="0" w:hanging="0"/>
              <w:rPr/>
            </w:pPr>
            <w:r>
              <w:rPr/>
              <w:t> </w:t>
            </w:r>
          </w:p>
        </w:tc>
        <w:tc>
          <w:tcPr>
            <w:tcW w:w="669"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137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miscellaneous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3,730,478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5" w:type="dxa"/>
            <w:tcBorders/>
            <w:shd w:fill="CCEEFF" w:val="clear"/>
            <w:vAlign w:val="center"/>
          </w:tcPr>
          <w:p>
            <w:pPr>
              <w:pStyle w:val="TableContents"/>
              <w:spacing w:before="0" w:after="0"/>
              <w:ind w:left="0" w:right="0" w:hanging="0"/>
              <w:rPr/>
            </w:pPr>
            <w:r>
              <w:rPr/>
              <w:t> </w:t>
            </w:r>
          </w:p>
        </w:tc>
        <w:tc>
          <w:tcPr>
            <w:tcW w:w="855" w:type="dxa"/>
            <w:tcBorders/>
            <w:shd w:fill="CCEEFF" w:val="clear"/>
            <w:vAlign w:val="center"/>
          </w:tcPr>
          <w:p>
            <w:pPr>
              <w:pStyle w:val="TableContents"/>
              <w:spacing w:before="0" w:after="283"/>
              <w:jc w:val="right"/>
              <w:rPr/>
            </w:pPr>
            <w:r>
              <w:rPr/>
              <w:t>(16,685</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206" w:type="dxa"/>
            <w:tcBorders/>
            <w:shd w:fill="CCEEFF" w:val="clear"/>
            <w:vAlign w:val="center"/>
          </w:tcPr>
          <w:p>
            <w:pPr>
              <w:pStyle w:val="TableContents"/>
              <w:spacing w:before="0" w:after="0"/>
              <w:ind w:left="0" w:right="0" w:hanging="0"/>
              <w:rPr/>
            </w:pPr>
            <w:r>
              <w:rPr/>
              <w:t> </w:t>
            </w:r>
          </w:p>
        </w:tc>
        <w:tc>
          <w:tcPr>
            <w:tcW w:w="669" w:type="dxa"/>
            <w:tcBorders/>
            <w:shd w:fill="CCEEFF" w:val="clear"/>
            <w:vAlign w:val="center"/>
          </w:tcPr>
          <w:p>
            <w:pPr>
              <w:pStyle w:val="TableContents"/>
              <w:spacing w:before="0" w:after="283"/>
              <w:jc w:val="right"/>
              <w:rPr/>
            </w:pPr>
            <w:r>
              <w:rPr/>
              <w:t>7</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1,300,915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283"/>
              <w:jc w:val="right"/>
              <w:rPr/>
            </w:pPr>
            <w:r>
              <w:rPr/>
              <w:t>(13,473</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206" w:type="dxa"/>
            <w:tcBorders/>
            <w:shd w:fill="CCEEFF" w:val="clear"/>
            <w:vAlign w:val="center"/>
          </w:tcPr>
          <w:p>
            <w:pPr>
              <w:pStyle w:val="TableContents"/>
              <w:spacing w:before="0" w:after="0"/>
              <w:ind w:left="0" w:right="0" w:hanging="0"/>
              <w:rPr/>
            </w:pPr>
            <w:r>
              <w:rPr/>
              <w:t> </w:t>
            </w:r>
          </w:p>
        </w:tc>
        <w:tc>
          <w:tcPr>
            <w:tcW w:w="669" w:type="dxa"/>
            <w:tcBorders/>
            <w:shd w:fill="CCEEFF" w:val="clear"/>
            <w:vAlign w:val="center"/>
          </w:tcPr>
          <w:p>
            <w:pPr>
              <w:pStyle w:val="TableContents"/>
              <w:spacing w:before="0" w:after="283"/>
              <w:jc w:val="right"/>
              <w:rPr/>
            </w:pPr>
            <w:r>
              <w:rPr/>
              <w:t>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5,031,393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283"/>
              <w:jc w:val="right"/>
              <w:rPr/>
            </w:pPr>
            <w:r>
              <w:rPr/>
              <w:t>(30,158</w:t>
            </w:r>
          </w:p>
        </w:tc>
        <w:tc>
          <w:tcPr>
            <w:tcW w:w="170" w:type="dxa"/>
            <w:tcBorders/>
            <w:shd w:fill="CCEEFF" w:val="clear"/>
            <w:vAlign w:val="center"/>
          </w:tcPr>
          <w:p>
            <w:pPr>
              <w:pStyle w:val="TableContents"/>
              <w:spacing w:before="0" w:after="283"/>
              <w:rPr/>
            </w:pPr>
            <w:r>
              <w:rPr/>
              <w:t>)</w:t>
            </w:r>
          </w:p>
        </w:tc>
      </w:tr>
      <w:tr>
        <w:trPr/>
        <w:tc>
          <w:tcPr>
            <w:tcW w:w="137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5" w:type="dxa"/>
            <w:tcBorders/>
            <w:shd w:fill="FFFFFF" w:val="clear"/>
            <w:vAlign w:val="center"/>
          </w:tcPr>
          <w:p>
            <w:pPr>
              <w:pStyle w:val="TableContents"/>
              <w:spacing w:before="0" w:after="0"/>
              <w:ind w:left="0" w:right="0" w:hanging="0"/>
              <w:rPr/>
            </w:pPr>
            <w:r>
              <w:rPr/>
              <w:t> </w:t>
            </w:r>
          </w:p>
        </w:tc>
        <w:tc>
          <w:tcPr>
            <w:tcW w:w="85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06" w:type="dxa"/>
            <w:tcBorders/>
            <w:shd w:fill="FFFFFF" w:val="clear"/>
            <w:vAlign w:val="center"/>
          </w:tcPr>
          <w:p>
            <w:pPr>
              <w:pStyle w:val="TableContents"/>
              <w:spacing w:before="0" w:after="0"/>
              <w:ind w:left="0" w:right="0" w:hanging="0"/>
              <w:rPr/>
            </w:pPr>
            <w:r>
              <w:rPr/>
              <w:t> </w:t>
            </w:r>
          </w:p>
        </w:tc>
        <w:tc>
          <w:tcPr>
            <w:tcW w:w="669"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06" w:type="dxa"/>
            <w:tcBorders/>
            <w:shd w:fill="FFFFFF" w:val="clear"/>
            <w:vAlign w:val="center"/>
          </w:tcPr>
          <w:p>
            <w:pPr>
              <w:pStyle w:val="TableContents"/>
              <w:spacing w:before="0" w:after="0"/>
              <w:ind w:left="0" w:right="0" w:hanging="0"/>
              <w:rPr/>
            </w:pPr>
            <w:r>
              <w:rPr/>
              <w:t> </w:t>
            </w:r>
          </w:p>
        </w:tc>
        <w:tc>
          <w:tcPr>
            <w:tcW w:w="669"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137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Residential mortgage and other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5" w:type="dxa"/>
            <w:tcBorders/>
            <w:shd w:fill="CCEEFF" w:val="clear"/>
            <w:vAlign w:val="center"/>
          </w:tcPr>
          <w:p>
            <w:pPr>
              <w:pStyle w:val="TableContents"/>
              <w:spacing w:before="0" w:after="0"/>
              <w:ind w:left="0" w:right="0" w:hanging="0"/>
              <w:rPr/>
            </w:pPr>
            <w:r>
              <w:rPr/>
              <w:t> </w:t>
            </w:r>
          </w:p>
        </w:tc>
        <w:tc>
          <w:tcPr>
            <w:tcW w:w="85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6" w:type="dxa"/>
            <w:tcBorders/>
            <w:shd w:fill="CCEEFF" w:val="clear"/>
            <w:vAlign w:val="center"/>
          </w:tcPr>
          <w:p>
            <w:pPr>
              <w:pStyle w:val="TableContents"/>
              <w:spacing w:before="0" w:after="0"/>
              <w:ind w:left="0" w:right="0" w:hanging="0"/>
              <w:rPr/>
            </w:pPr>
            <w:r>
              <w:rPr/>
              <w:t> </w:t>
            </w:r>
          </w:p>
        </w:tc>
        <w:tc>
          <w:tcPr>
            <w:tcW w:w="669"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6" w:type="dxa"/>
            <w:tcBorders/>
            <w:shd w:fill="CCEEFF" w:val="clear"/>
            <w:vAlign w:val="center"/>
          </w:tcPr>
          <w:p>
            <w:pPr>
              <w:pStyle w:val="TableContents"/>
              <w:spacing w:before="0" w:after="0"/>
              <w:ind w:left="0" w:right="0" w:hanging="0"/>
              <w:rPr/>
            </w:pPr>
            <w:r>
              <w:rPr/>
              <w:t> </w:t>
            </w:r>
          </w:p>
        </w:tc>
        <w:tc>
          <w:tcPr>
            <w:tcW w:w="669"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137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asset backed securities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FFFFFF" w:val="clear"/>
            <w:tcMar>
              <w:bottom w:w="28" w:type="dxa"/>
            </w:tcMar>
            <w:vAlign w:val="center"/>
          </w:tcPr>
          <w:p>
            <w:pPr>
              <w:pStyle w:val="TableContents"/>
              <w:spacing w:before="0" w:after="283"/>
              <w:jc w:val="right"/>
              <w:rPr/>
            </w:pPr>
            <w:r>
              <w:rPr/>
              <w:t>5,862,636</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5"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55" w:type="dxa"/>
            <w:tcBorders>
              <w:bottom w:val="single" w:sz="2" w:space="0" w:color="000000"/>
            </w:tcBorders>
            <w:shd w:fill="FFFFFF" w:val="clear"/>
            <w:tcMar>
              <w:bottom w:w="28" w:type="dxa"/>
            </w:tcMar>
            <w:vAlign w:val="center"/>
          </w:tcPr>
          <w:p>
            <w:pPr>
              <w:pStyle w:val="TableContents"/>
              <w:spacing w:before="0" w:after="283"/>
              <w:jc w:val="right"/>
              <w:rPr/>
            </w:pPr>
            <w:r>
              <w:rPr/>
              <w:t>(68,793</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206"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669" w:type="dxa"/>
            <w:tcBorders>
              <w:bottom w:val="single" w:sz="2" w:space="0" w:color="000000"/>
            </w:tcBorders>
            <w:shd w:fill="FFFFFF" w:val="clear"/>
            <w:tcMar>
              <w:bottom w:w="28" w:type="dxa"/>
            </w:tcMar>
            <w:vAlign w:val="center"/>
          </w:tcPr>
          <w:p>
            <w:pPr>
              <w:pStyle w:val="TableContents"/>
              <w:spacing w:before="0" w:after="283"/>
              <w:jc w:val="right"/>
              <w:rPr/>
            </w:pPr>
            <w:r>
              <w:rPr/>
              <w:t>5</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FFFFFF" w:val="clear"/>
            <w:tcMar>
              <w:bottom w:w="28" w:type="dxa"/>
            </w:tcMar>
            <w:vAlign w:val="center"/>
          </w:tcPr>
          <w:p>
            <w:pPr>
              <w:pStyle w:val="TableContents"/>
              <w:spacing w:before="0" w:after="283"/>
              <w:jc w:val="right"/>
              <w:rPr/>
            </w:pPr>
            <w:r>
              <w:rPr/>
              <w:t>13,534,768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905" w:type="dxa"/>
            <w:tcBorders>
              <w:bottom w:val="single" w:sz="2" w:space="0" w:color="000000"/>
            </w:tcBorders>
            <w:shd w:fill="FFFFFF" w:val="clear"/>
            <w:tcMar>
              <w:bottom w:w="28" w:type="dxa"/>
            </w:tcMar>
            <w:vAlign w:val="center"/>
          </w:tcPr>
          <w:p>
            <w:pPr>
              <w:pStyle w:val="TableContents"/>
              <w:spacing w:before="0" w:after="283"/>
              <w:jc w:val="right"/>
              <w:rPr/>
            </w:pPr>
            <w:r>
              <w:rPr/>
              <w:t>(276,451</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206"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669" w:type="dxa"/>
            <w:tcBorders>
              <w:bottom w:val="single" w:sz="2" w:space="0" w:color="000000"/>
            </w:tcBorders>
            <w:shd w:fill="FFFFFF" w:val="clear"/>
            <w:tcMar>
              <w:bottom w:w="28" w:type="dxa"/>
            </w:tcMar>
            <w:vAlign w:val="center"/>
          </w:tcPr>
          <w:p>
            <w:pPr>
              <w:pStyle w:val="TableContents"/>
              <w:spacing w:before="0" w:after="283"/>
              <w:jc w:val="right"/>
              <w:rPr/>
            </w:pPr>
            <w:r>
              <w:rPr/>
              <w:t>21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FFFFFF" w:val="clear"/>
            <w:tcMar>
              <w:bottom w:w="28" w:type="dxa"/>
            </w:tcMar>
            <w:vAlign w:val="center"/>
          </w:tcPr>
          <w:p>
            <w:pPr>
              <w:pStyle w:val="TableContents"/>
              <w:spacing w:before="0" w:after="283"/>
              <w:jc w:val="right"/>
              <w:rPr/>
            </w:pPr>
            <w:r>
              <w:rPr/>
              <w:t>19,397,404</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905" w:type="dxa"/>
            <w:tcBorders>
              <w:bottom w:val="single" w:sz="2" w:space="0" w:color="000000"/>
            </w:tcBorders>
            <w:shd w:fill="FFFFFF" w:val="clear"/>
            <w:tcMar>
              <w:bottom w:w="28" w:type="dxa"/>
            </w:tcMar>
            <w:vAlign w:val="center"/>
          </w:tcPr>
          <w:p>
            <w:pPr>
              <w:pStyle w:val="TableContents"/>
              <w:spacing w:before="0" w:after="283"/>
              <w:jc w:val="right"/>
              <w:rPr/>
            </w:pPr>
            <w:r>
              <w:rPr/>
              <w:t>(345,244</w:t>
            </w:r>
          </w:p>
        </w:tc>
        <w:tc>
          <w:tcPr>
            <w:tcW w:w="170" w:type="dxa"/>
            <w:tcBorders/>
            <w:shd w:fill="FFFFFF" w:val="clear"/>
            <w:vAlign w:val="center"/>
          </w:tcPr>
          <w:p>
            <w:pPr>
              <w:pStyle w:val="TableContents"/>
              <w:spacing w:before="0" w:after="283"/>
              <w:rPr/>
            </w:pPr>
            <w:r>
              <w:rPr/>
              <w:t>)</w:t>
            </w:r>
          </w:p>
        </w:tc>
      </w:tr>
      <w:tr>
        <w:trPr/>
        <w:tc>
          <w:tcPr>
            <w:tcW w:w="137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5" w:type="dxa"/>
            <w:tcBorders/>
            <w:shd w:fill="CCEEFF" w:val="clear"/>
            <w:vAlign w:val="center"/>
          </w:tcPr>
          <w:p>
            <w:pPr>
              <w:pStyle w:val="TableContents"/>
              <w:spacing w:before="0" w:after="0"/>
              <w:ind w:left="0" w:right="0" w:hanging="0"/>
              <w:rPr/>
            </w:pPr>
            <w:r>
              <w:rPr/>
              <w:t> </w:t>
            </w:r>
          </w:p>
        </w:tc>
        <w:tc>
          <w:tcPr>
            <w:tcW w:w="85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6" w:type="dxa"/>
            <w:tcBorders/>
            <w:shd w:fill="CCEEFF" w:val="clear"/>
            <w:vAlign w:val="center"/>
          </w:tcPr>
          <w:p>
            <w:pPr>
              <w:pStyle w:val="TableContents"/>
              <w:spacing w:before="0" w:after="0"/>
              <w:ind w:left="0" w:right="0" w:hanging="0"/>
              <w:rPr/>
            </w:pPr>
            <w:r>
              <w:rPr/>
              <w:t> </w:t>
            </w:r>
          </w:p>
        </w:tc>
        <w:tc>
          <w:tcPr>
            <w:tcW w:w="669"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6" w:type="dxa"/>
            <w:tcBorders/>
            <w:shd w:fill="CCEEFF" w:val="clear"/>
            <w:vAlign w:val="center"/>
          </w:tcPr>
          <w:p>
            <w:pPr>
              <w:pStyle w:val="TableContents"/>
              <w:spacing w:before="0" w:after="0"/>
              <w:ind w:left="0" w:right="0" w:hanging="0"/>
              <w:rPr/>
            </w:pPr>
            <w:r>
              <w:rPr/>
              <w:t> </w:t>
            </w:r>
          </w:p>
        </w:tc>
        <w:tc>
          <w:tcPr>
            <w:tcW w:w="669"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137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Total fixed-maturity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5" w:type="dxa"/>
            <w:tcBorders/>
            <w:shd w:fill="FFFFFF" w:val="clear"/>
            <w:vAlign w:val="center"/>
          </w:tcPr>
          <w:p>
            <w:pPr>
              <w:pStyle w:val="TableContents"/>
              <w:spacing w:before="0" w:after="0"/>
              <w:ind w:left="0" w:right="0" w:hanging="0"/>
              <w:rPr/>
            </w:pPr>
            <w:r>
              <w:rPr/>
              <w:t> </w:t>
            </w:r>
          </w:p>
        </w:tc>
        <w:tc>
          <w:tcPr>
            <w:tcW w:w="85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06" w:type="dxa"/>
            <w:tcBorders/>
            <w:shd w:fill="FFFFFF" w:val="clear"/>
            <w:vAlign w:val="center"/>
          </w:tcPr>
          <w:p>
            <w:pPr>
              <w:pStyle w:val="TableContents"/>
              <w:spacing w:before="0" w:after="0"/>
              <w:ind w:left="0" w:right="0" w:hanging="0"/>
              <w:rPr/>
            </w:pPr>
            <w:r>
              <w:rPr/>
              <w:t> </w:t>
            </w:r>
          </w:p>
        </w:tc>
        <w:tc>
          <w:tcPr>
            <w:tcW w:w="669"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06" w:type="dxa"/>
            <w:tcBorders/>
            <w:shd w:fill="FFFFFF" w:val="clear"/>
            <w:vAlign w:val="center"/>
          </w:tcPr>
          <w:p>
            <w:pPr>
              <w:pStyle w:val="TableContents"/>
              <w:spacing w:before="0" w:after="0"/>
              <w:ind w:left="0" w:right="0" w:hanging="0"/>
              <w:rPr/>
            </w:pPr>
            <w:r>
              <w:rPr/>
              <w:t> </w:t>
            </w:r>
          </w:p>
        </w:tc>
        <w:tc>
          <w:tcPr>
            <w:tcW w:w="669"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137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securities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130" w:type="dxa"/>
            <w:tcBorders>
              <w:bottom w:val="double" w:sz="6" w:space="0" w:color="000000"/>
            </w:tcBorders>
            <w:shd w:fill="CCEEFF" w:val="clear"/>
            <w:tcMar>
              <w:bottom w:w="28" w:type="dxa"/>
            </w:tcMar>
            <w:vAlign w:val="center"/>
          </w:tcPr>
          <w:p>
            <w:pPr>
              <w:pStyle w:val="TableContents"/>
              <w:spacing w:before="0" w:after="283"/>
              <w:jc w:val="right"/>
              <w:rPr/>
            </w:pPr>
            <w:r>
              <w:rPr/>
              <w:t>12,660,542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5" w:type="dxa"/>
            <w:tcBorders>
              <w:bottom w:val="double" w:sz="6" w:space="0" w:color="000000"/>
            </w:tcBorders>
            <w:shd w:fill="CCEEFF" w:val="clear"/>
            <w:tcMar>
              <w:bottom w:w="28" w:type="dxa"/>
            </w:tcMar>
            <w:vAlign w:val="center"/>
          </w:tcPr>
          <w:p>
            <w:pPr>
              <w:pStyle w:val="TableContents"/>
              <w:spacing w:before="0" w:after="283"/>
              <w:rPr/>
            </w:pPr>
            <w:r>
              <w:rPr/>
              <w:t>$</w:t>
            </w:r>
          </w:p>
        </w:tc>
        <w:tc>
          <w:tcPr>
            <w:tcW w:w="855" w:type="dxa"/>
            <w:tcBorders>
              <w:bottom w:val="double" w:sz="6" w:space="0" w:color="000000"/>
            </w:tcBorders>
            <w:shd w:fill="CCEEFF" w:val="clear"/>
            <w:tcMar>
              <w:bottom w:w="28" w:type="dxa"/>
            </w:tcMar>
            <w:vAlign w:val="center"/>
          </w:tcPr>
          <w:p>
            <w:pPr>
              <w:pStyle w:val="TableContents"/>
              <w:spacing w:before="0" w:after="283"/>
              <w:jc w:val="right"/>
              <w:rPr/>
            </w:pPr>
            <w:r>
              <w:rPr/>
              <w:t>(96,794</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206"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669" w:type="dxa"/>
            <w:tcBorders>
              <w:bottom w:val="double" w:sz="6" w:space="0" w:color="000000"/>
            </w:tcBorders>
            <w:shd w:fill="CCEEFF" w:val="clear"/>
            <w:tcMar>
              <w:bottom w:w="28" w:type="dxa"/>
            </w:tcMar>
            <w:vAlign w:val="center"/>
          </w:tcPr>
          <w:p>
            <w:pPr>
              <w:pStyle w:val="TableContents"/>
              <w:spacing w:before="0" w:after="283"/>
              <w:jc w:val="right"/>
              <w:rPr/>
            </w:pPr>
            <w:r>
              <w:rPr/>
              <w:t>15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130" w:type="dxa"/>
            <w:tcBorders>
              <w:bottom w:val="double" w:sz="6" w:space="0" w:color="000000"/>
            </w:tcBorders>
            <w:shd w:fill="CCEEFF" w:val="clear"/>
            <w:tcMar>
              <w:bottom w:w="28" w:type="dxa"/>
            </w:tcMar>
            <w:vAlign w:val="center"/>
          </w:tcPr>
          <w:p>
            <w:pPr>
              <w:pStyle w:val="TableContents"/>
              <w:spacing w:before="0" w:after="283"/>
              <w:jc w:val="right"/>
              <w:rPr/>
            </w:pPr>
            <w:r>
              <w:rPr/>
              <w:t>14,835,683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905" w:type="dxa"/>
            <w:tcBorders>
              <w:bottom w:val="double" w:sz="6" w:space="0" w:color="000000"/>
            </w:tcBorders>
            <w:shd w:fill="CCEEFF" w:val="clear"/>
            <w:tcMar>
              <w:bottom w:w="28" w:type="dxa"/>
            </w:tcMar>
            <w:vAlign w:val="center"/>
          </w:tcPr>
          <w:p>
            <w:pPr>
              <w:pStyle w:val="TableContents"/>
              <w:spacing w:before="0" w:after="283"/>
              <w:jc w:val="right"/>
              <w:rPr/>
            </w:pPr>
            <w:r>
              <w:rPr/>
              <w:t>(289,924</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206"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669" w:type="dxa"/>
            <w:tcBorders>
              <w:bottom w:val="double" w:sz="6" w:space="0" w:color="000000"/>
            </w:tcBorders>
            <w:shd w:fill="CCEEFF" w:val="clear"/>
            <w:tcMar>
              <w:bottom w:w="28" w:type="dxa"/>
            </w:tcMar>
            <w:vAlign w:val="center"/>
          </w:tcPr>
          <w:p>
            <w:pPr>
              <w:pStyle w:val="TableContents"/>
              <w:spacing w:before="0" w:after="283"/>
              <w:jc w:val="right"/>
              <w:rPr/>
            </w:pPr>
            <w:r>
              <w:rPr/>
              <w:t>24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130" w:type="dxa"/>
            <w:tcBorders>
              <w:bottom w:val="double" w:sz="6" w:space="0" w:color="000000"/>
            </w:tcBorders>
            <w:shd w:fill="CCEEFF" w:val="clear"/>
            <w:tcMar>
              <w:bottom w:w="28" w:type="dxa"/>
            </w:tcMar>
            <w:vAlign w:val="center"/>
          </w:tcPr>
          <w:p>
            <w:pPr>
              <w:pStyle w:val="TableContents"/>
              <w:spacing w:before="0" w:after="283"/>
              <w:jc w:val="right"/>
              <w:rPr/>
            </w:pPr>
            <w:r>
              <w:rPr/>
              <w:t>27,496,225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905" w:type="dxa"/>
            <w:tcBorders>
              <w:bottom w:val="double" w:sz="6" w:space="0" w:color="000000"/>
            </w:tcBorders>
            <w:shd w:fill="CCEEFF" w:val="clear"/>
            <w:tcMar>
              <w:bottom w:w="28" w:type="dxa"/>
            </w:tcMar>
            <w:vAlign w:val="center"/>
          </w:tcPr>
          <w:p>
            <w:pPr>
              <w:pStyle w:val="TableContents"/>
              <w:spacing w:before="0" w:after="283"/>
              <w:jc w:val="right"/>
              <w:rPr/>
            </w:pPr>
            <w:r>
              <w:rPr/>
              <w:t>(386,718</w:t>
            </w:r>
          </w:p>
        </w:tc>
        <w:tc>
          <w:tcPr>
            <w:tcW w:w="170" w:type="dxa"/>
            <w:tcBorders/>
            <w:shd w:fill="CCEEFF" w:val="clear"/>
            <w:vAlign w:val="center"/>
          </w:tcPr>
          <w:p>
            <w:pPr>
              <w:pStyle w:val="TableContents"/>
              <w:spacing w:before="0" w:after="283"/>
              <w:rPr/>
            </w:pPr>
            <w:r>
              <w:rPr/>
              <w:t>)</w:t>
            </w:r>
          </w:p>
        </w:tc>
      </w:tr>
    </w:tbl>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F-23</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2020 AND 2019</w:t>
      </w:r>
    </w:p>
    <w:p>
      <w:pPr>
        <w:pStyle w:val="TextBody"/>
        <w:spacing w:before="0" w:after="0"/>
        <w:ind w:left="0" w:right="0" w:hanging="0"/>
        <w:jc w:val="center"/>
        <w:rPr/>
      </w:pPr>
      <w:r>
        <w:rPr/>
        <w:t> </w:t>
      </w:r>
    </w:p>
    <w:p>
      <w:pPr>
        <w:pStyle w:val="TextBody"/>
        <w:spacing w:before="0" w:after="0"/>
        <w:ind w:left="0" w:right="0" w:hanging="0"/>
        <w:jc w:val="both"/>
        <w:rPr/>
      </w:pPr>
      <w:r>
        <w:rPr>
          <w:rStyle w:val="StrongEmphasis"/>
          <w:rFonts w:ascii="times new roman" w:hAnsi="times new roman"/>
          <w:sz w:val="20"/>
        </w:rPr>
        <w:t>Note 4 - Fair Value Measurements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Fair value is the price that would be received upon sale of an asset or paid to transfer a liability in an orderly transaction between market participants at the measurement date. The valuation technique used by the Company to estimate the fair value of its financial instruments is the market approach, which uses prices and other relevant information generated by market transactions involving identical or comparable assets.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fair value hierarchy gives the highest priority to quoted prices in active markets for identical assets or liabilities (Level 1) and the lowest priority to unobservable inputs (Level 3). If the inputs used to measure the assets or liabilities fall within different levels of the hierarchy, the classification is based on the lowest level input that is significant to the fair value measurement of the asset or liability. Classification of assets and liabilities within the hierarchy considers the markets in which the assets and liabilities are traded, including during period of market disruption, and the reliability and transparency of the assumptions used to determine fair value. The hierarchy requires the use of observable market data when available. The levels of the hierarchy and those investments included in each are as follows: </w:t>
      </w:r>
    </w:p>
    <w:p>
      <w:pPr>
        <w:pStyle w:val="TextBody"/>
        <w:spacing w:before="0" w:after="0"/>
        <w:ind w:left="0" w:right="0" w:hanging="0"/>
        <w:jc w:val="both"/>
        <w:rPr/>
      </w:pPr>
      <w:r>
        <w:rPr/>
        <w:t> </w:t>
      </w:r>
    </w:p>
    <w:p>
      <w:pPr>
        <w:pStyle w:val="TextBody"/>
        <w:spacing w:before="0" w:after="0"/>
        <w:ind w:left="0" w:right="0" w:hanging="0"/>
        <w:jc w:val="both"/>
        <w:rPr/>
      </w:pPr>
      <w:r>
        <w:rPr>
          <w:rStyle w:val="Emphasis"/>
          <w:rFonts w:ascii="times new roman" w:hAnsi="times new roman"/>
          <w:sz w:val="20"/>
        </w:rPr>
        <w:t>Level 1</w:t>
      </w:r>
      <w:r>
        <w:rPr>
          <w:rFonts w:ascii="times new roman" w:hAnsi="times new roman"/>
          <w:sz w:val="20"/>
        </w:rPr>
        <w:t xml:space="preserve">—Inputs to the valuation methodology are quoted prices (unadjusted) for identical assets or liabilities traded in active markets. Included are those investments traded on an active exchange, such as the Nasdaq Global Select Market, U.S. Treasury securities and obligations of U.S. government agencies, together with corporate debt securities that are generally investment grade. </w:t>
      </w:r>
    </w:p>
    <w:p>
      <w:pPr>
        <w:pStyle w:val="TextBody"/>
        <w:spacing w:before="0" w:after="0"/>
        <w:ind w:left="0" w:right="0" w:hanging="0"/>
        <w:jc w:val="both"/>
        <w:rPr/>
      </w:pPr>
      <w:r>
        <w:rPr/>
        <w:t> </w:t>
      </w:r>
    </w:p>
    <w:p>
      <w:pPr>
        <w:pStyle w:val="TextBody"/>
        <w:spacing w:before="0" w:after="0"/>
        <w:ind w:left="0" w:right="0" w:hanging="0"/>
        <w:jc w:val="both"/>
        <w:rPr/>
      </w:pPr>
      <w:r>
        <w:rPr>
          <w:rStyle w:val="Emphasis"/>
          <w:rFonts w:ascii="times new roman" w:hAnsi="times new roman"/>
          <w:sz w:val="20"/>
        </w:rPr>
        <w:t>Level 2</w:t>
      </w:r>
      <w:r>
        <w:rPr>
          <w:rFonts w:ascii="times new roman" w:hAnsi="times new roman"/>
          <w:sz w:val="20"/>
        </w:rPr>
        <w:t>—Inputs to the valuation methodology include quoted prices for similar assets or liabilities in active markets, quoted prices for identical or similar assets or liabilities in markets that are not active, inputs other than quoted prices that are observable for the asset or liability and market-corroborated inputs.  Municipal and corporate bonds, and residential mortgage-backed securities, that are traded in less active markets are classified as Level 2.  These securities are valued using market price quotations for recently executed transactions.</w:t>
      </w:r>
    </w:p>
    <w:p>
      <w:pPr>
        <w:pStyle w:val="TextBody"/>
        <w:spacing w:before="0" w:after="0"/>
        <w:ind w:left="0" w:right="0" w:hanging="0"/>
        <w:jc w:val="both"/>
        <w:rPr/>
      </w:pPr>
      <w:r>
        <w:rPr/>
        <w:t> </w:t>
      </w:r>
    </w:p>
    <w:p>
      <w:pPr>
        <w:pStyle w:val="TextBody"/>
        <w:spacing w:before="0" w:after="0"/>
        <w:ind w:left="0" w:right="0" w:hanging="0"/>
        <w:jc w:val="both"/>
        <w:rPr/>
      </w:pPr>
      <w:r>
        <w:rPr>
          <w:rStyle w:val="Emphasis"/>
          <w:rFonts w:ascii="times new roman" w:hAnsi="times new roman"/>
          <w:sz w:val="20"/>
        </w:rPr>
        <w:t>Level 3</w:t>
      </w:r>
      <w:r>
        <w:rPr>
          <w:rFonts w:ascii="times new roman" w:hAnsi="times new roman"/>
          <w:sz w:val="20"/>
        </w:rPr>
        <w:t xml:space="preserve">—Inputs to the valuation methodology are unobservable for the asset or liability and are significant to the fair value measurement. Material assumptions and factors considered in pricing investment securities and other assets may include appraisals, projected cash flows, market clearing activity or liquidity circumstances in the security or similar securities that may have occurred since the prior pricing period.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availability of observable inputs varies and is affected by a wide variety of factors. When the valuation is based on models or inputs that are less observable or unobservable in the market, the determination of fair value requires significantly more judgment. The degree of judgment exercised by management in determining fair value is greatest for investments categorized as Level 3. For investments in this category, the Company considers prices and inputs that are current as of the measurement date. In periods of market dislocation, as characterized by current market conditions, the ability to observe prices and inputs may be reduced for many instruments. This condition could cause a security to be reclassified between levels.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F-24</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2020 AND 2019</w:t>
      </w:r>
    </w:p>
    <w:p>
      <w:pPr>
        <w:pStyle w:val="TextBody"/>
        <w:spacing w:before="0" w:after="0"/>
        <w:ind w:left="0" w:right="0" w:hanging="0"/>
        <w:jc w:val="center"/>
        <w:rPr/>
      </w:pPr>
      <w:r>
        <w:rPr>
          <w:rStyle w:val="StrongEmphasis"/>
        </w:rPr>
        <w:t> </w:t>
      </w:r>
    </w:p>
    <w:p>
      <w:pPr>
        <w:pStyle w:val="TextBody"/>
        <w:spacing w:before="0" w:after="0"/>
        <w:ind w:left="0" w:right="0" w:hanging="0"/>
        <w:jc w:val="both"/>
        <w:rPr/>
      </w:pPr>
      <w:r>
        <w:rPr>
          <w:rFonts w:ascii="times new roman" w:hAnsi="times new roman"/>
          <w:sz w:val="20"/>
        </w:rPr>
        <w:t>The following table presents information about the Company’s investments that are measured at fair value on a recurring basis at December 31, 2020 and 2019 indicating the fair value hierarchy of the valuation inputs the Company utilized to determine such fair value: </w:t>
      </w:r>
      <w:r>
        <w:rPr>
          <w:rStyle w:val="StrongEmphasis"/>
          <w:rFonts w:ascii="times new roman" w:hAnsi="times new roman"/>
          <w:sz w:val="20"/>
        </w:rPr>
        <w:t> </w:t>
      </w:r>
    </w:p>
    <w:p>
      <w:pPr>
        <w:pStyle w:val="TextBody"/>
        <w:spacing w:before="0" w:after="0"/>
        <w:ind w:left="0" w:right="0" w:hanging="0"/>
        <w:rPr/>
      </w:pPr>
      <w:r>
        <w:rPr/>
        <w:t> </w:t>
      </w:r>
    </w:p>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4475"/>
        <w:gridCol w:w="90"/>
        <w:gridCol w:w="170"/>
        <w:gridCol w:w="1250"/>
        <w:gridCol w:w="90"/>
        <w:gridCol w:w="90"/>
        <w:gridCol w:w="170"/>
        <w:gridCol w:w="1130"/>
        <w:gridCol w:w="90"/>
        <w:gridCol w:w="90"/>
        <w:gridCol w:w="475"/>
        <w:gridCol w:w="348"/>
        <w:gridCol w:w="90"/>
        <w:gridCol w:w="90"/>
        <w:gridCol w:w="170"/>
        <w:gridCol w:w="1250"/>
        <w:gridCol w:w="137"/>
      </w:tblGrid>
      <w:tr>
        <w:trPr/>
        <w:tc>
          <w:tcPr>
            <w:tcW w:w="447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5503" w:type="dxa"/>
            <w:gridSpan w:val="14"/>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2020</w:t>
            </w:r>
          </w:p>
        </w:tc>
        <w:tc>
          <w:tcPr>
            <w:tcW w:w="137" w:type="dxa"/>
            <w:tcBorders/>
            <w:shd w:fill="auto" w:val="clear"/>
            <w:vAlign w:val="center"/>
          </w:tcPr>
          <w:p>
            <w:pPr>
              <w:pStyle w:val="TableContents"/>
              <w:spacing w:before="0" w:after="0"/>
              <w:ind w:left="0" w:right="0" w:hanging="0"/>
              <w:rPr/>
            </w:pPr>
            <w:r>
              <w:rPr/>
              <w:t> </w:t>
            </w:r>
          </w:p>
        </w:tc>
      </w:tr>
      <w:tr>
        <w:trPr/>
        <w:tc>
          <w:tcPr>
            <w:tcW w:w="447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Level 1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Level 2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2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Level 3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Total  </w:t>
            </w:r>
          </w:p>
        </w:tc>
        <w:tc>
          <w:tcPr>
            <w:tcW w:w="137" w:type="dxa"/>
            <w:tcBorders/>
            <w:shd w:fill="auto" w:val="clear"/>
            <w:vAlign w:val="center"/>
          </w:tcPr>
          <w:p>
            <w:pPr>
              <w:pStyle w:val="TableContents"/>
              <w:spacing w:before="0" w:after="0"/>
              <w:ind w:left="0" w:right="0" w:hanging="0"/>
              <w:rPr/>
            </w:pPr>
            <w:r>
              <w:rPr/>
              <w:t> </w:t>
            </w:r>
          </w:p>
        </w:tc>
      </w:tr>
      <w:tr>
        <w:trPr/>
        <w:tc>
          <w:tcPr>
            <w:tcW w:w="447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c>
          <w:tcPr>
            <w:tcW w:w="3870" w:type="dxa"/>
            <w:gridSpan w:val="10"/>
            <w:tcBorders/>
            <w:shd w:fill="auto" w:val="clear"/>
            <w:vAlign w:val="center"/>
          </w:tcPr>
          <w:p>
            <w:pPr>
              <w:pStyle w:val="TableContents"/>
              <w:spacing w:before="0" w:after="0"/>
              <w:ind w:left="0" w:right="0" w:hanging="0"/>
              <w:rPr/>
            </w:pPr>
            <w:r>
              <w:rPr/>
              <w:t> </w:t>
            </w:r>
          </w:p>
        </w:tc>
      </w:tr>
      <w:tr>
        <w:trPr/>
        <w:tc>
          <w:tcPr>
            <w:tcW w:w="4475" w:type="dxa"/>
            <w:tcBorders/>
            <w:shd w:fill="auto" w:val="clear"/>
            <w:vAlign w:val="center"/>
          </w:tcPr>
          <w:p>
            <w:pPr>
              <w:pStyle w:val="TableContents"/>
              <w:spacing w:before="0" w:after="0"/>
              <w:ind w:left="0" w:right="0" w:hanging="0"/>
              <w:rPr/>
            </w:pPr>
            <w:r>
              <w:rPr>
                <w:rStyle w:val="StrongEmphasis"/>
                <w:rFonts w:ascii="times new roman" w:hAnsi="times new roman"/>
                <w:sz w:val="20"/>
              </w:rPr>
              <w:t xml:space="preserve">Fixed-maturity securities available-for-sale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23"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37" w:type="dxa"/>
            <w:tcBorders/>
            <w:shd w:fill="auto" w:val="clear"/>
            <w:vAlign w:val="center"/>
          </w:tcPr>
          <w:p>
            <w:pPr>
              <w:pStyle w:val="TableContents"/>
              <w:spacing w:before="0" w:after="0"/>
              <w:ind w:left="0" w:right="0" w:hanging="0"/>
              <w:rPr/>
            </w:pPr>
            <w:r>
              <w:rPr/>
              <w:t> </w:t>
            </w:r>
          </w:p>
        </w:tc>
      </w:tr>
      <w:tr>
        <w:trPr/>
        <w:tc>
          <w:tcPr>
            <w:tcW w:w="447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U.S. Treasury securities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23"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37" w:type="dxa"/>
            <w:tcBorders/>
            <w:shd w:fill="auto" w:val="clear"/>
            <w:vAlign w:val="center"/>
          </w:tcPr>
          <w:p>
            <w:pPr>
              <w:pStyle w:val="TableContents"/>
              <w:spacing w:before="0" w:after="0"/>
              <w:ind w:left="0" w:right="0" w:hanging="0"/>
              <w:rPr/>
            </w:pPr>
            <w:r>
              <w:rPr/>
              <w:t> </w:t>
            </w:r>
          </w:p>
        </w:tc>
      </w:tr>
      <w:tr>
        <w:trPr/>
        <w:tc>
          <w:tcPr>
            <w:tcW w:w="447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and obligations of U.S.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23"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37" w:type="dxa"/>
            <w:tcBorders/>
            <w:shd w:fill="auto" w:val="clear"/>
            <w:vAlign w:val="center"/>
          </w:tcPr>
          <w:p>
            <w:pPr>
              <w:pStyle w:val="TableContents"/>
              <w:spacing w:before="0" w:after="0"/>
              <w:ind w:left="0" w:right="0" w:hanging="0"/>
              <w:rPr/>
            </w:pPr>
            <w:r>
              <w:rPr/>
              <w:t> </w:t>
            </w:r>
          </w:p>
        </w:tc>
      </w:tr>
      <w:tr>
        <w:trPr/>
        <w:tc>
          <w:tcPr>
            <w:tcW w:w="447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government corporations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23"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37" w:type="dxa"/>
            <w:tcBorders/>
            <w:shd w:fill="auto" w:val="clear"/>
            <w:vAlign w:val="center"/>
          </w:tcPr>
          <w:p>
            <w:pPr>
              <w:pStyle w:val="TableContents"/>
              <w:spacing w:before="0" w:after="0"/>
              <w:ind w:left="0" w:right="0" w:hanging="0"/>
              <w:rPr/>
            </w:pPr>
            <w:r>
              <w:rPr/>
              <w:t> </w:t>
            </w:r>
          </w:p>
        </w:tc>
      </w:tr>
      <w:tr>
        <w:trPr/>
        <w:tc>
          <w:tcPr>
            <w:tcW w:w="447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and agencies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3,049,900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475" w:type="dxa"/>
            <w:tcBorders/>
            <w:shd w:fill="CCEEFF" w:val="clear"/>
            <w:vAlign w:val="center"/>
          </w:tcPr>
          <w:p>
            <w:pPr>
              <w:pStyle w:val="TableContents"/>
              <w:spacing w:before="0" w:after="283"/>
              <w:rPr/>
            </w:pPr>
            <w:r>
              <w:rPr/>
              <w:t>$</w:t>
            </w:r>
          </w:p>
        </w:tc>
        <w:tc>
          <w:tcPr>
            <w:tcW w:w="348"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3,049,900</w:t>
            </w:r>
          </w:p>
        </w:tc>
        <w:tc>
          <w:tcPr>
            <w:tcW w:w="137" w:type="dxa"/>
            <w:tcBorders/>
            <w:shd w:fill="CCEEFF" w:val="clear"/>
            <w:vAlign w:val="center"/>
          </w:tcPr>
          <w:p>
            <w:pPr>
              <w:pStyle w:val="TableContents"/>
              <w:spacing w:before="0" w:after="0"/>
              <w:ind w:left="0" w:right="0" w:hanging="0"/>
              <w:rPr/>
            </w:pPr>
            <w:r>
              <w:rPr/>
              <w:t> </w:t>
            </w:r>
          </w:p>
        </w:tc>
      </w:tr>
      <w:tr>
        <w:trPr/>
        <w:tc>
          <w:tcPr>
            <w:tcW w:w="447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475" w:type="dxa"/>
            <w:tcBorders/>
            <w:shd w:fill="FFFFFF" w:val="clear"/>
            <w:vAlign w:val="center"/>
          </w:tcPr>
          <w:p>
            <w:pPr>
              <w:pStyle w:val="TableContents"/>
              <w:spacing w:before="0" w:after="0"/>
              <w:ind w:left="0" w:right="0" w:hanging="0"/>
              <w:rPr/>
            </w:pPr>
            <w:r>
              <w:rPr/>
              <w:t> </w:t>
            </w:r>
          </w:p>
        </w:tc>
        <w:tc>
          <w:tcPr>
            <w:tcW w:w="34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37" w:type="dxa"/>
            <w:tcBorders/>
            <w:shd w:fill="FFFFFF" w:val="clear"/>
            <w:vAlign w:val="center"/>
          </w:tcPr>
          <w:p>
            <w:pPr>
              <w:pStyle w:val="TableContents"/>
              <w:spacing w:before="0" w:after="0"/>
              <w:ind w:left="0" w:right="0" w:hanging="0"/>
              <w:rPr/>
            </w:pPr>
            <w:r>
              <w:rPr/>
              <w:t> </w:t>
            </w:r>
          </w:p>
        </w:tc>
      </w:tr>
      <w:tr>
        <w:trPr/>
        <w:tc>
          <w:tcPr>
            <w:tcW w:w="447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Political subdivisions of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475" w:type="dxa"/>
            <w:tcBorders/>
            <w:shd w:fill="CCEEFF" w:val="clear"/>
            <w:vAlign w:val="center"/>
          </w:tcPr>
          <w:p>
            <w:pPr>
              <w:pStyle w:val="TableContents"/>
              <w:spacing w:before="0" w:after="0"/>
              <w:ind w:left="0" w:right="0" w:hanging="0"/>
              <w:rPr/>
            </w:pPr>
            <w:r>
              <w:rPr/>
              <w:t> </w:t>
            </w:r>
          </w:p>
        </w:tc>
        <w:tc>
          <w:tcPr>
            <w:tcW w:w="348"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37" w:type="dxa"/>
            <w:tcBorders/>
            <w:shd w:fill="CCEEFF" w:val="clear"/>
            <w:vAlign w:val="center"/>
          </w:tcPr>
          <w:p>
            <w:pPr>
              <w:pStyle w:val="TableContents"/>
              <w:spacing w:before="0" w:after="0"/>
              <w:ind w:left="0" w:right="0" w:hanging="0"/>
              <w:rPr/>
            </w:pPr>
            <w:r>
              <w:rPr/>
              <w:t> </w:t>
            </w:r>
          </w:p>
        </w:tc>
      </w:tr>
      <w:tr>
        <w:trPr/>
        <w:tc>
          <w:tcPr>
            <w:tcW w:w="447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States, Territories and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475" w:type="dxa"/>
            <w:tcBorders/>
            <w:shd w:fill="FFFFFF" w:val="clear"/>
            <w:vAlign w:val="center"/>
          </w:tcPr>
          <w:p>
            <w:pPr>
              <w:pStyle w:val="TableContents"/>
              <w:spacing w:before="0" w:after="0"/>
              <w:ind w:left="0" w:right="0" w:hanging="0"/>
              <w:rPr/>
            </w:pPr>
            <w:r>
              <w:rPr/>
              <w:t> </w:t>
            </w:r>
          </w:p>
        </w:tc>
        <w:tc>
          <w:tcPr>
            <w:tcW w:w="34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37" w:type="dxa"/>
            <w:tcBorders/>
            <w:shd w:fill="FFFFFF" w:val="clear"/>
            <w:vAlign w:val="center"/>
          </w:tcPr>
          <w:p>
            <w:pPr>
              <w:pStyle w:val="TableContents"/>
              <w:spacing w:before="0" w:after="0"/>
              <w:ind w:left="0" w:right="0" w:hanging="0"/>
              <w:rPr/>
            </w:pPr>
            <w:r>
              <w:rPr/>
              <w:t> </w:t>
            </w:r>
          </w:p>
        </w:tc>
      </w:tr>
      <w:tr>
        <w:trPr/>
        <w:tc>
          <w:tcPr>
            <w:tcW w:w="447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Possessions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5,643,102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475" w:type="dxa"/>
            <w:tcBorders/>
            <w:shd w:fill="CCEEFF" w:val="clear"/>
            <w:vAlign w:val="center"/>
          </w:tcPr>
          <w:p>
            <w:pPr>
              <w:pStyle w:val="TableContents"/>
              <w:spacing w:before="0" w:after="0"/>
              <w:ind w:left="0" w:right="0" w:hanging="0"/>
              <w:rPr/>
            </w:pPr>
            <w:r>
              <w:rPr/>
              <w:t> </w:t>
            </w:r>
          </w:p>
        </w:tc>
        <w:tc>
          <w:tcPr>
            <w:tcW w:w="348"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5,643,102</w:t>
            </w:r>
          </w:p>
        </w:tc>
        <w:tc>
          <w:tcPr>
            <w:tcW w:w="137" w:type="dxa"/>
            <w:tcBorders/>
            <w:shd w:fill="CCEEFF" w:val="clear"/>
            <w:vAlign w:val="center"/>
          </w:tcPr>
          <w:p>
            <w:pPr>
              <w:pStyle w:val="TableContents"/>
              <w:spacing w:before="0" w:after="0"/>
              <w:ind w:left="0" w:right="0" w:hanging="0"/>
              <w:rPr/>
            </w:pPr>
            <w:r>
              <w:rPr/>
              <w:t> </w:t>
            </w:r>
          </w:p>
        </w:tc>
      </w:tr>
      <w:tr>
        <w:trPr/>
        <w:tc>
          <w:tcPr>
            <w:tcW w:w="447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475" w:type="dxa"/>
            <w:tcBorders/>
            <w:shd w:fill="FFFFFF" w:val="clear"/>
            <w:vAlign w:val="center"/>
          </w:tcPr>
          <w:p>
            <w:pPr>
              <w:pStyle w:val="TableContents"/>
              <w:spacing w:before="0" w:after="0"/>
              <w:ind w:left="0" w:right="0" w:hanging="0"/>
              <w:rPr/>
            </w:pPr>
            <w:r>
              <w:rPr/>
              <w:t> </w:t>
            </w:r>
          </w:p>
        </w:tc>
        <w:tc>
          <w:tcPr>
            <w:tcW w:w="34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37" w:type="dxa"/>
            <w:tcBorders/>
            <w:shd w:fill="FFFFFF" w:val="clear"/>
            <w:vAlign w:val="center"/>
          </w:tcPr>
          <w:p>
            <w:pPr>
              <w:pStyle w:val="TableContents"/>
              <w:spacing w:before="0" w:after="0"/>
              <w:ind w:left="0" w:right="0" w:hanging="0"/>
              <w:rPr/>
            </w:pPr>
            <w:r>
              <w:rPr/>
              <w:t> </w:t>
            </w:r>
          </w:p>
        </w:tc>
      </w:tr>
      <w:tr>
        <w:trPr/>
        <w:tc>
          <w:tcPr>
            <w:tcW w:w="447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Corporate and other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475" w:type="dxa"/>
            <w:tcBorders/>
            <w:shd w:fill="CCEEFF" w:val="clear"/>
            <w:vAlign w:val="center"/>
          </w:tcPr>
          <w:p>
            <w:pPr>
              <w:pStyle w:val="TableContents"/>
              <w:spacing w:before="0" w:after="0"/>
              <w:ind w:left="0" w:right="0" w:hanging="0"/>
              <w:rPr/>
            </w:pPr>
            <w:r>
              <w:rPr/>
              <w:t> </w:t>
            </w:r>
          </w:p>
        </w:tc>
        <w:tc>
          <w:tcPr>
            <w:tcW w:w="348"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37" w:type="dxa"/>
            <w:tcBorders/>
            <w:shd w:fill="CCEEFF" w:val="clear"/>
            <w:vAlign w:val="center"/>
          </w:tcPr>
          <w:p>
            <w:pPr>
              <w:pStyle w:val="TableContents"/>
              <w:spacing w:before="0" w:after="0"/>
              <w:ind w:left="0" w:right="0" w:hanging="0"/>
              <w:rPr/>
            </w:pPr>
            <w:r>
              <w:rPr/>
              <w:t> </w:t>
            </w:r>
          </w:p>
        </w:tc>
      </w:tr>
      <w:tr>
        <w:trPr/>
        <w:tc>
          <w:tcPr>
            <w:tcW w:w="447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bonds industrial and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475" w:type="dxa"/>
            <w:tcBorders/>
            <w:shd w:fill="FFFFFF" w:val="clear"/>
            <w:vAlign w:val="center"/>
          </w:tcPr>
          <w:p>
            <w:pPr>
              <w:pStyle w:val="TableContents"/>
              <w:spacing w:before="0" w:after="0"/>
              <w:ind w:left="0" w:right="0" w:hanging="0"/>
              <w:rPr/>
            </w:pPr>
            <w:r>
              <w:rPr/>
              <w:t> </w:t>
            </w:r>
          </w:p>
        </w:tc>
        <w:tc>
          <w:tcPr>
            <w:tcW w:w="34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37" w:type="dxa"/>
            <w:tcBorders/>
            <w:shd w:fill="FFFFFF" w:val="clear"/>
            <w:vAlign w:val="center"/>
          </w:tcPr>
          <w:p>
            <w:pPr>
              <w:pStyle w:val="TableContents"/>
              <w:spacing w:before="0" w:after="0"/>
              <w:ind w:left="0" w:right="0" w:hanging="0"/>
              <w:rPr/>
            </w:pPr>
            <w:r>
              <w:rPr/>
              <w:t> </w:t>
            </w:r>
          </w:p>
        </w:tc>
      </w:tr>
      <w:tr>
        <w:trPr/>
        <w:tc>
          <w:tcPr>
            <w:tcW w:w="447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miscellaneous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118,123,890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2,070,439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475" w:type="dxa"/>
            <w:tcBorders/>
            <w:shd w:fill="CCEEFF" w:val="clear"/>
            <w:vAlign w:val="center"/>
          </w:tcPr>
          <w:p>
            <w:pPr>
              <w:pStyle w:val="TableContents"/>
              <w:spacing w:before="0" w:after="0"/>
              <w:ind w:left="0" w:right="0" w:hanging="0"/>
              <w:rPr/>
            </w:pPr>
            <w:r>
              <w:rPr/>
              <w:t> </w:t>
            </w:r>
          </w:p>
        </w:tc>
        <w:tc>
          <w:tcPr>
            <w:tcW w:w="348"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120,194,329</w:t>
            </w:r>
          </w:p>
        </w:tc>
        <w:tc>
          <w:tcPr>
            <w:tcW w:w="137" w:type="dxa"/>
            <w:tcBorders/>
            <w:shd w:fill="CCEEFF" w:val="clear"/>
            <w:vAlign w:val="center"/>
          </w:tcPr>
          <w:p>
            <w:pPr>
              <w:pStyle w:val="TableContents"/>
              <w:spacing w:before="0" w:after="0"/>
              <w:ind w:left="0" w:right="0" w:hanging="0"/>
              <w:rPr/>
            </w:pPr>
            <w:r>
              <w:rPr/>
              <w:t> </w:t>
            </w:r>
          </w:p>
        </w:tc>
      </w:tr>
      <w:tr>
        <w:trPr/>
        <w:tc>
          <w:tcPr>
            <w:tcW w:w="447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475" w:type="dxa"/>
            <w:tcBorders/>
            <w:shd w:fill="FFFFFF" w:val="clear"/>
            <w:vAlign w:val="center"/>
          </w:tcPr>
          <w:p>
            <w:pPr>
              <w:pStyle w:val="TableContents"/>
              <w:spacing w:before="0" w:after="0"/>
              <w:ind w:left="0" w:right="0" w:hanging="0"/>
              <w:rPr/>
            </w:pPr>
            <w:r>
              <w:rPr/>
              <w:t> </w:t>
            </w:r>
          </w:p>
        </w:tc>
        <w:tc>
          <w:tcPr>
            <w:tcW w:w="34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37" w:type="dxa"/>
            <w:tcBorders/>
            <w:shd w:fill="FFFFFF" w:val="clear"/>
            <w:vAlign w:val="center"/>
          </w:tcPr>
          <w:p>
            <w:pPr>
              <w:pStyle w:val="TableContents"/>
              <w:spacing w:before="0" w:after="0"/>
              <w:ind w:left="0" w:right="0" w:hanging="0"/>
              <w:rPr/>
            </w:pPr>
            <w:r>
              <w:rPr/>
              <w:t> </w:t>
            </w:r>
          </w:p>
        </w:tc>
      </w:tr>
      <w:tr>
        <w:trPr/>
        <w:tc>
          <w:tcPr>
            <w:tcW w:w="447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Residential mortgage and other asset backed securities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CCEEFF" w:val="clear"/>
            <w:tcMar>
              <w:bottom w:w="28" w:type="dxa"/>
            </w:tcMar>
            <w:vAlign w:val="center"/>
          </w:tcPr>
          <w:p>
            <w:pPr>
              <w:pStyle w:val="TableContents"/>
              <w:spacing w:before="0" w:after="283"/>
              <w:jc w:val="right"/>
              <w:rPr/>
            </w:pPr>
            <w:r>
              <w:rPr/>
              <w:t>28,661,941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47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348"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28,661,941</w:t>
            </w:r>
          </w:p>
        </w:tc>
        <w:tc>
          <w:tcPr>
            <w:tcW w:w="137" w:type="dxa"/>
            <w:tcBorders/>
            <w:shd w:fill="CCEEFF" w:val="clear"/>
            <w:vAlign w:val="center"/>
          </w:tcPr>
          <w:p>
            <w:pPr>
              <w:pStyle w:val="TableContents"/>
              <w:spacing w:before="0" w:after="0"/>
              <w:ind w:left="0" w:right="0" w:hanging="0"/>
              <w:rPr/>
            </w:pPr>
            <w:r>
              <w:rPr/>
              <w:t> </w:t>
            </w:r>
          </w:p>
        </w:tc>
      </w:tr>
      <w:tr>
        <w:trPr/>
        <w:tc>
          <w:tcPr>
            <w:tcW w:w="447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Total fixed maturities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121,173,790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36,375,482</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475" w:type="dxa"/>
            <w:tcBorders/>
            <w:shd w:fill="FFFFFF" w:val="clear"/>
            <w:vAlign w:val="center"/>
          </w:tcPr>
          <w:p>
            <w:pPr>
              <w:pStyle w:val="TableContents"/>
              <w:spacing w:before="0" w:after="0"/>
              <w:ind w:left="0" w:right="0" w:hanging="0"/>
              <w:rPr/>
            </w:pPr>
            <w:r>
              <w:rPr/>
              <w:t> </w:t>
            </w:r>
          </w:p>
        </w:tc>
        <w:tc>
          <w:tcPr>
            <w:tcW w:w="348" w:type="dxa"/>
            <w:tcBorders/>
            <w:shd w:fill="FFFFFF" w:val="cle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157,549,272</w:t>
            </w:r>
          </w:p>
        </w:tc>
        <w:tc>
          <w:tcPr>
            <w:tcW w:w="137" w:type="dxa"/>
            <w:tcBorders/>
            <w:shd w:fill="FFFFFF" w:val="clear"/>
            <w:vAlign w:val="center"/>
          </w:tcPr>
          <w:p>
            <w:pPr>
              <w:pStyle w:val="TableContents"/>
              <w:spacing w:before="0" w:after="0"/>
              <w:ind w:left="0" w:right="0" w:hanging="0"/>
              <w:rPr/>
            </w:pPr>
            <w:r>
              <w:rPr/>
              <w:t> </w:t>
            </w:r>
          </w:p>
        </w:tc>
      </w:tr>
      <w:tr>
        <w:trPr/>
        <w:tc>
          <w:tcPr>
            <w:tcW w:w="4475" w:type="dxa"/>
            <w:tcBorders/>
            <w:shd w:fill="CCEEFF" w:val="clear"/>
            <w:vAlign w:val="center"/>
          </w:tcPr>
          <w:p>
            <w:pPr>
              <w:pStyle w:val="TableContents"/>
              <w:spacing w:before="0" w:after="0"/>
              <w:ind w:left="0" w:right="0" w:hanging="0"/>
              <w:rPr/>
            </w:pPr>
            <w:r>
              <w:rPr>
                <w:rStyle w:val="StrongEmphasis"/>
                <w:rFonts w:ascii="times new roman" w:hAnsi="times new roman"/>
                <w:sz w:val="20"/>
              </w:rPr>
              <w:t xml:space="preserve">Equity securities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34,413,313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47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348"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34,413,313</w:t>
            </w:r>
          </w:p>
        </w:tc>
        <w:tc>
          <w:tcPr>
            <w:tcW w:w="137" w:type="dxa"/>
            <w:tcBorders/>
            <w:shd w:fill="CCEEFF" w:val="clear"/>
            <w:vAlign w:val="center"/>
          </w:tcPr>
          <w:p>
            <w:pPr>
              <w:pStyle w:val="TableContents"/>
              <w:spacing w:before="0" w:after="0"/>
              <w:ind w:left="0" w:right="0" w:hanging="0"/>
              <w:rPr/>
            </w:pPr>
            <w:r>
              <w:rPr/>
              <w:t> </w:t>
            </w:r>
          </w:p>
        </w:tc>
      </w:tr>
      <w:tr>
        <w:trPr/>
        <w:tc>
          <w:tcPr>
            <w:tcW w:w="447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Total investments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155,587,103</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130" w:type="dxa"/>
            <w:tcBorders>
              <w:bottom w:val="double" w:sz="6" w:space="0" w:color="000000"/>
            </w:tcBorders>
            <w:shd w:fill="FFFFFF" w:val="clear"/>
            <w:tcMar>
              <w:bottom w:w="28" w:type="dxa"/>
            </w:tcMar>
            <w:vAlign w:val="center"/>
          </w:tcPr>
          <w:p>
            <w:pPr>
              <w:pStyle w:val="TableContents"/>
              <w:spacing w:before="0" w:after="283"/>
              <w:jc w:val="right"/>
              <w:rPr/>
            </w:pPr>
            <w:r>
              <w:rPr/>
              <w:t>36,375,482</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475" w:type="dxa"/>
            <w:tcBorders>
              <w:bottom w:val="double" w:sz="6" w:space="0" w:color="000000"/>
            </w:tcBorders>
            <w:shd w:fill="FFFFFF" w:val="clear"/>
            <w:tcMar>
              <w:bottom w:w="28" w:type="dxa"/>
            </w:tcMar>
            <w:vAlign w:val="center"/>
          </w:tcPr>
          <w:p>
            <w:pPr>
              <w:pStyle w:val="TableContents"/>
              <w:spacing w:before="0" w:after="283"/>
              <w:rPr/>
            </w:pPr>
            <w:r>
              <w:rPr/>
              <w:t>$</w:t>
            </w:r>
          </w:p>
        </w:tc>
        <w:tc>
          <w:tcPr>
            <w:tcW w:w="348" w:type="dxa"/>
            <w:tcBorders>
              <w:bottom w:val="double" w:sz="6" w:space="0" w:color="000000"/>
            </w:tcBorders>
            <w:shd w:fill="FFFFFF" w:val="clear"/>
            <w:tcMar>
              <w:bottom w:w="28" w:type="dxa"/>
            </w:tcM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191,962,585</w:t>
            </w:r>
          </w:p>
        </w:tc>
        <w:tc>
          <w:tcPr>
            <w:tcW w:w="137" w:type="dxa"/>
            <w:tcBorders/>
            <w:shd w:fill="FFFF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4475"/>
        <w:gridCol w:w="90"/>
        <w:gridCol w:w="170"/>
        <w:gridCol w:w="1250"/>
        <w:gridCol w:w="90"/>
        <w:gridCol w:w="90"/>
        <w:gridCol w:w="170"/>
        <w:gridCol w:w="1130"/>
        <w:gridCol w:w="90"/>
        <w:gridCol w:w="90"/>
        <w:gridCol w:w="475"/>
        <w:gridCol w:w="348"/>
        <w:gridCol w:w="90"/>
        <w:gridCol w:w="90"/>
        <w:gridCol w:w="170"/>
        <w:gridCol w:w="1250"/>
        <w:gridCol w:w="137"/>
      </w:tblGrid>
      <w:tr>
        <w:trPr/>
        <w:tc>
          <w:tcPr>
            <w:tcW w:w="447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5503" w:type="dxa"/>
            <w:gridSpan w:val="14"/>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2019</w:t>
            </w:r>
          </w:p>
        </w:tc>
        <w:tc>
          <w:tcPr>
            <w:tcW w:w="137" w:type="dxa"/>
            <w:tcBorders/>
            <w:shd w:fill="auto" w:val="clear"/>
            <w:vAlign w:val="center"/>
          </w:tcPr>
          <w:p>
            <w:pPr>
              <w:pStyle w:val="TableContents"/>
              <w:spacing w:before="0" w:after="0"/>
              <w:ind w:left="0" w:right="0" w:hanging="0"/>
              <w:rPr/>
            </w:pPr>
            <w:r>
              <w:rPr/>
              <w:t> </w:t>
            </w:r>
          </w:p>
        </w:tc>
      </w:tr>
      <w:tr>
        <w:trPr/>
        <w:tc>
          <w:tcPr>
            <w:tcW w:w="447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Level 1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Level 2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2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Level 3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Total  </w:t>
            </w:r>
          </w:p>
        </w:tc>
        <w:tc>
          <w:tcPr>
            <w:tcW w:w="137" w:type="dxa"/>
            <w:tcBorders/>
            <w:shd w:fill="auto" w:val="clear"/>
            <w:vAlign w:val="center"/>
          </w:tcPr>
          <w:p>
            <w:pPr>
              <w:pStyle w:val="TableContents"/>
              <w:spacing w:before="0" w:after="0"/>
              <w:ind w:left="0" w:right="0" w:hanging="0"/>
              <w:rPr/>
            </w:pPr>
            <w:r>
              <w:rPr/>
              <w:t> </w:t>
            </w:r>
          </w:p>
        </w:tc>
      </w:tr>
      <w:tr>
        <w:trPr/>
        <w:tc>
          <w:tcPr>
            <w:tcW w:w="447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c>
          <w:tcPr>
            <w:tcW w:w="3870" w:type="dxa"/>
            <w:gridSpan w:val="10"/>
            <w:tcBorders/>
            <w:shd w:fill="auto" w:val="clear"/>
            <w:vAlign w:val="center"/>
          </w:tcPr>
          <w:p>
            <w:pPr>
              <w:pStyle w:val="TableContents"/>
              <w:spacing w:before="0" w:after="0"/>
              <w:ind w:left="0" w:right="0" w:hanging="0"/>
              <w:rPr/>
            </w:pPr>
            <w:r>
              <w:rPr/>
              <w:t> </w:t>
            </w:r>
          </w:p>
        </w:tc>
      </w:tr>
      <w:tr>
        <w:trPr/>
        <w:tc>
          <w:tcPr>
            <w:tcW w:w="4475" w:type="dxa"/>
            <w:tcBorders/>
            <w:shd w:fill="auto" w:val="clear"/>
            <w:vAlign w:val="center"/>
          </w:tcPr>
          <w:p>
            <w:pPr>
              <w:pStyle w:val="TableContents"/>
              <w:spacing w:before="0" w:after="0"/>
              <w:ind w:left="0" w:right="0" w:hanging="0"/>
              <w:rPr/>
            </w:pPr>
            <w:r>
              <w:rPr>
                <w:rStyle w:val="StrongEmphasis"/>
                <w:rFonts w:ascii="times new roman" w:hAnsi="times new roman"/>
                <w:sz w:val="20"/>
              </w:rPr>
              <w:t xml:space="preserve">Fixed-maturity securities available-for-sale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23"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37" w:type="dxa"/>
            <w:tcBorders/>
            <w:shd w:fill="auto" w:val="clear"/>
            <w:vAlign w:val="center"/>
          </w:tcPr>
          <w:p>
            <w:pPr>
              <w:pStyle w:val="TableContents"/>
              <w:spacing w:before="0" w:after="0"/>
              <w:ind w:left="0" w:right="0" w:hanging="0"/>
              <w:rPr/>
            </w:pPr>
            <w:r>
              <w:rPr/>
              <w:t> </w:t>
            </w:r>
          </w:p>
        </w:tc>
      </w:tr>
      <w:tr>
        <w:trPr/>
        <w:tc>
          <w:tcPr>
            <w:tcW w:w="447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U.S. Treasury securities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23"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37" w:type="dxa"/>
            <w:tcBorders/>
            <w:shd w:fill="auto" w:val="clear"/>
            <w:vAlign w:val="center"/>
          </w:tcPr>
          <w:p>
            <w:pPr>
              <w:pStyle w:val="TableContents"/>
              <w:spacing w:before="0" w:after="0"/>
              <w:ind w:left="0" w:right="0" w:hanging="0"/>
              <w:rPr/>
            </w:pPr>
            <w:r>
              <w:rPr/>
              <w:t> </w:t>
            </w:r>
          </w:p>
        </w:tc>
      </w:tr>
      <w:tr>
        <w:trPr/>
        <w:tc>
          <w:tcPr>
            <w:tcW w:w="447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and obligations of U.S.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23"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37" w:type="dxa"/>
            <w:tcBorders/>
            <w:shd w:fill="auto" w:val="clear"/>
            <w:vAlign w:val="center"/>
          </w:tcPr>
          <w:p>
            <w:pPr>
              <w:pStyle w:val="TableContents"/>
              <w:spacing w:before="0" w:after="0"/>
              <w:ind w:left="0" w:right="0" w:hanging="0"/>
              <w:rPr/>
            </w:pPr>
            <w:r>
              <w:rPr/>
              <w:t> </w:t>
            </w:r>
          </w:p>
        </w:tc>
      </w:tr>
      <w:tr>
        <w:trPr/>
        <w:tc>
          <w:tcPr>
            <w:tcW w:w="447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government corporations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23"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37" w:type="dxa"/>
            <w:tcBorders/>
            <w:shd w:fill="auto" w:val="clear"/>
            <w:vAlign w:val="center"/>
          </w:tcPr>
          <w:p>
            <w:pPr>
              <w:pStyle w:val="TableContents"/>
              <w:spacing w:before="0" w:after="0"/>
              <w:ind w:left="0" w:right="0" w:hanging="0"/>
              <w:rPr/>
            </w:pPr>
            <w:r>
              <w:rPr/>
              <w:t> </w:t>
            </w:r>
          </w:p>
        </w:tc>
      </w:tr>
      <w:tr>
        <w:trPr/>
        <w:tc>
          <w:tcPr>
            <w:tcW w:w="447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and agencies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7,061,100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475" w:type="dxa"/>
            <w:tcBorders/>
            <w:shd w:fill="CCEEFF" w:val="clear"/>
            <w:vAlign w:val="center"/>
          </w:tcPr>
          <w:p>
            <w:pPr>
              <w:pStyle w:val="TableContents"/>
              <w:spacing w:before="0" w:after="283"/>
              <w:rPr/>
            </w:pPr>
            <w:r>
              <w:rPr/>
              <w:t>$</w:t>
            </w:r>
          </w:p>
        </w:tc>
        <w:tc>
          <w:tcPr>
            <w:tcW w:w="348"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7,061,100</w:t>
            </w:r>
          </w:p>
        </w:tc>
        <w:tc>
          <w:tcPr>
            <w:tcW w:w="137" w:type="dxa"/>
            <w:tcBorders/>
            <w:shd w:fill="CCEEFF" w:val="clear"/>
            <w:vAlign w:val="center"/>
          </w:tcPr>
          <w:p>
            <w:pPr>
              <w:pStyle w:val="TableContents"/>
              <w:spacing w:before="0" w:after="0"/>
              <w:ind w:left="0" w:right="0" w:hanging="0"/>
              <w:rPr/>
            </w:pPr>
            <w:r>
              <w:rPr/>
              <w:t> </w:t>
            </w:r>
          </w:p>
        </w:tc>
      </w:tr>
      <w:tr>
        <w:trPr/>
        <w:tc>
          <w:tcPr>
            <w:tcW w:w="447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475" w:type="dxa"/>
            <w:tcBorders/>
            <w:shd w:fill="FFFFFF" w:val="clear"/>
            <w:vAlign w:val="center"/>
          </w:tcPr>
          <w:p>
            <w:pPr>
              <w:pStyle w:val="TableContents"/>
              <w:spacing w:before="0" w:after="0"/>
              <w:ind w:left="0" w:right="0" w:hanging="0"/>
              <w:rPr/>
            </w:pPr>
            <w:r>
              <w:rPr/>
              <w:t> </w:t>
            </w:r>
          </w:p>
        </w:tc>
        <w:tc>
          <w:tcPr>
            <w:tcW w:w="34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37" w:type="dxa"/>
            <w:tcBorders/>
            <w:shd w:fill="FFFFFF" w:val="clear"/>
            <w:vAlign w:val="center"/>
          </w:tcPr>
          <w:p>
            <w:pPr>
              <w:pStyle w:val="TableContents"/>
              <w:spacing w:before="0" w:after="0"/>
              <w:ind w:left="0" w:right="0" w:hanging="0"/>
              <w:rPr/>
            </w:pPr>
            <w:r>
              <w:rPr/>
              <w:t> </w:t>
            </w:r>
          </w:p>
        </w:tc>
      </w:tr>
      <w:tr>
        <w:trPr/>
        <w:tc>
          <w:tcPr>
            <w:tcW w:w="447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Political subdivisions of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475" w:type="dxa"/>
            <w:tcBorders/>
            <w:shd w:fill="CCEEFF" w:val="clear"/>
            <w:vAlign w:val="center"/>
          </w:tcPr>
          <w:p>
            <w:pPr>
              <w:pStyle w:val="TableContents"/>
              <w:spacing w:before="0" w:after="0"/>
              <w:ind w:left="0" w:right="0" w:hanging="0"/>
              <w:rPr/>
            </w:pPr>
            <w:r>
              <w:rPr/>
              <w:t> </w:t>
            </w:r>
          </w:p>
        </w:tc>
        <w:tc>
          <w:tcPr>
            <w:tcW w:w="348"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37" w:type="dxa"/>
            <w:tcBorders/>
            <w:shd w:fill="CCEEFF" w:val="clear"/>
            <w:vAlign w:val="center"/>
          </w:tcPr>
          <w:p>
            <w:pPr>
              <w:pStyle w:val="TableContents"/>
              <w:spacing w:before="0" w:after="0"/>
              <w:ind w:left="0" w:right="0" w:hanging="0"/>
              <w:rPr/>
            </w:pPr>
            <w:r>
              <w:rPr/>
              <w:t> </w:t>
            </w:r>
          </w:p>
        </w:tc>
      </w:tr>
      <w:tr>
        <w:trPr/>
        <w:tc>
          <w:tcPr>
            <w:tcW w:w="447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States, Territories and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475" w:type="dxa"/>
            <w:tcBorders/>
            <w:shd w:fill="FFFFFF" w:val="clear"/>
            <w:vAlign w:val="center"/>
          </w:tcPr>
          <w:p>
            <w:pPr>
              <w:pStyle w:val="TableContents"/>
              <w:spacing w:before="0" w:after="0"/>
              <w:ind w:left="0" w:right="0" w:hanging="0"/>
              <w:rPr/>
            </w:pPr>
            <w:r>
              <w:rPr/>
              <w:t> </w:t>
            </w:r>
          </w:p>
        </w:tc>
        <w:tc>
          <w:tcPr>
            <w:tcW w:w="34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37" w:type="dxa"/>
            <w:tcBorders/>
            <w:shd w:fill="FFFFFF" w:val="clear"/>
            <w:vAlign w:val="center"/>
          </w:tcPr>
          <w:p>
            <w:pPr>
              <w:pStyle w:val="TableContents"/>
              <w:spacing w:before="0" w:after="0"/>
              <w:ind w:left="0" w:right="0" w:hanging="0"/>
              <w:rPr/>
            </w:pPr>
            <w:r>
              <w:rPr/>
              <w:t> </w:t>
            </w:r>
          </w:p>
        </w:tc>
      </w:tr>
      <w:tr>
        <w:trPr/>
        <w:tc>
          <w:tcPr>
            <w:tcW w:w="447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Possessions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9,321,812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475" w:type="dxa"/>
            <w:tcBorders/>
            <w:shd w:fill="CCEEFF" w:val="clear"/>
            <w:vAlign w:val="center"/>
          </w:tcPr>
          <w:p>
            <w:pPr>
              <w:pStyle w:val="TableContents"/>
              <w:spacing w:before="0" w:after="0"/>
              <w:ind w:left="0" w:right="0" w:hanging="0"/>
              <w:rPr/>
            </w:pPr>
            <w:r>
              <w:rPr/>
              <w:t> </w:t>
            </w:r>
          </w:p>
        </w:tc>
        <w:tc>
          <w:tcPr>
            <w:tcW w:w="348"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9,321,812</w:t>
            </w:r>
          </w:p>
        </w:tc>
        <w:tc>
          <w:tcPr>
            <w:tcW w:w="137" w:type="dxa"/>
            <w:tcBorders/>
            <w:shd w:fill="CCEEFF" w:val="clear"/>
            <w:vAlign w:val="center"/>
          </w:tcPr>
          <w:p>
            <w:pPr>
              <w:pStyle w:val="TableContents"/>
              <w:spacing w:before="0" w:after="0"/>
              <w:ind w:left="0" w:right="0" w:hanging="0"/>
              <w:rPr/>
            </w:pPr>
            <w:r>
              <w:rPr/>
              <w:t> </w:t>
            </w:r>
          </w:p>
        </w:tc>
      </w:tr>
      <w:tr>
        <w:trPr/>
        <w:tc>
          <w:tcPr>
            <w:tcW w:w="447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475" w:type="dxa"/>
            <w:tcBorders/>
            <w:shd w:fill="FFFFFF" w:val="clear"/>
            <w:vAlign w:val="center"/>
          </w:tcPr>
          <w:p>
            <w:pPr>
              <w:pStyle w:val="TableContents"/>
              <w:spacing w:before="0" w:after="0"/>
              <w:ind w:left="0" w:right="0" w:hanging="0"/>
              <w:rPr/>
            </w:pPr>
            <w:r>
              <w:rPr/>
              <w:t> </w:t>
            </w:r>
          </w:p>
        </w:tc>
        <w:tc>
          <w:tcPr>
            <w:tcW w:w="34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37" w:type="dxa"/>
            <w:tcBorders/>
            <w:shd w:fill="FFFFFF" w:val="clear"/>
            <w:vAlign w:val="center"/>
          </w:tcPr>
          <w:p>
            <w:pPr>
              <w:pStyle w:val="TableContents"/>
              <w:spacing w:before="0" w:after="0"/>
              <w:ind w:left="0" w:right="0" w:hanging="0"/>
              <w:rPr/>
            </w:pPr>
            <w:r>
              <w:rPr/>
              <w:t> </w:t>
            </w:r>
          </w:p>
        </w:tc>
      </w:tr>
      <w:tr>
        <w:trPr/>
        <w:tc>
          <w:tcPr>
            <w:tcW w:w="447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Corporate and other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475" w:type="dxa"/>
            <w:tcBorders/>
            <w:shd w:fill="CCEEFF" w:val="clear"/>
            <w:vAlign w:val="center"/>
          </w:tcPr>
          <w:p>
            <w:pPr>
              <w:pStyle w:val="TableContents"/>
              <w:spacing w:before="0" w:after="0"/>
              <w:ind w:left="0" w:right="0" w:hanging="0"/>
              <w:rPr/>
            </w:pPr>
            <w:r>
              <w:rPr/>
              <w:t> </w:t>
            </w:r>
          </w:p>
        </w:tc>
        <w:tc>
          <w:tcPr>
            <w:tcW w:w="348"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37" w:type="dxa"/>
            <w:tcBorders/>
            <w:shd w:fill="CCEEFF" w:val="clear"/>
            <w:vAlign w:val="center"/>
          </w:tcPr>
          <w:p>
            <w:pPr>
              <w:pStyle w:val="TableContents"/>
              <w:spacing w:before="0" w:after="0"/>
              <w:ind w:left="0" w:right="0" w:hanging="0"/>
              <w:rPr/>
            </w:pPr>
            <w:r>
              <w:rPr/>
              <w:t> </w:t>
            </w:r>
          </w:p>
        </w:tc>
      </w:tr>
      <w:tr>
        <w:trPr/>
        <w:tc>
          <w:tcPr>
            <w:tcW w:w="447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bonds industrial and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475" w:type="dxa"/>
            <w:tcBorders/>
            <w:shd w:fill="FFFFFF" w:val="clear"/>
            <w:vAlign w:val="center"/>
          </w:tcPr>
          <w:p>
            <w:pPr>
              <w:pStyle w:val="TableContents"/>
              <w:spacing w:before="0" w:after="0"/>
              <w:ind w:left="0" w:right="0" w:hanging="0"/>
              <w:rPr/>
            </w:pPr>
            <w:r>
              <w:rPr/>
              <w:t> </w:t>
            </w:r>
          </w:p>
        </w:tc>
        <w:tc>
          <w:tcPr>
            <w:tcW w:w="34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37" w:type="dxa"/>
            <w:tcBorders/>
            <w:shd w:fill="FFFFFF" w:val="clear"/>
            <w:vAlign w:val="center"/>
          </w:tcPr>
          <w:p>
            <w:pPr>
              <w:pStyle w:val="TableContents"/>
              <w:spacing w:before="0" w:after="0"/>
              <w:ind w:left="0" w:right="0" w:hanging="0"/>
              <w:rPr/>
            </w:pPr>
            <w:r>
              <w:rPr/>
              <w:t> </w:t>
            </w:r>
          </w:p>
        </w:tc>
      </w:tr>
      <w:tr>
        <w:trPr/>
        <w:tc>
          <w:tcPr>
            <w:tcW w:w="447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miscellaneous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123,010,772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2,611,267</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475" w:type="dxa"/>
            <w:tcBorders/>
            <w:shd w:fill="CCEEFF" w:val="clear"/>
            <w:vAlign w:val="center"/>
          </w:tcPr>
          <w:p>
            <w:pPr>
              <w:pStyle w:val="TableContents"/>
              <w:spacing w:before="0" w:after="0"/>
              <w:ind w:left="0" w:right="0" w:hanging="0"/>
              <w:rPr/>
            </w:pPr>
            <w:r>
              <w:rPr/>
              <w:t> </w:t>
            </w:r>
          </w:p>
        </w:tc>
        <w:tc>
          <w:tcPr>
            <w:tcW w:w="348"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125,622,039</w:t>
            </w:r>
          </w:p>
        </w:tc>
        <w:tc>
          <w:tcPr>
            <w:tcW w:w="137" w:type="dxa"/>
            <w:tcBorders/>
            <w:shd w:fill="CCEEFF" w:val="clear"/>
            <w:vAlign w:val="center"/>
          </w:tcPr>
          <w:p>
            <w:pPr>
              <w:pStyle w:val="TableContents"/>
              <w:spacing w:before="0" w:after="0"/>
              <w:ind w:left="0" w:right="0" w:hanging="0"/>
              <w:rPr/>
            </w:pPr>
            <w:r>
              <w:rPr/>
              <w:t> </w:t>
            </w:r>
          </w:p>
        </w:tc>
      </w:tr>
      <w:tr>
        <w:trPr/>
        <w:tc>
          <w:tcPr>
            <w:tcW w:w="447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475" w:type="dxa"/>
            <w:tcBorders/>
            <w:shd w:fill="FFFFFF" w:val="clear"/>
            <w:vAlign w:val="center"/>
          </w:tcPr>
          <w:p>
            <w:pPr>
              <w:pStyle w:val="TableContents"/>
              <w:spacing w:before="0" w:after="0"/>
              <w:ind w:left="0" w:right="0" w:hanging="0"/>
              <w:rPr/>
            </w:pPr>
            <w:r>
              <w:rPr/>
              <w:t> </w:t>
            </w:r>
          </w:p>
        </w:tc>
        <w:tc>
          <w:tcPr>
            <w:tcW w:w="34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37" w:type="dxa"/>
            <w:tcBorders/>
            <w:shd w:fill="FFFFFF" w:val="clear"/>
            <w:vAlign w:val="center"/>
          </w:tcPr>
          <w:p>
            <w:pPr>
              <w:pStyle w:val="TableContents"/>
              <w:spacing w:before="0" w:after="0"/>
              <w:ind w:left="0" w:right="0" w:hanging="0"/>
              <w:rPr/>
            </w:pPr>
            <w:r>
              <w:rPr/>
              <w:t> </w:t>
            </w:r>
          </w:p>
        </w:tc>
      </w:tr>
      <w:tr>
        <w:trPr/>
        <w:tc>
          <w:tcPr>
            <w:tcW w:w="447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Residential mortgage and other asset backed securities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CCEEFF" w:val="clear"/>
            <w:tcMar>
              <w:bottom w:w="28" w:type="dxa"/>
            </w:tcMar>
            <w:vAlign w:val="center"/>
          </w:tcPr>
          <w:p>
            <w:pPr>
              <w:pStyle w:val="TableContents"/>
              <w:spacing w:before="0" w:after="283"/>
              <w:jc w:val="right"/>
              <w:rPr/>
            </w:pPr>
            <w:r>
              <w:rPr/>
              <w:t>26,231,230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47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348"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26,231,230</w:t>
            </w:r>
          </w:p>
        </w:tc>
        <w:tc>
          <w:tcPr>
            <w:tcW w:w="137" w:type="dxa"/>
            <w:tcBorders/>
            <w:shd w:fill="CCEEFF" w:val="clear"/>
            <w:vAlign w:val="center"/>
          </w:tcPr>
          <w:p>
            <w:pPr>
              <w:pStyle w:val="TableContents"/>
              <w:spacing w:before="0" w:after="0"/>
              <w:ind w:left="0" w:right="0" w:hanging="0"/>
              <w:rPr/>
            </w:pPr>
            <w:r>
              <w:rPr/>
              <w:t> </w:t>
            </w:r>
          </w:p>
        </w:tc>
      </w:tr>
      <w:tr>
        <w:trPr/>
        <w:tc>
          <w:tcPr>
            <w:tcW w:w="447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Total fixed maturities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130,071,872</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38,164,309</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475" w:type="dxa"/>
            <w:tcBorders/>
            <w:shd w:fill="FFFFFF" w:val="clear"/>
            <w:vAlign w:val="center"/>
          </w:tcPr>
          <w:p>
            <w:pPr>
              <w:pStyle w:val="TableContents"/>
              <w:spacing w:before="0" w:after="0"/>
              <w:ind w:left="0" w:right="0" w:hanging="0"/>
              <w:rPr/>
            </w:pPr>
            <w:r>
              <w:rPr/>
              <w:t> </w:t>
            </w:r>
          </w:p>
        </w:tc>
        <w:tc>
          <w:tcPr>
            <w:tcW w:w="348" w:type="dxa"/>
            <w:tcBorders/>
            <w:shd w:fill="FFFFFF" w:val="cle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168,236,181</w:t>
            </w:r>
          </w:p>
        </w:tc>
        <w:tc>
          <w:tcPr>
            <w:tcW w:w="137" w:type="dxa"/>
            <w:tcBorders/>
            <w:shd w:fill="FFFFFF" w:val="clear"/>
            <w:vAlign w:val="center"/>
          </w:tcPr>
          <w:p>
            <w:pPr>
              <w:pStyle w:val="TableContents"/>
              <w:spacing w:before="0" w:after="0"/>
              <w:ind w:left="0" w:right="0" w:hanging="0"/>
              <w:rPr/>
            </w:pPr>
            <w:r>
              <w:rPr/>
              <w:t> </w:t>
            </w:r>
          </w:p>
        </w:tc>
      </w:tr>
      <w:tr>
        <w:trPr/>
        <w:tc>
          <w:tcPr>
            <w:tcW w:w="4475" w:type="dxa"/>
            <w:tcBorders/>
            <w:shd w:fill="CCEEFF" w:val="clear"/>
            <w:vAlign w:val="center"/>
          </w:tcPr>
          <w:p>
            <w:pPr>
              <w:pStyle w:val="TableContents"/>
              <w:spacing w:before="0" w:after="0"/>
              <w:ind w:left="0" w:right="0" w:hanging="0"/>
              <w:rPr/>
            </w:pPr>
            <w:r>
              <w:rPr>
                <w:rStyle w:val="StrongEmphasis"/>
                <w:rFonts w:ascii="times new roman" w:hAnsi="times new roman"/>
                <w:sz w:val="20"/>
              </w:rPr>
              <w:t xml:space="preserve">Equity securities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24,661,382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47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348"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24,661,382</w:t>
            </w:r>
          </w:p>
        </w:tc>
        <w:tc>
          <w:tcPr>
            <w:tcW w:w="137" w:type="dxa"/>
            <w:tcBorders/>
            <w:shd w:fill="CCEEFF" w:val="clear"/>
            <w:vAlign w:val="center"/>
          </w:tcPr>
          <w:p>
            <w:pPr>
              <w:pStyle w:val="TableContents"/>
              <w:spacing w:before="0" w:after="0"/>
              <w:ind w:left="0" w:right="0" w:hanging="0"/>
              <w:rPr/>
            </w:pPr>
            <w:r>
              <w:rPr/>
              <w:t> </w:t>
            </w:r>
          </w:p>
        </w:tc>
      </w:tr>
      <w:tr>
        <w:trPr/>
        <w:tc>
          <w:tcPr>
            <w:tcW w:w="447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Total investments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154,733,254</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130" w:type="dxa"/>
            <w:tcBorders>
              <w:bottom w:val="double" w:sz="6" w:space="0" w:color="000000"/>
            </w:tcBorders>
            <w:shd w:fill="FFFFFF" w:val="clear"/>
            <w:tcMar>
              <w:bottom w:w="28" w:type="dxa"/>
            </w:tcMar>
            <w:vAlign w:val="center"/>
          </w:tcPr>
          <w:p>
            <w:pPr>
              <w:pStyle w:val="TableContents"/>
              <w:spacing w:before="0" w:after="283"/>
              <w:jc w:val="right"/>
              <w:rPr/>
            </w:pPr>
            <w:r>
              <w:rPr/>
              <w:t>38,164,309</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475" w:type="dxa"/>
            <w:tcBorders>
              <w:bottom w:val="double" w:sz="6" w:space="0" w:color="000000"/>
            </w:tcBorders>
            <w:shd w:fill="FFFFFF" w:val="clear"/>
            <w:tcMar>
              <w:bottom w:w="28" w:type="dxa"/>
            </w:tcMar>
            <w:vAlign w:val="center"/>
          </w:tcPr>
          <w:p>
            <w:pPr>
              <w:pStyle w:val="TableContents"/>
              <w:spacing w:before="0" w:after="283"/>
              <w:rPr/>
            </w:pPr>
            <w:r>
              <w:rPr/>
              <w:t>$</w:t>
            </w:r>
          </w:p>
        </w:tc>
        <w:tc>
          <w:tcPr>
            <w:tcW w:w="348" w:type="dxa"/>
            <w:tcBorders>
              <w:bottom w:val="double" w:sz="6" w:space="0" w:color="000000"/>
            </w:tcBorders>
            <w:shd w:fill="FFFFFF" w:val="clear"/>
            <w:tcMar>
              <w:bottom w:w="28" w:type="dxa"/>
            </w:tcM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192,897,563</w:t>
            </w:r>
          </w:p>
        </w:tc>
        <w:tc>
          <w:tcPr>
            <w:tcW w:w="137" w:type="dxa"/>
            <w:tcBorders/>
            <w:shd w:fill="FFFF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F-25</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2020 AND 2019</w:t>
      </w:r>
    </w:p>
    <w:p>
      <w:pPr>
        <w:pStyle w:val="TextBody"/>
        <w:spacing w:before="0" w:after="0"/>
        <w:ind w:left="0" w:right="0" w:hanging="0"/>
        <w:jc w:val="center"/>
        <w:rPr/>
      </w:pPr>
      <w:r>
        <w:rPr>
          <w:rStyle w:val="StrongEmphasis"/>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sets forth the Company’s investment in a hedge fund measured at Net Asset Value (“NAV”) per share as of December 31, 2020 and 2019. The Company measures this investment at fair value on a recurring basis.  Fair value using NAV per share is as follows as of the dates indicated:</w:t>
      </w:r>
    </w:p>
    <w:p>
      <w:pPr>
        <w:pStyle w:val="TextBody"/>
        <w:spacing w:before="0" w:after="0"/>
        <w:ind w:left="0" w:right="0" w:hanging="0"/>
        <w:jc w:val="both"/>
        <w:rPr/>
      </w:pPr>
      <w:r>
        <w:rPr/>
        <w:t>  </w:t>
      </w:r>
    </w:p>
    <w:p>
      <w:pPr>
        <w:pStyle w:val="TextBody"/>
        <w:spacing w:before="0" w:after="0"/>
        <w:ind w:left="0" w:right="0" w:hanging="0"/>
        <w:rPr/>
      </w:pPr>
      <w:r>
        <w:rPr/>
        <w:t> </w:t>
      </w:r>
    </w:p>
    <w:p>
      <w:pPr>
        <w:pStyle w:val="TextBody"/>
        <w:spacing w:before="0" w:after="0"/>
        <w:ind w:left="0" w:right="0" w:hanging="0"/>
        <w:rPr/>
      </w:pPr>
      <w:r>
        <w:rPr/>
        <w:t> </w:t>
      </w:r>
    </w:p>
    <w:tbl>
      <w:tblPr>
        <w:tblW w:w="5458" w:type="dxa"/>
        <w:jc w:val="left"/>
        <w:tblInd w:w="0" w:type="dxa"/>
        <w:tblCellMar>
          <w:top w:w="0" w:type="dxa"/>
          <w:left w:w="0" w:type="dxa"/>
          <w:bottom w:w="28" w:type="dxa"/>
          <w:right w:w="0" w:type="dxa"/>
        </w:tblCellMar>
      </w:tblPr>
      <w:tblGrid>
        <w:gridCol w:w="1715"/>
        <w:gridCol w:w="90"/>
        <w:gridCol w:w="240"/>
        <w:gridCol w:w="1429"/>
        <w:gridCol w:w="90"/>
        <w:gridCol w:w="90"/>
        <w:gridCol w:w="240"/>
        <w:gridCol w:w="1429"/>
        <w:gridCol w:w="135"/>
      </w:tblGrid>
      <w:tr>
        <w:trPr/>
        <w:tc>
          <w:tcPr>
            <w:tcW w:w="1715" w:type="dxa"/>
            <w:tcBorders>
              <w:bottom w:val="single" w:sz="2" w:space="0" w:color="000000"/>
            </w:tcBorders>
            <w:shd w:fill="auto" w:val="clear"/>
            <w:vAlign w:val="center"/>
          </w:tcPr>
          <w:p>
            <w:pPr>
              <w:pStyle w:val="TableContents"/>
              <w:spacing w:before="0" w:after="0"/>
              <w:ind w:left="0" w:right="0" w:hanging="0"/>
              <w:rPr/>
            </w:pPr>
            <w:r>
              <w:rPr>
                <w:rStyle w:val="StrongEmphasis"/>
                <w:rFonts w:ascii="times new roman" w:hAnsi="times new roman"/>
                <w:sz w:val="20"/>
              </w:rPr>
              <w:t xml:space="preserve">Category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669"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December 31, 2020</w:t>
            </w:r>
          </w:p>
        </w:tc>
        <w:tc>
          <w:tcPr>
            <w:tcW w:w="90"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669"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December 31, 2019</w:t>
            </w:r>
          </w:p>
        </w:tc>
        <w:tc>
          <w:tcPr>
            <w:tcW w:w="135" w:type="dxa"/>
            <w:tcBorders/>
            <w:shd w:fill="auto" w:val="clear"/>
            <w:tcMar>
              <w:bottom w:w="0" w:type="dxa"/>
            </w:tcMar>
            <w:vAlign w:val="center"/>
          </w:tcPr>
          <w:p>
            <w:pPr>
              <w:pStyle w:val="TableContents"/>
              <w:spacing w:before="0" w:after="0"/>
              <w:ind w:left="0" w:right="0" w:hanging="0"/>
              <w:rPr/>
            </w:pPr>
            <w:r>
              <w:rPr/>
              <w:t> </w:t>
            </w:r>
          </w:p>
        </w:tc>
      </w:tr>
      <w:tr>
        <w:trPr/>
        <w:tc>
          <w:tcPr>
            <w:tcW w:w="171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669" w:type="dxa"/>
            <w:gridSpan w:val="2"/>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669" w:type="dxa"/>
            <w:gridSpan w:val="2"/>
            <w:tcBorders/>
            <w:shd w:fill="auto" w:val="clear"/>
            <w:tcMar>
              <w:bottom w:w="0" w:type="dxa"/>
            </w:tcMar>
            <w:vAlign w:val="center"/>
          </w:tcPr>
          <w:p>
            <w:pPr>
              <w:pStyle w:val="TableContents"/>
              <w:spacing w:before="0" w:after="0"/>
              <w:ind w:left="0" w:right="0" w:hanging="0"/>
              <w:rPr/>
            </w:pPr>
            <w:r>
              <w:rPr/>
              <w:t> </w:t>
            </w:r>
          </w:p>
        </w:tc>
        <w:tc>
          <w:tcPr>
            <w:tcW w:w="135" w:type="dxa"/>
            <w:tcBorders/>
            <w:shd w:fill="auto" w:val="clear"/>
            <w:tcMar>
              <w:bottom w:w="0" w:type="dxa"/>
            </w:tcMar>
            <w:vAlign w:val="center"/>
          </w:tcPr>
          <w:p>
            <w:pPr>
              <w:pStyle w:val="TableContents"/>
              <w:spacing w:before="0" w:after="0"/>
              <w:ind w:left="0" w:right="0" w:hanging="0"/>
              <w:rPr/>
            </w:pPr>
            <w:r>
              <w:rPr/>
              <w:t> </w:t>
            </w:r>
          </w:p>
        </w:tc>
      </w:tr>
      <w:tr>
        <w:trPr/>
        <w:tc>
          <w:tcPr>
            <w:tcW w:w="1715" w:type="dxa"/>
            <w:tcBorders/>
            <w:shd w:fill="auto" w:val="clear"/>
            <w:tcMar>
              <w:bottom w:w="0" w:type="dxa"/>
            </w:tcMar>
            <w:vAlign w:val="center"/>
          </w:tcPr>
          <w:p>
            <w:pPr>
              <w:pStyle w:val="TableContents"/>
              <w:spacing w:before="0" w:after="0"/>
              <w:ind w:left="0" w:right="0" w:hanging="0"/>
              <w:rPr/>
            </w:pPr>
            <w:r>
              <w:rPr>
                <w:rStyle w:val="StrongEmphasis"/>
                <w:rFonts w:ascii="times new roman" w:hAnsi="times new roman"/>
                <w:sz w:val="20"/>
              </w:rPr>
              <w:t xml:space="preserve">Other Investments: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669" w:type="dxa"/>
            <w:gridSpan w:val="2"/>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669" w:type="dxa"/>
            <w:gridSpan w:val="2"/>
            <w:tcBorders/>
            <w:shd w:fill="auto" w:val="clear"/>
            <w:tcMar>
              <w:bottom w:w="0" w:type="dxa"/>
            </w:tcMar>
            <w:vAlign w:val="center"/>
          </w:tcPr>
          <w:p>
            <w:pPr>
              <w:pStyle w:val="TableContents"/>
              <w:spacing w:before="0" w:after="0"/>
              <w:ind w:left="0" w:right="0" w:hanging="0"/>
              <w:rPr/>
            </w:pPr>
            <w:r>
              <w:rPr/>
              <w:t> </w:t>
            </w:r>
          </w:p>
        </w:tc>
        <w:tc>
          <w:tcPr>
            <w:tcW w:w="135" w:type="dxa"/>
            <w:tcBorders/>
            <w:shd w:fill="auto" w:val="clear"/>
            <w:tcMar>
              <w:bottom w:w="0" w:type="dxa"/>
            </w:tcMar>
            <w:vAlign w:val="center"/>
          </w:tcPr>
          <w:p>
            <w:pPr>
              <w:pStyle w:val="TableContents"/>
              <w:spacing w:before="0" w:after="0"/>
              <w:ind w:left="0" w:right="0" w:hanging="0"/>
              <w:rPr/>
            </w:pPr>
            <w:r>
              <w:rPr/>
              <w:t> </w:t>
            </w:r>
          </w:p>
        </w:tc>
      </w:tr>
      <w:tr>
        <w:trPr/>
        <w:tc>
          <w:tcPr>
            <w:tcW w:w="1715"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Hedge fund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240" w:type="dxa"/>
            <w:tcBorders>
              <w:bottom w:val="single" w:sz="2" w:space="0" w:color="000000"/>
            </w:tcBorders>
            <w:shd w:fill="CCEEFF" w:val="clear"/>
            <w:vAlign w:val="center"/>
          </w:tcPr>
          <w:p>
            <w:pPr>
              <w:pStyle w:val="TableContents"/>
              <w:spacing w:before="0" w:after="283"/>
              <w:rPr/>
            </w:pPr>
            <w:r>
              <w:rPr/>
              <w:t>$</w:t>
            </w:r>
          </w:p>
        </w:tc>
        <w:tc>
          <w:tcPr>
            <w:tcW w:w="1429" w:type="dxa"/>
            <w:tcBorders>
              <w:bottom w:val="single" w:sz="2" w:space="0" w:color="000000"/>
            </w:tcBorders>
            <w:shd w:fill="CCEEFF" w:val="clear"/>
            <w:vAlign w:val="center"/>
          </w:tcPr>
          <w:p>
            <w:pPr>
              <w:pStyle w:val="TableContents"/>
              <w:spacing w:before="0" w:after="283"/>
              <w:jc w:val="right"/>
              <w:rPr/>
            </w:pPr>
            <w:r>
              <w:rPr/>
              <w:t>3,518,626</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240" w:type="dxa"/>
            <w:tcBorders>
              <w:bottom w:val="single" w:sz="2" w:space="0" w:color="000000"/>
            </w:tcBorders>
            <w:shd w:fill="CCEEFF" w:val="clear"/>
            <w:vAlign w:val="center"/>
          </w:tcPr>
          <w:p>
            <w:pPr>
              <w:pStyle w:val="TableContents"/>
              <w:spacing w:before="0" w:after="283"/>
              <w:rPr/>
            </w:pPr>
            <w:r>
              <w:rPr/>
              <w:t>$</w:t>
            </w:r>
          </w:p>
        </w:tc>
        <w:tc>
          <w:tcPr>
            <w:tcW w:w="1429" w:type="dxa"/>
            <w:tcBorders>
              <w:bottom w:val="single" w:sz="2" w:space="0" w:color="000000"/>
            </w:tcBorders>
            <w:shd w:fill="CCEEFF" w:val="clear"/>
            <w:vAlign w:val="center"/>
          </w:tcPr>
          <w:p>
            <w:pPr>
              <w:pStyle w:val="TableContents"/>
              <w:spacing w:before="0" w:after="283"/>
              <w:jc w:val="right"/>
              <w:rPr/>
            </w:pPr>
            <w:r>
              <w:rPr/>
              <w:t>2,584,913</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1715" w:type="dxa"/>
            <w:tcBorders/>
            <w:shd w:fill="FFFF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Total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240" w:type="dxa"/>
            <w:tcBorders>
              <w:bottom w:val="double" w:sz="6" w:space="0" w:color="000000"/>
            </w:tcBorders>
            <w:shd w:fill="FFFFFF" w:val="clear"/>
            <w:vAlign w:val="center"/>
          </w:tcPr>
          <w:p>
            <w:pPr>
              <w:pStyle w:val="TableContents"/>
              <w:spacing w:before="0" w:after="283"/>
              <w:rPr/>
            </w:pPr>
            <w:r>
              <w:rPr/>
              <w:t>$</w:t>
            </w:r>
          </w:p>
        </w:tc>
        <w:tc>
          <w:tcPr>
            <w:tcW w:w="1429" w:type="dxa"/>
            <w:tcBorders>
              <w:bottom w:val="double" w:sz="6" w:space="0" w:color="000000"/>
            </w:tcBorders>
            <w:shd w:fill="FFFFFF" w:val="clear"/>
            <w:vAlign w:val="center"/>
          </w:tcPr>
          <w:p>
            <w:pPr>
              <w:pStyle w:val="TableContents"/>
              <w:spacing w:before="0" w:after="283"/>
              <w:jc w:val="right"/>
              <w:rPr/>
            </w:pPr>
            <w:r>
              <w:rPr/>
              <w:t>3,518,626</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240" w:type="dxa"/>
            <w:tcBorders>
              <w:bottom w:val="double" w:sz="6" w:space="0" w:color="000000"/>
            </w:tcBorders>
            <w:shd w:fill="FFFFFF" w:val="clear"/>
            <w:vAlign w:val="center"/>
          </w:tcPr>
          <w:p>
            <w:pPr>
              <w:pStyle w:val="TableContents"/>
              <w:spacing w:before="0" w:after="283"/>
              <w:rPr/>
            </w:pPr>
            <w:r>
              <w:rPr/>
              <w:t>$</w:t>
            </w:r>
          </w:p>
        </w:tc>
        <w:tc>
          <w:tcPr>
            <w:tcW w:w="1429" w:type="dxa"/>
            <w:tcBorders>
              <w:bottom w:val="double" w:sz="6" w:space="0" w:color="000000"/>
            </w:tcBorders>
            <w:shd w:fill="FFFFFF" w:val="clear"/>
            <w:vAlign w:val="center"/>
          </w:tcPr>
          <w:p>
            <w:pPr>
              <w:pStyle w:val="TableContents"/>
              <w:spacing w:before="0" w:after="283"/>
              <w:jc w:val="right"/>
              <w:rPr/>
            </w:pPr>
            <w:r>
              <w:rPr/>
              <w:t>2,584,913</w:t>
            </w:r>
          </w:p>
        </w:tc>
        <w:tc>
          <w:tcPr>
            <w:tcW w:w="135" w:type="dxa"/>
            <w:tcBorders/>
            <w:shd w:fill="FFFFFF" w:val="clear"/>
            <w:tcMar>
              <w:bottom w:w="0" w:type="dxa"/>
            </w:tcM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investment is generally redeemable with at least 45 days prior written notice.  The hedge fund investment is accounted for as a limited partnership by the Company. Revenue is earned based upon the Company’s allocated share of the partnership's changes in unrealized gains and losses to its partners. Such amounts have been recorded in the accompanying consolidated statements of operations and comprehensive income within net gains (losses) on investments.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estimated fair value and the level of the fair value hierarchy of the Company’s long-term debt as of December 31, 2020 and 2019, which is not measured at fair value is as follows:</w:t>
      </w:r>
    </w:p>
    <w:p>
      <w:pPr>
        <w:pStyle w:val="TextBody"/>
        <w:spacing w:before="0" w:after="0"/>
        <w:ind w:left="0" w:right="0" w:hanging="0"/>
        <w:jc w:val="both"/>
        <w:rPr/>
      </w:pPr>
      <w:r>
        <w:rPr/>
        <w:t> </w:t>
      </w:r>
    </w:p>
    <w:p>
      <w:pPr>
        <w:pStyle w:val="TextBody"/>
        <w:spacing w:before="0" w:after="0"/>
        <w:ind w:left="0" w:right="0" w:hanging="0"/>
        <w:rPr/>
      </w:pPr>
      <w:r>
        <w:rPr/>
        <w:t> </w:t>
      </w:r>
    </w:p>
    <w:tbl>
      <w:tblPr>
        <w:tblW w:w="6978" w:type="dxa"/>
        <w:jc w:val="left"/>
        <w:tblInd w:w="0" w:type="dxa"/>
        <w:tblCellMar>
          <w:top w:w="0" w:type="dxa"/>
          <w:left w:w="0" w:type="dxa"/>
          <w:bottom w:w="0" w:type="dxa"/>
          <w:right w:w="0" w:type="dxa"/>
        </w:tblCellMar>
      </w:tblPr>
      <w:tblGrid>
        <w:gridCol w:w="1955"/>
        <w:gridCol w:w="90"/>
        <w:gridCol w:w="478"/>
        <w:gridCol w:w="351"/>
        <w:gridCol w:w="90"/>
        <w:gridCol w:w="90"/>
        <w:gridCol w:w="170"/>
        <w:gridCol w:w="1130"/>
        <w:gridCol w:w="90"/>
        <w:gridCol w:w="90"/>
        <w:gridCol w:w="478"/>
        <w:gridCol w:w="351"/>
        <w:gridCol w:w="90"/>
        <w:gridCol w:w="90"/>
        <w:gridCol w:w="170"/>
        <w:gridCol w:w="1130"/>
        <w:gridCol w:w="135"/>
      </w:tblGrid>
      <w:tr>
        <w:trPr/>
        <w:tc>
          <w:tcPr>
            <w:tcW w:w="195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4798" w:type="dxa"/>
            <w:gridSpan w:val="14"/>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2020</w:t>
            </w:r>
          </w:p>
        </w:tc>
        <w:tc>
          <w:tcPr>
            <w:tcW w:w="135" w:type="dxa"/>
            <w:tcBorders/>
            <w:shd w:fill="auto" w:val="clear"/>
            <w:vAlign w:val="center"/>
          </w:tcPr>
          <w:p>
            <w:pPr>
              <w:pStyle w:val="TableContents"/>
              <w:spacing w:before="0" w:after="0"/>
              <w:ind w:left="0" w:right="0" w:hanging="0"/>
              <w:rPr/>
            </w:pPr>
            <w:r>
              <w:rPr/>
              <w:t> </w:t>
            </w:r>
          </w:p>
        </w:tc>
      </w:tr>
      <w:tr>
        <w:trPr/>
        <w:tc>
          <w:tcPr>
            <w:tcW w:w="195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2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Level 1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Level 2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2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Level 3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Total  </w:t>
            </w:r>
          </w:p>
        </w:tc>
        <w:tc>
          <w:tcPr>
            <w:tcW w:w="135" w:type="dxa"/>
            <w:tcBorders/>
            <w:shd w:fill="auto" w:val="clear"/>
            <w:vAlign w:val="center"/>
          </w:tcPr>
          <w:p>
            <w:pPr>
              <w:pStyle w:val="TableContents"/>
              <w:spacing w:before="0" w:after="0"/>
              <w:ind w:left="0" w:right="0" w:hanging="0"/>
              <w:rPr/>
            </w:pPr>
            <w:r>
              <w:rPr/>
              <w:t> </w:t>
            </w:r>
          </w:p>
        </w:tc>
      </w:tr>
      <w:tr>
        <w:trPr/>
        <w:tc>
          <w:tcPr>
            <w:tcW w:w="1955" w:type="dxa"/>
            <w:tcBorders/>
            <w:shd w:fill="auto" w:val="clear"/>
            <w:vAlign w:val="center"/>
          </w:tcPr>
          <w:p>
            <w:pPr>
              <w:pStyle w:val="TableContents"/>
              <w:spacing w:before="0" w:after="0"/>
              <w:ind w:left="0" w:right="0" w:hanging="0"/>
              <w:rPr/>
            </w:pPr>
            <w:r>
              <w:rPr>
                <w:rStyle w:val="StrongEmphasis"/>
                <w:rFonts w:ascii="times new roman" w:hAnsi="times new roman"/>
                <w:sz w:val="20"/>
              </w:rPr>
              <w:t xml:space="preserve">Long-term debt </w:t>
            </w:r>
          </w:p>
        </w:tc>
        <w:tc>
          <w:tcPr>
            <w:tcW w:w="90" w:type="dxa"/>
            <w:tcBorders/>
            <w:shd w:fill="auto" w:val="clear"/>
            <w:vAlign w:val="center"/>
          </w:tcPr>
          <w:p>
            <w:pPr>
              <w:pStyle w:val="TableContents"/>
              <w:spacing w:before="0" w:after="0"/>
              <w:ind w:left="0" w:right="0" w:hanging="0"/>
              <w:rPr/>
            </w:pPr>
            <w:r>
              <w:rPr/>
              <w:t> </w:t>
            </w:r>
          </w:p>
        </w:tc>
        <w:tc>
          <w:tcPr>
            <w:tcW w:w="829"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c>
          <w:tcPr>
            <w:tcW w:w="3754" w:type="dxa"/>
            <w:gridSpan w:val="10"/>
            <w:tcBorders/>
            <w:shd w:fill="auto" w:val="clear"/>
            <w:vAlign w:val="center"/>
          </w:tcPr>
          <w:p>
            <w:pPr>
              <w:pStyle w:val="TableContents"/>
              <w:spacing w:before="0" w:after="0"/>
              <w:ind w:left="0" w:right="0" w:hanging="0"/>
              <w:rPr/>
            </w:pPr>
            <w:r>
              <w:rPr/>
              <w:t> </w:t>
            </w:r>
          </w:p>
        </w:tc>
      </w:tr>
      <w:tr>
        <w:trPr/>
        <w:tc>
          <w:tcPr>
            <w:tcW w:w="195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29"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29"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195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Senior Notes due 2022 </w:t>
            </w:r>
          </w:p>
        </w:tc>
        <w:tc>
          <w:tcPr>
            <w:tcW w:w="90" w:type="dxa"/>
            <w:tcBorders/>
            <w:shd w:fill="CCEEFF" w:val="clear"/>
            <w:vAlign w:val="center"/>
          </w:tcPr>
          <w:p>
            <w:pPr>
              <w:pStyle w:val="TableContents"/>
              <w:spacing w:before="0" w:after="0"/>
              <w:ind w:left="0" w:right="0" w:hanging="0"/>
              <w:rPr/>
            </w:pPr>
            <w:r>
              <w:rPr/>
              <w:t> </w:t>
            </w:r>
          </w:p>
        </w:tc>
        <w:tc>
          <w:tcPr>
            <w:tcW w:w="478" w:type="dxa"/>
            <w:tcBorders/>
            <w:shd w:fill="CCEEFF" w:val="clear"/>
            <w:vAlign w:val="center"/>
          </w:tcPr>
          <w:p>
            <w:pPr>
              <w:pStyle w:val="TableContents"/>
              <w:spacing w:before="0" w:after="283"/>
              <w:rPr/>
            </w:pPr>
            <w:r>
              <w:rPr/>
              <w:t>$</w:t>
            </w:r>
          </w:p>
        </w:tc>
        <w:tc>
          <w:tcPr>
            <w:tcW w:w="351"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27,272,727</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478" w:type="dxa"/>
            <w:tcBorders/>
            <w:shd w:fill="CCEEFF" w:val="clear"/>
            <w:vAlign w:val="center"/>
          </w:tcPr>
          <w:p>
            <w:pPr>
              <w:pStyle w:val="TableContents"/>
              <w:spacing w:before="0" w:after="283"/>
              <w:rPr/>
            </w:pPr>
            <w:r>
              <w:rPr/>
              <w:t>$</w:t>
            </w:r>
          </w:p>
        </w:tc>
        <w:tc>
          <w:tcPr>
            <w:tcW w:w="351"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27,272,727</w:t>
            </w:r>
          </w:p>
        </w:tc>
        <w:tc>
          <w:tcPr>
            <w:tcW w:w="135"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r>
        <w:rPr>
          <w:rStyle w:val="StrongEmphasis"/>
        </w:rPr>
        <w:t> </w:t>
      </w:r>
    </w:p>
    <w:p>
      <w:pPr>
        <w:pStyle w:val="TextBody"/>
        <w:spacing w:before="0" w:after="0"/>
        <w:ind w:left="0" w:right="0" w:hanging="0"/>
        <w:rPr/>
      </w:pPr>
      <w:r>
        <w:rPr/>
        <w:t> </w:t>
      </w:r>
    </w:p>
    <w:tbl>
      <w:tblPr>
        <w:tblW w:w="6978" w:type="dxa"/>
        <w:jc w:val="left"/>
        <w:tblInd w:w="0" w:type="dxa"/>
        <w:tblCellMar>
          <w:top w:w="0" w:type="dxa"/>
          <w:left w:w="0" w:type="dxa"/>
          <w:bottom w:w="0" w:type="dxa"/>
          <w:right w:w="0" w:type="dxa"/>
        </w:tblCellMar>
      </w:tblPr>
      <w:tblGrid>
        <w:gridCol w:w="1955"/>
        <w:gridCol w:w="90"/>
        <w:gridCol w:w="478"/>
        <w:gridCol w:w="351"/>
        <w:gridCol w:w="90"/>
        <w:gridCol w:w="90"/>
        <w:gridCol w:w="170"/>
        <w:gridCol w:w="1130"/>
        <w:gridCol w:w="90"/>
        <w:gridCol w:w="90"/>
        <w:gridCol w:w="478"/>
        <w:gridCol w:w="351"/>
        <w:gridCol w:w="90"/>
        <w:gridCol w:w="90"/>
        <w:gridCol w:w="170"/>
        <w:gridCol w:w="1130"/>
        <w:gridCol w:w="135"/>
      </w:tblGrid>
      <w:tr>
        <w:trPr/>
        <w:tc>
          <w:tcPr>
            <w:tcW w:w="195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4798" w:type="dxa"/>
            <w:gridSpan w:val="14"/>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2019</w:t>
            </w:r>
          </w:p>
        </w:tc>
        <w:tc>
          <w:tcPr>
            <w:tcW w:w="135" w:type="dxa"/>
            <w:tcBorders/>
            <w:shd w:fill="auto" w:val="clear"/>
            <w:vAlign w:val="center"/>
          </w:tcPr>
          <w:p>
            <w:pPr>
              <w:pStyle w:val="TableContents"/>
              <w:spacing w:before="0" w:after="0"/>
              <w:ind w:left="0" w:right="0" w:hanging="0"/>
              <w:rPr/>
            </w:pPr>
            <w:r>
              <w:rPr/>
              <w:t> </w:t>
            </w:r>
          </w:p>
        </w:tc>
      </w:tr>
      <w:tr>
        <w:trPr/>
        <w:tc>
          <w:tcPr>
            <w:tcW w:w="195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2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Level 1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Level 2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2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Level 3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Total  </w:t>
            </w:r>
          </w:p>
        </w:tc>
        <w:tc>
          <w:tcPr>
            <w:tcW w:w="135" w:type="dxa"/>
            <w:tcBorders/>
            <w:shd w:fill="auto" w:val="clear"/>
            <w:vAlign w:val="center"/>
          </w:tcPr>
          <w:p>
            <w:pPr>
              <w:pStyle w:val="TableContents"/>
              <w:spacing w:before="0" w:after="0"/>
              <w:ind w:left="0" w:right="0" w:hanging="0"/>
              <w:rPr/>
            </w:pPr>
            <w:r>
              <w:rPr/>
              <w:t> </w:t>
            </w:r>
          </w:p>
        </w:tc>
      </w:tr>
      <w:tr>
        <w:trPr/>
        <w:tc>
          <w:tcPr>
            <w:tcW w:w="1955" w:type="dxa"/>
            <w:tcBorders/>
            <w:shd w:fill="auto" w:val="clear"/>
            <w:vAlign w:val="center"/>
          </w:tcPr>
          <w:p>
            <w:pPr>
              <w:pStyle w:val="TableContents"/>
              <w:spacing w:before="0" w:after="0"/>
              <w:ind w:left="0" w:right="0" w:hanging="0"/>
              <w:rPr/>
            </w:pPr>
            <w:r>
              <w:rPr>
                <w:rStyle w:val="StrongEmphasis"/>
                <w:rFonts w:ascii="times new roman" w:hAnsi="times new roman"/>
                <w:sz w:val="20"/>
              </w:rPr>
              <w:t xml:space="preserve">Long-term debt </w:t>
            </w:r>
          </w:p>
        </w:tc>
        <w:tc>
          <w:tcPr>
            <w:tcW w:w="90" w:type="dxa"/>
            <w:tcBorders/>
            <w:shd w:fill="auto" w:val="clear"/>
            <w:vAlign w:val="center"/>
          </w:tcPr>
          <w:p>
            <w:pPr>
              <w:pStyle w:val="TableContents"/>
              <w:spacing w:before="0" w:after="0"/>
              <w:ind w:left="0" w:right="0" w:hanging="0"/>
              <w:rPr/>
            </w:pPr>
            <w:r>
              <w:rPr/>
              <w:t> </w:t>
            </w:r>
          </w:p>
        </w:tc>
        <w:tc>
          <w:tcPr>
            <w:tcW w:w="829"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c>
          <w:tcPr>
            <w:tcW w:w="3754" w:type="dxa"/>
            <w:gridSpan w:val="10"/>
            <w:tcBorders/>
            <w:shd w:fill="auto" w:val="clear"/>
            <w:vAlign w:val="center"/>
          </w:tcPr>
          <w:p>
            <w:pPr>
              <w:pStyle w:val="TableContents"/>
              <w:spacing w:before="0" w:after="0"/>
              <w:ind w:left="0" w:right="0" w:hanging="0"/>
              <w:rPr/>
            </w:pPr>
            <w:r>
              <w:rPr/>
              <w:t> </w:t>
            </w:r>
          </w:p>
        </w:tc>
      </w:tr>
      <w:tr>
        <w:trPr/>
        <w:tc>
          <w:tcPr>
            <w:tcW w:w="195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29"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29"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195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Senior Notes due 2022 </w:t>
            </w:r>
          </w:p>
        </w:tc>
        <w:tc>
          <w:tcPr>
            <w:tcW w:w="90" w:type="dxa"/>
            <w:tcBorders/>
            <w:shd w:fill="CCEEFF" w:val="clear"/>
            <w:vAlign w:val="center"/>
          </w:tcPr>
          <w:p>
            <w:pPr>
              <w:pStyle w:val="TableContents"/>
              <w:spacing w:before="0" w:after="0"/>
              <w:ind w:left="0" w:right="0" w:hanging="0"/>
              <w:rPr/>
            </w:pPr>
            <w:r>
              <w:rPr/>
              <w:t> </w:t>
            </w:r>
          </w:p>
        </w:tc>
        <w:tc>
          <w:tcPr>
            <w:tcW w:w="478" w:type="dxa"/>
            <w:tcBorders/>
            <w:shd w:fill="CCEEFF" w:val="clear"/>
            <w:vAlign w:val="center"/>
          </w:tcPr>
          <w:p>
            <w:pPr>
              <w:pStyle w:val="TableContents"/>
              <w:spacing w:before="0" w:after="283"/>
              <w:rPr/>
            </w:pPr>
            <w:r>
              <w:rPr/>
              <w:t>$</w:t>
            </w:r>
          </w:p>
        </w:tc>
        <w:tc>
          <w:tcPr>
            <w:tcW w:w="351"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27,313,994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478" w:type="dxa"/>
            <w:tcBorders/>
            <w:shd w:fill="CCEEFF" w:val="clear"/>
            <w:vAlign w:val="center"/>
          </w:tcPr>
          <w:p>
            <w:pPr>
              <w:pStyle w:val="TableContents"/>
              <w:spacing w:before="0" w:after="283"/>
              <w:rPr/>
            </w:pPr>
            <w:r>
              <w:rPr/>
              <w:t>$</w:t>
            </w:r>
          </w:p>
        </w:tc>
        <w:tc>
          <w:tcPr>
            <w:tcW w:w="351"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27,313,994</w:t>
            </w:r>
          </w:p>
        </w:tc>
        <w:tc>
          <w:tcPr>
            <w:tcW w:w="135"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fair value of long-term debt is estimated based on observable market prices when available. When observable market prices are not available, the fair values of debt are based on observable market prices of comparable instruments adjusted for differences between the observed instruments and the instruments being valued or is estimated using discounted cash flow analyses, based on current incremental borrowing rates for similar types of borrowing arrangements.</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Note 5 - Fair Value of Financial Instruments and Real Estate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Company uses the following methods and assumptions in estimating the fair value of financial instruments and real estate: </w:t>
      </w:r>
    </w:p>
    <w:p>
      <w:pPr>
        <w:pStyle w:val="TextBody"/>
        <w:spacing w:before="0" w:after="0"/>
        <w:ind w:left="0" w:right="0" w:hanging="0"/>
        <w:jc w:val="both"/>
        <w:rPr/>
      </w:pPr>
      <w:r>
        <w:rPr/>
        <w:t> </w:t>
      </w:r>
    </w:p>
    <w:p>
      <w:pPr>
        <w:pStyle w:val="TextBody"/>
        <w:spacing w:before="0" w:after="0"/>
        <w:ind w:left="0" w:right="0" w:hanging="0"/>
        <w:jc w:val="both"/>
        <w:rPr/>
      </w:pPr>
      <w:r>
        <w:rPr>
          <w:rStyle w:val="Emphasis"/>
          <w:rFonts w:ascii="times new roman" w:hAnsi="times new roman"/>
          <w:sz w:val="20"/>
        </w:rPr>
        <w:t>Equity securities, available-for-sale fixed income securities and other investments:</w:t>
      </w:r>
      <w:r>
        <w:rPr>
          <w:rStyle w:val="StrongEmphasis"/>
          <w:rFonts w:ascii="times new roman" w:hAnsi="times new roman"/>
          <w:sz w:val="20"/>
        </w:rPr>
        <w:t>  </w:t>
      </w:r>
      <w:r>
        <w:rPr>
          <w:rFonts w:ascii="times new roman" w:hAnsi="times new roman"/>
          <w:sz w:val="20"/>
        </w:rPr>
        <w:t xml:space="preserve">Fair value disclosures for these investments are included in “Note 3 - Investments” and “Note 4 – Fair Value Measurements”.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F-26</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2020 AND 2019</w:t>
      </w:r>
    </w:p>
    <w:p>
      <w:pPr>
        <w:pStyle w:val="TextBody"/>
        <w:spacing w:before="0" w:after="0"/>
        <w:ind w:left="0" w:right="0" w:hanging="0"/>
        <w:jc w:val="center"/>
        <w:rPr/>
      </w:pPr>
      <w:r>
        <w:rPr/>
        <w:t> </w:t>
      </w:r>
    </w:p>
    <w:p>
      <w:pPr>
        <w:pStyle w:val="TextBody"/>
        <w:spacing w:before="0" w:after="0"/>
        <w:ind w:left="0" w:right="0" w:hanging="0"/>
        <w:jc w:val="both"/>
        <w:rPr/>
      </w:pPr>
      <w:r>
        <w:rPr>
          <w:rStyle w:val="Emphasis"/>
          <w:rFonts w:ascii="times new roman" w:hAnsi="times new roman"/>
          <w:sz w:val="20"/>
        </w:rPr>
        <w:t>Cash and cash equivalents:</w:t>
      </w:r>
      <w:r>
        <w:rPr>
          <w:rFonts w:ascii="times new roman" w:hAnsi="times new roman"/>
          <w:sz w:val="20"/>
        </w:rPr>
        <w:t xml:space="preserve"> The carrying values of cash and cash equivalents approximate their fair values because of the short-term nature of these instruments.</w:t>
      </w:r>
    </w:p>
    <w:p>
      <w:pPr>
        <w:pStyle w:val="TextBody"/>
        <w:spacing w:before="0" w:after="0"/>
        <w:ind w:left="0" w:right="0" w:hanging="0"/>
        <w:jc w:val="both"/>
        <w:rPr/>
      </w:pPr>
      <w:r>
        <w:rPr/>
        <w:t> </w:t>
      </w:r>
    </w:p>
    <w:p>
      <w:pPr>
        <w:pStyle w:val="TextBody"/>
        <w:spacing w:before="0" w:after="0"/>
        <w:ind w:left="0" w:right="0" w:hanging="0"/>
        <w:jc w:val="both"/>
        <w:rPr/>
      </w:pPr>
      <w:r>
        <w:rPr>
          <w:rStyle w:val="Emphasis"/>
          <w:rFonts w:ascii="times new roman" w:hAnsi="times new roman"/>
          <w:sz w:val="20"/>
        </w:rPr>
        <w:t>Premiums receivable and reinsurance receivables:</w:t>
      </w:r>
      <w:r>
        <w:rPr>
          <w:rFonts w:ascii="times new roman" w:hAnsi="times new roman"/>
          <w:sz w:val="20"/>
        </w:rPr>
        <w:t>  The carrying values reported in the accompanying consolidated balance sheets for these financial instruments approximate their fair values due to the short-term nature of the assets.</w:t>
      </w:r>
    </w:p>
    <w:p>
      <w:pPr>
        <w:pStyle w:val="TextBody"/>
        <w:spacing w:before="0" w:after="0"/>
        <w:ind w:left="0" w:right="0" w:hanging="0"/>
        <w:jc w:val="both"/>
        <w:rPr/>
      </w:pPr>
      <w:r>
        <w:rPr/>
        <w:t> </w:t>
      </w:r>
    </w:p>
    <w:p>
      <w:pPr>
        <w:pStyle w:val="TextBody"/>
        <w:spacing w:before="0" w:after="0"/>
        <w:ind w:left="0" w:right="0" w:hanging="0"/>
        <w:jc w:val="both"/>
        <w:rPr/>
      </w:pPr>
      <w:r>
        <w:rPr>
          <w:rStyle w:val="Emphasis"/>
          <w:rFonts w:ascii="times new roman" w:hAnsi="times new roman"/>
          <w:sz w:val="20"/>
        </w:rPr>
        <w:t>Real estate:</w:t>
      </w:r>
      <w:r>
        <w:rPr>
          <w:rFonts w:ascii="times new roman" w:hAnsi="times new roman"/>
          <w:sz w:val="20"/>
        </w:rPr>
        <w:t xml:space="preserve"> The estimated fair value was based on an appraisal prepared using the sales comparison approach, and accordingly the real estate is a Level 3 asset under the fair value hierarchy.</w:t>
      </w:r>
    </w:p>
    <w:p>
      <w:pPr>
        <w:pStyle w:val="TextBody"/>
        <w:spacing w:before="0" w:after="0"/>
        <w:ind w:left="0" w:right="0" w:hanging="0"/>
        <w:jc w:val="both"/>
        <w:rPr/>
      </w:pPr>
      <w:r>
        <w:rPr/>
        <w:t> </w:t>
      </w:r>
    </w:p>
    <w:p>
      <w:pPr>
        <w:pStyle w:val="TextBody"/>
        <w:spacing w:before="0" w:after="0"/>
        <w:ind w:left="0" w:right="0" w:hanging="0"/>
        <w:jc w:val="both"/>
        <w:rPr/>
      </w:pPr>
      <w:r>
        <w:rPr>
          <w:rStyle w:val="Emphasis"/>
          <w:rFonts w:ascii="times new roman" w:hAnsi="times new roman"/>
          <w:sz w:val="20"/>
        </w:rPr>
        <w:t>Reinsurance balances payable:</w:t>
      </w:r>
      <w:r>
        <w:rPr>
          <w:rFonts w:ascii="times new roman" w:hAnsi="times new roman"/>
          <w:sz w:val="20"/>
        </w:rPr>
        <w:t>  The carrying value reported in the consolidated balance sheets for these financial instruments approximates fair value.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estimated fair values of the Company’s financial instruments and real estate as of December 31, 2020 and 2019 are as follows:</w:t>
      </w:r>
    </w:p>
    <w:p>
      <w:pPr>
        <w:pStyle w:val="TextBody"/>
        <w:spacing w:before="0" w:after="0"/>
        <w:ind w:left="0" w:right="0" w:hanging="0"/>
        <w:jc w:val="both"/>
        <w:rPr/>
      </w:pPr>
      <w:r>
        <w:rPr/>
        <w:t xml:space="preserve">  </w:t>
      </w:r>
    </w:p>
    <w:p>
      <w:pPr>
        <w:pStyle w:val="TextBody"/>
        <w:spacing w:before="0" w:after="0"/>
        <w:ind w:left="0" w:right="0" w:hanging="0"/>
        <w:rPr/>
      </w:pPr>
      <w:r>
        <w:rPr/>
        <w:t> </w:t>
      </w:r>
    </w:p>
    <w:tbl>
      <w:tblPr>
        <w:tblW w:w="9660" w:type="dxa"/>
        <w:jc w:val="left"/>
        <w:tblInd w:w="0" w:type="dxa"/>
        <w:tblCellMar>
          <w:top w:w="0" w:type="dxa"/>
          <w:left w:w="0" w:type="dxa"/>
          <w:bottom w:w="0" w:type="dxa"/>
          <w:right w:w="0" w:type="dxa"/>
        </w:tblCellMar>
      </w:tblPr>
      <w:tblGrid>
        <w:gridCol w:w="3695"/>
        <w:gridCol w:w="90"/>
        <w:gridCol w:w="170"/>
        <w:gridCol w:w="1130"/>
        <w:gridCol w:w="90"/>
        <w:gridCol w:w="90"/>
        <w:gridCol w:w="170"/>
        <w:gridCol w:w="1130"/>
        <w:gridCol w:w="90"/>
        <w:gridCol w:w="90"/>
        <w:gridCol w:w="170"/>
        <w:gridCol w:w="1130"/>
        <w:gridCol w:w="90"/>
        <w:gridCol w:w="90"/>
        <w:gridCol w:w="170"/>
        <w:gridCol w:w="1130"/>
        <w:gridCol w:w="135"/>
      </w:tblGrid>
      <w:tr>
        <w:trPr/>
        <w:tc>
          <w:tcPr>
            <w:tcW w:w="369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780"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2020</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780"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2019</w:t>
            </w:r>
          </w:p>
        </w:tc>
        <w:tc>
          <w:tcPr>
            <w:tcW w:w="135" w:type="dxa"/>
            <w:tcBorders/>
            <w:shd w:fill="auto" w:val="clear"/>
            <w:vAlign w:val="center"/>
          </w:tcPr>
          <w:p>
            <w:pPr>
              <w:pStyle w:val="TableContents"/>
              <w:spacing w:before="0" w:after="0"/>
              <w:ind w:left="0" w:right="0" w:hanging="0"/>
              <w:rPr/>
            </w:pPr>
            <w:r>
              <w:rPr/>
              <w:t> </w:t>
            </w:r>
          </w:p>
        </w:tc>
      </w:tr>
      <w:tr>
        <w:trPr/>
        <w:tc>
          <w:tcPr>
            <w:tcW w:w="369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Carrying</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Estimated</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Carrying</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Estimated</w:t>
            </w:r>
          </w:p>
        </w:tc>
        <w:tc>
          <w:tcPr>
            <w:tcW w:w="135" w:type="dxa"/>
            <w:tcBorders/>
            <w:shd w:fill="auto" w:val="clear"/>
            <w:vAlign w:val="center"/>
          </w:tcPr>
          <w:p>
            <w:pPr>
              <w:pStyle w:val="TableContents"/>
              <w:spacing w:before="0" w:after="0"/>
              <w:ind w:left="0" w:right="0" w:hanging="0"/>
              <w:rPr/>
            </w:pPr>
            <w:r>
              <w:rPr/>
              <w:t> </w:t>
            </w:r>
          </w:p>
        </w:tc>
      </w:tr>
      <w:tr>
        <w:trPr/>
        <w:tc>
          <w:tcPr>
            <w:tcW w:w="369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Value</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Fair Value</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Value</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Fair Value</w:t>
            </w:r>
          </w:p>
        </w:tc>
        <w:tc>
          <w:tcPr>
            <w:tcW w:w="135" w:type="dxa"/>
            <w:tcBorders/>
            <w:shd w:fill="auto" w:val="clear"/>
            <w:vAlign w:val="center"/>
          </w:tcPr>
          <w:p>
            <w:pPr>
              <w:pStyle w:val="TableContents"/>
              <w:spacing w:before="0" w:after="0"/>
              <w:ind w:left="0" w:right="0" w:hanging="0"/>
              <w:rPr/>
            </w:pPr>
            <w:r>
              <w:rPr/>
              <w:t> </w:t>
            </w:r>
          </w:p>
        </w:tc>
      </w:tr>
      <w:tr>
        <w:trPr/>
        <w:tc>
          <w:tcPr>
            <w:tcW w:w="369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525" w:type="dxa"/>
            <w:gridSpan w:val="4"/>
            <w:tcBorders/>
            <w:shd w:fill="auto" w:val="clear"/>
            <w:vAlign w:val="center"/>
          </w:tcPr>
          <w:p>
            <w:pPr>
              <w:pStyle w:val="TableContents"/>
              <w:spacing w:before="0" w:after="0"/>
              <w:ind w:left="0" w:right="0" w:hanging="0"/>
              <w:rPr/>
            </w:pPr>
            <w:r>
              <w:rPr/>
              <w:t> </w:t>
            </w:r>
          </w:p>
        </w:tc>
      </w:tr>
      <w:tr>
        <w:trPr/>
        <w:tc>
          <w:tcPr>
            <w:tcW w:w="369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Fixed-maturity securities-held-to maturity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7,368,815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8,194,824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3,825,952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4,124,767</w:t>
            </w:r>
          </w:p>
        </w:tc>
        <w:tc>
          <w:tcPr>
            <w:tcW w:w="135" w:type="dxa"/>
            <w:tcBorders/>
            <w:shd w:fill="CCEEFF" w:val="clear"/>
            <w:vAlign w:val="center"/>
          </w:tcPr>
          <w:p>
            <w:pPr>
              <w:pStyle w:val="TableContents"/>
              <w:spacing w:before="0" w:after="0"/>
              <w:ind w:left="0" w:right="0" w:hanging="0"/>
              <w:rPr/>
            </w:pPr>
            <w:r>
              <w:rPr/>
              <w:t> </w:t>
            </w:r>
          </w:p>
        </w:tc>
      </w:tr>
      <w:tr>
        <w:trPr/>
        <w:tc>
          <w:tcPr>
            <w:tcW w:w="369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Cash and cash equivalents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130" w:type="dxa"/>
            <w:tcBorders/>
            <w:shd w:fill="FFFFFF" w:val="clear"/>
            <w:vAlign w:val="center"/>
          </w:tcPr>
          <w:p>
            <w:pPr>
              <w:pStyle w:val="TableContents"/>
              <w:spacing w:before="0" w:after="283"/>
              <w:jc w:val="right"/>
              <w:rPr/>
            </w:pPr>
            <w:r>
              <w:rPr/>
              <w:t>19,463,742</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130" w:type="dxa"/>
            <w:tcBorders/>
            <w:shd w:fill="FFFFFF" w:val="clear"/>
            <w:vAlign w:val="center"/>
          </w:tcPr>
          <w:p>
            <w:pPr>
              <w:pStyle w:val="TableContents"/>
              <w:spacing w:before="0" w:after="283"/>
              <w:jc w:val="right"/>
              <w:rPr/>
            </w:pPr>
            <w:r>
              <w:rPr/>
              <w:t>19,463,742</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130" w:type="dxa"/>
            <w:tcBorders/>
            <w:shd w:fill="FFFFFF" w:val="clear"/>
            <w:vAlign w:val="center"/>
          </w:tcPr>
          <w:p>
            <w:pPr>
              <w:pStyle w:val="TableContents"/>
              <w:spacing w:before="0" w:after="283"/>
              <w:jc w:val="right"/>
              <w:rPr/>
            </w:pPr>
            <w:r>
              <w:rPr/>
              <w:t>32,391,485</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130" w:type="dxa"/>
            <w:tcBorders/>
            <w:shd w:fill="FFFFFF" w:val="clear"/>
            <w:vAlign w:val="center"/>
          </w:tcPr>
          <w:p>
            <w:pPr>
              <w:pStyle w:val="TableContents"/>
              <w:spacing w:before="0" w:after="283"/>
              <w:jc w:val="right"/>
              <w:rPr/>
            </w:pPr>
            <w:r>
              <w:rPr/>
              <w:t>32,391,485</w:t>
            </w:r>
          </w:p>
        </w:tc>
        <w:tc>
          <w:tcPr>
            <w:tcW w:w="135" w:type="dxa"/>
            <w:tcBorders/>
            <w:shd w:fill="FFFFFF" w:val="clear"/>
            <w:vAlign w:val="center"/>
          </w:tcPr>
          <w:p>
            <w:pPr>
              <w:pStyle w:val="TableContents"/>
              <w:spacing w:before="0" w:after="0"/>
              <w:ind w:left="0" w:right="0" w:hanging="0"/>
              <w:rPr/>
            </w:pPr>
            <w:r>
              <w:rPr/>
              <w:t> </w:t>
            </w:r>
          </w:p>
        </w:tc>
      </w:tr>
      <w:tr>
        <w:trPr/>
        <w:tc>
          <w:tcPr>
            <w:tcW w:w="369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Premiums receivable, net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14,020,716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14,020,716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12,706,411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12,706,411</w:t>
            </w:r>
          </w:p>
        </w:tc>
        <w:tc>
          <w:tcPr>
            <w:tcW w:w="135" w:type="dxa"/>
            <w:tcBorders/>
            <w:shd w:fill="CCEEFF" w:val="clear"/>
            <w:vAlign w:val="center"/>
          </w:tcPr>
          <w:p>
            <w:pPr>
              <w:pStyle w:val="TableContents"/>
              <w:spacing w:before="0" w:after="0"/>
              <w:ind w:left="0" w:right="0" w:hanging="0"/>
              <w:rPr/>
            </w:pPr>
            <w:r>
              <w:rPr/>
              <w:t> </w:t>
            </w:r>
          </w:p>
        </w:tc>
      </w:tr>
      <w:tr>
        <w:trPr/>
        <w:tc>
          <w:tcPr>
            <w:tcW w:w="369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Reinsurance receivables, net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130" w:type="dxa"/>
            <w:tcBorders/>
            <w:shd w:fill="FFFFFF" w:val="clear"/>
            <w:vAlign w:val="center"/>
          </w:tcPr>
          <w:p>
            <w:pPr>
              <w:pStyle w:val="TableContents"/>
              <w:spacing w:before="0" w:after="283"/>
              <w:jc w:val="right"/>
              <w:rPr/>
            </w:pPr>
            <w:r>
              <w:rPr/>
              <w:t>45,460,729</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130" w:type="dxa"/>
            <w:tcBorders/>
            <w:shd w:fill="FFFFFF" w:val="clear"/>
            <w:vAlign w:val="center"/>
          </w:tcPr>
          <w:p>
            <w:pPr>
              <w:pStyle w:val="TableContents"/>
              <w:spacing w:before="0" w:after="283"/>
              <w:jc w:val="right"/>
              <w:rPr/>
            </w:pPr>
            <w:r>
              <w:rPr/>
              <w:t>45,460,729</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130" w:type="dxa"/>
            <w:tcBorders/>
            <w:shd w:fill="FFFFFF" w:val="clear"/>
            <w:vAlign w:val="center"/>
          </w:tcPr>
          <w:p>
            <w:pPr>
              <w:pStyle w:val="TableContents"/>
              <w:spacing w:before="0" w:after="283"/>
              <w:jc w:val="right"/>
              <w:rPr/>
            </w:pPr>
            <w:r>
              <w:rPr/>
              <w:t>40,750,538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130" w:type="dxa"/>
            <w:tcBorders/>
            <w:shd w:fill="FFFFFF" w:val="clear"/>
            <w:vAlign w:val="center"/>
          </w:tcPr>
          <w:p>
            <w:pPr>
              <w:pStyle w:val="TableContents"/>
              <w:spacing w:before="0" w:after="283"/>
              <w:jc w:val="right"/>
              <w:rPr/>
            </w:pPr>
            <w:r>
              <w:rPr/>
              <w:t>40,750,538</w:t>
            </w:r>
          </w:p>
        </w:tc>
        <w:tc>
          <w:tcPr>
            <w:tcW w:w="135" w:type="dxa"/>
            <w:tcBorders/>
            <w:shd w:fill="FFFFFF" w:val="clear"/>
            <w:vAlign w:val="center"/>
          </w:tcPr>
          <w:p>
            <w:pPr>
              <w:pStyle w:val="TableContents"/>
              <w:spacing w:before="0" w:after="0"/>
              <w:ind w:left="0" w:right="0" w:hanging="0"/>
              <w:rPr/>
            </w:pPr>
            <w:r>
              <w:rPr/>
              <w:t> </w:t>
            </w:r>
          </w:p>
        </w:tc>
      </w:tr>
      <w:tr>
        <w:trPr/>
        <w:tc>
          <w:tcPr>
            <w:tcW w:w="369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Real estate, net of accumulated depreciation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2,219,999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2,705,000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2,292,743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2,705,000</w:t>
            </w:r>
          </w:p>
        </w:tc>
        <w:tc>
          <w:tcPr>
            <w:tcW w:w="135" w:type="dxa"/>
            <w:tcBorders/>
            <w:shd w:fill="CCEEFF" w:val="clear"/>
            <w:vAlign w:val="center"/>
          </w:tcPr>
          <w:p>
            <w:pPr>
              <w:pStyle w:val="TableContents"/>
              <w:spacing w:before="0" w:after="0"/>
              <w:ind w:left="0" w:right="0" w:hanging="0"/>
              <w:rPr/>
            </w:pPr>
            <w:r>
              <w:rPr/>
              <w:t> </w:t>
            </w:r>
          </w:p>
        </w:tc>
      </w:tr>
      <w:tr>
        <w:trPr/>
        <w:tc>
          <w:tcPr>
            <w:tcW w:w="369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Reinsurance balances payable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130" w:type="dxa"/>
            <w:tcBorders/>
            <w:shd w:fill="FFFFFF" w:val="clear"/>
            <w:vAlign w:val="center"/>
          </w:tcPr>
          <w:p>
            <w:pPr>
              <w:pStyle w:val="TableContents"/>
              <w:spacing w:before="0" w:after="283"/>
              <w:jc w:val="right"/>
              <w:rPr/>
            </w:pPr>
            <w:r>
              <w:rPr/>
              <w:t>6,979,735</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130" w:type="dxa"/>
            <w:tcBorders/>
            <w:shd w:fill="FFFFFF" w:val="clear"/>
            <w:vAlign w:val="center"/>
          </w:tcPr>
          <w:p>
            <w:pPr>
              <w:pStyle w:val="TableContents"/>
              <w:spacing w:before="0" w:after="283"/>
              <w:jc w:val="right"/>
              <w:rPr/>
            </w:pPr>
            <w:r>
              <w:rPr/>
              <w:t>6,979,735</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130" w:type="dxa"/>
            <w:tcBorders/>
            <w:shd w:fill="FFFFFF" w:val="clear"/>
            <w:vAlign w:val="center"/>
          </w:tcPr>
          <w:p>
            <w:pPr>
              <w:pStyle w:val="TableContents"/>
              <w:spacing w:before="0" w:after="283"/>
              <w:jc w:val="right"/>
              <w:rPr/>
            </w:pPr>
            <w:r>
              <w:rPr/>
              <w:t>11,714,724</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130" w:type="dxa"/>
            <w:tcBorders/>
            <w:shd w:fill="FFFFFF" w:val="clear"/>
            <w:vAlign w:val="center"/>
          </w:tcPr>
          <w:p>
            <w:pPr>
              <w:pStyle w:val="TableContents"/>
              <w:spacing w:before="0" w:after="283"/>
              <w:jc w:val="right"/>
              <w:rPr/>
            </w:pPr>
            <w:r>
              <w:rPr/>
              <w:t>11,714,724</w:t>
            </w:r>
          </w:p>
        </w:tc>
        <w:tc>
          <w:tcPr>
            <w:tcW w:w="135" w:type="dxa"/>
            <w:tcBorders/>
            <w:shd w:fill="FFFF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Note 6 - Intangible Assets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Intangible assets consist of finite and indefinite life assets. Finite life intangible assets include customer and producer relationships and other identifiable intangibles. KICO’s insurance company license is considered an indefinite life intangible asset subject to annual impairment testing. All identified intangible assets of finite useful life were fully amortized as of December 31, 2020 and 2019.</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components of intangible assets and their useful lives, accumulated amortization, and net carrying value as of December 31, 2020 and 2019 are summarized as follows: </w:t>
      </w:r>
    </w:p>
    <w:p>
      <w:pPr>
        <w:pStyle w:val="TextBody"/>
        <w:spacing w:before="0" w:after="0"/>
        <w:ind w:left="0" w:right="0" w:hanging="0"/>
        <w:jc w:val="both"/>
        <w:rPr/>
      </w:pPr>
      <w:r>
        <w:rPr/>
        <w:t> </w:t>
      </w:r>
    </w:p>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1529"/>
        <w:gridCol w:w="90"/>
        <w:gridCol w:w="143"/>
        <w:gridCol w:w="463"/>
        <w:gridCol w:w="90"/>
        <w:gridCol w:w="90"/>
        <w:gridCol w:w="170"/>
        <w:gridCol w:w="1010"/>
        <w:gridCol w:w="90"/>
        <w:gridCol w:w="90"/>
        <w:gridCol w:w="174"/>
        <w:gridCol w:w="1027"/>
        <w:gridCol w:w="90"/>
        <w:gridCol w:w="90"/>
        <w:gridCol w:w="170"/>
        <w:gridCol w:w="830"/>
        <w:gridCol w:w="90"/>
        <w:gridCol w:w="90"/>
        <w:gridCol w:w="170"/>
        <w:gridCol w:w="1010"/>
        <w:gridCol w:w="90"/>
        <w:gridCol w:w="90"/>
        <w:gridCol w:w="174"/>
        <w:gridCol w:w="1027"/>
        <w:gridCol w:w="90"/>
        <w:gridCol w:w="90"/>
        <w:gridCol w:w="170"/>
        <w:gridCol w:w="830"/>
        <w:gridCol w:w="138"/>
      </w:tblGrid>
      <w:tr>
        <w:trPr/>
        <w:tc>
          <w:tcPr>
            <w:tcW w:w="1529"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606" w:type="dxa"/>
            <w:gridSpan w:val="2"/>
            <w:tcBorders/>
            <w:shd w:fill="auto" w:val="clear"/>
            <w:vAlign w:val="center"/>
          </w:tcPr>
          <w:p>
            <w:pPr>
              <w:pStyle w:val="TableContents"/>
              <w:spacing w:before="0" w:after="283"/>
              <w:rPr/>
            </w:pPr>
            <w:r>
              <w:rPr>
                <w:rStyle w:val="StrongEmphasis"/>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3741" w:type="dxa"/>
            <w:gridSpan w:val="10"/>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2020</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3741" w:type="dxa"/>
            <w:gridSpan w:val="10"/>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2019</w:t>
            </w:r>
          </w:p>
        </w:tc>
        <w:tc>
          <w:tcPr>
            <w:tcW w:w="138" w:type="dxa"/>
            <w:tcBorders/>
            <w:shd w:fill="auto" w:val="clear"/>
            <w:vAlign w:val="center"/>
          </w:tcPr>
          <w:p>
            <w:pPr>
              <w:pStyle w:val="TableContents"/>
              <w:spacing w:before="0" w:after="0"/>
              <w:ind w:left="0" w:right="0" w:hanging="0"/>
              <w:rPr/>
            </w:pPr>
            <w:r>
              <w:rPr>
                <w:rStyle w:val="StrongEmphasis"/>
              </w:rPr>
              <w:t> </w:t>
            </w:r>
          </w:p>
        </w:tc>
      </w:tr>
      <w:tr>
        <w:trPr/>
        <w:tc>
          <w:tcPr>
            <w:tcW w:w="1529"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606"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Useful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Gross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201"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00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Net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Gross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201"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00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Net </w:t>
            </w:r>
          </w:p>
        </w:tc>
        <w:tc>
          <w:tcPr>
            <w:tcW w:w="138" w:type="dxa"/>
            <w:tcBorders/>
            <w:shd w:fill="auto" w:val="clear"/>
            <w:vAlign w:val="center"/>
          </w:tcPr>
          <w:p>
            <w:pPr>
              <w:pStyle w:val="TableContents"/>
              <w:spacing w:before="0" w:after="0"/>
              <w:ind w:left="0" w:right="0" w:hanging="0"/>
              <w:rPr/>
            </w:pPr>
            <w:r>
              <w:rPr>
                <w:rStyle w:val="StrongEmphasis"/>
              </w:rPr>
              <w:t> </w:t>
            </w:r>
          </w:p>
        </w:tc>
      </w:tr>
      <w:tr>
        <w:trPr/>
        <w:tc>
          <w:tcPr>
            <w:tcW w:w="1529"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606"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Life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Carrying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201"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Accumulated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00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Carrying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Carrying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201"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Accumulated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00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Carrying </w:t>
            </w:r>
          </w:p>
        </w:tc>
        <w:tc>
          <w:tcPr>
            <w:tcW w:w="138" w:type="dxa"/>
            <w:tcBorders/>
            <w:shd w:fill="auto" w:val="clear"/>
            <w:vAlign w:val="center"/>
          </w:tcPr>
          <w:p>
            <w:pPr>
              <w:pStyle w:val="TableContents"/>
              <w:spacing w:before="0" w:after="0"/>
              <w:ind w:left="0" w:right="0" w:hanging="0"/>
              <w:rPr/>
            </w:pPr>
            <w:r>
              <w:rPr>
                <w:rStyle w:val="StrongEmphasis"/>
              </w:rPr>
              <w:t> </w:t>
            </w:r>
          </w:p>
        </w:tc>
      </w:tr>
      <w:tr>
        <w:trPr/>
        <w:tc>
          <w:tcPr>
            <w:tcW w:w="1529"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606"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(in yrs)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18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Value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201"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Amortization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00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Amount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18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Value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201"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Amortization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00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Amount</w:t>
            </w:r>
            <w:r>
              <w:rPr>
                <w:rFonts w:ascii="times new roman" w:hAnsi="times new roman"/>
                <w:sz w:val="20"/>
              </w:rPr>
              <w:t xml:space="preserve"> </w:t>
            </w:r>
          </w:p>
        </w:tc>
        <w:tc>
          <w:tcPr>
            <w:tcW w:w="138" w:type="dxa"/>
            <w:tcBorders/>
            <w:shd w:fill="auto" w:val="clear"/>
            <w:vAlign w:val="center"/>
          </w:tcPr>
          <w:p>
            <w:pPr>
              <w:pStyle w:val="TableContents"/>
              <w:spacing w:before="0" w:after="0"/>
              <w:ind w:left="0" w:right="0" w:hanging="0"/>
              <w:rPr/>
            </w:pPr>
            <w:r>
              <w:rPr/>
              <w:t> </w:t>
            </w:r>
          </w:p>
        </w:tc>
      </w:tr>
      <w:tr>
        <w:trPr/>
        <w:tc>
          <w:tcPr>
            <w:tcW w:w="1529" w:type="dxa"/>
            <w:tcBorders/>
            <w:shd w:fill="CCEEFF" w:val="clear"/>
            <w:vAlign w:val="center"/>
          </w:tcPr>
          <w:p>
            <w:pPr>
              <w:pStyle w:val="TableContents"/>
              <w:spacing w:before="0" w:after="283"/>
              <w:rPr/>
            </w:pPr>
            <w:r>
              <w:rPr/>
              <w:t xml:space="preserve">Insurance license </w:t>
            </w:r>
          </w:p>
        </w:tc>
        <w:tc>
          <w:tcPr>
            <w:tcW w:w="90" w:type="dxa"/>
            <w:tcBorders/>
            <w:shd w:fill="CCEEFF" w:val="clear"/>
            <w:vAlign w:val="center"/>
          </w:tcPr>
          <w:p>
            <w:pPr>
              <w:pStyle w:val="TableContents"/>
              <w:spacing w:before="0" w:after="0"/>
              <w:ind w:left="0" w:right="0" w:hanging="0"/>
              <w:rPr/>
            </w:pPr>
            <w:r>
              <w:rPr/>
              <w:t> </w:t>
            </w:r>
          </w:p>
        </w:tc>
        <w:tc>
          <w:tcPr>
            <w:tcW w:w="143" w:type="dxa"/>
            <w:tcBorders/>
            <w:shd w:fill="CCEEFF" w:val="clear"/>
            <w:vAlign w:val="center"/>
          </w:tcPr>
          <w:p>
            <w:pPr>
              <w:pStyle w:val="TableContents"/>
              <w:spacing w:before="0" w:after="0"/>
              <w:ind w:left="0" w:right="0" w:hanging="0"/>
              <w:rPr/>
            </w:pPr>
            <w:r>
              <w:rPr/>
              <w:t> </w:t>
            </w:r>
          </w:p>
        </w:tc>
        <w:tc>
          <w:tcPr>
            <w:tcW w:w="463"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500,000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283"/>
              <w:rPr/>
            </w:pPr>
            <w:r>
              <w:rPr/>
              <w:t>$</w:t>
            </w:r>
          </w:p>
        </w:tc>
        <w:tc>
          <w:tcPr>
            <w:tcW w:w="1027"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830" w:type="dxa"/>
            <w:tcBorders/>
            <w:shd w:fill="CCEEFF" w:val="clear"/>
            <w:vAlign w:val="center"/>
          </w:tcPr>
          <w:p>
            <w:pPr>
              <w:pStyle w:val="TableContents"/>
              <w:spacing w:before="0" w:after="283"/>
              <w:jc w:val="right"/>
              <w:rPr/>
            </w:pPr>
            <w:r>
              <w:rPr/>
              <w:t>500,000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500,000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283"/>
              <w:rPr/>
            </w:pPr>
            <w:r>
              <w:rPr/>
              <w:t>$</w:t>
            </w:r>
          </w:p>
        </w:tc>
        <w:tc>
          <w:tcPr>
            <w:tcW w:w="1027"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830" w:type="dxa"/>
            <w:tcBorders/>
            <w:shd w:fill="CCEEFF" w:val="clear"/>
            <w:vAlign w:val="center"/>
          </w:tcPr>
          <w:p>
            <w:pPr>
              <w:pStyle w:val="TableContents"/>
              <w:spacing w:before="0" w:after="283"/>
              <w:jc w:val="right"/>
              <w:rPr/>
            </w:pPr>
            <w:r>
              <w:rPr/>
              <w:t>500,000</w:t>
            </w:r>
          </w:p>
        </w:tc>
        <w:tc>
          <w:tcPr>
            <w:tcW w:w="138" w:type="dxa"/>
            <w:tcBorders/>
            <w:shd w:fill="CCEEFF" w:val="clear"/>
            <w:vAlign w:val="center"/>
          </w:tcPr>
          <w:p>
            <w:pPr>
              <w:pStyle w:val="TableContents"/>
              <w:spacing w:before="0" w:after="0"/>
              <w:ind w:left="0" w:right="0" w:hanging="0"/>
              <w:rPr/>
            </w:pPr>
            <w:r>
              <w:rPr/>
              <w:t> </w:t>
            </w:r>
          </w:p>
        </w:tc>
      </w:tr>
      <w:tr>
        <w:trPr/>
        <w:tc>
          <w:tcPr>
            <w:tcW w:w="1529" w:type="dxa"/>
            <w:tcBorders/>
            <w:shd w:fill="FFFFFF" w:val="clear"/>
            <w:vAlign w:val="center"/>
          </w:tcPr>
          <w:p>
            <w:pPr>
              <w:pStyle w:val="TableContents"/>
              <w:spacing w:before="0" w:after="283"/>
              <w:rPr/>
            </w:pPr>
            <w:r>
              <w:rPr/>
              <w:t xml:space="preserve">Customer relationships </w:t>
            </w:r>
          </w:p>
        </w:tc>
        <w:tc>
          <w:tcPr>
            <w:tcW w:w="90" w:type="dxa"/>
            <w:tcBorders/>
            <w:shd w:fill="FFFFFF" w:val="clear"/>
            <w:vAlign w:val="center"/>
          </w:tcPr>
          <w:p>
            <w:pPr>
              <w:pStyle w:val="TableContents"/>
              <w:spacing w:before="0" w:after="0"/>
              <w:ind w:left="0" w:right="0" w:hanging="0"/>
              <w:rPr/>
            </w:pPr>
            <w:r>
              <w:rPr/>
              <w:t> </w:t>
            </w:r>
          </w:p>
        </w:tc>
        <w:tc>
          <w:tcPr>
            <w:tcW w:w="143" w:type="dxa"/>
            <w:tcBorders/>
            <w:shd w:fill="FFFFFF" w:val="clear"/>
            <w:vAlign w:val="center"/>
          </w:tcPr>
          <w:p>
            <w:pPr>
              <w:pStyle w:val="TableContents"/>
              <w:spacing w:before="0" w:after="0"/>
              <w:ind w:left="0" w:right="0" w:hanging="0"/>
              <w:rPr/>
            </w:pPr>
            <w:r>
              <w:rPr/>
              <w:t> </w:t>
            </w:r>
          </w:p>
        </w:tc>
        <w:tc>
          <w:tcPr>
            <w:tcW w:w="463" w:type="dxa"/>
            <w:tcBorders/>
            <w:shd w:fill="FFFFFF" w:val="clear"/>
            <w:vAlign w:val="center"/>
          </w:tcPr>
          <w:p>
            <w:pPr>
              <w:pStyle w:val="TableContents"/>
              <w:spacing w:before="0" w:after="283"/>
              <w:jc w:val="right"/>
              <w:rPr/>
            </w:pPr>
            <w:r>
              <w:rPr/>
              <w:t>10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3,400,000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0"/>
              <w:ind w:left="0" w:right="0" w:hanging="0"/>
              <w:rPr/>
            </w:pPr>
            <w:r>
              <w:rPr/>
              <w:t> </w:t>
            </w:r>
          </w:p>
        </w:tc>
        <w:tc>
          <w:tcPr>
            <w:tcW w:w="1027" w:type="dxa"/>
            <w:tcBorders/>
            <w:shd w:fill="FFFFFF" w:val="clear"/>
            <w:vAlign w:val="center"/>
          </w:tcPr>
          <w:p>
            <w:pPr>
              <w:pStyle w:val="TableContents"/>
              <w:spacing w:before="0" w:after="283"/>
              <w:jc w:val="right"/>
              <w:rPr/>
            </w:pPr>
            <w:r>
              <w:rPr/>
              <w:t>3,400,000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3,400,000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0"/>
              <w:ind w:left="0" w:right="0" w:hanging="0"/>
              <w:rPr/>
            </w:pPr>
            <w:r>
              <w:rPr/>
              <w:t> </w:t>
            </w:r>
          </w:p>
        </w:tc>
        <w:tc>
          <w:tcPr>
            <w:tcW w:w="1027" w:type="dxa"/>
            <w:tcBorders/>
            <w:shd w:fill="FFFFFF" w:val="clear"/>
            <w:vAlign w:val="center"/>
          </w:tcPr>
          <w:p>
            <w:pPr>
              <w:pStyle w:val="TableContents"/>
              <w:spacing w:before="0" w:after="283"/>
              <w:jc w:val="right"/>
              <w:rPr/>
            </w:pPr>
            <w:r>
              <w:rPr/>
              <w:t>3,400,000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w:t>
            </w:r>
          </w:p>
        </w:tc>
        <w:tc>
          <w:tcPr>
            <w:tcW w:w="138" w:type="dxa"/>
            <w:tcBorders/>
            <w:shd w:fill="FFFFFF" w:val="clear"/>
            <w:vAlign w:val="center"/>
          </w:tcPr>
          <w:p>
            <w:pPr>
              <w:pStyle w:val="TableContents"/>
              <w:spacing w:before="0" w:after="0"/>
              <w:ind w:left="0" w:right="0" w:hanging="0"/>
              <w:rPr/>
            </w:pPr>
            <w:r>
              <w:rPr/>
              <w:t> </w:t>
            </w:r>
          </w:p>
        </w:tc>
      </w:tr>
      <w:tr>
        <w:trPr/>
        <w:tc>
          <w:tcPr>
            <w:tcW w:w="1529" w:type="dxa"/>
            <w:tcBorders/>
            <w:shd w:fill="CCEEFF" w:val="clear"/>
            <w:vAlign w:val="center"/>
          </w:tcPr>
          <w:p>
            <w:pPr>
              <w:pStyle w:val="TableContents"/>
              <w:spacing w:before="0" w:after="283"/>
              <w:rPr/>
            </w:pPr>
            <w:r>
              <w:rPr/>
              <w:t xml:space="preserve">Other identifiable </w:t>
            </w:r>
          </w:p>
        </w:tc>
        <w:tc>
          <w:tcPr>
            <w:tcW w:w="90" w:type="dxa"/>
            <w:tcBorders/>
            <w:shd w:fill="CCEEFF" w:val="clear"/>
            <w:vAlign w:val="center"/>
          </w:tcPr>
          <w:p>
            <w:pPr>
              <w:pStyle w:val="TableContents"/>
              <w:spacing w:before="0" w:after="0"/>
              <w:ind w:left="0" w:right="0" w:hanging="0"/>
              <w:rPr/>
            </w:pPr>
            <w:r>
              <w:rPr/>
              <w:t> </w:t>
            </w:r>
          </w:p>
        </w:tc>
        <w:tc>
          <w:tcPr>
            <w:tcW w:w="143" w:type="dxa"/>
            <w:tcBorders/>
            <w:shd w:fill="CCEEFF" w:val="clear"/>
            <w:vAlign w:val="center"/>
          </w:tcPr>
          <w:p>
            <w:pPr>
              <w:pStyle w:val="TableContents"/>
              <w:spacing w:before="0" w:after="0"/>
              <w:ind w:left="0" w:right="0" w:hanging="0"/>
              <w:rPr/>
            </w:pPr>
            <w:r>
              <w:rPr/>
              <w:t> </w:t>
            </w:r>
          </w:p>
        </w:tc>
        <w:tc>
          <w:tcPr>
            <w:tcW w:w="463"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0"/>
              <w:ind w:left="0" w:right="0" w:hanging="0"/>
              <w:rPr/>
            </w:pPr>
            <w:r>
              <w:rPr/>
              <w:t> </w:t>
            </w:r>
          </w:p>
        </w:tc>
        <w:tc>
          <w:tcPr>
            <w:tcW w:w="1027"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0"/>
              <w:ind w:left="0" w:right="0" w:hanging="0"/>
              <w:rPr/>
            </w:pPr>
            <w:r>
              <w:rPr/>
              <w:t> </w:t>
            </w:r>
          </w:p>
        </w:tc>
        <w:tc>
          <w:tcPr>
            <w:tcW w:w="1027"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0"/>
              <w:ind w:left="0" w:right="0" w:hanging="0"/>
              <w:rPr/>
            </w:pPr>
            <w:r>
              <w:rPr/>
              <w:t> </w:t>
            </w:r>
          </w:p>
        </w:tc>
        <w:tc>
          <w:tcPr>
            <w:tcW w:w="138" w:type="dxa"/>
            <w:tcBorders/>
            <w:shd w:fill="CCEEFF" w:val="clear"/>
            <w:vAlign w:val="center"/>
          </w:tcPr>
          <w:p>
            <w:pPr>
              <w:pStyle w:val="TableContents"/>
              <w:spacing w:before="0" w:after="0"/>
              <w:ind w:left="0" w:right="0" w:hanging="0"/>
              <w:rPr/>
            </w:pPr>
            <w:r>
              <w:rPr/>
              <w:t> </w:t>
            </w:r>
          </w:p>
        </w:tc>
      </w:tr>
      <w:tr>
        <w:trPr/>
        <w:tc>
          <w:tcPr>
            <w:tcW w:w="1529"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intangibles </w:t>
            </w:r>
          </w:p>
        </w:tc>
        <w:tc>
          <w:tcPr>
            <w:tcW w:w="90" w:type="dxa"/>
            <w:tcBorders/>
            <w:shd w:fill="FFFFFF" w:val="clear"/>
            <w:vAlign w:val="center"/>
          </w:tcPr>
          <w:p>
            <w:pPr>
              <w:pStyle w:val="TableContents"/>
              <w:spacing w:before="0" w:after="0"/>
              <w:ind w:left="0" w:right="0" w:hanging="0"/>
              <w:rPr/>
            </w:pPr>
            <w:r>
              <w:rPr/>
              <w:t> </w:t>
            </w:r>
          </w:p>
        </w:tc>
        <w:tc>
          <w:tcPr>
            <w:tcW w:w="143" w:type="dxa"/>
            <w:tcBorders/>
            <w:shd w:fill="FFFFFF" w:val="clear"/>
            <w:vAlign w:val="center"/>
          </w:tcPr>
          <w:p>
            <w:pPr>
              <w:pStyle w:val="TableContents"/>
              <w:spacing w:before="0" w:after="0"/>
              <w:ind w:left="0" w:right="0" w:hanging="0"/>
              <w:rPr/>
            </w:pPr>
            <w:r>
              <w:rPr/>
              <w:t> </w:t>
            </w:r>
          </w:p>
        </w:tc>
        <w:tc>
          <w:tcPr>
            <w:tcW w:w="463" w:type="dxa"/>
            <w:tcBorders/>
            <w:shd w:fill="FFFFFF" w:val="clear"/>
            <w:vAlign w:val="center"/>
          </w:tcPr>
          <w:p>
            <w:pPr>
              <w:pStyle w:val="TableContents"/>
              <w:spacing w:before="0" w:after="283"/>
              <w:jc w:val="right"/>
              <w:rPr/>
            </w:pPr>
            <w:r>
              <w:rPr/>
              <w:t>7</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283"/>
              <w:jc w:val="right"/>
              <w:rPr/>
            </w:pPr>
            <w:r>
              <w:rPr/>
              <w:t>950,000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4"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27" w:type="dxa"/>
            <w:tcBorders>
              <w:bottom w:val="single" w:sz="2" w:space="0" w:color="000000"/>
            </w:tcBorders>
            <w:shd w:fill="FFFFFF" w:val="clear"/>
            <w:tcMar>
              <w:bottom w:w="28" w:type="dxa"/>
            </w:tcMar>
            <w:vAlign w:val="center"/>
          </w:tcPr>
          <w:p>
            <w:pPr>
              <w:pStyle w:val="TableContents"/>
              <w:spacing w:before="0" w:after="283"/>
              <w:jc w:val="right"/>
              <w:rPr/>
            </w:pPr>
            <w:r>
              <w:rPr/>
              <w:t>950,000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283"/>
              <w:jc w:val="right"/>
              <w:rPr/>
            </w:pPr>
            <w:r>
              <w:rPr/>
              <w:t>950,000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4"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27" w:type="dxa"/>
            <w:tcBorders>
              <w:bottom w:val="single" w:sz="2" w:space="0" w:color="000000"/>
            </w:tcBorders>
            <w:shd w:fill="FFFFFF" w:val="clear"/>
            <w:tcMar>
              <w:bottom w:w="28" w:type="dxa"/>
            </w:tcMar>
            <w:vAlign w:val="center"/>
          </w:tcPr>
          <w:p>
            <w:pPr>
              <w:pStyle w:val="TableContents"/>
              <w:spacing w:before="0" w:after="283"/>
              <w:jc w:val="right"/>
              <w:rPr/>
            </w:pPr>
            <w:r>
              <w:rPr/>
              <w:t>950,000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138" w:type="dxa"/>
            <w:tcBorders/>
            <w:shd w:fill="FFFFFF" w:val="clear"/>
            <w:vAlign w:val="center"/>
          </w:tcPr>
          <w:p>
            <w:pPr>
              <w:pStyle w:val="TableContents"/>
              <w:spacing w:before="0" w:after="0"/>
              <w:ind w:left="0" w:right="0" w:hanging="0"/>
              <w:rPr/>
            </w:pPr>
            <w:r>
              <w:rPr/>
              <w:t> </w:t>
            </w:r>
          </w:p>
        </w:tc>
      </w:tr>
      <w:tr>
        <w:trPr/>
        <w:tc>
          <w:tcPr>
            <w:tcW w:w="1529" w:type="dxa"/>
            <w:tcBorders/>
            <w:shd w:fill="CCEEFF" w:val="clear"/>
            <w:vAlign w:val="center"/>
          </w:tcPr>
          <w:p>
            <w:pPr>
              <w:pStyle w:val="TableContents"/>
              <w:spacing w:before="0" w:after="283"/>
              <w:rPr/>
            </w:pPr>
            <w:r>
              <w:rPr/>
              <w:t xml:space="preserve">Total </w:t>
            </w:r>
          </w:p>
        </w:tc>
        <w:tc>
          <w:tcPr>
            <w:tcW w:w="90" w:type="dxa"/>
            <w:tcBorders/>
            <w:shd w:fill="CCEEFF" w:val="clear"/>
            <w:vAlign w:val="center"/>
          </w:tcPr>
          <w:p>
            <w:pPr>
              <w:pStyle w:val="TableContents"/>
              <w:spacing w:before="0" w:after="0"/>
              <w:ind w:left="0" w:right="0" w:hanging="0"/>
              <w:rPr/>
            </w:pPr>
            <w:r>
              <w:rPr/>
              <w:t> </w:t>
            </w:r>
          </w:p>
        </w:tc>
        <w:tc>
          <w:tcPr>
            <w:tcW w:w="143" w:type="dxa"/>
            <w:tcBorders/>
            <w:shd w:fill="CCEEFF" w:val="clear"/>
            <w:vAlign w:val="center"/>
          </w:tcPr>
          <w:p>
            <w:pPr>
              <w:pStyle w:val="TableContents"/>
              <w:spacing w:before="0" w:after="0"/>
              <w:ind w:left="0" w:right="0" w:hanging="0"/>
              <w:rPr/>
            </w:pPr>
            <w:r>
              <w:rPr/>
              <w:t> </w:t>
            </w:r>
          </w:p>
        </w:tc>
        <w:tc>
          <w:tcPr>
            <w:tcW w:w="463"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5" w:space="0" w:color="000000"/>
            </w:tcBorders>
            <w:shd w:fill="CCEEFF" w:val="clear"/>
            <w:tcMar>
              <w:bottom w:w="28" w:type="dxa"/>
            </w:tcMar>
            <w:vAlign w:val="center"/>
          </w:tcPr>
          <w:p>
            <w:pPr>
              <w:pStyle w:val="TableContents"/>
              <w:spacing w:before="0" w:after="283"/>
              <w:jc w:val="right"/>
              <w:rPr/>
            </w:pPr>
            <w:r>
              <w:rPr/>
              <w:t>4,850,000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bottom w:val="double" w:sz="5" w:space="0" w:color="000000"/>
            </w:tcBorders>
            <w:shd w:fill="CCEEFF" w:val="clear"/>
            <w:tcMar>
              <w:bottom w:w="28" w:type="dxa"/>
            </w:tcMar>
            <w:vAlign w:val="center"/>
          </w:tcPr>
          <w:p>
            <w:pPr>
              <w:pStyle w:val="TableContents"/>
              <w:spacing w:before="0" w:after="283"/>
              <w:rPr/>
            </w:pPr>
            <w:r>
              <w:rPr/>
              <w:t>$</w:t>
            </w:r>
          </w:p>
        </w:tc>
        <w:tc>
          <w:tcPr>
            <w:tcW w:w="1027" w:type="dxa"/>
            <w:tcBorders>
              <w:bottom w:val="double" w:sz="5" w:space="0" w:color="000000"/>
            </w:tcBorders>
            <w:shd w:fill="CCEEFF" w:val="clear"/>
            <w:tcMar>
              <w:bottom w:w="28" w:type="dxa"/>
            </w:tcMar>
            <w:vAlign w:val="center"/>
          </w:tcPr>
          <w:p>
            <w:pPr>
              <w:pStyle w:val="TableContents"/>
              <w:spacing w:before="0" w:after="283"/>
              <w:jc w:val="right"/>
              <w:rPr/>
            </w:pPr>
            <w:r>
              <w:rPr/>
              <w:t>4,350,000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830" w:type="dxa"/>
            <w:tcBorders>
              <w:bottom w:val="double" w:sz="5" w:space="0" w:color="000000"/>
            </w:tcBorders>
            <w:shd w:fill="CCEEFF" w:val="clear"/>
            <w:tcMar>
              <w:bottom w:w="28" w:type="dxa"/>
            </w:tcMar>
            <w:vAlign w:val="center"/>
          </w:tcPr>
          <w:p>
            <w:pPr>
              <w:pStyle w:val="TableContents"/>
              <w:spacing w:before="0" w:after="283"/>
              <w:jc w:val="right"/>
              <w:rPr/>
            </w:pPr>
            <w:r>
              <w:rPr/>
              <w:t>500,000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5" w:space="0" w:color="000000"/>
            </w:tcBorders>
            <w:shd w:fill="CCEEFF" w:val="clear"/>
            <w:tcMar>
              <w:bottom w:w="28" w:type="dxa"/>
            </w:tcMar>
            <w:vAlign w:val="center"/>
          </w:tcPr>
          <w:p>
            <w:pPr>
              <w:pStyle w:val="TableContents"/>
              <w:spacing w:before="0" w:after="283"/>
              <w:jc w:val="right"/>
              <w:rPr/>
            </w:pPr>
            <w:r>
              <w:rPr/>
              <w:t>4,850,000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bottom w:val="double" w:sz="5" w:space="0" w:color="000000"/>
            </w:tcBorders>
            <w:shd w:fill="CCEEFF" w:val="clear"/>
            <w:tcMar>
              <w:bottom w:w="28" w:type="dxa"/>
            </w:tcMar>
            <w:vAlign w:val="center"/>
          </w:tcPr>
          <w:p>
            <w:pPr>
              <w:pStyle w:val="TableContents"/>
              <w:spacing w:before="0" w:after="283"/>
              <w:rPr/>
            </w:pPr>
            <w:r>
              <w:rPr/>
              <w:t>$</w:t>
            </w:r>
          </w:p>
        </w:tc>
        <w:tc>
          <w:tcPr>
            <w:tcW w:w="1027" w:type="dxa"/>
            <w:tcBorders>
              <w:bottom w:val="double" w:sz="5" w:space="0" w:color="000000"/>
            </w:tcBorders>
            <w:shd w:fill="CCEEFF" w:val="clear"/>
            <w:tcMar>
              <w:bottom w:w="28" w:type="dxa"/>
            </w:tcMar>
            <w:vAlign w:val="center"/>
          </w:tcPr>
          <w:p>
            <w:pPr>
              <w:pStyle w:val="TableContents"/>
              <w:spacing w:before="0" w:after="283"/>
              <w:jc w:val="right"/>
              <w:rPr/>
            </w:pPr>
            <w:r>
              <w:rPr/>
              <w:t>4,350,000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830" w:type="dxa"/>
            <w:tcBorders>
              <w:bottom w:val="double" w:sz="5" w:space="0" w:color="000000"/>
            </w:tcBorders>
            <w:shd w:fill="CCEEFF" w:val="clear"/>
            <w:tcMar>
              <w:bottom w:w="28" w:type="dxa"/>
            </w:tcMar>
            <w:vAlign w:val="center"/>
          </w:tcPr>
          <w:p>
            <w:pPr>
              <w:pStyle w:val="TableContents"/>
              <w:spacing w:before="0" w:after="283"/>
              <w:jc w:val="right"/>
              <w:rPr/>
            </w:pPr>
            <w:r>
              <w:rPr/>
              <w:t>500,000</w:t>
            </w:r>
          </w:p>
        </w:tc>
        <w:tc>
          <w:tcPr>
            <w:tcW w:w="138"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F-27</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2020 AND 2019</w:t>
      </w:r>
    </w:p>
    <w:p>
      <w:pPr>
        <w:pStyle w:val="TextBody"/>
        <w:spacing w:before="0" w:after="0"/>
        <w:ind w:left="0" w:right="0" w:hanging="0"/>
        <w:jc w:val="center"/>
        <w:rPr/>
      </w:pPr>
      <w:r>
        <w:rPr>
          <w:rStyle w:val="StrongEmphasis"/>
        </w:rPr>
        <w:t> </w:t>
      </w:r>
    </w:p>
    <w:p>
      <w:pPr>
        <w:pStyle w:val="TextBody"/>
        <w:spacing w:before="0" w:after="0"/>
        <w:ind w:left="0" w:right="0" w:hanging="0"/>
        <w:jc w:val="both"/>
        <w:rPr>
          <w:rFonts w:ascii="times new roman" w:hAnsi="times new roman"/>
          <w:sz w:val="20"/>
        </w:rPr>
      </w:pPr>
      <w:r>
        <w:rPr>
          <w:rFonts w:ascii="times new roman" w:hAnsi="times new roman"/>
          <w:sz w:val="20"/>
          <w:u w:val="single"/>
        </w:rPr>
        <w:t>Intangible asset impairment testing and amortization</w:t>
      </w:r>
      <w:r>
        <w:rPr>
          <w:rFonts w:ascii="times new roman" w:hAnsi="times new roman"/>
          <w:sz w:val="20"/>
        </w:rPr>
        <w:t xml:space="preserve">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Company performs an analysis annually as of December 31, or sooner if there are indicators that the asset may be impaired, to identify potential impairment of intangible assets and measures the amount of any impairment loss that may need to be recognized. Intangible asset impairment testing requires an evaluation of the estimated fair value of each identified intangible asset to its carrying value. An impairment charge would be recorded if the estimated fair value is less than the carrying amount of the intangible asset. No impairments have been identified for the years ended December 31, 2020 and 2019.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Company recorded amortization expense related to intangible assets of $-0- and $170,000, for the years ended December 31, 2020 and 2019, respectively. </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Note 7 - Reinsurance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Through June 30, 2019, the Company’s quota share reinsurance treaties were on a July 1 through June 30 fiscal year basis. The Company’s quota share reinsurance treaties in effect during the year ended December 31, 2019 for its personal lines business were covered through June 30, 2019 under a treaty covering a two-year period from July 1, 2017 through June 30, 2019 (“2017/2019 Treaty”). The treaty in effect during the year ended December 31, 2019 was covered through June 30, 2019 under the July 1, 2018 through June 30, 2019 treaty year (“2018/2019 Treaty Year”). Effective July 1, 2019, the 2017/2019 Treaty and the commercial umbrella treaty expired on a run-off basis; these treaties were not renewed. Effective December 15, 2019, the Company entered into a quota share reinsurance treaty for its personal lines business, which primarily consists of homeowners’ policies, covering the period from December 15, 2019 through December 30, 2020 (“2019/2020 Treaty”). Effective December 31, 2020 the 2019/2020 Treaty expired on a cut off basis; this treaty was not renewed. The Company entered into new excess of loss and catastrophe reinsurance treaties effective July 1, 2020. Material terms for reinsurance treaties in effect for the treaty years shown below are as follows:</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F-28</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2020 AND 2019</w:t>
      </w:r>
    </w:p>
    <w:p>
      <w:pPr>
        <w:pStyle w:val="TextBody"/>
        <w:spacing w:before="0" w:after="0"/>
        <w:ind w:left="0" w:right="0" w:hanging="0"/>
        <w:jc w:val="center"/>
        <w:rPr/>
      </w:pPr>
      <w:r>
        <w:rPr>
          <w:rStyle w:val="StrongEmphasis"/>
        </w:rPr>
        <w:t> </w:t>
      </w:r>
    </w:p>
    <w:tbl>
      <w:tblPr>
        <w:tblW w:w="7948" w:type="dxa"/>
        <w:jc w:val="left"/>
        <w:tblInd w:w="0" w:type="dxa"/>
        <w:tblCellMar>
          <w:top w:w="0" w:type="dxa"/>
          <w:left w:w="0" w:type="dxa"/>
          <w:bottom w:w="0" w:type="dxa"/>
          <w:right w:w="0" w:type="dxa"/>
        </w:tblCellMar>
      </w:tblPr>
      <w:tblGrid>
        <w:gridCol w:w="2585"/>
        <w:gridCol w:w="90"/>
        <w:gridCol w:w="394"/>
        <w:gridCol w:w="1275"/>
        <w:gridCol w:w="245"/>
        <w:gridCol w:w="90"/>
        <w:gridCol w:w="1670"/>
        <w:gridCol w:w="90"/>
        <w:gridCol w:w="286"/>
        <w:gridCol w:w="933"/>
        <w:gridCol w:w="290"/>
      </w:tblGrid>
      <w:tr>
        <w:trPr/>
        <w:tc>
          <w:tcPr>
            <w:tcW w:w="258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4983"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Treaty Year </w:t>
            </w:r>
          </w:p>
        </w:tc>
        <w:tc>
          <w:tcPr>
            <w:tcW w:w="290" w:type="dxa"/>
            <w:tcBorders/>
            <w:shd w:fill="auto" w:val="clear"/>
            <w:vAlign w:val="center"/>
          </w:tcPr>
          <w:p>
            <w:pPr>
              <w:pStyle w:val="TableContents"/>
              <w:spacing w:before="0" w:after="0"/>
              <w:ind w:left="0" w:right="0" w:hanging="0"/>
              <w:rPr/>
            </w:pPr>
            <w:r>
              <w:rPr/>
              <w:t> </w:t>
            </w:r>
          </w:p>
        </w:tc>
      </w:tr>
      <w:tr>
        <w:trPr/>
        <w:tc>
          <w:tcPr>
            <w:tcW w:w="258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669"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December 15, 2019</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670" w:type="dxa"/>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July 1, 2019</w:t>
            </w:r>
          </w:p>
        </w:tc>
        <w:tc>
          <w:tcPr>
            <w:tcW w:w="90" w:type="dxa"/>
            <w:tcBorders/>
            <w:shd w:fill="auto" w:val="clear"/>
            <w:vAlign w:val="center"/>
          </w:tcPr>
          <w:p>
            <w:pPr>
              <w:pStyle w:val="TableContents"/>
              <w:spacing w:before="0" w:after="0"/>
              <w:ind w:left="0" w:right="0" w:hanging="0"/>
              <w:rPr/>
            </w:pPr>
            <w:r>
              <w:rPr/>
              <w:t> </w:t>
            </w:r>
          </w:p>
        </w:tc>
        <w:tc>
          <w:tcPr>
            <w:tcW w:w="1219"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July 1, 2018</w:t>
            </w:r>
          </w:p>
        </w:tc>
        <w:tc>
          <w:tcPr>
            <w:tcW w:w="290" w:type="dxa"/>
            <w:tcBorders/>
            <w:shd w:fill="auto" w:val="clear"/>
            <w:vAlign w:val="center"/>
          </w:tcPr>
          <w:p>
            <w:pPr>
              <w:pStyle w:val="TableContents"/>
              <w:spacing w:before="0" w:after="0"/>
              <w:ind w:left="0" w:right="0" w:hanging="0"/>
              <w:rPr/>
            </w:pPr>
            <w:r>
              <w:rPr/>
              <w:t> </w:t>
            </w:r>
          </w:p>
        </w:tc>
      </w:tr>
      <w:tr>
        <w:trPr/>
        <w:tc>
          <w:tcPr>
            <w:tcW w:w="258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669"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to</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670" w:type="dxa"/>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to</w:t>
            </w:r>
          </w:p>
        </w:tc>
        <w:tc>
          <w:tcPr>
            <w:tcW w:w="90" w:type="dxa"/>
            <w:tcBorders/>
            <w:shd w:fill="auto" w:val="clear"/>
            <w:vAlign w:val="center"/>
          </w:tcPr>
          <w:p>
            <w:pPr>
              <w:pStyle w:val="TableContents"/>
              <w:spacing w:before="0" w:after="0"/>
              <w:ind w:left="0" w:right="0" w:hanging="0"/>
              <w:rPr/>
            </w:pPr>
            <w:r>
              <w:rPr/>
              <w:t> </w:t>
            </w:r>
          </w:p>
        </w:tc>
        <w:tc>
          <w:tcPr>
            <w:tcW w:w="1219"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to</w:t>
            </w:r>
          </w:p>
        </w:tc>
        <w:tc>
          <w:tcPr>
            <w:tcW w:w="290" w:type="dxa"/>
            <w:tcBorders/>
            <w:shd w:fill="auto" w:val="clear"/>
            <w:vAlign w:val="center"/>
          </w:tcPr>
          <w:p>
            <w:pPr>
              <w:pStyle w:val="TableContents"/>
              <w:spacing w:before="0" w:after="0"/>
              <w:ind w:left="0" w:right="0" w:hanging="0"/>
              <w:rPr/>
            </w:pPr>
            <w:r>
              <w:rPr/>
              <w:t> </w:t>
            </w:r>
          </w:p>
        </w:tc>
      </w:tr>
      <w:tr>
        <w:trPr/>
        <w:tc>
          <w:tcPr>
            <w:tcW w:w="2585"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Fonts w:ascii="times new roman" w:hAnsi="times new roman"/>
                <w:sz w:val="20"/>
              </w:rPr>
              <w:t xml:space="preserve">Line of Business </w:t>
            </w:r>
          </w:p>
        </w:tc>
        <w:tc>
          <w:tcPr>
            <w:tcW w:w="90" w:type="dxa"/>
            <w:tcBorders/>
            <w:shd w:fill="auto" w:val="clear"/>
            <w:vAlign w:val="center"/>
          </w:tcPr>
          <w:p>
            <w:pPr>
              <w:pStyle w:val="TableContents"/>
              <w:spacing w:before="0" w:after="0"/>
              <w:ind w:left="0" w:right="0" w:hanging="0"/>
              <w:rPr/>
            </w:pPr>
            <w:r>
              <w:rPr/>
              <w:t> </w:t>
            </w:r>
          </w:p>
        </w:tc>
        <w:tc>
          <w:tcPr>
            <w:tcW w:w="166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30, 2020</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670"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14, 2019</w:t>
            </w:r>
          </w:p>
        </w:tc>
        <w:tc>
          <w:tcPr>
            <w:tcW w:w="90" w:type="dxa"/>
            <w:tcBorders/>
            <w:shd w:fill="auto" w:val="clear"/>
            <w:vAlign w:val="center"/>
          </w:tcPr>
          <w:p>
            <w:pPr>
              <w:pStyle w:val="TableContents"/>
              <w:spacing w:before="0" w:after="0"/>
              <w:ind w:left="0" w:right="0" w:hanging="0"/>
              <w:rPr/>
            </w:pPr>
            <w:r>
              <w:rPr/>
              <w:t> </w:t>
            </w:r>
          </w:p>
        </w:tc>
        <w:tc>
          <w:tcPr>
            <w:tcW w:w="121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June 30, 2019</w:t>
            </w:r>
          </w:p>
        </w:tc>
        <w:tc>
          <w:tcPr>
            <w:tcW w:w="290" w:type="dxa"/>
            <w:tcBorders/>
            <w:shd w:fill="auto" w:val="clear"/>
            <w:vAlign w:val="center"/>
          </w:tcPr>
          <w:p>
            <w:pPr>
              <w:pStyle w:val="TableContents"/>
              <w:spacing w:before="0" w:after="0"/>
              <w:ind w:left="0" w:right="0" w:hanging="0"/>
              <w:rPr/>
            </w:pPr>
            <w:r>
              <w:rPr/>
              <w:t> </w:t>
            </w:r>
          </w:p>
        </w:tc>
      </w:tr>
      <w:tr>
        <w:trPr/>
        <w:tc>
          <w:tcPr>
            <w:tcW w:w="258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669"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67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19" w:type="dxa"/>
            <w:gridSpan w:val="2"/>
            <w:tcBorders/>
            <w:shd w:fill="auto" w:val="clear"/>
            <w:vAlign w:val="center"/>
          </w:tcPr>
          <w:p>
            <w:pPr>
              <w:pStyle w:val="TableContents"/>
              <w:spacing w:before="0" w:after="0"/>
              <w:ind w:left="0" w:right="0" w:hanging="0"/>
              <w:rPr/>
            </w:pPr>
            <w:r>
              <w:rPr/>
              <w:t> </w:t>
            </w:r>
          </w:p>
        </w:tc>
        <w:tc>
          <w:tcPr>
            <w:tcW w:w="290" w:type="dxa"/>
            <w:tcBorders/>
            <w:shd w:fill="auto" w:val="clear"/>
            <w:vAlign w:val="center"/>
          </w:tcPr>
          <w:p>
            <w:pPr>
              <w:pStyle w:val="TableContents"/>
              <w:spacing w:before="0" w:after="0"/>
              <w:ind w:left="0" w:right="0" w:hanging="0"/>
              <w:rPr/>
            </w:pPr>
            <w:r>
              <w:rPr/>
              <w:t> </w:t>
            </w:r>
          </w:p>
        </w:tc>
      </w:tr>
      <w:tr>
        <w:trPr/>
        <w:tc>
          <w:tcPr>
            <w:tcW w:w="2585" w:type="dxa"/>
            <w:tcBorders/>
            <w:shd w:fill="auto" w:val="clear"/>
            <w:vAlign w:val="cente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Personal Lines:</w:t>
            </w:r>
          </w:p>
        </w:tc>
        <w:tc>
          <w:tcPr>
            <w:tcW w:w="90" w:type="dxa"/>
            <w:tcBorders/>
            <w:shd w:fill="auto" w:val="clear"/>
            <w:vAlign w:val="center"/>
          </w:tcPr>
          <w:p>
            <w:pPr>
              <w:pStyle w:val="TableContents"/>
              <w:spacing w:before="0" w:after="0"/>
              <w:ind w:left="0" w:right="0" w:hanging="0"/>
              <w:rPr/>
            </w:pPr>
            <w:r>
              <w:rPr/>
              <w:t> </w:t>
            </w:r>
          </w:p>
        </w:tc>
        <w:tc>
          <w:tcPr>
            <w:tcW w:w="1669"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67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19" w:type="dxa"/>
            <w:gridSpan w:val="2"/>
            <w:tcBorders/>
            <w:shd w:fill="auto" w:val="clear"/>
            <w:vAlign w:val="center"/>
          </w:tcPr>
          <w:p>
            <w:pPr>
              <w:pStyle w:val="TableContents"/>
              <w:spacing w:before="0" w:after="0"/>
              <w:ind w:left="0" w:right="0" w:hanging="0"/>
              <w:rPr/>
            </w:pPr>
            <w:r>
              <w:rPr/>
              <w:t> </w:t>
            </w:r>
          </w:p>
        </w:tc>
        <w:tc>
          <w:tcPr>
            <w:tcW w:w="290" w:type="dxa"/>
            <w:tcBorders/>
            <w:shd w:fill="auto" w:val="clear"/>
            <w:vAlign w:val="center"/>
          </w:tcPr>
          <w:p>
            <w:pPr>
              <w:pStyle w:val="TableContents"/>
              <w:spacing w:before="0" w:after="0"/>
              <w:ind w:left="0" w:right="0" w:hanging="0"/>
              <w:rPr/>
            </w:pPr>
            <w:r>
              <w:rPr/>
              <w:t> </w:t>
            </w:r>
          </w:p>
        </w:tc>
      </w:tr>
      <w:tr>
        <w:trPr/>
        <w:tc>
          <w:tcPr>
            <w:tcW w:w="2585"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Homeowners, dwelling fire and</w:t>
            </w:r>
          </w:p>
        </w:tc>
        <w:tc>
          <w:tcPr>
            <w:tcW w:w="90" w:type="dxa"/>
            <w:tcBorders/>
            <w:shd w:fill="auto" w:val="clear"/>
            <w:vAlign w:val="center"/>
          </w:tcPr>
          <w:p>
            <w:pPr>
              <w:pStyle w:val="TableContents"/>
              <w:spacing w:before="0" w:after="0"/>
              <w:ind w:left="0" w:right="0" w:hanging="0"/>
              <w:rPr/>
            </w:pPr>
            <w:r>
              <w:rPr/>
              <w:t> </w:t>
            </w:r>
          </w:p>
        </w:tc>
        <w:tc>
          <w:tcPr>
            <w:tcW w:w="1669"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67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19" w:type="dxa"/>
            <w:gridSpan w:val="2"/>
            <w:tcBorders/>
            <w:shd w:fill="auto" w:val="clear"/>
            <w:vAlign w:val="center"/>
          </w:tcPr>
          <w:p>
            <w:pPr>
              <w:pStyle w:val="TableContents"/>
              <w:spacing w:before="0" w:after="0"/>
              <w:ind w:left="0" w:right="0" w:hanging="0"/>
              <w:rPr/>
            </w:pPr>
            <w:r>
              <w:rPr/>
              <w:t> </w:t>
            </w:r>
          </w:p>
        </w:tc>
        <w:tc>
          <w:tcPr>
            <w:tcW w:w="290" w:type="dxa"/>
            <w:tcBorders/>
            <w:shd w:fill="auto" w:val="clear"/>
            <w:vAlign w:val="center"/>
          </w:tcPr>
          <w:p>
            <w:pPr>
              <w:pStyle w:val="TableContents"/>
              <w:spacing w:before="0" w:after="0"/>
              <w:ind w:left="0" w:right="0" w:hanging="0"/>
              <w:rPr/>
            </w:pPr>
            <w:r>
              <w:rPr/>
              <w:t> </w:t>
            </w:r>
          </w:p>
        </w:tc>
      </w:tr>
      <w:tr>
        <w:trPr/>
        <w:tc>
          <w:tcPr>
            <w:tcW w:w="2585" w:type="dxa"/>
            <w:tcBorders/>
            <w:shd w:fill="auto" w:val="clear"/>
            <w:vAlign w:val="center"/>
          </w:tcPr>
          <w:p>
            <w:pPr>
              <w:pStyle w:val="TableContents"/>
              <w:spacing w:before="0" w:after="0"/>
              <w:ind w:left="0" w:right="0" w:firstLine="160"/>
              <w:rPr>
                <w:rFonts w:ascii="times new roman" w:hAnsi="times new roman"/>
                <w:sz w:val="20"/>
              </w:rPr>
            </w:pPr>
            <w:r>
              <w:rPr>
                <w:rFonts w:ascii="times new roman" w:hAnsi="times new roman"/>
                <w:sz w:val="20"/>
              </w:rPr>
              <w:t>and canine legal liability</w:t>
            </w:r>
          </w:p>
        </w:tc>
        <w:tc>
          <w:tcPr>
            <w:tcW w:w="90" w:type="dxa"/>
            <w:tcBorders/>
            <w:shd w:fill="auto" w:val="clear"/>
            <w:vAlign w:val="center"/>
          </w:tcPr>
          <w:p>
            <w:pPr>
              <w:pStyle w:val="TableContents"/>
              <w:spacing w:before="0" w:after="0"/>
              <w:ind w:left="0" w:right="0" w:hanging="0"/>
              <w:rPr/>
            </w:pPr>
            <w:r>
              <w:rPr/>
              <w:t> </w:t>
            </w:r>
          </w:p>
        </w:tc>
        <w:tc>
          <w:tcPr>
            <w:tcW w:w="1669"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67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19" w:type="dxa"/>
            <w:gridSpan w:val="2"/>
            <w:tcBorders/>
            <w:shd w:fill="auto" w:val="clear"/>
            <w:vAlign w:val="center"/>
          </w:tcPr>
          <w:p>
            <w:pPr>
              <w:pStyle w:val="TableContents"/>
              <w:spacing w:before="0" w:after="0"/>
              <w:ind w:left="0" w:right="0" w:hanging="0"/>
              <w:rPr/>
            </w:pPr>
            <w:r>
              <w:rPr/>
              <w:t> </w:t>
            </w:r>
          </w:p>
        </w:tc>
        <w:tc>
          <w:tcPr>
            <w:tcW w:w="290" w:type="dxa"/>
            <w:tcBorders/>
            <w:shd w:fill="auto" w:val="clear"/>
            <w:vAlign w:val="center"/>
          </w:tcPr>
          <w:p>
            <w:pPr>
              <w:pStyle w:val="TableContents"/>
              <w:spacing w:before="0" w:after="0"/>
              <w:ind w:left="0" w:right="0" w:hanging="0"/>
              <w:rPr/>
            </w:pPr>
            <w:r>
              <w:rPr/>
              <w:t> </w:t>
            </w:r>
          </w:p>
        </w:tc>
      </w:tr>
      <w:tr>
        <w:trPr/>
        <w:tc>
          <w:tcPr>
            <w:tcW w:w="2585" w:type="dxa"/>
            <w:tcBorders/>
            <w:shd w:fill="auto" w:val="clear"/>
            <w:vAlign w:val="center"/>
          </w:tcPr>
          <w:p>
            <w:pPr>
              <w:pStyle w:val="TableContents"/>
              <w:spacing w:before="0" w:after="0"/>
              <w:ind w:left="0" w:right="0" w:firstLine="160"/>
              <w:rPr>
                <w:rFonts w:ascii="times new roman" w:hAnsi="times new roman"/>
                <w:sz w:val="20"/>
              </w:rPr>
            </w:pPr>
            <w:r>
              <w:rPr>
                <w:rFonts w:ascii="times new roman" w:hAnsi="times new roman"/>
                <w:sz w:val="20"/>
              </w:rPr>
              <w:t xml:space="preserve">Quota share treaty: </w:t>
            </w:r>
          </w:p>
        </w:tc>
        <w:tc>
          <w:tcPr>
            <w:tcW w:w="90" w:type="dxa"/>
            <w:tcBorders/>
            <w:shd w:fill="auto" w:val="clear"/>
            <w:vAlign w:val="center"/>
          </w:tcPr>
          <w:p>
            <w:pPr>
              <w:pStyle w:val="TableContents"/>
              <w:spacing w:before="0" w:after="0"/>
              <w:ind w:left="0" w:right="0" w:hanging="0"/>
              <w:rPr/>
            </w:pPr>
            <w:r>
              <w:rPr/>
              <w:t> </w:t>
            </w:r>
          </w:p>
        </w:tc>
        <w:tc>
          <w:tcPr>
            <w:tcW w:w="1669"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67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19" w:type="dxa"/>
            <w:gridSpan w:val="2"/>
            <w:tcBorders/>
            <w:shd w:fill="auto" w:val="clear"/>
            <w:vAlign w:val="center"/>
          </w:tcPr>
          <w:p>
            <w:pPr>
              <w:pStyle w:val="TableContents"/>
              <w:spacing w:before="0" w:after="0"/>
              <w:ind w:left="0" w:right="0" w:hanging="0"/>
              <w:rPr/>
            </w:pPr>
            <w:r>
              <w:rPr/>
              <w:t> </w:t>
            </w:r>
          </w:p>
        </w:tc>
        <w:tc>
          <w:tcPr>
            <w:tcW w:w="290" w:type="dxa"/>
            <w:tcBorders/>
            <w:shd w:fill="auto" w:val="clear"/>
            <w:vAlign w:val="center"/>
          </w:tcPr>
          <w:p>
            <w:pPr>
              <w:pStyle w:val="TableContents"/>
              <w:spacing w:before="0" w:after="0"/>
              <w:ind w:left="0" w:right="0" w:hanging="0"/>
              <w:rPr/>
            </w:pPr>
            <w:r>
              <w:rPr/>
              <w:t> </w:t>
            </w:r>
          </w:p>
        </w:tc>
      </w:tr>
      <w:tr>
        <w:trPr/>
        <w:tc>
          <w:tcPr>
            <w:tcW w:w="2585" w:type="dxa"/>
            <w:tcBorders/>
            <w:shd w:fill="CCEEFF" w:val="clear"/>
            <w:vAlign w:val="center"/>
          </w:tcPr>
          <w:p>
            <w:pPr>
              <w:pStyle w:val="TableContents"/>
              <w:spacing w:before="0" w:after="0"/>
              <w:ind w:left="0" w:right="0" w:firstLine="480"/>
              <w:rPr>
                <w:rFonts w:ascii="times new roman" w:hAnsi="times new roman"/>
                <w:sz w:val="20"/>
              </w:rPr>
            </w:pPr>
            <w:r>
              <w:rPr>
                <w:rFonts w:ascii="times new roman" w:hAnsi="times new roman"/>
                <w:sz w:val="20"/>
              </w:rPr>
              <w:t xml:space="preserve">Percent ceded </w:t>
            </w:r>
          </w:p>
        </w:tc>
        <w:tc>
          <w:tcPr>
            <w:tcW w:w="90" w:type="dxa"/>
            <w:tcBorders/>
            <w:shd w:fill="CCEEFF" w:val="clear"/>
            <w:vAlign w:val="center"/>
          </w:tcPr>
          <w:p>
            <w:pPr>
              <w:pStyle w:val="TableContents"/>
              <w:spacing w:before="0" w:after="0"/>
              <w:ind w:left="0" w:right="0" w:hanging="0"/>
              <w:rPr/>
            </w:pPr>
            <w:r>
              <w:rPr/>
              <w:t> </w:t>
            </w:r>
          </w:p>
        </w:tc>
        <w:tc>
          <w:tcPr>
            <w:tcW w:w="394" w:type="dxa"/>
            <w:tcBorders/>
            <w:shd w:fill="CCEEFF" w:val="clear"/>
            <w:vAlign w:val="center"/>
          </w:tcPr>
          <w:p>
            <w:pPr>
              <w:pStyle w:val="TableContents"/>
              <w:spacing w:before="0" w:after="0"/>
              <w:ind w:left="0" w:right="0" w:hanging="0"/>
              <w:rPr/>
            </w:pPr>
            <w:r>
              <w:rPr/>
              <w:t> </w:t>
            </w:r>
          </w:p>
        </w:tc>
        <w:tc>
          <w:tcPr>
            <w:tcW w:w="1275" w:type="dxa"/>
            <w:tcBorders/>
            <w:shd w:fill="CCEEFF" w:val="clear"/>
            <w:vAlign w:val="center"/>
          </w:tcPr>
          <w:p>
            <w:pPr>
              <w:pStyle w:val="TableContents"/>
              <w:spacing w:before="0" w:after="283"/>
              <w:jc w:val="right"/>
              <w:rPr/>
            </w:pPr>
            <w:r>
              <w:rPr/>
              <w:t>25</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67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None</w:t>
            </w:r>
          </w:p>
        </w:tc>
        <w:tc>
          <w:tcPr>
            <w:tcW w:w="90" w:type="dxa"/>
            <w:tcBorders/>
            <w:shd w:fill="CCEEFF" w:val="clear"/>
            <w:vAlign w:val="center"/>
          </w:tcPr>
          <w:p>
            <w:pPr>
              <w:pStyle w:val="TableContents"/>
              <w:spacing w:before="0" w:after="0"/>
              <w:ind w:left="0" w:right="0" w:hanging="0"/>
              <w:rPr/>
            </w:pPr>
            <w:r>
              <w:rPr/>
              <w:t> </w:t>
            </w:r>
          </w:p>
        </w:tc>
        <w:tc>
          <w:tcPr>
            <w:tcW w:w="286" w:type="dxa"/>
            <w:tcBorders/>
            <w:shd w:fill="CCEEFF" w:val="clear"/>
            <w:vAlign w:val="center"/>
          </w:tcPr>
          <w:p>
            <w:pPr>
              <w:pStyle w:val="TableContents"/>
              <w:spacing w:before="0" w:after="0"/>
              <w:ind w:left="0" w:right="0" w:hanging="0"/>
              <w:rPr/>
            </w:pPr>
            <w:r>
              <w:rPr/>
              <w:t> </w:t>
            </w:r>
          </w:p>
        </w:tc>
        <w:tc>
          <w:tcPr>
            <w:tcW w:w="933" w:type="dxa"/>
            <w:tcBorders/>
            <w:shd w:fill="CCEEFF" w:val="clear"/>
            <w:vAlign w:val="center"/>
          </w:tcPr>
          <w:p>
            <w:pPr>
              <w:pStyle w:val="TableContents"/>
              <w:spacing w:before="0" w:after="283"/>
              <w:jc w:val="right"/>
              <w:rPr/>
            </w:pPr>
            <w:r>
              <w:rPr/>
              <w:t>10</w:t>
            </w:r>
          </w:p>
        </w:tc>
        <w:tc>
          <w:tcPr>
            <w:tcW w:w="290" w:type="dxa"/>
            <w:tcBorders/>
            <w:shd w:fill="CCEEFF" w:val="clear"/>
            <w:vAlign w:val="center"/>
          </w:tcPr>
          <w:p>
            <w:pPr>
              <w:pStyle w:val="TableContents"/>
              <w:spacing w:before="0" w:after="283"/>
              <w:rPr/>
            </w:pPr>
            <w:r>
              <w:rPr/>
              <w:t>%</w:t>
            </w:r>
          </w:p>
        </w:tc>
      </w:tr>
    </w:tbl>
    <w:p>
      <w:pPr>
        <w:pStyle w:val="TextBody"/>
        <w:spacing w:before="0" w:after="0"/>
        <w:ind w:left="0" w:right="0" w:hanging="0"/>
        <w:jc w:val="both"/>
        <w:rPr/>
      </w:pPr>
      <w:r>
        <w:rPr/>
        <w:t> </w:t>
      </w:r>
    </w:p>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1834"/>
        <w:gridCol w:w="90"/>
        <w:gridCol w:w="179"/>
        <w:gridCol w:w="1321"/>
        <w:gridCol w:w="90"/>
        <w:gridCol w:w="90"/>
        <w:gridCol w:w="179"/>
        <w:gridCol w:w="1321"/>
        <w:gridCol w:w="90"/>
        <w:gridCol w:w="90"/>
        <w:gridCol w:w="179"/>
        <w:gridCol w:w="1321"/>
        <w:gridCol w:w="90"/>
        <w:gridCol w:w="90"/>
        <w:gridCol w:w="179"/>
        <w:gridCol w:w="1321"/>
        <w:gridCol w:w="90"/>
        <w:gridCol w:w="90"/>
        <w:gridCol w:w="170"/>
        <w:gridCol w:w="1250"/>
        <w:gridCol w:w="141"/>
      </w:tblGrid>
      <w:tr>
        <w:trPr/>
        <w:tc>
          <w:tcPr>
            <w:tcW w:w="1834"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140" w:type="dxa"/>
            <w:gridSpan w:val="18"/>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Treaty Year </w:t>
            </w:r>
          </w:p>
        </w:tc>
        <w:tc>
          <w:tcPr>
            <w:tcW w:w="141" w:type="dxa"/>
            <w:tcBorders/>
            <w:shd w:fill="auto" w:val="clear"/>
            <w:vAlign w:val="center"/>
          </w:tcPr>
          <w:p>
            <w:pPr>
              <w:pStyle w:val="TableContents"/>
              <w:spacing w:before="0" w:after="0"/>
              <w:ind w:left="0" w:right="0" w:hanging="0"/>
              <w:rPr/>
            </w:pPr>
            <w:r>
              <w:rPr/>
              <w:t> </w:t>
            </w:r>
          </w:p>
        </w:tc>
      </w:tr>
      <w:tr>
        <w:trPr/>
        <w:tc>
          <w:tcPr>
            <w:tcW w:w="1834"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50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December 31, 2020</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50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July 1, 2020</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50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December 15, 2019</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50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July 1, 2019</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July 1, 2018</w:t>
            </w:r>
          </w:p>
        </w:tc>
        <w:tc>
          <w:tcPr>
            <w:tcW w:w="141" w:type="dxa"/>
            <w:tcBorders/>
            <w:shd w:fill="auto" w:val="clear"/>
            <w:vAlign w:val="center"/>
          </w:tcPr>
          <w:p>
            <w:pPr>
              <w:pStyle w:val="TableContents"/>
              <w:spacing w:before="0" w:after="0"/>
              <w:ind w:left="0" w:right="0" w:hanging="0"/>
              <w:rPr/>
            </w:pPr>
            <w:r>
              <w:rPr/>
              <w:t> </w:t>
            </w:r>
          </w:p>
        </w:tc>
      </w:tr>
      <w:tr>
        <w:trPr/>
        <w:tc>
          <w:tcPr>
            <w:tcW w:w="1834"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50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to</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50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to</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50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to</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50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to</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to</w:t>
            </w:r>
          </w:p>
        </w:tc>
        <w:tc>
          <w:tcPr>
            <w:tcW w:w="141" w:type="dxa"/>
            <w:tcBorders/>
            <w:shd w:fill="auto" w:val="clear"/>
            <w:vAlign w:val="center"/>
          </w:tcPr>
          <w:p>
            <w:pPr>
              <w:pStyle w:val="TableContents"/>
              <w:spacing w:before="0" w:after="0"/>
              <w:ind w:left="0" w:right="0" w:hanging="0"/>
              <w:rPr/>
            </w:pPr>
            <w:r>
              <w:rPr/>
              <w:t> </w:t>
            </w:r>
          </w:p>
        </w:tc>
      </w:tr>
      <w:tr>
        <w:trPr/>
        <w:tc>
          <w:tcPr>
            <w:tcW w:w="1834"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Fonts w:ascii="times new roman" w:hAnsi="times new roman"/>
                <w:sz w:val="20"/>
              </w:rPr>
              <w:t xml:space="preserve">Line of Business </w:t>
            </w:r>
          </w:p>
        </w:tc>
        <w:tc>
          <w:tcPr>
            <w:tcW w:w="90" w:type="dxa"/>
            <w:tcBorders/>
            <w:shd w:fill="auto" w:val="clear"/>
            <w:vAlign w:val="center"/>
          </w:tcPr>
          <w:p>
            <w:pPr>
              <w:pStyle w:val="TableContents"/>
              <w:spacing w:before="0" w:after="0"/>
              <w:ind w:left="0" w:right="0" w:hanging="0"/>
              <w:rPr/>
            </w:pPr>
            <w:r>
              <w:rPr/>
              <w:t> </w:t>
            </w:r>
          </w:p>
        </w:tc>
        <w:tc>
          <w:tcPr>
            <w:tcW w:w="15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June 30, 2021</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5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30, 2020</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5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June 30, 2020</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5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14, 2019</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June 30, 2019</w:t>
            </w:r>
          </w:p>
        </w:tc>
        <w:tc>
          <w:tcPr>
            <w:tcW w:w="141" w:type="dxa"/>
            <w:tcBorders/>
            <w:shd w:fill="auto" w:val="clear"/>
            <w:vAlign w:val="center"/>
          </w:tcPr>
          <w:p>
            <w:pPr>
              <w:pStyle w:val="TableContents"/>
              <w:spacing w:before="0" w:after="0"/>
              <w:ind w:left="0" w:right="0" w:hanging="0"/>
              <w:rPr/>
            </w:pPr>
            <w:r>
              <w:rPr/>
              <w:t> </w:t>
            </w:r>
          </w:p>
        </w:tc>
      </w:tr>
      <w:tr>
        <w:trPr/>
        <w:tc>
          <w:tcPr>
            <w:tcW w:w="1834"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5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5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5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5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41" w:type="dxa"/>
            <w:tcBorders/>
            <w:shd w:fill="auto" w:val="clear"/>
            <w:vAlign w:val="center"/>
          </w:tcPr>
          <w:p>
            <w:pPr>
              <w:pStyle w:val="TableContents"/>
              <w:spacing w:before="0" w:after="0"/>
              <w:ind w:left="0" w:right="0" w:hanging="0"/>
              <w:rPr/>
            </w:pPr>
            <w:r>
              <w:rPr/>
              <w:t> </w:t>
            </w:r>
          </w:p>
        </w:tc>
      </w:tr>
      <w:tr>
        <w:trPr/>
        <w:tc>
          <w:tcPr>
            <w:tcW w:w="1834" w:type="dxa"/>
            <w:tcBorders/>
            <w:shd w:fill="auto" w:val="clear"/>
            <w:vAlign w:val="cente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Personal Lines:</w:t>
            </w:r>
          </w:p>
        </w:tc>
        <w:tc>
          <w:tcPr>
            <w:tcW w:w="90" w:type="dxa"/>
            <w:tcBorders/>
            <w:shd w:fill="auto" w:val="clear"/>
            <w:vAlign w:val="center"/>
          </w:tcPr>
          <w:p>
            <w:pPr>
              <w:pStyle w:val="TableContents"/>
              <w:spacing w:before="0" w:after="0"/>
              <w:ind w:left="0" w:right="0" w:hanging="0"/>
              <w:rPr/>
            </w:pPr>
            <w:r>
              <w:rPr/>
              <w:t> </w:t>
            </w:r>
          </w:p>
        </w:tc>
        <w:tc>
          <w:tcPr>
            <w:tcW w:w="15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5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5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5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41" w:type="dxa"/>
            <w:tcBorders/>
            <w:shd w:fill="auto" w:val="clear"/>
            <w:vAlign w:val="center"/>
          </w:tcPr>
          <w:p>
            <w:pPr>
              <w:pStyle w:val="TableContents"/>
              <w:spacing w:before="0" w:after="0"/>
              <w:ind w:left="0" w:right="0" w:hanging="0"/>
              <w:rPr/>
            </w:pPr>
            <w:r>
              <w:rPr/>
              <w:t> </w:t>
            </w:r>
          </w:p>
        </w:tc>
      </w:tr>
      <w:tr>
        <w:trPr/>
        <w:tc>
          <w:tcPr>
            <w:tcW w:w="1834"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Homeowners, dwelling fire and</w:t>
            </w:r>
          </w:p>
        </w:tc>
        <w:tc>
          <w:tcPr>
            <w:tcW w:w="90" w:type="dxa"/>
            <w:tcBorders/>
            <w:shd w:fill="auto" w:val="clear"/>
            <w:vAlign w:val="center"/>
          </w:tcPr>
          <w:p>
            <w:pPr>
              <w:pStyle w:val="TableContents"/>
              <w:spacing w:before="0" w:after="0"/>
              <w:ind w:left="0" w:right="0" w:hanging="0"/>
              <w:rPr/>
            </w:pPr>
            <w:r>
              <w:rPr/>
              <w:t> </w:t>
            </w:r>
          </w:p>
        </w:tc>
        <w:tc>
          <w:tcPr>
            <w:tcW w:w="15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5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5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5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41" w:type="dxa"/>
            <w:tcBorders/>
            <w:shd w:fill="auto" w:val="clear"/>
            <w:vAlign w:val="center"/>
          </w:tcPr>
          <w:p>
            <w:pPr>
              <w:pStyle w:val="TableContents"/>
              <w:spacing w:before="0" w:after="0"/>
              <w:ind w:left="0" w:right="0" w:hanging="0"/>
              <w:rPr/>
            </w:pPr>
            <w:r>
              <w:rPr/>
              <w:t> </w:t>
            </w:r>
          </w:p>
        </w:tc>
      </w:tr>
      <w:tr>
        <w:trPr/>
        <w:tc>
          <w:tcPr>
            <w:tcW w:w="1834" w:type="dxa"/>
            <w:tcBorders/>
            <w:shd w:fill="auto" w:val="clear"/>
            <w:vAlign w:val="center"/>
          </w:tcPr>
          <w:p>
            <w:pPr>
              <w:pStyle w:val="TableContents"/>
              <w:spacing w:before="0" w:after="0"/>
              <w:ind w:left="0" w:right="0" w:firstLine="160"/>
              <w:rPr>
                <w:rFonts w:ascii="times new roman" w:hAnsi="times new roman"/>
                <w:sz w:val="20"/>
              </w:rPr>
            </w:pPr>
            <w:r>
              <w:rPr>
                <w:rFonts w:ascii="times new roman" w:hAnsi="times new roman"/>
                <w:sz w:val="20"/>
              </w:rPr>
              <w:t>and canine legal liability</w:t>
            </w:r>
          </w:p>
        </w:tc>
        <w:tc>
          <w:tcPr>
            <w:tcW w:w="90" w:type="dxa"/>
            <w:tcBorders/>
            <w:shd w:fill="auto" w:val="clear"/>
            <w:vAlign w:val="center"/>
          </w:tcPr>
          <w:p>
            <w:pPr>
              <w:pStyle w:val="TableContents"/>
              <w:spacing w:before="0" w:after="0"/>
              <w:ind w:left="0" w:right="0" w:hanging="0"/>
              <w:rPr/>
            </w:pPr>
            <w:r>
              <w:rPr/>
              <w:t> </w:t>
            </w:r>
          </w:p>
        </w:tc>
        <w:tc>
          <w:tcPr>
            <w:tcW w:w="15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5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5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5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41" w:type="dxa"/>
            <w:tcBorders/>
            <w:shd w:fill="auto" w:val="clear"/>
            <w:vAlign w:val="center"/>
          </w:tcPr>
          <w:p>
            <w:pPr>
              <w:pStyle w:val="TableContents"/>
              <w:spacing w:before="0" w:after="0"/>
              <w:ind w:left="0" w:right="0" w:hanging="0"/>
              <w:rPr/>
            </w:pPr>
            <w:r>
              <w:rPr/>
              <w:t> </w:t>
            </w:r>
          </w:p>
        </w:tc>
      </w:tr>
      <w:tr>
        <w:trPr/>
        <w:tc>
          <w:tcPr>
            <w:tcW w:w="1834" w:type="dxa"/>
            <w:tcBorders/>
            <w:shd w:fill="auto" w:val="clear"/>
            <w:vAlign w:val="center"/>
          </w:tcPr>
          <w:p>
            <w:pPr>
              <w:pStyle w:val="TableContents"/>
              <w:spacing w:before="0" w:after="0"/>
              <w:ind w:left="0" w:right="0" w:firstLine="160"/>
              <w:rPr>
                <w:rFonts w:ascii="times new roman" w:hAnsi="times new roman"/>
                <w:sz w:val="20"/>
              </w:rPr>
            </w:pPr>
            <w:r>
              <w:rPr>
                <w:rFonts w:ascii="times new roman" w:hAnsi="times new roman"/>
                <w:sz w:val="20"/>
              </w:rPr>
              <w:t xml:space="preserve">Quota share treaty: </w:t>
            </w:r>
          </w:p>
        </w:tc>
        <w:tc>
          <w:tcPr>
            <w:tcW w:w="90" w:type="dxa"/>
            <w:tcBorders/>
            <w:shd w:fill="auto" w:val="clear"/>
            <w:vAlign w:val="center"/>
          </w:tcPr>
          <w:p>
            <w:pPr>
              <w:pStyle w:val="TableContents"/>
              <w:spacing w:before="0" w:after="0"/>
              <w:ind w:left="0" w:right="0" w:hanging="0"/>
              <w:rPr/>
            </w:pPr>
            <w:r>
              <w:rPr/>
              <w:t> </w:t>
            </w:r>
          </w:p>
        </w:tc>
        <w:tc>
          <w:tcPr>
            <w:tcW w:w="15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5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5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5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41" w:type="dxa"/>
            <w:tcBorders/>
            <w:shd w:fill="auto" w:val="clear"/>
            <w:vAlign w:val="center"/>
          </w:tcPr>
          <w:p>
            <w:pPr>
              <w:pStyle w:val="TableContents"/>
              <w:spacing w:before="0" w:after="0"/>
              <w:ind w:left="0" w:right="0" w:hanging="0"/>
              <w:rPr/>
            </w:pPr>
            <w:r>
              <w:rPr/>
              <w:t> </w:t>
            </w:r>
          </w:p>
        </w:tc>
      </w:tr>
      <w:tr>
        <w:trPr/>
        <w:tc>
          <w:tcPr>
            <w:tcW w:w="1834" w:type="dxa"/>
            <w:tcBorders/>
            <w:shd w:fill="auto" w:val="clear"/>
            <w:vAlign w:val="center"/>
          </w:tcPr>
          <w:p>
            <w:pPr>
              <w:pStyle w:val="TableContents"/>
              <w:spacing w:before="0" w:after="0"/>
              <w:ind w:left="0" w:right="0" w:firstLine="160"/>
              <w:rPr>
                <w:rFonts w:ascii="times new roman" w:hAnsi="times new roman"/>
                <w:sz w:val="20"/>
              </w:rPr>
            </w:pPr>
            <w:r>
              <w:rPr>
                <w:rFonts w:ascii="times new roman" w:hAnsi="times new roman"/>
                <w:sz w:val="20"/>
              </w:rPr>
              <w:t xml:space="preserve">Risk retained on intial </w:t>
            </w:r>
          </w:p>
        </w:tc>
        <w:tc>
          <w:tcPr>
            <w:tcW w:w="90" w:type="dxa"/>
            <w:tcBorders/>
            <w:shd w:fill="auto" w:val="clear"/>
            <w:vAlign w:val="center"/>
          </w:tcPr>
          <w:p>
            <w:pPr>
              <w:pStyle w:val="TableContents"/>
              <w:spacing w:before="0" w:after="0"/>
              <w:ind w:left="0" w:right="0" w:hanging="0"/>
              <w:rPr/>
            </w:pPr>
            <w:r>
              <w:rPr/>
              <w:t> </w:t>
            </w:r>
          </w:p>
        </w:tc>
        <w:tc>
          <w:tcPr>
            <w:tcW w:w="15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5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5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5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41" w:type="dxa"/>
            <w:tcBorders/>
            <w:shd w:fill="auto" w:val="clear"/>
            <w:vAlign w:val="center"/>
          </w:tcPr>
          <w:p>
            <w:pPr>
              <w:pStyle w:val="TableContents"/>
              <w:spacing w:before="0" w:after="0"/>
              <w:ind w:left="0" w:right="0" w:hanging="0"/>
              <w:rPr/>
            </w:pPr>
            <w:r>
              <w:rPr/>
              <w:t> </w:t>
            </w:r>
          </w:p>
        </w:tc>
      </w:tr>
      <w:tr>
        <w:trPr/>
        <w:tc>
          <w:tcPr>
            <w:tcW w:w="1834" w:type="dxa"/>
            <w:tcBorders/>
            <w:shd w:fill="CCEEFF" w:val="clear"/>
            <w:vAlign w:val="center"/>
          </w:tcPr>
          <w:p>
            <w:pPr>
              <w:pStyle w:val="TableContents"/>
              <w:spacing w:before="0" w:after="0"/>
              <w:ind w:left="0" w:right="0" w:firstLine="320"/>
              <w:rPr>
                <w:rFonts w:ascii="times new roman" w:hAnsi="times new roman"/>
                <w:sz w:val="20"/>
              </w:rPr>
            </w:pPr>
            <w:r>
              <w:rPr>
                <w:rFonts w:ascii="times new roman" w:hAnsi="times new roman"/>
                <w:sz w:val="20"/>
              </w:rPr>
              <w:t>$1,000,000 of losses (7)</w:t>
            </w:r>
          </w:p>
        </w:tc>
        <w:tc>
          <w:tcPr>
            <w:tcW w:w="90" w:type="dxa"/>
            <w:tcBorders/>
            <w:shd w:fill="CCEEFF" w:val="clear"/>
            <w:vAlign w:val="center"/>
          </w:tcPr>
          <w:p>
            <w:pPr>
              <w:pStyle w:val="TableContents"/>
              <w:spacing w:before="0" w:after="0"/>
              <w:ind w:left="0" w:right="0" w:hanging="0"/>
              <w:rPr/>
            </w:pPr>
            <w:r>
              <w:rPr/>
              <w:t> </w:t>
            </w:r>
          </w:p>
        </w:tc>
        <w:tc>
          <w:tcPr>
            <w:tcW w:w="1500" w:type="dxa"/>
            <w:gridSpan w:val="2"/>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1,000,000 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9" w:type="dxa"/>
            <w:tcBorders/>
            <w:shd w:fill="CCEEFF" w:val="clear"/>
            <w:vAlign w:val="center"/>
          </w:tcPr>
          <w:p>
            <w:pPr>
              <w:pStyle w:val="TableContents"/>
              <w:spacing w:before="0" w:after="283"/>
              <w:rPr/>
            </w:pPr>
            <w:r>
              <w:rPr/>
              <w:t>$</w:t>
            </w:r>
          </w:p>
        </w:tc>
        <w:tc>
          <w:tcPr>
            <w:tcW w:w="1321" w:type="dxa"/>
            <w:tcBorders/>
            <w:shd w:fill="CCEEFF" w:val="clear"/>
            <w:vAlign w:val="center"/>
          </w:tcPr>
          <w:p>
            <w:pPr>
              <w:pStyle w:val="TableContents"/>
              <w:spacing w:before="0" w:after="283"/>
              <w:jc w:val="right"/>
              <w:rPr/>
            </w:pPr>
            <w:r>
              <w:rPr/>
              <w:t>750,000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9" w:type="dxa"/>
            <w:tcBorders/>
            <w:shd w:fill="CCEEFF" w:val="clear"/>
            <w:vAlign w:val="center"/>
          </w:tcPr>
          <w:p>
            <w:pPr>
              <w:pStyle w:val="TableContents"/>
              <w:spacing w:before="0" w:after="283"/>
              <w:rPr/>
            </w:pPr>
            <w:r>
              <w:rPr/>
              <w:t>$</w:t>
            </w:r>
          </w:p>
        </w:tc>
        <w:tc>
          <w:tcPr>
            <w:tcW w:w="1321" w:type="dxa"/>
            <w:tcBorders/>
            <w:shd w:fill="CCEEFF" w:val="clear"/>
            <w:vAlign w:val="center"/>
          </w:tcPr>
          <w:p>
            <w:pPr>
              <w:pStyle w:val="TableContents"/>
              <w:spacing w:before="0" w:after="283"/>
              <w:jc w:val="right"/>
              <w:rPr/>
            </w:pPr>
            <w:r>
              <w:rPr/>
              <w:t>750,000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9" w:type="dxa"/>
            <w:tcBorders/>
            <w:shd w:fill="CCEEFF" w:val="clear"/>
            <w:vAlign w:val="center"/>
          </w:tcPr>
          <w:p>
            <w:pPr>
              <w:pStyle w:val="TableContents"/>
              <w:spacing w:before="0" w:after="283"/>
              <w:rPr/>
            </w:pPr>
            <w:r>
              <w:rPr/>
              <w:t>$</w:t>
            </w:r>
          </w:p>
        </w:tc>
        <w:tc>
          <w:tcPr>
            <w:tcW w:w="1321" w:type="dxa"/>
            <w:tcBorders/>
            <w:shd w:fill="CCEEFF" w:val="clear"/>
            <w:vAlign w:val="center"/>
          </w:tcPr>
          <w:p>
            <w:pPr>
              <w:pStyle w:val="TableContents"/>
              <w:spacing w:before="0" w:after="283"/>
              <w:jc w:val="right"/>
              <w:rPr/>
            </w:pPr>
            <w:r>
              <w:rPr/>
              <w:t>1,000,000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900,000</w:t>
            </w:r>
          </w:p>
        </w:tc>
        <w:tc>
          <w:tcPr>
            <w:tcW w:w="141" w:type="dxa"/>
            <w:tcBorders/>
            <w:shd w:fill="CCEEFF" w:val="clear"/>
            <w:vAlign w:val="center"/>
          </w:tcPr>
          <w:p>
            <w:pPr>
              <w:pStyle w:val="TableContents"/>
              <w:spacing w:before="0" w:after="0"/>
              <w:ind w:left="0" w:right="0" w:hanging="0"/>
              <w:rPr/>
            </w:pPr>
            <w:r>
              <w:rPr/>
              <w:t> </w:t>
            </w:r>
          </w:p>
        </w:tc>
      </w:tr>
      <w:tr>
        <w:trPr/>
        <w:tc>
          <w:tcPr>
            <w:tcW w:w="1834" w:type="dxa"/>
            <w:tcBorders/>
            <w:shd w:fill="FFFFFF" w:val="clear"/>
            <w:vAlign w:val="center"/>
          </w:tcPr>
          <w:p>
            <w:pPr>
              <w:pStyle w:val="TableContents"/>
              <w:spacing w:before="0" w:after="0"/>
              <w:ind w:left="0" w:right="0" w:firstLine="160"/>
              <w:rPr>
                <w:rFonts w:ascii="times new roman" w:hAnsi="times new roman"/>
                <w:sz w:val="20"/>
              </w:rPr>
            </w:pPr>
            <w:r>
              <w:rPr>
                <w:rFonts w:ascii="times new roman" w:hAnsi="times new roman"/>
                <w:sz w:val="20"/>
              </w:rPr>
              <w:t xml:space="preserve">Losses per occurrence subject </w:t>
            </w:r>
          </w:p>
        </w:tc>
        <w:tc>
          <w:tcPr>
            <w:tcW w:w="90" w:type="dxa"/>
            <w:tcBorders/>
            <w:shd w:fill="FFFFFF" w:val="clear"/>
            <w:vAlign w:val="center"/>
          </w:tcPr>
          <w:p>
            <w:pPr>
              <w:pStyle w:val="TableContents"/>
              <w:spacing w:before="0" w:after="0"/>
              <w:ind w:left="0" w:right="0" w:hanging="0"/>
              <w:rPr/>
            </w:pPr>
            <w:r>
              <w:rPr/>
              <w:t> </w:t>
            </w:r>
          </w:p>
        </w:tc>
        <w:tc>
          <w:tcPr>
            <w:tcW w:w="1500" w:type="dxa"/>
            <w:gridSpan w:val="2"/>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9" w:type="dxa"/>
            <w:tcBorders/>
            <w:shd w:fill="FFFFFF" w:val="clear"/>
            <w:vAlign w:val="center"/>
          </w:tcPr>
          <w:p>
            <w:pPr>
              <w:pStyle w:val="TableContents"/>
              <w:spacing w:before="0" w:after="0"/>
              <w:ind w:left="0" w:right="0" w:hanging="0"/>
              <w:rPr/>
            </w:pPr>
            <w:r>
              <w:rPr/>
              <w:t> </w:t>
            </w:r>
          </w:p>
        </w:tc>
        <w:tc>
          <w:tcPr>
            <w:tcW w:w="1321"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9" w:type="dxa"/>
            <w:tcBorders/>
            <w:shd w:fill="FFFFFF" w:val="clear"/>
            <w:vAlign w:val="center"/>
          </w:tcPr>
          <w:p>
            <w:pPr>
              <w:pStyle w:val="TableContents"/>
              <w:spacing w:before="0" w:after="0"/>
              <w:ind w:left="0" w:right="0" w:hanging="0"/>
              <w:rPr/>
            </w:pPr>
            <w:r>
              <w:rPr/>
              <w:t> </w:t>
            </w:r>
          </w:p>
        </w:tc>
        <w:tc>
          <w:tcPr>
            <w:tcW w:w="1321"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9" w:type="dxa"/>
            <w:tcBorders/>
            <w:shd w:fill="FFFFFF" w:val="clear"/>
            <w:vAlign w:val="center"/>
          </w:tcPr>
          <w:p>
            <w:pPr>
              <w:pStyle w:val="TableContents"/>
              <w:spacing w:before="0" w:after="0"/>
              <w:ind w:left="0" w:right="0" w:hanging="0"/>
              <w:rPr/>
            </w:pPr>
            <w:r>
              <w:rPr/>
              <w:t> </w:t>
            </w:r>
          </w:p>
        </w:tc>
        <w:tc>
          <w:tcPr>
            <w:tcW w:w="1321"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41" w:type="dxa"/>
            <w:tcBorders/>
            <w:shd w:fill="FFFFFF" w:val="clear"/>
            <w:vAlign w:val="center"/>
          </w:tcPr>
          <w:p>
            <w:pPr>
              <w:pStyle w:val="TableContents"/>
              <w:spacing w:before="0" w:after="0"/>
              <w:ind w:left="0" w:right="0" w:hanging="0"/>
              <w:rPr/>
            </w:pPr>
            <w:r>
              <w:rPr/>
              <w:t> </w:t>
            </w:r>
          </w:p>
        </w:tc>
      </w:tr>
      <w:tr>
        <w:trPr/>
        <w:tc>
          <w:tcPr>
            <w:tcW w:w="1834" w:type="dxa"/>
            <w:tcBorders/>
            <w:shd w:fill="CCEEFF" w:val="clear"/>
            <w:vAlign w:val="center"/>
          </w:tcPr>
          <w:p>
            <w:pPr>
              <w:pStyle w:val="TableContents"/>
              <w:spacing w:before="0" w:after="0"/>
              <w:ind w:left="0" w:right="0" w:firstLine="320"/>
              <w:rPr>
                <w:rFonts w:ascii="times new roman" w:hAnsi="times new roman"/>
                <w:sz w:val="20"/>
              </w:rPr>
            </w:pPr>
            <w:r>
              <w:rPr>
                <w:rFonts w:ascii="times new roman" w:hAnsi="times new roman"/>
                <w:sz w:val="20"/>
              </w:rPr>
              <w:t xml:space="preserve">to quota share </w:t>
            </w:r>
          </w:p>
        </w:tc>
        <w:tc>
          <w:tcPr>
            <w:tcW w:w="90" w:type="dxa"/>
            <w:tcBorders/>
            <w:shd w:fill="CCEEFF" w:val="clear"/>
            <w:vAlign w:val="center"/>
          </w:tcPr>
          <w:p>
            <w:pPr>
              <w:pStyle w:val="TableContents"/>
              <w:spacing w:before="0" w:after="0"/>
              <w:ind w:left="0" w:right="0" w:hanging="0"/>
              <w:rPr/>
            </w:pPr>
            <w:r>
              <w:rPr/>
              <w:t> </w:t>
            </w:r>
          </w:p>
        </w:tc>
        <w:tc>
          <w:tcPr>
            <w:tcW w:w="1500" w:type="dxa"/>
            <w:gridSpan w:val="2"/>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9" w:type="dxa"/>
            <w:tcBorders/>
            <w:shd w:fill="CCEEFF" w:val="clear"/>
            <w:vAlign w:val="center"/>
          </w:tcPr>
          <w:p>
            <w:pPr>
              <w:pStyle w:val="TableContents"/>
              <w:spacing w:before="0" w:after="0"/>
              <w:ind w:left="0" w:right="0" w:hanging="0"/>
              <w:rPr/>
            </w:pPr>
            <w:r>
              <w:rPr/>
              <w:t> </w:t>
            </w:r>
          </w:p>
        </w:tc>
        <w:tc>
          <w:tcPr>
            <w:tcW w:w="1321"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9" w:type="dxa"/>
            <w:tcBorders/>
            <w:shd w:fill="CCEEFF" w:val="clear"/>
            <w:vAlign w:val="center"/>
          </w:tcPr>
          <w:p>
            <w:pPr>
              <w:pStyle w:val="TableContents"/>
              <w:spacing w:before="0" w:after="0"/>
              <w:ind w:left="0" w:right="0" w:hanging="0"/>
              <w:rPr/>
            </w:pPr>
            <w:r>
              <w:rPr/>
              <w:t> </w:t>
            </w:r>
          </w:p>
        </w:tc>
        <w:tc>
          <w:tcPr>
            <w:tcW w:w="1321"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9" w:type="dxa"/>
            <w:tcBorders/>
            <w:shd w:fill="CCEEFF" w:val="clear"/>
            <w:vAlign w:val="center"/>
          </w:tcPr>
          <w:p>
            <w:pPr>
              <w:pStyle w:val="TableContents"/>
              <w:spacing w:before="0" w:after="0"/>
              <w:ind w:left="0" w:right="0" w:hanging="0"/>
              <w:rPr/>
            </w:pPr>
            <w:r>
              <w:rPr/>
              <w:t> </w:t>
            </w:r>
          </w:p>
        </w:tc>
        <w:tc>
          <w:tcPr>
            <w:tcW w:w="1321"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41" w:type="dxa"/>
            <w:tcBorders/>
            <w:shd w:fill="CCEEFF" w:val="clear"/>
            <w:vAlign w:val="center"/>
          </w:tcPr>
          <w:p>
            <w:pPr>
              <w:pStyle w:val="TableContents"/>
              <w:spacing w:before="0" w:after="0"/>
              <w:ind w:left="0" w:right="0" w:hanging="0"/>
              <w:rPr/>
            </w:pPr>
            <w:r>
              <w:rPr/>
              <w:t> </w:t>
            </w:r>
          </w:p>
        </w:tc>
      </w:tr>
      <w:tr>
        <w:trPr/>
        <w:tc>
          <w:tcPr>
            <w:tcW w:w="1834" w:type="dxa"/>
            <w:tcBorders/>
            <w:shd w:fill="FFFFFF" w:val="clear"/>
            <w:vAlign w:val="center"/>
          </w:tcPr>
          <w:p>
            <w:pPr>
              <w:pStyle w:val="TableContents"/>
              <w:spacing w:before="0" w:after="0"/>
              <w:ind w:left="0" w:right="0" w:firstLine="320"/>
              <w:rPr>
                <w:rFonts w:ascii="times new roman" w:hAnsi="times new roman"/>
                <w:sz w:val="20"/>
              </w:rPr>
            </w:pPr>
            <w:r>
              <w:rPr>
                <w:rFonts w:ascii="times new roman" w:hAnsi="times new roman"/>
                <w:sz w:val="20"/>
              </w:rPr>
              <w:t xml:space="preserve">reinsurance coverage </w:t>
            </w:r>
          </w:p>
        </w:tc>
        <w:tc>
          <w:tcPr>
            <w:tcW w:w="90" w:type="dxa"/>
            <w:tcBorders/>
            <w:shd w:fill="FFFFFF" w:val="clear"/>
            <w:vAlign w:val="center"/>
          </w:tcPr>
          <w:p>
            <w:pPr>
              <w:pStyle w:val="TableContents"/>
              <w:spacing w:before="0" w:after="0"/>
              <w:ind w:left="0" w:right="0" w:hanging="0"/>
              <w:rPr/>
            </w:pPr>
            <w:r>
              <w:rPr/>
              <w:t> </w:t>
            </w:r>
          </w:p>
        </w:tc>
        <w:tc>
          <w:tcPr>
            <w:tcW w:w="1500" w:type="dxa"/>
            <w:gridSpan w:val="2"/>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None (7)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9" w:type="dxa"/>
            <w:tcBorders/>
            <w:shd w:fill="FFFFFF" w:val="clear"/>
            <w:vAlign w:val="center"/>
          </w:tcPr>
          <w:p>
            <w:pPr>
              <w:pStyle w:val="TableContents"/>
              <w:spacing w:before="0" w:after="283"/>
              <w:rPr/>
            </w:pPr>
            <w:r>
              <w:rPr/>
              <w:t>$</w:t>
            </w:r>
          </w:p>
        </w:tc>
        <w:tc>
          <w:tcPr>
            <w:tcW w:w="1321" w:type="dxa"/>
            <w:tcBorders/>
            <w:shd w:fill="FFFFFF" w:val="clear"/>
            <w:vAlign w:val="center"/>
          </w:tcPr>
          <w:p>
            <w:pPr>
              <w:pStyle w:val="TableContents"/>
              <w:spacing w:before="0" w:after="283"/>
              <w:jc w:val="right"/>
              <w:rPr/>
            </w:pPr>
            <w:r>
              <w:rPr/>
              <w:t>1,000,000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9" w:type="dxa"/>
            <w:tcBorders/>
            <w:shd w:fill="FFFFFF" w:val="clear"/>
            <w:vAlign w:val="center"/>
          </w:tcPr>
          <w:p>
            <w:pPr>
              <w:pStyle w:val="TableContents"/>
              <w:spacing w:before="0" w:after="283"/>
              <w:rPr/>
            </w:pPr>
            <w:r>
              <w:rPr/>
              <w:t>$</w:t>
            </w:r>
          </w:p>
        </w:tc>
        <w:tc>
          <w:tcPr>
            <w:tcW w:w="1321" w:type="dxa"/>
            <w:tcBorders/>
            <w:shd w:fill="FFFFFF" w:val="clear"/>
            <w:vAlign w:val="center"/>
          </w:tcPr>
          <w:p>
            <w:pPr>
              <w:pStyle w:val="TableContents"/>
              <w:spacing w:before="0" w:after="283"/>
              <w:jc w:val="right"/>
              <w:rPr/>
            </w:pPr>
            <w:r>
              <w:rPr/>
              <w:t>1,000,000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500" w:type="dxa"/>
            <w:gridSpan w:val="2"/>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None</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1,000,000</w:t>
            </w:r>
          </w:p>
        </w:tc>
        <w:tc>
          <w:tcPr>
            <w:tcW w:w="141" w:type="dxa"/>
            <w:tcBorders/>
            <w:shd w:fill="FFFFFF" w:val="clear"/>
            <w:vAlign w:val="center"/>
          </w:tcPr>
          <w:p>
            <w:pPr>
              <w:pStyle w:val="TableContents"/>
              <w:spacing w:before="0" w:after="0"/>
              <w:ind w:left="0" w:right="0" w:hanging="0"/>
              <w:rPr/>
            </w:pPr>
            <w:r>
              <w:rPr/>
              <w:t> </w:t>
            </w:r>
          </w:p>
        </w:tc>
      </w:tr>
      <w:tr>
        <w:trPr/>
        <w:tc>
          <w:tcPr>
            <w:tcW w:w="1834" w:type="dxa"/>
            <w:tcBorders/>
            <w:shd w:fill="CCEEFF" w:val="clear"/>
            <w:vAlign w:val="center"/>
          </w:tcPr>
          <w:p>
            <w:pPr>
              <w:pStyle w:val="TableContents"/>
              <w:spacing w:before="0" w:after="0"/>
              <w:ind w:left="0" w:right="0" w:firstLine="480"/>
              <w:rPr>
                <w:rFonts w:ascii="times new roman" w:hAnsi="times new roman"/>
                <w:sz w:val="20"/>
              </w:rPr>
            </w:pPr>
            <w:r>
              <w:rPr>
                <w:rFonts w:ascii="times new roman" w:hAnsi="times new roman"/>
                <w:sz w:val="20"/>
              </w:rPr>
              <w:t xml:space="preserve">Expiration date </w:t>
            </w:r>
          </w:p>
        </w:tc>
        <w:tc>
          <w:tcPr>
            <w:tcW w:w="90" w:type="dxa"/>
            <w:tcBorders/>
            <w:shd w:fill="CCEEFF" w:val="clear"/>
            <w:vAlign w:val="center"/>
          </w:tcPr>
          <w:p>
            <w:pPr>
              <w:pStyle w:val="TableContents"/>
              <w:spacing w:before="0" w:after="0"/>
              <w:ind w:left="0" w:right="0" w:hanging="0"/>
              <w:rPr/>
            </w:pPr>
            <w:r>
              <w:rPr/>
              <w:t> </w:t>
            </w:r>
          </w:p>
        </w:tc>
        <w:tc>
          <w:tcPr>
            <w:tcW w:w="1500" w:type="dxa"/>
            <w:gridSpan w:val="2"/>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NA (7)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500" w:type="dxa"/>
            <w:gridSpan w:val="2"/>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December 30, 2020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500" w:type="dxa"/>
            <w:gridSpan w:val="2"/>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December 30, 2020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500" w:type="dxa"/>
            <w:gridSpan w:val="2"/>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NA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20" w:type="dxa"/>
            <w:gridSpan w:val="2"/>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June 30, 2019</w:t>
            </w:r>
          </w:p>
        </w:tc>
        <w:tc>
          <w:tcPr>
            <w:tcW w:w="141" w:type="dxa"/>
            <w:tcBorders/>
            <w:shd w:fill="CCEEFF" w:val="clear"/>
            <w:vAlign w:val="center"/>
          </w:tcPr>
          <w:p>
            <w:pPr>
              <w:pStyle w:val="TableContents"/>
              <w:spacing w:before="0" w:after="0"/>
              <w:ind w:left="0" w:right="0" w:hanging="0"/>
              <w:rPr/>
            </w:pPr>
            <w:r>
              <w:rPr/>
              <w:t> </w:t>
            </w:r>
          </w:p>
        </w:tc>
      </w:tr>
      <w:tr>
        <w:trPr/>
        <w:tc>
          <w:tcPr>
            <w:tcW w:w="1834" w:type="dxa"/>
            <w:tcBorders/>
            <w:shd w:fill="FFFFFF" w:val="clear"/>
            <w:vAlign w:val="center"/>
          </w:tcPr>
          <w:p>
            <w:pPr>
              <w:pStyle w:val="TableContents"/>
              <w:spacing w:before="0" w:after="0"/>
              <w:ind w:left="0" w:right="0" w:firstLine="160"/>
              <w:rPr>
                <w:rFonts w:ascii="times new roman" w:hAnsi="times new roman"/>
                <w:sz w:val="20"/>
              </w:rPr>
            </w:pPr>
            <w:r>
              <w:rPr>
                <w:rFonts w:ascii="times new roman" w:hAnsi="times new roman"/>
                <w:sz w:val="20"/>
              </w:rPr>
              <w:t xml:space="preserve">Excess of loss coverage and </w:t>
            </w:r>
          </w:p>
        </w:tc>
        <w:tc>
          <w:tcPr>
            <w:tcW w:w="90" w:type="dxa"/>
            <w:tcBorders/>
            <w:shd w:fill="FFFFFF" w:val="clear"/>
            <w:vAlign w:val="center"/>
          </w:tcPr>
          <w:p>
            <w:pPr>
              <w:pStyle w:val="TableContents"/>
              <w:spacing w:before="0" w:after="0"/>
              <w:ind w:left="0" w:right="0" w:hanging="0"/>
              <w:rPr/>
            </w:pPr>
            <w:r>
              <w:rPr/>
              <w:t> </w:t>
            </w:r>
          </w:p>
        </w:tc>
        <w:tc>
          <w:tcPr>
            <w:tcW w:w="1500" w:type="dxa"/>
            <w:gridSpan w:val="2"/>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9" w:type="dxa"/>
            <w:tcBorders/>
            <w:shd w:fill="FFFFFF" w:val="clear"/>
            <w:vAlign w:val="center"/>
          </w:tcPr>
          <w:p>
            <w:pPr>
              <w:pStyle w:val="TableContents"/>
              <w:spacing w:before="0" w:after="0"/>
              <w:ind w:left="0" w:right="0" w:hanging="0"/>
              <w:rPr/>
            </w:pPr>
            <w:r>
              <w:rPr/>
              <w:t> </w:t>
            </w:r>
          </w:p>
        </w:tc>
        <w:tc>
          <w:tcPr>
            <w:tcW w:w="1321"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9" w:type="dxa"/>
            <w:tcBorders/>
            <w:shd w:fill="FFFFFF" w:val="clear"/>
            <w:vAlign w:val="center"/>
          </w:tcPr>
          <w:p>
            <w:pPr>
              <w:pStyle w:val="TableContents"/>
              <w:spacing w:before="0" w:after="0"/>
              <w:ind w:left="0" w:right="0" w:hanging="0"/>
              <w:rPr/>
            </w:pPr>
            <w:r>
              <w:rPr/>
              <w:t> </w:t>
            </w:r>
          </w:p>
        </w:tc>
        <w:tc>
          <w:tcPr>
            <w:tcW w:w="1321"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9" w:type="dxa"/>
            <w:tcBorders/>
            <w:shd w:fill="FFFFFF" w:val="clear"/>
            <w:vAlign w:val="center"/>
          </w:tcPr>
          <w:p>
            <w:pPr>
              <w:pStyle w:val="TableContents"/>
              <w:spacing w:before="0" w:after="0"/>
              <w:ind w:left="0" w:right="0" w:hanging="0"/>
              <w:rPr/>
            </w:pPr>
            <w:r>
              <w:rPr/>
              <w:t> </w:t>
            </w:r>
          </w:p>
        </w:tc>
        <w:tc>
          <w:tcPr>
            <w:tcW w:w="1321"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41" w:type="dxa"/>
            <w:tcBorders/>
            <w:shd w:fill="FFFFFF" w:val="clear"/>
            <w:vAlign w:val="center"/>
          </w:tcPr>
          <w:p>
            <w:pPr>
              <w:pStyle w:val="TableContents"/>
              <w:spacing w:before="0" w:after="0"/>
              <w:ind w:left="0" w:right="0" w:hanging="0"/>
              <w:rPr/>
            </w:pPr>
            <w:r>
              <w:rPr/>
              <w:t> </w:t>
            </w:r>
          </w:p>
        </w:tc>
      </w:tr>
      <w:tr>
        <w:trPr/>
        <w:tc>
          <w:tcPr>
            <w:tcW w:w="1834" w:type="dxa"/>
            <w:tcBorders/>
            <w:shd w:fill="CCEEFF" w:val="clear"/>
            <w:vAlign w:val="center"/>
          </w:tcPr>
          <w:p>
            <w:pPr>
              <w:pStyle w:val="TableContents"/>
              <w:spacing w:before="0" w:after="0"/>
              <w:ind w:left="0" w:right="0" w:firstLine="320"/>
              <w:rPr>
                <w:rFonts w:ascii="times new roman" w:hAnsi="times new roman"/>
                <w:sz w:val="20"/>
              </w:rPr>
            </w:pPr>
            <w:r>
              <w:rPr>
                <w:rFonts w:ascii="times new roman" w:hAnsi="times new roman"/>
                <w:sz w:val="20"/>
              </w:rPr>
              <w:t xml:space="preserve">facultative facility </w:t>
            </w:r>
          </w:p>
        </w:tc>
        <w:tc>
          <w:tcPr>
            <w:tcW w:w="90" w:type="dxa"/>
            <w:tcBorders/>
            <w:shd w:fill="CCEEFF" w:val="clear"/>
            <w:vAlign w:val="center"/>
          </w:tcPr>
          <w:p>
            <w:pPr>
              <w:pStyle w:val="TableContents"/>
              <w:spacing w:before="0" w:after="0"/>
              <w:ind w:left="0" w:right="0" w:hanging="0"/>
              <w:rPr/>
            </w:pPr>
            <w:r>
              <w:rPr/>
              <w:t> </w:t>
            </w:r>
          </w:p>
        </w:tc>
        <w:tc>
          <w:tcPr>
            <w:tcW w:w="1500" w:type="dxa"/>
            <w:gridSpan w:val="2"/>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9" w:type="dxa"/>
            <w:tcBorders/>
            <w:shd w:fill="CCEEFF" w:val="clear"/>
            <w:vAlign w:val="center"/>
          </w:tcPr>
          <w:p>
            <w:pPr>
              <w:pStyle w:val="TableContents"/>
              <w:spacing w:before="0" w:after="0"/>
              <w:ind w:left="0" w:right="0" w:hanging="0"/>
              <w:rPr/>
            </w:pPr>
            <w:r>
              <w:rPr/>
              <w:t> </w:t>
            </w:r>
          </w:p>
        </w:tc>
        <w:tc>
          <w:tcPr>
            <w:tcW w:w="1321"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9" w:type="dxa"/>
            <w:tcBorders/>
            <w:shd w:fill="CCEEFF" w:val="clear"/>
            <w:vAlign w:val="center"/>
          </w:tcPr>
          <w:p>
            <w:pPr>
              <w:pStyle w:val="TableContents"/>
              <w:spacing w:before="0" w:after="0"/>
              <w:ind w:left="0" w:right="0" w:hanging="0"/>
              <w:rPr/>
            </w:pPr>
            <w:r>
              <w:rPr/>
              <w:t> </w:t>
            </w:r>
          </w:p>
        </w:tc>
        <w:tc>
          <w:tcPr>
            <w:tcW w:w="1321"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9" w:type="dxa"/>
            <w:tcBorders/>
            <w:shd w:fill="CCEEFF" w:val="clear"/>
            <w:vAlign w:val="center"/>
          </w:tcPr>
          <w:p>
            <w:pPr>
              <w:pStyle w:val="TableContents"/>
              <w:spacing w:before="0" w:after="0"/>
              <w:ind w:left="0" w:right="0" w:hanging="0"/>
              <w:rPr/>
            </w:pPr>
            <w:r>
              <w:rPr/>
              <w:t> </w:t>
            </w:r>
          </w:p>
        </w:tc>
        <w:tc>
          <w:tcPr>
            <w:tcW w:w="1321"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41" w:type="dxa"/>
            <w:tcBorders/>
            <w:shd w:fill="CCEEFF" w:val="clear"/>
            <w:vAlign w:val="center"/>
          </w:tcPr>
          <w:p>
            <w:pPr>
              <w:pStyle w:val="TableContents"/>
              <w:spacing w:before="0" w:after="0"/>
              <w:ind w:left="0" w:right="0" w:hanging="0"/>
              <w:rPr/>
            </w:pPr>
            <w:r>
              <w:rPr/>
              <w:t> </w:t>
            </w:r>
          </w:p>
        </w:tc>
      </w:tr>
      <w:tr>
        <w:trPr/>
        <w:tc>
          <w:tcPr>
            <w:tcW w:w="1834" w:type="dxa"/>
            <w:tcBorders/>
            <w:shd w:fill="FFFFFF" w:val="clear"/>
            <w:vAlign w:val="center"/>
          </w:tcPr>
          <w:p>
            <w:pPr>
              <w:pStyle w:val="TableContents"/>
              <w:spacing w:before="0" w:after="0"/>
              <w:ind w:left="0" w:right="0" w:firstLine="320"/>
              <w:rPr>
                <w:rFonts w:ascii="times new roman" w:hAnsi="times new roman"/>
                <w:sz w:val="20"/>
              </w:rPr>
            </w:pPr>
            <w:r>
              <w:rPr>
                <w:rFonts w:ascii="times new roman" w:hAnsi="times new roman"/>
                <w:sz w:val="20"/>
              </w:rPr>
              <w:t xml:space="preserve">coverage (1) </w:t>
            </w:r>
          </w:p>
        </w:tc>
        <w:tc>
          <w:tcPr>
            <w:tcW w:w="90" w:type="dxa"/>
            <w:tcBorders/>
            <w:shd w:fill="FFFFFF" w:val="clear"/>
            <w:vAlign w:val="center"/>
          </w:tcPr>
          <w:p>
            <w:pPr>
              <w:pStyle w:val="TableContents"/>
              <w:spacing w:before="0" w:after="0"/>
              <w:ind w:left="0" w:right="0" w:hanging="0"/>
              <w:rPr/>
            </w:pPr>
            <w:r>
              <w:rPr/>
              <w:t> </w:t>
            </w:r>
          </w:p>
        </w:tc>
        <w:tc>
          <w:tcPr>
            <w:tcW w:w="179" w:type="dxa"/>
            <w:tcBorders/>
            <w:shd w:fill="FFFFFF" w:val="clear"/>
            <w:vAlign w:val="center"/>
          </w:tcPr>
          <w:p>
            <w:pPr>
              <w:pStyle w:val="TableContents"/>
              <w:spacing w:before="0" w:after="283"/>
              <w:rPr/>
            </w:pPr>
            <w:r>
              <w:rPr/>
              <w:t>$</w:t>
            </w:r>
          </w:p>
        </w:tc>
        <w:tc>
          <w:tcPr>
            <w:tcW w:w="1321" w:type="dxa"/>
            <w:tcBorders/>
            <w:shd w:fill="FFFFFF" w:val="clear"/>
            <w:vAlign w:val="center"/>
          </w:tcPr>
          <w:p>
            <w:pPr>
              <w:pStyle w:val="TableContents"/>
              <w:spacing w:before="0" w:after="283"/>
              <w:jc w:val="right"/>
              <w:rPr/>
            </w:pPr>
            <w:r>
              <w:rPr/>
              <w:t>8,000,000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9" w:type="dxa"/>
            <w:tcBorders/>
            <w:shd w:fill="FFFFFF" w:val="clear"/>
            <w:vAlign w:val="center"/>
          </w:tcPr>
          <w:p>
            <w:pPr>
              <w:pStyle w:val="TableContents"/>
              <w:spacing w:before="0" w:after="283"/>
              <w:rPr/>
            </w:pPr>
            <w:r>
              <w:rPr/>
              <w:t>$</w:t>
            </w:r>
          </w:p>
        </w:tc>
        <w:tc>
          <w:tcPr>
            <w:tcW w:w="1321" w:type="dxa"/>
            <w:tcBorders/>
            <w:shd w:fill="FFFFFF" w:val="clear"/>
            <w:vAlign w:val="center"/>
          </w:tcPr>
          <w:p>
            <w:pPr>
              <w:pStyle w:val="TableContents"/>
              <w:spacing w:before="0" w:after="283"/>
              <w:jc w:val="right"/>
              <w:rPr/>
            </w:pPr>
            <w:r>
              <w:rPr/>
              <w:t>8,000,000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9" w:type="dxa"/>
            <w:tcBorders/>
            <w:shd w:fill="FFFFFF" w:val="clear"/>
            <w:vAlign w:val="center"/>
          </w:tcPr>
          <w:p>
            <w:pPr>
              <w:pStyle w:val="TableContents"/>
              <w:spacing w:before="0" w:after="283"/>
              <w:rPr/>
            </w:pPr>
            <w:r>
              <w:rPr/>
              <w:t>$</w:t>
            </w:r>
          </w:p>
        </w:tc>
        <w:tc>
          <w:tcPr>
            <w:tcW w:w="1321" w:type="dxa"/>
            <w:tcBorders/>
            <w:shd w:fill="FFFFFF" w:val="clear"/>
            <w:vAlign w:val="center"/>
          </w:tcPr>
          <w:p>
            <w:pPr>
              <w:pStyle w:val="TableContents"/>
              <w:spacing w:before="0" w:after="283"/>
              <w:jc w:val="right"/>
              <w:rPr/>
            </w:pPr>
            <w:r>
              <w:rPr/>
              <w:t>9,000,000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9" w:type="dxa"/>
            <w:tcBorders/>
            <w:shd w:fill="FFFFFF" w:val="clear"/>
            <w:vAlign w:val="center"/>
          </w:tcPr>
          <w:p>
            <w:pPr>
              <w:pStyle w:val="TableContents"/>
              <w:spacing w:before="0" w:after="283"/>
              <w:rPr/>
            </w:pPr>
            <w:r>
              <w:rPr/>
              <w:t>$</w:t>
            </w:r>
          </w:p>
        </w:tc>
        <w:tc>
          <w:tcPr>
            <w:tcW w:w="1321" w:type="dxa"/>
            <w:tcBorders/>
            <w:shd w:fill="FFFFFF" w:val="clear"/>
            <w:vAlign w:val="center"/>
          </w:tcPr>
          <w:p>
            <w:pPr>
              <w:pStyle w:val="TableContents"/>
              <w:spacing w:before="0" w:after="283"/>
              <w:jc w:val="right"/>
              <w:rPr/>
            </w:pPr>
            <w:r>
              <w:rPr/>
              <w:t>9,000,000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9,000,000</w:t>
            </w:r>
          </w:p>
        </w:tc>
        <w:tc>
          <w:tcPr>
            <w:tcW w:w="141" w:type="dxa"/>
            <w:tcBorders/>
            <w:shd w:fill="FFFFFF" w:val="clear"/>
            <w:vAlign w:val="center"/>
          </w:tcPr>
          <w:p>
            <w:pPr>
              <w:pStyle w:val="TableContents"/>
              <w:spacing w:before="0" w:after="0"/>
              <w:ind w:left="0" w:right="0" w:hanging="0"/>
              <w:rPr/>
            </w:pPr>
            <w:r>
              <w:rPr/>
              <w:t> </w:t>
            </w:r>
          </w:p>
        </w:tc>
      </w:tr>
      <w:tr>
        <w:trPr/>
        <w:tc>
          <w:tcPr>
            <w:tcW w:w="1834"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500" w:type="dxa"/>
            <w:gridSpan w:val="2"/>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in excess of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500" w:type="dxa"/>
            <w:gridSpan w:val="2"/>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in excess of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500" w:type="dxa"/>
            <w:gridSpan w:val="2"/>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in excess of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500" w:type="dxa"/>
            <w:gridSpan w:val="2"/>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in excess of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20" w:type="dxa"/>
            <w:gridSpan w:val="2"/>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in excess of </w:t>
            </w:r>
          </w:p>
        </w:tc>
        <w:tc>
          <w:tcPr>
            <w:tcW w:w="141" w:type="dxa"/>
            <w:tcBorders/>
            <w:shd w:fill="CCEEFF" w:val="clear"/>
            <w:vAlign w:val="center"/>
          </w:tcPr>
          <w:p>
            <w:pPr>
              <w:pStyle w:val="TableContents"/>
              <w:spacing w:before="0" w:after="0"/>
              <w:ind w:left="0" w:right="0" w:hanging="0"/>
              <w:rPr/>
            </w:pPr>
            <w:r>
              <w:rPr/>
              <w:t> </w:t>
            </w:r>
          </w:p>
        </w:tc>
      </w:tr>
      <w:tr>
        <w:trPr/>
        <w:tc>
          <w:tcPr>
            <w:tcW w:w="1834"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9" w:type="dxa"/>
            <w:tcBorders/>
            <w:shd w:fill="FFFFFF" w:val="clear"/>
            <w:vAlign w:val="center"/>
          </w:tcPr>
          <w:p>
            <w:pPr>
              <w:pStyle w:val="TableContents"/>
              <w:spacing w:before="0" w:after="283"/>
              <w:rPr/>
            </w:pPr>
            <w:r>
              <w:rPr/>
              <w:t>$</w:t>
            </w:r>
          </w:p>
        </w:tc>
        <w:tc>
          <w:tcPr>
            <w:tcW w:w="1321" w:type="dxa"/>
            <w:tcBorders/>
            <w:shd w:fill="FFFFFF" w:val="clear"/>
            <w:vAlign w:val="center"/>
          </w:tcPr>
          <w:p>
            <w:pPr>
              <w:pStyle w:val="TableContents"/>
              <w:spacing w:before="0" w:after="283"/>
              <w:jc w:val="right"/>
              <w:rPr/>
            </w:pPr>
            <w:r>
              <w:rPr/>
              <w:t>1,000,000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9" w:type="dxa"/>
            <w:tcBorders/>
            <w:shd w:fill="FFFFFF" w:val="clear"/>
            <w:vAlign w:val="center"/>
          </w:tcPr>
          <w:p>
            <w:pPr>
              <w:pStyle w:val="TableContents"/>
              <w:spacing w:before="0" w:after="283"/>
              <w:rPr/>
            </w:pPr>
            <w:r>
              <w:rPr/>
              <w:t>$</w:t>
            </w:r>
          </w:p>
        </w:tc>
        <w:tc>
          <w:tcPr>
            <w:tcW w:w="1321" w:type="dxa"/>
            <w:tcBorders/>
            <w:shd w:fill="FFFFFF" w:val="clear"/>
            <w:vAlign w:val="center"/>
          </w:tcPr>
          <w:p>
            <w:pPr>
              <w:pStyle w:val="TableContents"/>
              <w:spacing w:before="0" w:after="283"/>
              <w:jc w:val="right"/>
              <w:rPr/>
            </w:pPr>
            <w:r>
              <w:rPr/>
              <w:t>1,000,000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9" w:type="dxa"/>
            <w:tcBorders/>
            <w:shd w:fill="FFFFFF" w:val="clear"/>
            <w:vAlign w:val="center"/>
          </w:tcPr>
          <w:p>
            <w:pPr>
              <w:pStyle w:val="TableContents"/>
              <w:spacing w:before="0" w:after="283"/>
              <w:rPr/>
            </w:pPr>
            <w:r>
              <w:rPr/>
              <w:t>$</w:t>
            </w:r>
          </w:p>
        </w:tc>
        <w:tc>
          <w:tcPr>
            <w:tcW w:w="1321" w:type="dxa"/>
            <w:tcBorders/>
            <w:shd w:fill="FFFFFF" w:val="clear"/>
            <w:vAlign w:val="center"/>
          </w:tcPr>
          <w:p>
            <w:pPr>
              <w:pStyle w:val="TableContents"/>
              <w:spacing w:before="0" w:after="283"/>
              <w:jc w:val="right"/>
              <w:rPr/>
            </w:pPr>
            <w:r>
              <w:rPr/>
              <w:t>1,000,000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9" w:type="dxa"/>
            <w:tcBorders/>
            <w:shd w:fill="FFFFFF" w:val="clear"/>
            <w:vAlign w:val="center"/>
          </w:tcPr>
          <w:p>
            <w:pPr>
              <w:pStyle w:val="TableContents"/>
              <w:spacing w:before="0" w:after="283"/>
              <w:rPr/>
            </w:pPr>
            <w:r>
              <w:rPr/>
              <w:t>$</w:t>
            </w:r>
          </w:p>
        </w:tc>
        <w:tc>
          <w:tcPr>
            <w:tcW w:w="1321" w:type="dxa"/>
            <w:tcBorders/>
            <w:shd w:fill="FFFFFF" w:val="clear"/>
            <w:vAlign w:val="center"/>
          </w:tcPr>
          <w:p>
            <w:pPr>
              <w:pStyle w:val="TableContents"/>
              <w:spacing w:before="0" w:after="283"/>
              <w:jc w:val="right"/>
              <w:rPr/>
            </w:pPr>
            <w:r>
              <w:rPr/>
              <w:t>1,000,000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1,000,000</w:t>
            </w:r>
          </w:p>
        </w:tc>
        <w:tc>
          <w:tcPr>
            <w:tcW w:w="141" w:type="dxa"/>
            <w:tcBorders/>
            <w:shd w:fill="FFFFFF" w:val="clear"/>
            <w:vAlign w:val="center"/>
          </w:tcPr>
          <w:p>
            <w:pPr>
              <w:pStyle w:val="TableContents"/>
              <w:spacing w:before="0" w:after="0"/>
              <w:ind w:left="0" w:right="0" w:hanging="0"/>
              <w:rPr/>
            </w:pPr>
            <w:r>
              <w:rPr/>
              <w:t> </w:t>
            </w:r>
          </w:p>
        </w:tc>
      </w:tr>
      <w:tr>
        <w:trPr/>
        <w:tc>
          <w:tcPr>
            <w:tcW w:w="1834" w:type="dxa"/>
            <w:tcBorders/>
            <w:shd w:fill="CCEEFF" w:val="clear"/>
            <w:vAlign w:val="center"/>
          </w:tcPr>
          <w:p>
            <w:pPr>
              <w:pStyle w:val="TableContents"/>
              <w:spacing w:before="0" w:after="0"/>
              <w:ind w:left="0" w:right="0" w:firstLine="160"/>
              <w:rPr>
                <w:rFonts w:ascii="times new roman" w:hAnsi="times new roman"/>
                <w:sz w:val="20"/>
              </w:rPr>
            </w:pPr>
            <w:r>
              <w:rPr>
                <w:rFonts w:ascii="times new roman" w:hAnsi="times new roman"/>
                <w:sz w:val="20"/>
              </w:rPr>
              <w:t xml:space="preserve">Total reinsurance coverage </w:t>
            </w:r>
          </w:p>
        </w:tc>
        <w:tc>
          <w:tcPr>
            <w:tcW w:w="90" w:type="dxa"/>
            <w:tcBorders/>
            <w:shd w:fill="CCEEFF" w:val="clear"/>
            <w:vAlign w:val="center"/>
          </w:tcPr>
          <w:p>
            <w:pPr>
              <w:pStyle w:val="TableContents"/>
              <w:spacing w:before="0" w:after="0"/>
              <w:ind w:left="0" w:right="0" w:hanging="0"/>
              <w:rPr/>
            </w:pPr>
            <w:r>
              <w:rPr/>
              <w:t> </w:t>
            </w:r>
          </w:p>
        </w:tc>
        <w:tc>
          <w:tcPr>
            <w:tcW w:w="179" w:type="dxa"/>
            <w:tcBorders/>
            <w:shd w:fill="CCEEFF" w:val="clear"/>
            <w:vAlign w:val="center"/>
          </w:tcPr>
          <w:p>
            <w:pPr>
              <w:pStyle w:val="TableContents"/>
              <w:spacing w:before="0" w:after="0"/>
              <w:ind w:left="0" w:right="0" w:hanging="0"/>
              <w:rPr/>
            </w:pPr>
            <w:r>
              <w:rPr/>
              <w:t> </w:t>
            </w:r>
          </w:p>
        </w:tc>
        <w:tc>
          <w:tcPr>
            <w:tcW w:w="1321"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9" w:type="dxa"/>
            <w:tcBorders/>
            <w:shd w:fill="CCEEFF" w:val="clear"/>
            <w:vAlign w:val="center"/>
          </w:tcPr>
          <w:p>
            <w:pPr>
              <w:pStyle w:val="TableContents"/>
              <w:spacing w:before="0" w:after="0"/>
              <w:ind w:left="0" w:right="0" w:hanging="0"/>
              <w:rPr/>
            </w:pPr>
            <w:r>
              <w:rPr/>
              <w:t> </w:t>
            </w:r>
          </w:p>
        </w:tc>
        <w:tc>
          <w:tcPr>
            <w:tcW w:w="1321"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9" w:type="dxa"/>
            <w:tcBorders/>
            <w:shd w:fill="CCEEFF" w:val="clear"/>
            <w:vAlign w:val="center"/>
          </w:tcPr>
          <w:p>
            <w:pPr>
              <w:pStyle w:val="TableContents"/>
              <w:spacing w:before="0" w:after="0"/>
              <w:ind w:left="0" w:right="0" w:hanging="0"/>
              <w:rPr/>
            </w:pPr>
            <w:r>
              <w:rPr/>
              <w:t> </w:t>
            </w:r>
          </w:p>
        </w:tc>
        <w:tc>
          <w:tcPr>
            <w:tcW w:w="1321"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9" w:type="dxa"/>
            <w:tcBorders/>
            <w:shd w:fill="CCEEFF" w:val="clear"/>
            <w:vAlign w:val="center"/>
          </w:tcPr>
          <w:p>
            <w:pPr>
              <w:pStyle w:val="TableContents"/>
              <w:spacing w:before="0" w:after="0"/>
              <w:ind w:left="0" w:right="0" w:hanging="0"/>
              <w:rPr/>
            </w:pPr>
            <w:r>
              <w:rPr/>
              <w:t> </w:t>
            </w:r>
          </w:p>
        </w:tc>
        <w:tc>
          <w:tcPr>
            <w:tcW w:w="1321"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41" w:type="dxa"/>
            <w:tcBorders/>
            <w:shd w:fill="CCEEFF" w:val="clear"/>
            <w:vAlign w:val="center"/>
          </w:tcPr>
          <w:p>
            <w:pPr>
              <w:pStyle w:val="TableContents"/>
              <w:spacing w:before="0" w:after="0"/>
              <w:ind w:left="0" w:right="0" w:hanging="0"/>
              <w:rPr/>
            </w:pPr>
            <w:r>
              <w:rPr/>
              <w:t> </w:t>
            </w:r>
          </w:p>
        </w:tc>
      </w:tr>
      <w:tr>
        <w:trPr/>
        <w:tc>
          <w:tcPr>
            <w:tcW w:w="1834" w:type="dxa"/>
            <w:tcBorders/>
            <w:shd w:fill="FFFFFF" w:val="clear"/>
            <w:vAlign w:val="center"/>
          </w:tcPr>
          <w:p>
            <w:pPr>
              <w:pStyle w:val="TableContents"/>
              <w:spacing w:before="0" w:after="0"/>
              <w:ind w:left="0" w:right="0" w:firstLine="320"/>
              <w:rPr>
                <w:rFonts w:ascii="times new roman" w:hAnsi="times new roman"/>
                <w:sz w:val="20"/>
              </w:rPr>
            </w:pPr>
            <w:r>
              <w:rPr>
                <w:rFonts w:ascii="times new roman" w:hAnsi="times new roman"/>
                <w:sz w:val="20"/>
              </w:rPr>
              <w:t xml:space="preserve">per occurrence (7) </w:t>
            </w:r>
          </w:p>
        </w:tc>
        <w:tc>
          <w:tcPr>
            <w:tcW w:w="90" w:type="dxa"/>
            <w:tcBorders/>
            <w:shd w:fill="FFFFFF" w:val="clear"/>
            <w:vAlign w:val="center"/>
          </w:tcPr>
          <w:p>
            <w:pPr>
              <w:pStyle w:val="TableContents"/>
              <w:spacing w:before="0" w:after="0"/>
              <w:ind w:left="0" w:right="0" w:hanging="0"/>
              <w:rPr/>
            </w:pPr>
            <w:r>
              <w:rPr/>
              <w:t> </w:t>
            </w:r>
          </w:p>
        </w:tc>
        <w:tc>
          <w:tcPr>
            <w:tcW w:w="179" w:type="dxa"/>
            <w:tcBorders/>
            <w:shd w:fill="FFFFFF" w:val="clear"/>
            <w:vAlign w:val="center"/>
          </w:tcPr>
          <w:p>
            <w:pPr>
              <w:pStyle w:val="TableContents"/>
              <w:spacing w:before="0" w:after="283"/>
              <w:rPr/>
            </w:pPr>
            <w:r>
              <w:rPr/>
              <w:t>$</w:t>
            </w:r>
          </w:p>
        </w:tc>
        <w:tc>
          <w:tcPr>
            <w:tcW w:w="1321" w:type="dxa"/>
            <w:tcBorders/>
            <w:shd w:fill="FFFFFF" w:val="clear"/>
            <w:vAlign w:val="center"/>
          </w:tcPr>
          <w:p>
            <w:pPr>
              <w:pStyle w:val="TableContents"/>
              <w:spacing w:before="0" w:after="283"/>
              <w:jc w:val="right"/>
              <w:rPr/>
            </w:pPr>
            <w:r>
              <w:rPr/>
              <w:t>8,000,000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9" w:type="dxa"/>
            <w:tcBorders/>
            <w:shd w:fill="FFFFFF" w:val="clear"/>
            <w:vAlign w:val="center"/>
          </w:tcPr>
          <w:p>
            <w:pPr>
              <w:pStyle w:val="TableContents"/>
              <w:spacing w:before="0" w:after="283"/>
              <w:rPr/>
            </w:pPr>
            <w:r>
              <w:rPr/>
              <w:t>$</w:t>
            </w:r>
          </w:p>
        </w:tc>
        <w:tc>
          <w:tcPr>
            <w:tcW w:w="1321" w:type="dxa"/>
            <w:tcBorders/>
            <w:shd w:fill="FFFFFF" w:val="clear"/>
            <w:vAlign w:val="center"/>
          </w:tcPr>
          <w:p>
            <w:pPr>
              <w:pStyle w:val="TableContents"/>
              <w:spacing w:before="0" w:after="283"/>
              <w:jc w:val="right"/>
              <w:rPr/>
            </w:pPr>
            <w:r>
              <w:rPr/>
              <w:t>8,250,000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9" w:type="dxa"/>
            <w:tcBorders/>
            <w:shd w:fill="FFFFFF" w:val="clear"/>
            <w:vAlign w:val="center"/>
          </w:tcPr>
          <w:p>
            <w:pPr>
              <w:pStyle w:val="TableContents"/>
              <w:spacing w:before="0" w:after="283"/>
              <w:rPr/>
            </w:pPr>
            <w:r>
              <w:rPr/>
              <w:t>$</w:t>
            </w:r>
          </w:p>
        </w:tc>
        <w:tc>
          <w:tcPr>
            <w:tcW w:w="1321" w:type="dxa"/>
            <w:tcBorders/>
            <w:shd w:fill="FFFFFF" w:val="clear"/>
            <w:vAlign w:val="center"/>
          </w:tcPr>
          <w:p>
            <w:pPr>
              <w:pStyle w:val="TableContents"/>
              <w:spacing w:before="0" w:after="283"/>
              <w:jc w:val="right"/>
              <w:rPr/>
            </w:pPr>
            <w:r>
              <w:rPr/>
              <w:t>9,250,000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9" w:type="dxa"/>
            <w:tcBorders/>
            <w:shd w:fill="FFFFFF" w:val="clear"/>
            <w:vAlign w:val="center"/>
          </w:tcPr>
          <w:p>
            <w:pPr>
              <w:pStyle w:val="TableContents"/>
              <w:spacing w:before="0" w:after="283"/>
              <w:rPr/>
            </w:pPr>
            <w:r>
              <w:rPr/>
              <w:t>$</w:t>
            </w:r>
          </w:p>
        </w:tc>
        <w:tc>
          <w:tcPr>
            <w:tcW w:w="1321" w:type="dxa"/>
            <w:tcBorders/>
            <w:shd w:fill="FFFFFF" w:val="clear"/>
            <w:vAlign w:val="center"/>
          </w:tcPr>
          <w:p>
            <w:pPr>
              <w:pStyle w:val="TableContents"/>
              <w:spacing w:before="0" w:after="283"/>
              <w:jc w:val="right"/>
              <w:rPr/>
            </w:pPr>
            <w:r>
              <w:rPr/>
              <w:t>9,000,000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9,100,000</w:t>
            </w:r>
          </w:p>
        </w:tc>
        <w:tc>
          <w:tcPr>
            <w:tcW w:w="141" w:type="dxa"/>
            <w:tcBorders/>
            <w:shd w:fill="FFFFFF" w:val="clear"/>
            <w:vAlign w:val="center"/>
          </w:tcPr>
          <w:p>
            <w:pPr>
              <w:pStyle w:val="TableContents"/>
              <w:spacing w:before="0" w:after="0"/>
              <w:ind w:left="0" w:right="0" w:hanging="0"/>
              <w:rPr/>
            </w:pPr>
            <w:r>
              <w:rPr/>
              <w:t> </w:t>
            </w:r>
          </w:p>
        </w:tc>
      </w:tr>
      <w:tr>
        <w:trPr/>
        <w:tc>
          <w:tcPr>
            <w:tcW w:w="1834" w:type="dxa"/>
            <w:tcBorders/>
            <w:shd w:fill="CCEEFF" w:val="clear"/>
            <w:vAlign w:val="center"/>
          </w:tcPr>
          <w:p>
            <w:pPr>
              <w:pStyle w:val="TableContents"/>
              <w:spacing w:before="0" w:after="0"/>
              <w:ind w:left="0" w:right="0" w:firstLine="160"/>
              <w:rPr>
                <w:rFonts w:ascii="times new roman" w:hAnsi="times new roman"/>
                <w:sz w:val="20"/>
              </w:rPr>
            </w:pPr>
            <w:r>
              <w:rPr>
                <w:rFonts w:ascii="times new roman" w:hAnsi="times new roman"/>
                <w:sz w:val="20"/>
              </w:rPr>
              <w:t xml:space="preserve">Losses per occurrence subject </w:t>
            </w:r>
          </w:p>
        </w:tc>
        <w:tc>
          <w:tcPr>
            <w:tcW w:w="90" w:type="dxa"/>
            <w:tcBorders/>
            <w:shd w:fill="CCEEFF" w:val="clear"/>
            <w:vAlign w:val="center"/>
          </w:tcPr>
          <w:p>
            <w:pPr>
              <w:pStyle w:val="TableContents"/>
              <w:spacing w:before="0" w:after="0"/>
              <w:ind w:left="0" w:right="0" w:hanging="0"/>
              <w:rPr/>
            </w:pPr>
            <w:r>
              <w:rPr/>
              <w:t> </w:t>
            </w:r>
          </w:p>
        </w:tc>
        <w:tc>
          <w:tcPr>
            <w:tcW w:w="179" w:type="dxa"/>
            <w:tcBorders/>
            <w:shd w:fill="CCEEFF" w:val="clear"/>
            <w:vAlign w:val="center"/>
          </w:tcPr>
          <w:p>
            <w:pPr>
              <w:pStyle w:val="TableContents"/>
              <w:spacing w:before="0" w:after="0"/>
              <w:ind w:left="0" w:right="0" w:hanging="0"/>
              <w:rPr/>
            </w:pPr>
            <w:r>
              <w:rPr/>
              <w:t> </w:t>
            </w:r>
          </w:p>
        </w:tc>
        <w:tc>
          <w:tcPr>
            <w:tcW w:w="1321"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9" w:type="dxa"/>
            <w:tcBorders/>
            <w:shd w:fill="CCEEFF" w:val="clear"/>
            <w:vAlign w:val="center"/>
          </w:tcPr>
          <w:p>
            <w:pPr>
              <w:pStyle w:val="TableContents"/>
              <w:spacing w:before="0" w:after="0"/>
              <w:ind w:left="0" w:right="0" w:hanging="0"/>
              <w:rPr/>
            </w:pPr>
            <w:r>
              <w:rPr/>
              <w:t> </w:t>
            </w:r>
          </w:p>
        </w:tc>
        <w:tc>
          <w:tcPr>
            <w:tcW w:w="1321"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9" w:type="dxa"/>
            <w:tcBorders/>
            <w:shd w:fill="CCEEFF" w:val="clear"/>
            <w:vAlign w:val="center"/>
          </w:tcPr>
          <w:p>
            <w:pPr>
              <w:pStyle w:val="TableContents"/>
              <w:spacing w:before="0" w:after="0"/>
              <w:ind w:left="0" w:right="0" w:hanging="0"/>
              <w:rPr/>
            </w:pPr>
            <w:r>
              <w:rPr/>
              <w:t> </w:t>
            </w:r>
          </w:p>
        </w:tc>
        <w:tc>
          <w:tcPr>
            <w:tcW w:w="1321"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9" w:type="dxa"/>
            <w:tcBorders/>
            <w:shd w:fill="CCEEFF" w:val="clear"/>
            <w:vAlign w:val="center"/>
          </w:tcPr>
          <w:p>
            <w:pPr>
              <w:pStyle w:val="TableContents"/>
              <w:spacing w:before="0" w:after="0"/>
              <w:ind w:left="0" w:right="0" w:hanging="0"/>
              <w:rPr/>
            </w:pPr>
            <w:r>
              <w:rPr/>
              <w:t> </w:t>
            </w:r>
          </w:p>
        </w:tc>
        <w:tc>
          <w:tcPr>
            <w:tcW w:w="1321"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41" w:type="dxa"/>
            <w:tcBorders/>
            <w:shd w:fill="CCEEFF" w:val="clear"/>
            <w:vAlign w:val="center"/>
          </w:tcPr>
          <w:p>
            <w:pPr>
              <w:pStyle w:val="TableContents"/>
              <w:spacing w:before="0" w:after="0"/>
              <w:ind w:left="0" w:right="0" w:hanging="0"/>
              <w:rPr/>
            </w:pPr>
            <w:r>
              <w:rPr/>
              <w:t> </w:t>
            </w:r>
          </w:p>
        </w:tc>
      </w:tr>
      <w:tr>
        <w:trPr/>
        <w:tc>
          <w:tcPr>
            <w:tcW w:w="1834" w:type="dxa"/>
            <w:tcBorders/>
            <w:shd w:fill="FFFFFF" w:val="clear"/>
            <w:vAlign w:val="center"/>
          </w:tcPr>
          <w:p>
            <w:pPr>
              <w:pStyle w:val="TableContents"/>
              <w:spacing w:before="0" w:after="0"/>
              <w:ind w:left="0" w:right="0" w:firstLine="320"/>
              <w:rPr>
                <w:rFonts w:ascii="times new roman" w:hAnsi="times new roman"/>
                <w:sz w:val="20"/>
              </w:rPr>
            </w:pPr>
            <w:r>
              <w:rPr>
                <w:rFonts w:ascii="times new roman" w:hAnsi="times new roman"/>
                <w:sz w:val="20"/>
              </w:rPr>
              <w:t xml:space="preserve">to reinsurance coverage </w:t>
            </w:r>
          </w:p>
        </w:tc>
        <w:tc>
          <w:tcPr>
            <w:tcW w:w="90" w:type="dxa"/>
            <w:tcBorders/>
            <w:shd w:fill="FFFFFF" w:val="clear"/>
            <w:vAlign w:val="center"/>
          </w:tcPr>
          <w:p>
            <w:pPr>
              <w:pStyle w:val="TableContents"/>
              <w:spacing w:before="0" w:after="0"/>
              <w:ind w:left="0" w:right="0" w:hanging="0"/>
              <w:rPr/>
            </w:pPr>
            <w:r>
              <w:rPr/>
              <w:t> </w:t>
            </w:r>
          </w:p>
        </w:tc>
        <w:tc>
          <w:tcPr>
            <w:tcW w:w="179" w:type="dxa"/>
            <w:tcBorders/>
            <w:shd w:fill="FFFFFF" w:val="clear"/>
            <w:vAlign w:val="center"/>
          </w:tcPr>
          <w:p>
            <w:pPr>
              <w:pStyle w:val="TableContents"/>
              <w:spacing w:before="0" w:after="283"/>
              <w:rPr/>
            </w:pPr>
            <w:r>
              <w:rPr/>
              <w:t>$</w:t>
            </w:r>
          </w:p>
        </w:tc>
        <w:tc>
          <w:tcPr>
            <w:tcW w:w="1321" w:type="dxa"/>
            <w:tcBorders/>
            <w:shd w:fill="FFFFFF" w:val="clear"/>
            <w:vAlign w:val="center"/>
          </w:tcPr>
          <w:p>
            <w:pPr>
              <w:pStyle w:val="TableContents"/>
              <w:spacing w:before="0" w:after="283"/>
              <w:jc w:val="right"/>
              <w:rPr/>
            </w:pPr>
            <w:r>
              <w:rPr/>
              <w:t>8,000,000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9" w:type="dxa"/>
            <w:tcBorders/>
            <w:shd w:fill="FFFFFF" w:val="clear"/>
            <w:vAlign w:val="center"/>
          </w:tcPr>
          <w:p>
            <w:pPr>
              <w:pStyle w:val="TableContents"/>
              <w:spacing w:before="0" w:after="283"/>
              <w:rPr/>
            </w:pPr>
            <w:r>
              <w:rPr/>
              <w:t>$</w:t>
            </w:r>
          </w:p>
        </w:tc>
        <w:tc>
          <w:tcPr>
            <w:tcW w:w="1321" w:type="dxa"/>
            <w:tcBorders/>
            <w:shd w:fill="FFFFFF" w:val="clear"/>
            <w:vAlign w:val="center"/>
          </w:tcPr>
          <w:p>
            <w:pPr>
              <w:pStyle w:val="TableContents"/>
              <w:spacing w:before="0" w:after="283"/>
              <w:jc w:val="right"/>
              <w:rPr/>
            </w:pPr>
            <w:r>
              <w:rPr/>
              <w:t>9,000,000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9" w:type="dxa"/>
            <w:tcBorders/>
            <w:shd w:fill="FFFFFF" w:val="clear"/>
            <w:vAlign w:val="center"/>
          </w:tcPr>
          <w:p>
            <w:pPr>
              <w:pStyle w:val="TableContents"/>
              <w:spacing w:before="0" w:after="283"/>
              <w:rPr/>
            </w:pPr>
            <w:r>
              <w:rPr/>
              <w:t>$</w:t>
            </w:r>
          </w:p>
        </w:tc>
        <w:tc>
          <w:tcPr>
            <w:tcW w:w="1321" w:type="dxa"/>
            <w:tcBorders/>
            <w:shd w:fill="FFFFFF" w:val="clear"/>
            <w:vAlign w:val="center"/>
          </w:tcPr>
          <w:p>
            <w:pPr>
              <w:pStyle w:val="TableContents"/>
              <w:spacing w:before="0" w:after="283"/>
              <w:jc w:val="right"/>
              <w:rPr/>
            </w:pPr>
            <w:r>
              <w:rPr/>
              <w:t>10,000,000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9" w:type="dxa"/>
            <w:tcBorders/>
            <w:shd w:fill="FFFFFF" w:val="clear"/>
            <w:vAlign w:val="center"/>
          </w:tcPr>
          <w:p>
            <w:pPr>
              <w:pStyle w:val="TableContents"/>
              <w:spacing w:before="0" w:after="283"/>
              <w:rPr/>
            </w:pPr>
            <w:r>
              <w:rPr/>
              <w:t>$</w:t>
            </w:r>
          </w:p>
        </w:tc>
        <w:tc>
          <w:tcPr>
            <w:tcW w:w="1321" w:type="dxa"/>
            <w:tcBorders/>
            <w:shd w:fill="FFFFFF" w:val="clear"/>
            <w:vAlign w:val="center"/>
          </w:tcPr>
          <w:p>
            <w:pPr>
              <w:pStyle w:val="TableContents"/>
              <w:spacing w:before="0" w:after="283"/>
              <w:jc w:val="right"/>
              <w:rPr/>
            </w:pPr>
            <w:r>
              <w:rPr/>
              <w:t>10,000,000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10,000,000</w:t>
            </w:r>
          </w:p>
        </w:tc>
        <w:tc>
          <w:tcPr>
            <w:tcW w:w="141" w:type="dxa"/>
            <w:tcBorders/>
            <w:shd w:fill="FFFFFF" w:val="clear"/>
            <w:vAlign w:val="center"/>
          </w:tcPr>
          <w:p>
            <w:pPr>
              <w:pStyle w:val="TableContents"/>
              <w:spacing w:before="0" w:after="0"/>
              <w:ind w:left="0" w:right="0" w:hanging="0"/>
              <w:rPr/>
            </w:pPr>
            <w:r>
              <w:rPr/>
              <w:t> </w:t>
            </w:r>
          </w:p>
        </w:tc>
      </w:tr>
      <w:tr>
        <w:trPr/>
        <w:tc>
          <w:tcPr>
            <w:tcW w:w="1834" w:type="dxa"/>
            <w:tcBorders/>
            <w:shd w:fill="CCEEFF" w:val="clear"/>
            <w:vAlign w:val="center"/>
          </w:tcPr>
          <w:p>
            <w:pPr>
              <w:pStyle w:val="TableContents"/>
              <w:spacing w:before="0" w:after="0"/>
              <w:ind w:left="0" w:right="0" w:firstLine="480"/>
              <w:rPr>
                <w:rFonts w:ascii="times new roman" w:hAnsi="times new roman"/>
                <w:sz w:val="20"/>
              </w:rPr>
            </w:pPr>
            <w:r>
              <w:rPr>
                <w:rFonts w:ascii="times new roman" w:hAnsi="times new roman"/>
                <w:sz w:val="20"/>
              </w:rPr>
              <w:t xml:space="preserve">Expiration date (7) </w:t>
            </w:r>
          </w:p>
        </w:tc>
        <w:tc>
          <w:tcPr>
            <w:tcW w:w="90" w:type="dxa"/>
            <w:tcBorders/>
            <w:shd w:fill="CCEEFF" w:val="clear"/>
            <w:vAlign w:val="center"/>
          </w:tcPr>
          <w:p>
            <w:pPr>
              <w:pStyle w:val="TableContents"/>
              <w:spacing w:before="0" w:after="0"/>
              <w:ind w:left="0" w:right="0" w:hanging="0"/>
              <w:rPr/>
            </w:pPr>
            <w:r>
              <w:rPr/>
              <w:t> </w:t>
            </w:r>
          </w:p>
        </w:tc>
        <w:tc>
          <w:tcPr>
            <w:tcW w:w="1500" w:type="dxa"/>
            <w:gridSpan w:val="2"/>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June 30, 2021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500" w:type="dxa"/>
            <w:gridSpan w:val="2"/>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June 30, 2021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500" w:type="dxa"/>
            <w:gridSpan w:val="2"/>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June 30, 2020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500" w:type="dxa"/>
            <w:gridSpan w:val="2"/>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June 30, 2020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20" w:type="dxa"/>
            <w:gridSpan w:val="2"/>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June 30, 2019</w:t>
            </w:r>
          </w:p>
        </w:tc>
        <w:tc>
          <w:tcPr>
            <w:tcW w:w="141" w:type="dxa"/>
            <w:tcBorders/>
            <w:shd w:fill="CCEEFF" w:val="clear"/>
            <w:vAlign w:val="center"/>
          </w:tcPr>
          <w:p>
            <w:pPr>
              <w:pStyle w:val="TableContents"/>
              <w:spacing w:before="0" w:after="0"/>
              <w:ind w:left="0" w:right="0" w:hanging="0"/>
              <w:rPr/>
            </w:pPr>
            <w:r>
              <w:rPr/>
              <w:t> </w:t>
            </w:r>
          </w:p>
        </w:tc>
      </w:tr>
      <w:tr>
        <w:trPr/>
        <w:tc>
          <w:tcPr>
            <w:tcW w:w="1834"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9" w:type="dxa"/>
            <w:tcBorders/>
            <w:shd w:fill="FFFFFF" w:val="clear"/>
            <w:vAlign w:val="center"/>
          </w:tcPr>
          <w:p>
            <w:pPr>
              <w:pStyle w:val="TableContents"/>
              <w:spacing w:before="0" w:after="0"/>
              <w:ind w:left="0" w:right="0" w:hanging="0"/>
              <w:rPr/>
            </w:pPr>
            <w:r>
              <w:rPr/>
              <w:t> </w:t>
            </w:r>
          </w:p>
        </w:tc>
        <w:tc>
          <w:tcPr>
            <w:tcW w:w="1321"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9" w:type="dxa"/>
            <w:tcBorders/>
            <w:shd w:fill="FFFFFF" w:val="clear"/>
            <w:vAlign w:val="center"/>
          </w:tcPr>
          <w:p>
            <w:pPr>
              <w:pStyle w:val="TableContents"/>
              <w:spacing w:before="0" w:after="0"/>
              <w:ind w:left="0" w:right="0" w:hanging="0"/>
              <w:rPr/>
            </w:pPr>
            <w:r>
              <w:rPr/>
              <w:t> </w:t>
            </w:r>
          </w:p>
        </w:tc>
        <w:tc>
          <w:tcPr>
            <w:tcW w:w="1321"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9" w:type="dxa"/>
            <w:tcBorders/>
            <w:shd w:fill="FFFFFF" w:val="clear"/>
            <w:vAlign w:val="center"/>
          </w:tcPr>
          <w:p>
            <w:pPr>
              <w:pStyle w:val="TableContents"/>
              <w:spacing w:before="0" w:after="0"/>
              <w:ind w:left="0" w:right="0" w:hanging="0"/>
              <w:rPr/>
            </w:pPr>
            <w:r>
              <w:rPr/>
              <w:t> </w:t>
            </w:r>
          </w:p>
        </w:tc>
        <w:tc>
          <w:tcPr>
            <w:tcW w:w="1321"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9" w:type="dxa"/>
            <w:tcBorders/>
            <w:shd w:fill="FFFFFF" w:val="clear"/>
            <w:vAlign w:val="center"/>
          </w:tcPr>
          <w:p>
            <w:pPr>
              <w:pStyle w:val="TableContents"/>
              <w:spacing w:before="0" w:after="0"/>
              <w:ind w:left="0" w:right="0" w:hanging="0"/>
              <w:rPr/>
            </w:pPr>
            <w:r>
              <w:rPr/>
              <w:t> </w:t>
            </w:r>
          </w:p>
        </w:tc>
        <w:tc>
          <w:tcPr>
            <w:tcW w:w="1321"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41" w:type="dxa"/>
            <w:tcBorders/>
            <w:shd w:fill="FFFFFF" w:val="clear"/>
            <w:vAlign w:val="center"/>
          </w:tcPr>
          <w:p>
            <w:pPr>
              <w:pStyle w:val="TableContents"/>
              <w:spacing w:before="0" w:after="0"/>
              <w:ind w:left="0" w:right="0" w:hanging="0"/>
              <w:rPr/>
            </w:pPr>
            <w:r>
              <w:rPr/>
              <w:t> </w:t>
            </w:r>
          </w:p>
        </w:tc>
      </w:tr>
      <w:tr>
        <w:trPr/>
        <w:tc>
          <w:tcPr>
            <w:tcW w:w="1834" w:type="dxa"/>
            <w:tcBorders/>
            <w:shd w:fill="CCEEFF" w:val="clear"/>
            <w:vAlign w:val="cente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Catastrophe Reinsurance:</w:t>
            </w:r>
          </w:p>
        </w:tc>
        <w:tc>
          <w:tcPr>
            <w:tcW w:w="90" w:type="dxa"/>
            <w:tcBorders/>
            <w:shd w:fill="CCEEFF" w:val="clear"/>
            <w:vAlign w:val="center"/>
          </w:tcPr>
          <w:p>
            <w:pPr>
              <w:pStyle w:val="TableContents"/>
              <w:spacing w:before="0" w:after="0"/>
              <w:ind w:left="0" w:right="0" w:hanging="0"/>
              <w:rPr/>
            </w:pPr>
            <w:r>
              <w:rPr/>
              <w:t> </w:t>
            </w:r>
          </w:p>
        </w:tc>
        <w:tc>
          <w:tcPr>
            <w:tcW w:w="179" w:type="dxa"/>
            <w:tcBorders/>
            <w:shd w:fill="CCEEFF" w:val="clear"/>
            <w:vAlign w:val="center"/>
          </w:tcPr>
          <w:p>
            <w:pPr>
              <w:pStyle w:val="TableContents"/>
              <w:spacing w:before="0" w:after="0"/>
              <w:ind w:left="0" w:right="0" w:hanging="0"/>
              <w:rPr/>
            </w:pPr>
            <w:r>
              <w:rPr/>
              <w:t> </w:t>
            </w:r>
          </w:p>
        </w:tc>
        <w:tc>
          <w:tcPr>
            <w:tcW w:w="1321"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9" w:type="dxa"/>
            <w:tcBorders/>
            <w:shd w:fill="CCEEFF" w:val="clear"/>
            <w:vAlign w:val="center"/>
          </w:tcPr>
          <w:p>
            <w:pPr>
              <w:pStyle w:val="TableContents"/>
              <w:spacing w:before="0" w:after="0"/>
              <w:ind w:left="0" w:right="0" w:hanging="0"/>
              <w:rPr/>
            </w:pPr>
            <w:r>
              <w:rPr/>
              <w:t> </w:t>
            </w:r>
          </w:p>
        </w:tc>
        <w:tc>
          <w:tcPr>
            <w:tcW w:w="1321"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9" w:type="dxa"/>
            <w:tcBorders/>
            <w:shd w:fill="CCEEFF" w:val="clear"/>
            <w:vAlign w:val="center"/>
          </w:tcPr>
          <w:p>
            <w:pPr>
              <w:pStyle w:val="TableContents"/>
              <w:spacing w:before="0" w:after="0"/>
              <w:ind w:left="0" w:right="0" w:hanging="0"/>
              <w:rPr/>
            </w:pPr>
            <w:r>
              <w:rPr/>
              <w:t> </w:t>
            </w:r>
          </w:p>
        </w:tc>
        <w:tc>
          <w:tcPr>
            <w:tcW w:w="1321"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9" w:type="dxa"/>
            <w:tcBorders/>
            <w:shd w:fill="CCEEFF" w:val="clear"/>
            <w:vAlign w:val="center"/>
          </w:tcPr>
          <w:p>
            <w:pPr>
              <w:pStyle w:val="TableContents"/>
              <w:spacing w:before="0" w:after="0"/>
              <w:ind w:left="0" w:right="0" w:hanging="0"/>
              <w:rPr/>
            </w:pPr>
            <w:r>
              <w:rPr/>
              <w:t> </w:t>
            </w:r>
          </w:p>
        </w:tc>
        <w:tc>
          <w:tcPr>
            <w:tcW w:w="1321"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41" w:type="dxa"/>
            <w:tcBorders/>
            <w:shd w:fill="CCEEFF" w:val="clear"/>
            <w:vAlign w:val="center"/>
          </w:tcPr>
          <w:p>
            <w:pPr>
              <w:pStyle w:val="TableContents"/>
              <w:spacing w:before="0" w:after="0"/>
              <w:ind w:left="0" w:right="0" w:hanging="0"/>
              <w:rPr/>
            </w:pPr>
            <w:r>
              <w:rPr/>
              <w:t> </w:t>
            </w:r>
          </w:p>
        </w:tc>
      </w:tr>
      <w:tr>
        <w:trPr/>
        <w:tc>
          <w:tcPr>
            <w:tcW w:w="1834" w:type="dxa"/>
            <w:tcBorders/>
            <w:shd w:fill="FFFFFF" w:val="clear"/>
            <w:vAlign w:val="center"/>
          </w:tcPr>
          <w:p>
            <w:pPr>
              <w:pStyle w:val="TableContents"/>
              <w:spacing w:before="0" w:after="0"/>
              <w:ind w:left="0" w:right="0" w:firstLine="160"/>
              <w:rPr>
                <w:rFonts w:ascii="times new roman" w:hAnsi="times new roman"/>
                <w:sz w:val="20"/>
              </w:rPr>
            </w:pPr>
            <w:r>
              <w:rPr>
                <w:rFonts w:ascii="times new roman" w:hAnsi="times new roman"/>
                <w:sz w:val="20"/>
              </w:rPr>
              <w:t xml:space="preserve">Initial loss subject to personal </w:t>
            </w:r>
          </w:p>
        </w:tc>
        <w:tc>
          <w:tcPr>
            <w:tcW w:w="90" w:type="dxa"/>
            <w:tcBorders/>
            <w:shd w:fill="FFFFFF" w:val="clear"/>
            <w:vAlign w:val="center"/>
          </w:tcPr>
          <w:p>
            <w:pPr>
              <w:pStyle w:val="TableContents"/>
              <w:spacing w:before="0" w:after="0"/>
              <w:ind w:left="0" w:right="0" w:hanging="0"/>
              <w:rPr/>
            </w:pPr>
            <w:r>
              <w:rPr/>
              <w:t> </w:t>
            </w:r>
          </w:p>
        </w:tc>
        <w:tc>
          <w:tcPr>
            <w:tcW w:w="179" w:type="dxa"/>
            <w:tcBorders/>
            <w:shd w:fill="FFFFFF" w:val="clear"/>
            <w:vAlign w:val="center"/>
          </w:tcPr>
          <w:p>
            <w:pPr>
              <w:pStyle w:val="TableContents"/>
              <w:spacing w:before="0" w:after="0"/>
              <w:ind w:left="0" w:right="0" w:hanging="0"/>
              <w:rPr/>
            </w:pPr>
            <w:r>
              <w:rPr/>
              <w:t> </w:t>
            </w:r>
          </w:p>
        </w:tc>
        <w:tc>
          <w:tcPr>
            <w:tcW w:w="1321"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9" w:type="dxa"/>
            <w:tcBorders/>
            <w:shd w:fill="FFFFFF" w:val="clear"/>
            <w:vAlign w:val="center"/>
          </w:tcPr>
          <w:p>
            <w:pPr>
              <w:pStyle w:val="TableContents"/>
              <w:spacing w:before="0" w:after="0"/>
              <w:ind w:left="0" w:right="0" w:hanging="0"/>
              <w:rPr/>
            </w:pPr>
            <w:r>
              <w:rPr/>
              <w:t> </w:t>
            </w:r>
          </w:p>
        </w:tc>
        <w:tc>
          <w:tcPr>
            <w:tcW w:w="1321"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9" w:type="dxa"/>
            <w:tcBorders/>
            <w:shd w:fill="FFFFFF" w:val="clear"/>
            <w:vAlign w:val="center"/>
          </w:tcPr>
          <w:p>
            <w:pPr>
              <w:pStyle w:val="TableContents"/>
              <w:spacing w:before="0" w:after="0"/>
              <w:ind w:left="0" w:right="0" w:hanging="0"/>
              <w:rPr/>
            </w:pPr>
            <w:r>
              <w:rPr/>
              <w:t> </w:t>
            </w:r>
          </w:p>
        </w:tc>
        <w:tc>
          <w:tcPr>
            <w:tcW w:w="1321"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9" w:type="dxa"/>
            <w:tcBorders/>
            <w:shd w:fill="FFFFFF" w:val="clear"/>
            <w:vAlign w:val="center"/>
          </w:tcPr>
          <w:p>
            <w:pPr>
              <w:pStyle w:val="TableContents"/>
              <w:spacing w:before="0" w:after="0"/>
              <w:ind w:left="0" w:right="0" w:hanging="0"/>
              <w:rPr/>
            </w:pPr>
            <w:r>
              <w:rPr/>
              <w:t> </w:t>
            </w:r>
          </w:p>
        </w:tc>
        <w:tc>
          <w:tcPr>
            <w:tcW w:w="1321"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41" w:type="dxa"/>
            <w:tcBorders/>
            <w:shd w:fill="FFFFFF" w:val="clear"/>
            <w:vAlign w:val="center"/>
          </w:tcPr>
          <w:p>
            <w:pPr>
              <w:pStyle w:val="TableContents"/>
              <w:spacing w:before="0" w:after="0"/>
              <w:ind w:left="0" w:right="0" w:hanging="0"/>
              <w:rPr/>
            </w:pPr>
            <w:r>
              <w:rPr/>
              <w:t> </w:t>
            </w:r>
          </w:p>
        </w:tc>
      </w:tr>
      <w:tr>
        <w:trPr/>
        <w:tc>
          <w:tcPr>
            <w:tcW w:w="1834" w:type="dxa"/>
            <w:tcBorders/>
            <w:shd w:fill="CCEEFF" w:val="clear"/>
            <w:vAlign w:val="center"/>
          </w:tcPr>
          <w:p>
            <w:pPr>
              <w:pStyle w:val="TableContents"/>
              <w:spacing w:before="0" w:after="0"/>
              <w:ind w:left="0" w:right="0" w:firstLine="320"/>
              <w:rPr>
                <w:rFonts w:ascii="times new roman" w:hAnsi="times new roman"/>
                <w:sz w:val="20"/>
              </w:rPr>
            </w:pPr>
            <w:r>
              <w:rPr>
                <w:rFonts w:ascii="times new roman" w:hAnsi="times new roman"/>
                <w:sz w:val="20"/>
              </w:rPr>
              <w:t xml:space="preserve">lines quota share treaty </w:t>
            </w:r>
          </w:p>
        </w:tc>
        <w:tc>
          <w:tcPr>
            <w:tcW w:w="90" w:type="dxa"/>
            <w:tcBorders/>
            <w:shd w:fill="CCEEFF" w:val="clear"/>
            <w:vAlign w:val="center"/>
          </w:tcPr>
          <w:p>
            <w:pPr>
              <w:pStyle w:val="TableContents"/>
              <w:spacing w:before="0" w:after="0"/>
              <w:ind w:left="0" w:right="0" w:hanging="0"/>
              <w:rPr/>
            </w:pPr>
            <w:r>
              <w:rPr/>
              <w:t> </w:t>
            </w:r>
          </w:p>
        </w:tc>
        <w:tc>
          <w:tcPr>
            <w:tcW w:w="1500" w:type="dxa"/>
            <w:gridSpan w:val="2"/>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None (7)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9" w:type="dxa"/>
            <w:tcBorders/>
            <w:shd w:fill="CCEEFF" w:val="clear"/>
            <w:vAlign w:val="center"/>
          </w:tcPr>
          <w:p>
            <w:pPr>
              <w:pStyle w:val="TableContents"/>
              <w:spacing w:before="0" w:after="283"/>
              <w:rPr/>
            </w:pPr>
            <w:r>
              <w:rPr/>
              <w:t>$</w:t>
            </w:r>
          </w:p>
        </w:tc>
        <w:tc>
          <w:tcPr>
            <w:tcW w:w="1321" w:type="dxa"/>
            <w:tcBorders/>
            <w:shd w:fill="CCEEFF" w:val="clear"/>
            <w:vAlign w:val="center"/>
          </w:tcPr>
          <w:p>
            <w:pPr>
              <w:pStyle w:val="TableContents"/>
              <w:spacing w:before="0" w:after="283"/>
              <w:jc w:val="right"/>
              <w:rPr/>
            </w:pPr>
            <w:r>
              <w:rPr/>
              <w:t>7,500,000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9" w:type="dxa"/>
            <w:tcBorders/>
            <w:shd w:fill="CCEEFF" w:val="clear"/>
            <w:vAlign w:val="center"/>
          </w:tcPr>
          <w:p>
            <w:pPr>
              <w:pStyle w:val="TableContents"/>
              <w:spacing w:before="0" w:after="283"/>
              <w:rPr/>
            </w:pPr>
            <w:r>
              <w:rPr/>
              <w:t>$</w:t>
            </w:r>
          </w:p>
        </w:tc>
        <w:tc>
          <w:tcPr>
            <w:tcW w:w="1321" w:type="dxa"/>
            <w:tcBorders/>
            <w:shd w:fill="CCEEFF" w:val="clear"/>
            <w:vAlign w:val="center"/>
          </w:tcPr>
          <w:p>
            <w:pPr>
              <w:pStyle w:val="TableContents"/>
              <w:spacing w:before="0" w:after="283"/>
              <w:jc w:val="right"/>
              <w:rPr/>
            </w:pPr>
            <w:r>
              <w:rPr/>
              <w:t>7,500,000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500" w:type="dxa"/>
            <w:gridSpan w:val="2"/>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None</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5,000,000</w:t>
            </w:r>
          </w:p>
        </w:tc>
        <w:tc>
          <w:tcPr>
            <w:tcW w:w="141" w:type="dxa"/>
            <w:tcBorders/>
            <w:shd w:fill="CCEEFF" w:val="clear"/>
            <w:vAlign w:val="center"/>
          </w:tcPr>
          <w:p>
            <w:pPr>
              <w:pStyle w:val="TableContents"/>
              <w:spacing w:before="0" w:after="0"/>
              <w:ind w:left="0" w:right="0" w:hanging="0"/>
              <w:rPr/>
            </w:pPr>
            <w:r>
              <w:rPr/>
              <w:t> </w:t>
            </w:r>
          </w:p>
        </w:tc>
      </w:tr>
      <w:tr>
        <w:trPr/>
        <w:tc>
          <w:tcPr>
            <w:tcW w:w="1834" w:type="dxa"/>
            <w:tcBorders/>
            <w:shd w:fill="FFFFFF" w:val="clear"/>
            <w:vAlign w:val="center"/>
          </w:tcPr>
          <w:p>
            <w:pPr>
              <w:pStyle w:val="TableContents"/>
              <w:spacing w:before="0" w:after="0"/>
              <w:ind w:left="0" w:right="0" w:firstLine="160"/>
              <w:rPr>
                <w:rFonts w:ascii="times new roman" w:hAnsi="times new roman"/>
                <w:sz w:val="20"/>
              </w:rPr>
            </w:pPr>
            <w:r>
              <w:rPr>
                <w:rFonts w:ascii="times new roman" w:hAnsi="times new roman"/>
                <w:sz w:val="20"/>
              </w:rPr>
              <w:t xml:space="preserve">Risk retained per catastrophe </w:t>
            </w:r>
          </w:p>
        </w:tc>
        <w:tc>
          <w:tcPr>
            <w:tcW w:w="90" w:type="dxa"/>
            <w:tcBorders/>
            <w:shd w:fill="FFFFFF" w:val="clear"/>
            <w:vAlign w:val="center"/>
          </w:tcPr>
          <w:p>
            <w:pPr>
              <w:pStyle w:val="TableContents"/>
              <w:spacing w:before="0" w:after="0"/>
              <w:ind w:left="0" w:right="0" w:hanging="0"/>
              <w:rPr/>
            </w:pPr>
            <w:r>
              <w:rPr/>
              <w:t> </w:t>
            </w:r>
          </w:p>
        </w:tc>
        <w:tc>
          <w:tcPr>
            <w:tcW w:w="179" w:type="dxa"/>
            <w:tcBorders/>
            <w:shd w:fill="FFFFFF" w:val="clear"/>
            <w:vAlign w:val="center"/>
          </w:tcPr>
          <w:p>
            <w:pPr>
              <w:pStyle w:val="TableContents"/>
              <w:spacing w:before="0" w:after="0"/>
              <w:ind w:left="0" w:right="0" w:hanging="0"/>
              <w:rPr/>
            </w:pPr>
            <w:r>
              <w:rPr/>
              <w:t> </w:t>
            </w:r>
          </w:p>
        </w:tc>
        <w:tc>
          <w:tcPr>
            <w:tcW w:w="1321"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9" w:type="dxa"/>
            <w:tcBorders/>
            <w:shd w:fill="FFFFFF" w:val="clear"/>
            <w:vAlign w:val="center"/>
          </w:tcPr>
          <w:p>
            <w:pPr>
              <w:pStyle w:val="TableContents"/>
              <w:spacing w:before="0" w:after="0"/>
              <w:ind w:left="0" w:right="0" w:hanging="0"/>
              <w:rPr/>
            </w:pPr>
            <w:r>
              <w:rPr/>
              <w:t> </w:t>
            </w:r>
          </w:p>
        </w:tc>
        <w:tc>
          <w:tcPr>
            <w:tcW w:w="1321"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9" w:type="dxa"/>
            <w:tcBorders/>
            <w:shd w:fill="FFFFFF" w:val="clear"/>
            <w:vAlign w:val="center"/>
          </w:tcPr>
          <w:p>
            <w:pPr>
              <w:pStyle w:val="TableContents"/>
              <w:spacing w:before="0" w:after="0"/>
              <w:ind w:left="0" w:right="0" w:hanging="0"/>
              <w:rPr/>
            </w:pPr>
            <w:r>
              <w:rPr/>
              <w:t> </w:t>
            </w:r>
          </w:p>
        </w:tc>
        <w:tc>
          <w:tcPr>
            <w:tcW w:w="1321"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9" w:type="dxa"/>
            <w:tcBorders/>
            <w:shd w:fill="FFFFFF" w:val="clear"/>
            <w:vAlign w:val="center"/>
          </w:tcPr>
          <w:p>
            <w:pPr>
              <w:pStyle w:val="TableContents"/>
              <w:spacing w:before="0" w:after="0"/>
              <w:ind w:left="0" w:right="0" w:hanging="0"/>
              <w:rPr/>
            </w:pPr>
            <w:r>
              <w:rPr/>
              <w:t> </w:t>
            </w:r>
          </w:p>
        </w:tc>
        <w:tc>
          <w:tcPr>
            <w:tcW w:w="1321"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41" w:type="dxa"/>
            <w:tcBorders/>
            <w:shd w:fill="FFFFFF" w:val="clear"/>
            <w:vAlign w:val="center"/>
          </w:tcPr>
          <w:p>
            <w:pPr>
              <w:pStyle w:val="TableContents"/>
              <w:spacing w:before="0" w:after="0"/>
              <w:ind w:left="0" w:right="0" w:hanging="0"/>
              <w:rPr/>
            </w:pPr>
            <w:r>
              <w:rPr/>
              <w:t> </w:t>
            </w:r>
          </w:p>
        </w:tc>
      </w:tr>
      <w:tr>
        <w:trPr/>
        <w:tc>
          <w:tcPr>
            <w:tcW w:w="1834" w:type="dxa"/>
            <w:tcBorders/>
            <w:shd w:fill="CCEEFF" w:val="clear"/>
            <w:vAlign w:val="center"/>
          </w:tcPr>
          <w:p>
            <w:pPr>
              <w:pStyle w:val="TableContents"/>
              <w:spacing w:before="0" w:after="0"/>
              <w:ind w:left="0" w:right="0" w:firstLine="320"/>
              <w:rPr>
                <w:rFonts w:ascii="times new roman" w:hAnsi="times new roman"/>
                <w:sz w:val="20"/>
              </w:rPr>
            </w:pPr>
            <w:r>
              <w:rPr>
                <w:rFonts w:ascii="times new roman" w:hAnsi="times new roman"/>
                <w:sz w:val="20"/>
              </w:rPr>
              <w:t xml:space="preserve">occurrence (2) (7) </w:t>
            </w:r>
          </w:p>
        </w:tc>
        <w:tc>
          <w:tcPr>
            <w:tcW w:w="90" w:type="dxa"/>
            <w:tcBorders/>
            <w:shd w:fill="CCEEFF" w:val="clear"/>
            <w:vAlign w:val="center"/>
          </w:tcPr>
          <w:p>
            <w:pPr>
              <w:pStyle w:val="TableContents"/>
              <w:spacing w:before="0" w:after="0"/>
              <w:ind w:left="0" w:right="0" w:hanging="0"/>
              <w:rPr/>
            </w:pPr>
            <w:r>
              <w:rPr/>
              <w:t> </w:t>
            </w:r>
          </w:p>
        </w:tc>
        <w:tc>
          <w:tcPr>
            <w:tcW w:w="179" w:type="dxa"/>
            <w:tcBorders/>
            <w:shd w:fill="CCEEFF" w:val="clear"/>
            <w:vAlign w:val="center"/>
          </w:tcPr>
          <w:p>
            <w:pPr>
              <w:pStyle w:val="TableContents"/>
              <w:spacing w:before="0" w:after="283"/>
              <w:rPr/>
            </w:pPr>
            <w:r>
              <w:rPr/>
              <w:t>$</w:t>
            </w:r>
          </w:p>
        </w:tc>
        <w:tc>
          <w:tcPr>
            <w:tcW w:w="1321" w:type="dxa"/>
            <w:tcBorders/>
            <w:shd w:fill="CCEEFF" w:val="clear"/>
            <w:vAlign w:val="center"/>
          </w:tcPr>
          <w:p>
            <w:pPr>
              <w:pStyle w:val="TableContents"/>
              <w:spacing w:before="0" w:after="283"/>
              <w:jc w:val="right"/>
              <w:rPr/>
            </w:pPr>
            <w:r>
              <w:rPr/>
              <w:t>10,000,000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9" w:type="dxa"/>
            <w:tcBorders/>
            <w:shd w:fill="CCEEFF" w:val="clear"/>
            <w:vAlign w:val="center"/>
          </w:tcPr>
          <w:p>
            <w:pPr>
              <w:pStyle w:val="TableContents"/>
              <w:spacing w:before="0" w:after="283"/>
              <w:rPr/>
            </w:pPr>
            <w:r>
              <w:rPr/>
              <w:t>$</w:t>
            </w:r>
          </w:p>
        </w:tc>
        <w:tc>
          <w:tcPr>
            <w:tcW w:w="1321" w:type="dxa"/>
            <w:tcBorders/>
            <w:shd w:fill="CCEEFF" w:val="clear"/>
            <w:vAlign w:val="center"/>
          </w:tcPr>
          <w:p>
            <w:pPr>
              <w:pStyle w:val="TableContents"/>
              <w:spacing w:before="0" w:after="283"/>
              <w:jc w:val="right"/>
              <w:rPr/>
            </w:pPr>
            <w:r>
              <w:rPr/>
              <w:t>8,125,000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9" w:type="dxa"/>
            <w:tcBorders/>
            <w:shd w:fill="CCEEFF" w:val="clear"/>
            <w:vAlign w:val="center"/>
          </w:tcPr>
          <w:p>
            <w:pPr>
              <w:pStyle w:val="TableContents"/>
              <w:spacing w:before="0" w:after="283"/>
              <w:rPr/>
            </w:pPr>
            <w:r>
              <w:rPr/>
              <w:t>$</w:t>
            </w:r>
          </w:p>
        </w:tc>
        <w:tc>
          <w:tcPr>
            <w:tcW w:w="1321" w:type="dxa"/>
            <w:tcBorders/>
            <w:shd w:fill="CCEEFF" w:val="clear"/>
            <w:vAlign w:val="center"/>
          </w:tcPr>
          <w:p>
            <w:pPr>
              <w:pStyle w:val="TableContents"/>
              <w:spacing w:before="0" w:after="283"/>
              <w:jc w:val="right"/>
              <w:rPr/>
            </w:pPr>
            <w:r>
              <w:rPr/>
              <w:t>5,625,000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9" w:type="dxa"/>
            <w:tcBorders/>
            <w:shd w:fill="CCEEFF" w:val="clear"/>
            <w:vAlign w:val="center"/>
          </w:tcPr>
          <w:p>
            <w:pPr>
              <w:pStyle w:val="TableContents"/>
              <w:spacing w:before="0" w:after="283"/>
              <w:rPr/>
            </w:pPr>
            <w:r>
              <w:rPr/>
              <w:t>$</w:t>
            </w:r>
          </w:p>
        </w:tc>
        <w:tc>
          <w:tcPr>
            <w:tcW w:w="1321" w:type="dxa"/>
            <w:tcBorders/>
            <w:shd w:fill="CCEEFF" w:val="clear"/>
            <w:vAlign w:val="center"/>
          </w:tcPr>
          <w:p>
            <w:pPr>
              <w:pStyle w:val="TableContents"/>
              <w:spacing w:before="0" w:after="283"/>
              <w:jc w:val="right"/>
              <w:rPr/>
            </w:pPr>
            <w:r>
              <w:rPr/>
              <w:t>7,500,000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4,500,000</w:t>
            </w:r>
          </w:p>
        </w:tc>
        <w:tc>
          <w:tcPr>
            <w:tcW w:w="141" w:type="dxa"/>
            <w:tcBorders/>
            <w:shd w:fill="CCEEFF" w:val="clear"/>
            <w:vAlign w:val="center"/>
          </w:tcPr>
          <w:p>
            <w:pPr>
              <w:pStyle w:val="TableContents"/>
              <w:spacing w:before="0" w:after="0"/>
              <w:ind w:left="0" w:right="0" w:hanging="0"/>
              <w:rPr/>
            </w:pPr>
            <w:r>
              <w:rPr/>
              <w:t> </w:t>
            </w:r>
          </w:p>
        </w:tc>
      </w:tr>
      <w:tr>
        <w:trPr/>
        <w:tc>
          <w:tcPr>
            <w:tcW w:w="1834" w:type="dxa"/>
            <w:tcBorders/>
            <w:shd w:fill="FFFFFF" w:val="clear"/>
            <w:vAlign w:val="center"/>
          </w:tcPr>
          <w:p>
            <w:pPr>
              <w:pStyle w:val="TableContents"/>
              <w:spacing w:before="0" w:after="0"/>
              <w:ind w:left="0" w:right="0" w:firstLine="160"/>
              <w:rPr>
                <w:rFonts w:ascii="times new roman" w:hAnsi="times new roman"/>
                <w:sz w:val="20"/>
              </w:rPr>
            </w:pPr>
            <w:r>
              <w:rPr>
                <w:rFonts w:ascii="times new roman" w:hAnsi="times new roman"/>
                <w:sz w:val="20"/>
              </w:rPr>
              <w:t xml:space="preserve">Catastrophe loss coverage </w:t>
            </w:r>
          </w:p>
        </w:tc>
        <w:tc>
          <w:tcPr>
            <w:tcW w:w="90" w:type="dxa"/>
            <w:tcBorders/>
            <w:shd w:fill="FFFFFF" w:val="clear"/>
            <w:vAlign w:val="center"/>
          </w:tcPr>
          <w:p>
            <w:pPr>
              <w:pStyle w:val="TableContents"/>
              <w:spacing w:before="0" w:after="0"/>
              <w:ind w:left="0" w:right="0" w:hanging="0"/>
              <w:rPr/>
            </w:pPr>
            <w:r>
              <w:rPr/>
              <w:t> </w:t>
            </w:r>
          </w:p>
        </w:tc>
        <w:tc>
          <w:tcPr>
            <w:tcW w:w="179" w:type="dxa"/>
            <w:tcBorders/>
            <w:shd w:fill="FFFFFF" w:val="clear"/>
            <w:vAlign w:val="center"/>
          </w:tcPr>
          <w:p>
            <w:pPr>
              <w:pStyle w:val="TableContents"/>
              <w:spacing w:before="0" w:after="0"/>
              <w:ind w:left="0" w:right="0" w:hanging="0"/>
              <w:rPr/>
            </w:pPr>
            <w:r>
              <w:rPr/>
              <w:t> </w:t>
            </w:r>
          </w:p>
        </w:tc>
        <w:tc>
          <w:tcPr>
            <w:tcW w:w="1321"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9" w:type="dxa"/>
            <w:tcBorders/>
            <w:shd w:fill="FFFFFF" w:val="clear"/>
            <w:vAlign w:val="center"/>
          </w:tcPr>
          <w:p>
            <w:pPr>
              <w:pStyle w:val="TableContents"/>
              <w:spacing w:before="0" w:after="0"/>
              <w:ind w:left="0" w:right="0" w:hanging="0"/>
              <w:rPr/>
            </w:pPr>
            <w:r>
              <w:rPr/>
              <w:t> </w:t>
            </w:r>
          </w:p>
        </w:tc>
        <w:tc>
          <w:tcPr>
            <w:tcW w:w="1321"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9" w:type="dxa"/>
            <w:tcBorders/>
            <w:shd w:fill="FFFFFF" w:val="clear"/>
            <w:vAlign w:val="center"/>
          </w:tcPr>
          <w:p>
            <w:pPr>
              <w:pStyle w:val="TableContents"/>
              <w:spacing w:before="0" w:after="0"/>
              <w:ind w:left="0" w:right="0" w:hanging="0"/>
              <w:rPr/>
            </w:pPr>
            <w:r>
              <w:rPr/>
              <w:t> </w:t>
            </w:r>
          </w:p>
        </w:tc>
        <w:tc>
          <w:tcPr>
            <w:tcW w:w="1321"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9" w:type="dxa"/>
            <w:tcBorders/>
            <w:shd w:fill="FFFFFF" w:val="clear"/>
            <w:vAlign w:val="center"/>
          </w:tcPr>
          <w:p>
            <w:pPr>
              <w:pStyle w:val="TableContents"/>
              <w:spacing w:before="0" w:after="0"/>
              <w:ind w:left="0" w:right="0" w:hanging="0"/>
              <w:rPr/>
            </w:pPr>
            <w:r>
              <w:rPr/>
              <w:t> </w:t>
            </w:r>
          </w:p>
        </w:tc>
        <w:tc>
          <w:tcPr>
            <w:tcW w:w="1321"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41" w:type="dxa"/>
            <w:tcBorders/>
            <w:shd w:fill="FFFFFF" w:val="clear"/>
            <w:vAlign w:val="center"/>
          </w:tcPr>
          <w:p>
            <w:pPr>
              <w:pStyle w:val="TableContents"/>
              <w:spacing w:before="0" w:after="0"/>
              <w:ind w:left="0" w:right="0" w:hanging="0"/>
              <w:rPr/>
            </w:pPr>
            <w:r>
              <w:rPr/>
              <w:t> </w:t>
            </w:r>
          </w:p>
        </w:tc>
      </w:tr>
      <w:tr>
        <w:trPr/>
        <w:tc>
          <w:tcPr>
            <w:tcW w:w="1834" w:type="dxa"/>
            <w:tcBorders/>
            <w:shd w:fill="CCEEFF" w:val="clear"/>
            <w:vAlign w:val="center"/>
          </w:tcPr>
          <w:p>
            <w:pPr>
              <w:pStyle w:val="TableContents"/>
              <w:spacing w:before="0" w:after="0"/>
              <w:ind w:left="0" w:right="0" w:firstLine="320"/>
              <w:rPr>
                <w:rFonts w:ascii="times new roman" w:hAnsi="times new roman"/>
                <w:sz w:val="20"/>
              </w:rPr>
            </w:pPr>
            <w:r>
              <w:rPr>
                <w:rFonts w:ascii="times new roman" w:hAnsi="times new roman"/>
                <w:sz w:val="20"/>
              </w:rPr>
              <w:t xml:space="preserve">in excess of </w:t>
            </w:r>
          </w:p>
        </w:tc>
        <w:tc>
          <w:tcPr>
            <w:tcW w:w="90" w:type="dxa"/>
            <w:tcBorders/>
            <w:shd w:fill="CCEEFF" w:val="clear"/>
            <w:vAlign w:val="center"/>
          </w:tcPr>
          <w:p>
            <w:pPr>
              <w:pStyle w:val="TableContents"/>
              <w:spacing w:before="0" w:after="0"/>
              <w:ind w:left="0" w:right="0" w:hanging="0"/>
              <w:rPr/>
            </w:pPr>
            <w:r>
              <w:rPr/>
              <w:t> </w:t>
            </w:r>
          </w:p>
        </w:tc>
        <w:tc>
          <w:tcPr>
            <w:tcW w:w="179" w:type="dxa"/>
            <w:tcBorders/>
            <w:shd w:fill="CCEEFF" w:val="clear"/>
            <w:vAlign w:val="center"/>
          </w:tcPr>
          <w:p>
            <w:pPr>
              <w:pStyle w:val="TableContents"/>
              <w:spacing w:before="0" w:after="0"/>
              <w:ind w:left="0" w:right="0" w:hanging="0"/>
              <w:rPr/>
            </w:pPr>
            <w:r>
              <w:rPr/>
              <w:t> </w:t>
            </w:r>
          </w:p>
        </w:tc>
        <w:tc>
          <w:tcPr>
            <w:tcW w:w="1321"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9" w:type="dxa"/>
            <w:tcBorders/>
            <w:shd w:fill="CCEEFF" w:val="clear"/>
            <w:vAlign w:val="center"/>
          </w:tcPr>
          <w:p>
            <w:pPr>
              <w:pStyle w:val="TableContents"/>
              <w:spacing w:before="0" w:after="0"/>
              <w:ind w:left="0" w:right="0" w:hanging="0"/>
              <w:rPr/>
            </w:pPr>
            <w:r>
              <w:rPr/>
              <w:t> </w:t>
            </w:r>
          </w:p>
        </w:tc>
        <w:tc>
          <w:tcPr>
            <w:tcW w:w="1321"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9" w:type="dxa"/>
            <w:tcBorders/>
            <w:shd w:fill="CCEEFF" w:val="clear"/>
            <w:vAlign w:val="center"/>
          </w:tcPr>
          <w:p>
            <w:pPr>
              <w:pStyle w:val="TableContents"/>
              <w:spacing w:before="0" w:after="0"/>
              <w:ind w:left="0" w:right="0" w:hanging="0"/>
              <w:rPr/>
            </w:pPr>
            <w:r>
              <w:rPr/>
              <w:t> </w:t>
            </w:r>
          </w:p>
        </w:tc>
        <w:tc>
          <w:tcPr>
            <w:tcW w:w="1321"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9" w:type="dxa"/>
            <w:tcBorders/>
            <w:shd w:fill="CCEEFF" w:val="clear"/>
            <w:vAlign w:val="center"/>
          </w:tcPr>
          <w:p>
            <w:pPr>
              <w:pStyle w:val="TableContents"/>
              <w:spacing w:before="0" w:after="0"/>
              <w:ind w:left="0" w:right="0" w:hanging="0"/>
              <w:rPr/>
            </w:pPr>
            <w:r>
              <w:rPr/>
              <w:t> </w:t>
            </w:r>
          </w:p>
        </w:tc>
        <w:tc>
          <w:tcPr>
            <w:tcW w:w="1321"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41" w:type="dxa"/>
            <w:tcBorders/>
            <w:shd w:fill="CCEEFF" w:val="clear"/>
            <w:vAlign w:val="center"/>
          </w:tcPr>
          <w:p>
            <w:pPr>
              <w:pStyle w:val="TableContents"/>
              <w:spacing w:before="0" w:after="0"/>
              <w:ind w:left="0" w:right="0" w:hanging="0"/>
              <w:rPr/>
            </w:pPr>
            <w:r>
              <w:rPr/>
              <w:t> </w:t>
            </w:r>
          </w:p>
        </w:tc>
      </w:tr>
      <w:tr>
        <w:trPr/>
        <w:tc>
          <w:tcPr>
            <w:tcW w:w="1834" w:type="dxa"/>
            <w:tcBorders/>
            <w:shd w:fill="FFFFFF" w:val="clear"/>
            <w:vAlign w:val="center"/>
          </w:tcPr>
          <w:p>
            <w:pPr>
              <w:pStyle w:val="TableContents"/>
              <w:spacing w:before="0" w:after="0"/>
              <w:ind w:left="0" w:right="0" w:firstLine="320"/>
              <w:rPr>
                <w:rFonts w:ascii="times new roman" w:hAnsi="times new roman"/>
                <w:sz w:val="20"/>
              </w:rPr>
            </w:pPr>
            <w:r>
              <w:rPr>
                <w:rFonts w:ascii="times new roman" w:hAnsi="times new roman"/>
                <w:sz w:val="20"/>
              </w:rPr>
              <w:t xml:space="preserve">quota share coverage (3) (7) </w:t>
            </w:r>
          </w:p>
        </w:tc>
        <w:tc>
          <w:tcPr>
            <w:tcW w:w="90" w:type="dxa"/>
            <w:tcBorders/>
            <w:shd w:fill="FFFFFF" w:val="clear"/>
            <w:vAlign w:val="center"/>
          </w:tcPr>
          <w:p>
            <w:pPr>
              <w:pStyle w:val="TableContents"/>
              <w:spacing w:before="0" w:after="0"/>
              <w:ind w:left="0" w:right="0" w:hanging="0"/>
              <w:rPr/>
            </w:pPr>
            <w:r>
              <w:rPr/>
              <w:t> </w:t>
            </w:r>
          </w:p>
        </w:tc>
        <w:tc>
          <w:tcPr>
            <w:tcW w:w="179" w:type="dxa"/>
            <w:tcBorders/>
            <w:shd w:fill="FFFFFF" w:val="clear"/>
            <w:vAlign w:val="center"/>
          </w:tcPr>
          <w:p>
            <w:pPr>
              <w:pStyle w:val="TableContents"/>
              <w:spacing w:before="0" w:after="283"/>
              <w:rPr/>
            </w:pPr>
            <w:r>
              <w:rPr/>
              <w:t>$</w:t>
            </w:r>
          </w:p>
        </w:tc>
        <w:tc>
          <w:tcPr>
            <w:tcW w:w="1321" w:type="dxa"/>
            <w:tcBorders/>
            <w:shd w:fill="FFFFFF" w:val="clear"/>
            <w:vAlign w:val="center"/>
          </w:tcPr>
          <w:p>
            <w:pPr>
              <w:pStyle w:val="TableContents"/>
              <w:spacing w:before="0" w:after="283"/>
              <w:jc w:val="right"/>
              <w:rPr/>
            </w:pPr>
            <w:r>
              <w:rPr/>
              <w:t>475,000,000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9" w:type="dxa"/>
            <w:tcBorders/>
            <w:shd w:fill="FFFFFF" w:val="clear"/>
            <w:vAlign w:val="center"/>
          </w:tcPr>
          <w:p>
            <w:pPr>
              <w:pStyle w:val="TableContents"/>
              <w:spacing w:before="0" w:after="283"/>
              <w:rPr/>
            </w:pPr>
            <w:r>
              <w:rPr/>
              <w:t>$</w:t>
            </w:r>
          </w:p>
        </w:tc>
        <w:tc>
          <w:tcPr>
            <w:tcW w:w="1321" w:type="dxa"/>
            <w:tcBorders/>
            <w:shd w:fill="FFFFFF" w:val="clear"/>
            <w:vAlign w:val="center"/>
          </w:tcPr>
          <w:p>
            <w:pPr>
              <w:pStyle w:val="TableContents"/>
              <w:spacing w:before="0" w:after="283"/>
              <w:jc w:val="right"/>
              <w:rPr/>
            </w:pPr>
            <w:r>
              <w:rPr/>
              <w:t>475,000,000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9" w:type="dxa"/>
            <w:tcBorders/>
            <w:shd w:fill="FFFFFF" w:val="clear"/>
            <w:vAlign w:val="center"/>
          </w:tcPr>
          <w:p>
            <w:pPr>
              <w:pStyle w:val="TableContents"/>
              <w:spacing w:before="0" w:after="283"/>
              <w:rPr/>
            </w:pPr>
            <w:r>
              <w:rPr/>
              <w:t>$</w:t>
            </w:r>
          </w:p>
        </w:tc>
        <w:tc>
          <w:tcPr>
            <w:tcW w:w="1321" w:type="dxa"/>
            <w:tcBorders/>
            <w:shd w:fill="FFFFFF" w:val="clear"/>
            <w:vAlign w:val="center"/>
          </w:tcPr>
          <w:p>
            <w:pPr>
              <w:pStyle w:val="TableContents"/>
              <w:spacing w:before="0" w:after="283"/>
              <w:jc w:val="right"/>
              <w:rPr/>
            </w:pPr>
            <w:r>
              <w:rPr/>
              <w:t>602,500,000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9" w:type="dxa"/>
            <w:tcBorders/>
            <w:shd w:fill="FFFFFF" w:val="clear"/>
            <w:vAlign w:val="center"/>
          </w:tcPr>
          <w:p>
            <w:pPr>
              <w:pStyle w:val="TableContents"/>
              <w:spacing w:before="0" w:after="283"/>
              <w:rPr/>
            </w:pPr>
            <w:r>
              <w:rPr/>
              <w:t>$</w:t>
            </w:r>
          </w:p>
        </w:tc>
        <w:tc>
          <w:tcPr>
            <w:tcW w:w="1321" w:type="dxa"/>
            <w:tcBorders/>
            <w:shd w:fill="FFFFFF" w:val="clear"/>
            <w:vAlign w:val="center"/>
          </w:tcPr>
          <w:p>
            <w:pPr>
              <w:pStyle w:val="TableContents"/>
              <w:spacing w:before="0" w:after="283"/>
              <w:jc w:val="right"/>
              <w:rPr/>
            </w:pPr>
            <w:r>
              <w:rPr/>
              <w:t>602,500,000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445,000,000</w:t>
            </w:r>
          </w:p>
        </w:tc>
        <w:tc>
          <w:tcPr>
            <w:tcW w:w="141" w:type="dxa"/>
            <w:tcBorders/>
            <w:shd w:fill="FFFFFF" w:val="clear"/>
            <w:vAlign w:val="center"/>
          </w:tcPr>
          <w:p>
            <w:pPr>
              <w:pStyle w:val="TableContents"/>
              <w:spacing w:before="0" w:after="0"/>
              <w:ind w:left="0" w:right="0" w:hanging="0"/>
              <w:rPr/>
            </w:pPr>
            <w:r>
              <w:rPr/>
              <w:t> </w:t>
            </w:r>
          </w:p>
        </w:tc>
      </w:tr>
      <w:tr>
        <w:trPr/>
        <w:tc>
          <w:tcPr>
            <w:tcW w:w="1834" w:type="dxa"/>
            <w:tcBorders/>
            <w:shd w:fill="CCEEFF" w:val="clear"/>
            <w:vAlign w:val="center"/>
          </w:tcPr>
          <w:p>
            <w:pPr>
              <w:pStyle w:val="TableContents"/>
              <w:spacing w:before="0" w:after="0"/>
              <w:ind w:left="0" w:right="0" w:firstLine="160"/>
              <w:rPr>
                <w:rFonts w:ascii="times new roman" w:hAnsi="times new roman"/>
                <w:sz w:val="20"/>
              </w:rPr>
            </w:pPr>
            <w:r>
              <w:rPr>
                <w:rFonts w:ascii="times new roman" w:hAnsi="times new roman"/>
                <w:sz w:val="20"/>
              </w:rPr>
              <w:t xml:space="preserve">Reinstatement premium </w:t>
            </w:r>
          </w:p>
        </w:tc>
        <w:tc>
          <w:tcPr>
            <w:tcW w:w="90" w:type="dxa"/>
            <w:tcBorders/>
            <w:shd w:fill="CCEEFF" w:val="clear"/>
            <w:vAlign w:val="center"/>
          </w:tcPr>
          <w:p>
            <w:pPr>
              <w:pStyle w:val="TableContents"/>
              <w:spacing w:before="0" w:after="0"/>
              <w:ind w:left="0" w:right="0" w:hanging="0"/>
              <w:rPr/>
            </w:pPr>
            <w:r>
              <w:rPr/>
              <w:t> </w:t>
            </w:r>
          </w:p>
        </w:tc>
        <w:tc>
          <w:tcPr>
            <w:tcW w:w="179" w:type="dxa"/>
            <w:tcBorders/>
            <w:shd w:fill="CCEEFF" w:val="clear"/>
            <w:vAlign w:val="center"/>
          </w:tcPr>
          <w:p>
            <w:pPr>
              <w:pStyle w:val="TableContents"/>
              <w:spacing w:before="0" w:after="0"/>
              <w:ind w:left="0" w:right="0" w:hanging="0"/>
              <w:rPr/>
            </w:pPr>
            <w:r>
              <w:rPr/>
              <w:t> </w:t>
            </w:r>
          </w:p>
        </w:tc>
        <w:tc>
          <w:tcPr>
            <w:tcW w:w="1321" w:type="dxa"/>
            <w:tcBorders/>
            <w:shd w:fill="CCEEFF" w:val="clear"/>
            <w:vAlign w:val="center"/>
          </w:tcPr>
          <w:p>
            <w:pPr>
              <w:pStyle w:val="TableContents"/>
              <w:spacing w:before="0" w:after="0"/>
              <w:ind w:left="0" w:right="0" w:hanging="0"/>
              <w:jc w:val="right"/>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9" w:type="dxa"/>
            <w:tcBorders/>
            <w:shd w:fill="CCEEFF" w:val="clear"/>
            <w:vAlign w:val="center"/>
          </w:tcPr>
          <w:p>
            <w:pPr>
              <w:pStyle w:val="TableContents"/>
              <w:spacing w:before="0" w:after="0"/>
              <w:ind w:left="0" w:right="0" w:hanging="0"/>
              <w:rPr/>
            </w:pPr>
            <w:r>
              <w:rPr/>
              <w:t> </w:t>
            </w:r>
          </w:p>
        </w:tc>
        <w:tc>
          <w:tcPr>
            <w:tcW w:w="1321"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9" w:type="dxa"/>
            <w:tcBorders/>
            <w:shd w:fill="CCEEFF" w:val="clear"/>
            <w:vAlign w:val="center"/>
          </w:tcPr>
          <w:p>
            <w:pPr>
              <w:pStyle w:val="TableContents"/>
              <w:spacing w:before="0" w:after="0"/>
              <w:ind w:left="0" w:right="0" w:hanging="0"/>
              <w:rPr/>
            </w:pPr>
            <w:r>
              <w:rPr/>
              <w:t> </w:t>
            </w:r>
          </w:p>
        </w:tc>
        <w:tc>
          <w:tcPr>
            <w:tcW w:w="1321"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9" w:type="dxa"/>
            <w:tcBorders/>
            <w:shd w:fill="CCEEFF" w:val="clear"/>
            <w:vAlign w:val="center"/>
          </w:tcPr>
          <w:p>
            <w:pPr>
              <w:pStyle w:val="TableContents"/>
              <w:spacing w:before="0" w:after="0"/>
              <w:ind w:left="0" w:right="0" w:hanging="0"/>
              <w:rPr/>
            </w:pPr>
            <w:r>
              <w:rPr/>
              <w:t> </w:t>
            </w:r>
          </w:p>
        </w:tc>
        <w:tc>
          <w:tcPr>
            <w:tcW w:w="1321"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41" w:type="dxa"/>
            <w:tcBorders/>
            <w:shd w:fill="CCEEFF" w:val="clear"/>
            <w:vAlign w:val="center"/>
          </w:tcPr>
          <w:p>
            <w:pPr>
              <w:pStyle w:val="TableContents"/>
              <w:spacing w:before="0" w:after="0"/>
              <w:ind w:left="0" w:right="0" w:hanging="0"/>
              <w:rPr/>
            </w:pPr>
            <w:r>
              <w:rPr/>
              <w:t> </w:t>
            </w:r>
          </w:p>
        </w:tc>
      </w:tr>
      <w:tr>
        <w:trPr/>
        <w:tc>
          <w:tcPr>
            <w:tcW w:w="1834" w:type="dxa"/>
            <w:tcBorders/>
            <w:shd w:fill="FFFFFF" w:val="clear"/>
            <w:vAlign w:val="center"/>
          </w:tcPr>
          <w:p>
            <w:pPr>
              <w:pStyle w:val="TableContents"/>
              <w:spacing w:before="0" w:after="0"/>
              <w:ind w:left="0" w:right="0" w:firstLine="320"/>
              <w:rPr>
                <w:rFonts w:ascii="times new roman" w:hAnsi="times new roman"/>
                <w:sz w:val="20"/>
              </w:rPr>
            </w:pPr>
            <w:r>
              <w:rPr>
                <w:rFonts w:ascii="times new roman" w:hAnsi="times new roman"/>
                <w:sz w:val="20"/>
              </w:rPr>
              <w:t xml:space="preserve">protection (4) (5) (6) </w:t>
            </w:r>
          </w:p>
        </w:tc>
        <w:tc>
          <w:tcPr>
            <w:tcW w:w="90" w:type="dxa"/>
            <w:tcBorders/>
            <w:shd w:fill="FFFFFF" w:val="clear"/>
            <w:vAlign w:val="center"/>
          </w:tcPr>
          <w:p>
            <w:pPr>
              <w:pStyle w:val="TableContents"/>
              <w:spacing w:before="0" w:after="0"/>
              <w:ind w:left="0" w:right="0" w:hanging="0"/>
              <w:rPr/>
            </w:pPr>
            <w:r>
              <w:rPr/>
              <w:t> </w:t>
            </w:r>
          </w:p>
        </w:tc>
        <w:tc>
          <w:tcPr>
            <w:tcW w:w="1500" w:type="dxa"/>
            <w:gridSpan w:val="2"/>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Yes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500" w:type="dxa"/>
            <w:gridSpan w:val="2"/>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Yes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500" w:type="dxa"/>
            <w:gridSpan w:val="2"/>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Yes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500" w:type="dxa"/>
            <w:gridSpan w:val="2"/>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Yes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20" w:type="dxa"/>
            <w:gridSpan w:val="2"/>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Yes </w:t>
            </w:r>
          </w:p>
        </w:tc>
        <w:tc>
          <w:tcPr>
            <w:tcW w:w="141" w:type="dxa"/>
            <w:tcBorders/>
            <w:shd w:fill="FFFF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105"/>
        <w:gridCol w:w="257"/>
        <w:gridCol w:w="9843"/>
      </w:tblGrid>
      <w:tr>
        <w:trPr/>
        <w:tc>
          <w:tcPr>
            <w:tcW w:w="105" w:type="dxa"/>
            <w:tcBorders/>
            <w:shd w:fill="auto" w:val="clear"/>
            <w:vAlign w:val="center"/>
          </w:tcPr>
          <w:p>
            <w:pPr>
              <w:pStyle w:val="TableContents"/>
              <w:spacing w:before="0" w:after="0"/>
              <w:ind w:left="0" w:right="0" w:hanging="0"/>
              <w:rPr/>
            </w:pPr>
            <w:r>
              <w:rPr/>
              <w:t> </w:t>
            </w:r>
          </w:p>
        </w:tc>
        <w:tc>
          <w:tcPr>
            <w:tcW w:w="257"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(1) </w:t>
            </w:r>
          </w:p>
        </w:tc>
        <w:tc>
          <w:tcPr>
            <w:tcW w:w="9843"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For personal lines, includes the addition of an automatic facultative facility allowing KICO to obtain homeowners single risk coverage up to $10,000,000in total insured value, which covers direct losses from $3,500,000 to $10,000,000.</w:t>
            </w:r>
          </w:p>
        </w:tc>
      </w:tr>
      <w:tr>
        <w:trPr/>
        <w:tc>
          <w:tcPr>
            <w:tcW w:w="105" w:type="dxa"/>
            <w:tcBorders/>
            <w:shd w:fill="auto" w:val="clear"/>
            <w:vAlign w:val="center"/>
          </w:tcPr>
          <w:p>
            <w:pPr>
              <w:pStyle w:val="TableContents"/>
              <w:spacing w:before="0" w:after="0"/>
              <w:ind w:left="0" w:right="0" w:hanging="0"/>
              <w:jc w:val="both"/>
              <w:rPr/>
            </w:pPr>
            <w:r>
              <w:rPr/>
              <w:t> </w:t>
            </w:r>
          </w:p>
        </w:tc>
        <w:tc>
          <w:tcPr>
            <w:tcW w:w="257"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(2) </w:t>
            </w:r>
          </w:p>
        </w:tc>
        <w:tc>
          <w:tcPr>
            <w:tcW w:w="9843"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Plus losses in excess of catastrophe coverage. For the period July 1, 2020 through December 30, 2020, there was no reinsurance coverage for the $2,500,000 gap between quota share limit of $7,500,000 and first $10,000,000 layer of catastrophe coverage (see note (7) below). </w:t>
            </w:r>
          </w:p>
        </w:tc>
      </w:tr>
      <w:tr>
        <w:trPr/>
        <w:tc>
          <w:tcPr>
            <w:tcW w:w="105" w:type="dxa"/>
            <w:tcBorders/>
            <w:shd w:fill="auto" w:val="clear"/>
            <w:vAlign w:val="center"/>
          </w:tcPr>
          <w:p>
            <w:pPr>
              <w:pStyle w:val="TableContents"/>
              <w:spacing w:before="0" w:after="0"/>
              <w:ind w:left="0" w:right="0" w:hanging="0"/>
              <w:jc w:val="both"/>
              <w:rPr/>
            </w:pPr>
            <w:r>
              <w:rPr/>
              <w:t> </w:t>
            </w:r>
          </w:p>
        </w:tc>
        <w:tc>
          <w:tcPr>
            <w:tcW w:w="257"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(3) </w:t>
            </w:r>
          </w:p>
        </w:tc>
        <w:tc>
          <w:tcPr>
            <w:tcW w:w="9843"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Catastrophe coverage is limited on an annual basis to two times the per occurrence amounts. Duration of 168 consecutive hours for a catastrophe occurrence from windstorm, hail, tornado, hurricane and cyclone.</w:t>
            </w:r>
          </w:p>
        </w:tc>
      </w:tr>
      <w:tr>
        <w:trPr/>
        <w:tc>
          <w:tcPr>
            <w:tcW w:w="105" w:type="dxa"/>
            <w:tcBorders/>
            <w:shd w:fill="auto" w:val="clear"/>
            <w:vAlign w:val="center"/>
          </w:tcPr>
          <w:p>
            <w:pPr>
              <w:pStyle w:val="TableContents"/>
              <w:spacing w:before="0" w:after="0"/>
              <w:ind w:left="0" w:right="0" w:hanging="0"/>
              <w:jc w:val="both"/>
              <w:rPr/>
            </w:pPr>
            <w:r>
              <w:rPr/>
              <w:t> </w:t>
            </w:r>
          </w:p>
        </w:tc>
        <w:tc>
          <w:tcPr>
            <w:tcW w:w="257"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(4) </w:t>
            </w:r>
          </w:p>
        </w:tc>
        <w:tc>
          <w:tcPr>
            <w:tcW w:w="9843"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For the period July 1, 2018 through June 30, 2019, reinstatement premium protection for $210,000,000 of catastrophe coverage in excess of $5,000,000.</w:t>
            </w:r>
          </w:p>
        </w:tc>
      </w:tr>
      <w:tr>
        <w:trPr/>
        <w:tc>
          <w:tcPr>
            <w:tcW w:w="105" w:type="dxa"/>
            <w:tcBorders/>
            <w:shd w:fill="auto" w:val="clear"/>
            <w:vAlign w:val="center"/>
          </w:tcPr>
          <w:p>
            <w:pPr>
              <w:pStyle w:val="TableContents"/>
              <w:spacing w:before="0" w:after="0"/>
              <w:ind w:left="0" w:right="0" w:hanging="0"/>
              <w:jc w:val="both"/>
              <w:rPr/>
            </w:pPr>
            <w:r>
              <w:rPr/>
              <w:t> </w:t>
            </w:r>
          </w:p>
        </w:tc>
        <w:tc>
          <w:tcPr>
            <w:tcW w:w="257"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(5) </w:t>
            </w:r>
          </w:p>
        </w:tc>
        <w:tc>
          <w:tcPr>
            <w:tcW w:w="9843"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For the period July 1, 2019 through June 30, 2020, reinstatement premium protection for $292,500,000 of catastrophe coverage in excess of $7,500,000.</w:t>
            </w:r>
          </w:p>
        </w:tc>
      </w:tr>
      <w:tr>
        <w:trPr/>
        <w:tc>
          <w:tcPr>
            <w:tcW w:w="105" w:type="dxa"/>
            <w:tcBorders/>
            <w:shd w:fill="auto" w:val="clear"/>
            <w:vAlign w:val="center"/>
          </w:tcPr>
          <w:p>
            <w:pPr>
              <w:pStyle w:val="TableContents"/>
              <w:spacing w:before="0" w:after="0"/>
              <w:ind w:left="0" w:right="0" w:hanging="0"/>
              <w:jc w:val="both"/>
              <w:rPr/>
            </w:pPr>
            <w:r>
              <w:rPr/>
              <w:t> </w:t>
            </w:r>
          </w:p>
        </w:tc>
        <w:tc>
          <w:tcPr>
            <w:tcW w:w="257"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(6) </w:t>
            </w:r>
          </w:p>
        </w:tc>
        <w:tc>
          <w:tcPr>
            <w:tcW w:w="9843"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For the period July 1, 2020 through June 30, 2021, reinstatement premium protection for $70,000,000 of catastrophe coverage in excess of $10,000,000.</w:t>
            </w:r>
          </w:p>
        </w:tc>
      </w:tr>
      <w:tr>
        <w:trPr/>
        <w:tc>
          <w:tcPr>
            <w:tcW w:w="105" w:type="dxa"/>
            <w:tcBorders/>
            <w:shd w:fill="auto" w:val="clear"/>
            <w:vAlign w:val="center"/>
          </w:tcPr>
          <w:p>
            <w:pPr>
              <w:pStyle w:val="TableContents"/>
              <w:spacing w:before="0" w:after="0"/>
              <w:ind w:left="0" w:right="0" w:hanging="0"/>
              <w:jc w:val="both"/>
              <w:rPr/>
            </w:pPr>
            <w:r>
              <w:rPr/>
              <w:t> </w:t>
            </w:r>
          </w:p>
        </w:tc>
        <w:tc>
          <w:tcPr>
            <w:tcW w:w="257"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(7) </w:t>
            </w:r>
          </w:p>
        </w:tc>
        <w:tc>
          <w:tcPr>
            <w:tcW w:w="9843"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The personal lines quota share (homeowners, dwelling fire and canine legal liability) expired on December 30, 2020; reinsurance coverage from December 31, 2020 through June 30, 2021 is only for excess of loss and catastrophe reinsurance.</w:t>
            </w:r>
          </w:p>
        </w:tc>
      </w:tr>
    </w:tbl>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F-29</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2020 AND 2019</w:t>
      </w:r>
      <w:r>
        <w:rPr>
          <w:rFonts w:ascii="times new roman" w:hAnsi="times new roman"/>
          <w:sz w:val="20"/>
        </w:rPr>
        <w:t> </w:t>
      </w:r>
    </w:p>
    <w:p>
      <w:pPr>
        <w:pStyle w:val="TextBody"/>
        <w:spacing w:before="0" w:after="0"/>
        <w:ind w:left="0" w:right="0" w:hanging="0"/>
        <w:rPr/>
      </w:pPr>
      <w:r>
        <w:rPr/>
        <w:t> </w:t>
      </w:r>
    </w:p>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5509"/>
        <w:gridCol w:w="90"/>
        <w:gridCol w:w="174"/>
        <w:gridCol w:w="1040"/>
        <w:gridCol w:w="245"/>
        <w:gridCol w:w="90"/>
        <w:gridCol w:w="174"/>
        <w:gridCol w:w="1040"/>
        <w:gridCol w:w="245"/>
        <w:gridCol w:w="90"/>
        <w:gridCol w:w="174"/>
        <w:gridCol w:w="1040"/>
        <w:gridCol w:w="294"/>
      </w:tblGrid>
      <w:tr>
        <w:trPr/>
        <w:tc>
          <w:tcPr>
            <w:tcW w:w="5509"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4312" w:type="dxa"/>
            <w:gridSpan w:val="10"/>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Treaty Year </w:t>
            </w:r>
          </w:p>
        </w:tc>
        <w:tc>
          <w:tcPr>
            <w:tcW w:w="294" w:type="dxa"/>
            <w:tcBorders/>
            <w:shd w:fill="auto" w:val="clear"/>
            <w:vAlign w:val="center"/>
          </w:tcPr>
          <w:p>
            <w:pPr>
              <w:pStyle w:val="TableContents"/>
              <w:spacing w:before="0" w:after="0"/>
              <w:ind w:left="0" w:right="0" w:hanging="0"/>
              <w:rPr/>
            </w:pPr>
            <w:r>
              <w:rPr/>
              <w:t> </w:t>
            </w:r>
          </w:p>
        </w:tc>
      </w:tr>
      <w:tr>
        <w:trPr/>
        <w:tc>
          <w:tcPr>
            <w:tcW w:w="5509"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14"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July 1, 2020</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14"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July 1, 2019</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14"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July 1, 2018</w:t>
            </w:r>
          </w:p>
        </w:tc>
        <w:tc>
          <w:tcPr>
            <w:tcW w:w="294" w:type="dxa"/>
            <w:tcBorders/>
            <w:shd w:fill="auto" w:val="clear"/>
            <w:vAlign w:val="center"/>
          </w:tcPr>
          <w:p>
            <w:pPr>
              <w:pStyle w:val="TableContents"/>
              <w:spacing w:before="0" w:after="0"/>
              <w:ind w:left="0" w:right="0" w:hanging="0"/>
              <w:rPr/>
            </w:pPr>
            <w:r>
              <w:rPr/>
              <w:t> </w:t>
            </w:r>
          </w:p>
        </w:tc>
      </w:tr>
      <w:tr>
        <w:trPr/>
        <w:tc>
          <w:tcPr>
            <w:tcW w:w="5509"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14"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to</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14"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to</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14"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to</w:t>
            </w:r>
          </w:p>
        </w:tc>
        <w:tc>
          <w:tcPr>
            <w:tcW w:w="294" w:type="dxa"/>
            <w:tcBorders/>
            <w:shd w:fill="auto" w:val="clear"/>
            <w:vAlign w:val="center"/>
          </w:tcPr>
          <w:p>
            <w:pPr>
              <w:pStyle w:val="TableContents"/>
              <w:spacing w:before="0" w:after="0"/>
              <w:ind w:left="0" w:right="0" w:hanging="0"/>
              <w:rPr/>
            </w:pPr>
            <w:r>
              <w:rPr/>
              <w:t> </w:t>
            </w:r>
          </w:p>
        </w:tc>
      </w:tr>
      <w:tr>
        <w:trPr/>
        <w:tc>
          <w:tcPr>
            <w:tcW w:w="5509"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Fonts w:ascii="times new roman" w:hAnsi="times new roman"/>
                <w:sz w:val="20"/>
              </w:rPr>
              <w:t xml:space="preserve">Line of Business </w:t>
            </w:r>
          </w:p>
        </w:tc>
        <w:tc>
          <w:tcPr>
            <w:tcW w:w="90" w:type="dxa"/>
            <w:tcBorders/>
            <w:shd w:fill="auto" w:val="clear"/>
            <w:vAlign w:val="center"/>
          </w:tcPr>
          <w:p>
            <w:pPr>
              <w:pStyle w:val="TableContents"/>
              <w:spacing w:before="0" w:after="0"/>
              <w:ind w:left="0" w:right="0" w:hanging="0"/>
              <w:rPr/>
            </w:pPr>
            <w:r>
              <w:rPr/>
              <w:t> </w:t>
            </w:r>
          </w:p>
        </w:tc>
        <w:tc>
          <w:tcPr>
            <w:tcW w:w="121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June 30, 2021</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1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June 30, 2020</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1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June 30, 2019</w:t>
            </w:r>
          </w:p>
        </w:tc>
        <w:tc>
          <w:tcPr>
            <w:tcW w:w="294" w:type="dxa"/>
            <w:tcBorders/>
            <w:shd w:fill="auto" w:val="clear"/>
            <w:vAlign w:val="center"/>
          </w:tcPr>
          <w:p>
            <w:pPr>
              <w:pStyle w:val="TableContents"/>
              <w:spacing w:before="0" w:after="0"/>
              <w:ind w:left="0" w:right="0" w:hanging="0"/>
              <w:rPr/>
            </w:pPr>
            <w:r>
              <w:rPr/>
              <w:t> </w:t>
            </w:r>
          </w:p>
        </w:tc>
      </w:tr>
      <w:tr>
        <w:trPr/>
        <w:tc>
          <w:tcPr>
            <w:tcW w:w="5509"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14"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14"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14" w:type="dxa"/>
            <w:gridSpan w:val="2"/>
            <w:tcBorders/>
            <w:shd w:fill="auto" w:val="clear"/>
            <w:vAlign w:val="center"/>
          </w:tcPr>
          <w:p>
            <w:pPr>
              <w:pStyle w:val="TableContents"/>
              <w:spacing w:before="0" w:after="0"/>
              <w:ind w:left="0" w:right="0" w:hanging="0"/>
              <w:rPr/>
            </w:pPr>
            <w:r>
              <w:rPr/>
              <w:t> </w:t>
            </w:r>
          </w:p>
        </w:tc>
        <w:tc>
          <w:tcPr>
            <w:tcW w:w="294" w:type="dxa"/>
            <w:tcBorders/>
            <w:shd w:fill="auto" w:val="clear"/>
            <w:vAlign w:val="center"/>
          </w:tcPr>
          <w:p>
            <w:pPr>
              <w:pStyle w:val="TableContents"/>
              <w:spacing w:before="0" w:after="0"/>
              <w:ind w:left="0" w:right="0" w:hanging="0"/>
              <w:rPr/>
            </w:pPr>
            <w:r>
              <w:rPr/>
              <w:t> </w:t>
            </w:r>
          </w:p>
        </w:tc>
      </w:tr>
      <w:tr>
        <w:trPr/>
        <w:tc>
          <w:tcPr>
            <w:tcW w:w="5509" w:type="dxa"/>
            <w:tcBorders/>
            <w:shd w:fill="auto" w:val="clear"/>
            <w:vAlign w:val="cente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Personal Lines:</w:t>
            </w:r>
          </w:p>
        </w:tc>
        <w:tc>
          <w:tcPr>
            <w:tcW w:w="90" w:type="dxa"/>
            <w:tcBorders/>
            <w:shd w:fill="auto" w:val="clear"/>
            <w:vAlign w:val="center"/>
          </w:tcPr>
          <w:p>
            <w:pPr>
              <w:pStyle w:val="TableContents"/>
              <w:spacing w:before="0" w:after="0"/>
              <w:ind w:left="0" w:right="0" w:hanging="0"/>
              <w:rPr/>
            </w:pPr>
            <w:r>
              <w:rPr/>
              <w:t> </w:t>
            </w:r>
          </w:p>
        </w:tc>
        <w:tc>
          <w:tcPr>
            <w:tcW w:w="1214"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14"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14" w:type="dxa"/>
            <w:gridSpan w:val="2"/>
            <w:tcBorders/>
            <w:shd w:fill="auto" w:val="clear"/>
            <w:vAlign w:val="center"/>
          </w:tcPr>
          <w:p>
            <w:pPr>
              <w:pStyle w:val="TableContents"/>
              <w:spacing w:before="0" w:after="0"/>
              <w:ind w:left="0" w:right="0" w:hanging="0"/>
              <w:rPr/>
            </w:pPr>
            <w:r>
              <w:rPr/>
              <w:t> </w:t>
            </w:r>
          </w:p>
        </w:tc>
        <w:tc>
          <w:tcPr>
            <w:tcW w:w="294" w:type="dxa"/>
            <w:tcBorders/>
            <w:shd w:fill="auto" w:val="clear"/>
            <w:vAlign w:val="center"/>
          </w:tcPr>
          <w:p>
            <w:pPr>
              <w:pStyle w:val="TableContents"/>
              <w:spacing w:before="0" w:after="0"/>
              <w:ind w:left="0" w:right="0" w:hanging="0"/>
              <w:rPr/>
            </w:pPr>
            <w:r>
              <w:rPr/>
              <w:t> </w:t>
            </w:r>
          </w:p>
        </w:tc>
      </w:tr>
      <w:tr>
        <w:trPr/>
        <w:tc>
          <w:tcPr>
            <w:tcW w:w="5509"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14"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14"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14" w:type="dxa"/>
            <w:gridSpan w:val="2"/>
            <w:tcBorders/>
            <w:shd w:fill="auto" w:val="clear"/>
            <w:vAlign w:val="center"/>
          </w:tcPr>
          <w:p>
            <w:pPr>
              <w:pStyle w:val="TableContents"/>
              <w:spacing w:before="0" w:after="0"/>
              <w:ind w:left="0" w:right="0" w:hanging="0"/>
              <w:rPr/>
            </w:pPr>
            <w:r>
              <w:rPr/>
              <w:t> </w:t>
            </w:r>
          </w:p>
        </w:tc>
        <w:tc>
          <w:tcPr>
            <w:tcW w:w="294" w:type="dxa"/>
            <w:tcBorders/>
            <w:shd w:fill="auto" w:val="clear"/>
            <w:vAlign w:val="center"/>
          </w:tcPr>
          <w:p>
            <w:pPr>
              <w:pStyle w:val="TableContents"/>
              <w:spacing w:before="0" w:after="0"/>
              <w:ind w:left="0" w:right="0" w:hanging="0"/>
              <w:rPr/>
            </w:pPr>
            <w:r>
              <w:rPr/>
              <w:t> </w:t>
            </w:r>
          </w:p>
        </w:tc>
      </w:tr>
      <w:tr>
        <w:trPr/>
        <w:tc>
          <w:tcPr>
            <w:tcW w:w="5509"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Personal Umbrella </w:t>
            </w:r>
          </w:p>
        </w:tc>
        <w:tc>
          <w:tcPr>
            <w:tcW w:w="90" w:type="dxa"/>
            <w:tcBorders/>
            <w:shd w:fill="auto" w:val="clear"/>
            <w:vAlign w:val="center"/>
          </w:tcPr>
          <w:p>
            <w:pPr>
              <w:pStyle w:val="TableContents"/>
              <w:spacing w:before="0" w:after="0"/>
              <w:ind w:left="0" w:right="0" w:hanging="0"/>
              <w:rPr/>
            </w:pPr>
            <w:r>
              <w:rPr/>
              <w:t> </w:t>
            </w:r>
          </w:p>
        </w:tc>
        <w:tc>
          <w:tcPr>
            <w:tcW w:w="1214"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14"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14" w:type="dxa"/>
            <w:gridSpan w:val="2"/>
            <w:tcBorders/>
            <w:shd w:fill="auto" w:val="clear"/>
            <w:vAlign w:val="center"/>
          </w:tcPr>
          <w:p>
            <w:pPr>
              <w:pStyle w:val="TableContents"/>
              <w:spacing w:before="0" w:after="0"/>
              <w:ind w:left="0" w:right="0" w:hanging="0"/>
              <w:rPr/>
            </w:pPr>
            <w:r>
              <w:rPr/>
              <w:t> </w:t>
            </w:r>
          </w:p>
        </w:tc>
        <w:tc>
          <w:tcPr>
            <w:tcW w:w="294" w:type="dxa"/>
            <w:tcBorders/>
            <w:shd w:fill="auto" w:val="clear"/>
            <w:vAlign w:val="center"/>
          </w:tcPr>
          <w:p>
            <w:pPr>
              <w:pStyle w:val="TableContents"/>
              <w:spacing w:before="0" w:after="0"/>
              <w:ind w:left="0" w:right="0" w:hanging="0"/>
              <w:rPr/>
            </w:pPr>
            <w:r>
              <w:rPr/>
              <w:t> </w:t>
            </w:r>
          </w:p>
        </w:tc>
      </w:tr>
      <w:tr>
        <w:trPr/>
        <w:tc>
          <w:tcPr>
            <w:tcW w:w="5509" w:type="dxa"/>
            <w:tcBorders/>
            <w:shd w:fill="auto" w:val="clear"/>
            <w:vAlign w:val="center"/>
          </w:tcPr>
          <w:p>
            <w:pPr>
              <w:pStyle w:val="TableContents"/>
              <w:spacing w:before="0" w:after="0"/>
              <w:ind w:left="0" w:right="0" w:firstLine="160"/>
              <w:rPr>
                <w:rFonts w:ascii="times new roman" w:hAnsi="times new roman"/>
                <w:sz w:val="20"/>
              </w:rPr>
            </w:pPr>
            <w:r>
              <w:rPr>
                <w:rFonts w:ascii="times new roman" w:hAnsi="times new roman"/>
                <w:sz w:val="20"/>
              </w:rPr>
              <w:t xml:space="preserve">Quota share treaty: </w:t>
            </w:r>
          </w:p>
        </w:tc>
        <w:tc>
          <w:tcPr>
            <w:tcW w:w="90" w:type="dxa"/>
            <w:tcBorders/>
            <w:shd w:fill="auto" w:val="clear"/>
            <w:vAlign w:val="center"/>
          </w:tcPr>
          <w:p>
            <w:pPr>
              <w:pStyle w:val="TableContents"/>
              <w:spacing w:before="0" w:after="0"/>
              <w:ind w:left="0" w:right="0" w:hanging="0"/>
              <w:rPr/>
            </w:pPr>
            <w:r>
              <w:rPr/>
              <w:t> </w:t>
            </w:r>
          </w:p>
        </w:tc>
        <w:tc>
          <w:tcPr>
            <w:tcW w:w="1214"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14"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14" w:type="dxa"/>
            <w:gridSpan w:val="2"/>
            <w:tcBorders/>
            <w:shd w:fill="auto" w:val="clear"/>
            <w:vAlign w:val="center"/>
          </w:tcPr>
          <w:p>
            <w:pPr>
              <w:pStyle w:val="TableContents"/>
              <w:spacing w:before="0" w:after="0"/>
              <w:ind w:left="0" w:right="0" w:hanging="0"/>
              <w:rPr/>
            </w:pPr>
            <w:r>
              <w:rPr/>
              <w:t> </w:t>
            </w:r>
          </w:p>
        </w:tc>
        <w:tc>
          <w:tcPr>
            <w:tcW w:w="294" w:type="dxa"/>
            <w:tcBorders/>
            <w:shd w:fill="auto" w:val="clear"/>
            <w:vAlign w:val="center"/>
          </w:tcPr>
          <w:p>
            <w:pPr>
              <w:pStyle w:val="TableContents"/>
              <w:spacing w:before="0" w:after="0"/>
              <w:ind w:left="0" w:right="0" w:hanging="0"/>
              <w:rPr/>
            </w:pPr>
            <w:r>
              <w:rPr/>
              <w:t> </w:t>
            </w:r>
          </w:p>
        </w:tc>
      </w:tr>
      <w:tr>
        <w:trPr/>
        <w:tc>
          <w:tcPr>
            <w:tcW w:w="5509" w:type="dxa"/>
            <w:tcBorders/>
            <w:shd w:fill="CCEEFF" w:val="clear"/>
            <w:vAlign w:val="center"/>
          </w:tcPr>
          <w:p>
            <w:pPr>
              <w:pStyle w:val="TableContents"/>
              <w:spacing w:before="0" w:after="0"/>
              <w:ind w:left="0" w:right="0" w:firstLine="480"/>
              <w:rPr>
                <w:rFonts w:ascii="times new roman" w:hAnsi="times new roman"/>
                <w:sz w:val="20"/>
              </w:rPr>
            </w:pPr>
            <w:r>
              <w:rPr>
                <w:rFonts w:ascii="times new roman" w:hAnsi="times new roman"/>
                <w:sz w:val="20"/>
              </w:rPr>
              <w:t xml:space="preserve">Percent ceded - first $1,000,000 of coverage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0"/>
              <w:ind w:left="0" w:right="0" w:hanging="0"/>
              <w:rPr/>
            </w:pPr>
            <w:r>
              <w:rPr/>
              <w:t> </w:t>
            </w:r>
          </w:p>
        </w:tc>
        <w:tc>
          <w:tcPr>
            <w:tcW w:w="1040" w:type="dxa"/>
            <w:tcBorders/>
            <w:shd w:fill="CCEEFF" w:val="clear"/>
            <w:vAlign w:val="center"/>
          </w:tcPr>
          <w:p>
            <w:pPr>
              <w:pStyle w:val="TableContents"/>
              <w:spacing w:before="0" w:after="283"/>
              <w:jc w:val="right"/>
              <w:rPr/>
            </w:pPr>
            <w:r>
              <w:rPr/>
              <w:t>90</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0"/>
              <w:ind w:left="0" w:right="0" w:hanging="0"/>
              <w:rPr/>
            </w:pPr>
            <w:r>
              <w:rPr/>
              <w:t> </w:t>
            </w:r>
          </w:p>
        </w:tc>
        <w:tc>
          <w:tcPr>
            <w:tcW w:w="1040" w:type="dxa"/>
            <w:tcBorders/>
            <w:shd w:fill="CCEEFF" w:val="clear"/>
            <w:vAlign w:val="center"/>
          </w:tcPr>
          <w:p>
            <w:pPr>
              <w:pStyle w:val="TableContents"/>
              <w:spacing w:before="0" w:after="283"/>
              <w:jc w:val="right"/>
              <w:rPr/>
            </w:pPr>
            <w:r>
              <w:rPr/>
              <w:t>90</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0"/>
              <w:ind w:left="0" w:right="0" w:hanging="0"/>
              <w:rPr/>
            </w:pPr>
            <w:r>
              <w:rPr/>
              <w:t> </w:t>
            </w:r>
          </w:p>
        </w:tc>
        <w:tc>
          <w:tcPr>
            <w:tcW w:w="1040" w:type="dxa"/>
            <w:tcBorders/>
            <w:shd w:fill="CCEEFF" w:val="clear"/>
            <w:vAlign w:val="center"/>
          </w:tcPr>
          <w:p>
            <w:pPr>
              <w:pStyle w:val="TableContents"/>
              <w:spacing w:before="0" w:after="283"/>
              <w:jc w:val="right"/>
              <w:rPr/>
            </w:pPr>
            <w:r>
              <w:rPr/>
              <w:t>90</w:t>
            </w:r>
          </w:p>
        </w:tc>
        <w:tc>
          <w:tcPr>
            <w:tcW w:w="294" w:type="dxa"/>
            <w:tcBorders/>
            <w:shd w:fill="CCEEFF" w:val="clear"/>
            <w:vAlign w:val="center"/>
          </w:tcPr>
          <w:p>
            <w:pPr>
              <w:pStyle w:val="TableContents"/>
              <w:spacing w:before="0" w:after="283"/>
              <w:rPr/>
            </w:pPr>
            <w:r>
              <w:rPr/>
              <w:t>%</w:t>
            </w:r>
          </w:p>
        </w:tc>
      </w:tr>
      <w:tr>
        <w:trPr/>
        <w:tc>
          <w:tcPr>
            <w:tcW w:w="5509" w:type="dxa"/>
            <w:tcBorders/>
            <w:shd w:fill="FFFFFF" w:val="clear"/>
            <w:vAlign w:val="center"/>
          </w:tcPr>
          <w:p>
            <w:pPr>
              <w:pStyle w:val="TableContents"/>
              <w:spacing w:before="0" w:after="0"/>
              <w:ind w:left="0" w:right="0" w:firstLine="480"/>
              <w:rPr>
                <w:rFonts w:ascii="times new roman" w:hAnsi="times new roman"/>
                <w:sz w:val="20"/>
              </w:rPr>
            </w:pPr>
            <w:r>
              <w:rPr>
                <w:rFonts w:ascii="times new roman" w:hAnsi="times new roman"/>
                <w:sz w:val="20"/>
              </w:rPr>
              <w:t xml:space="preserve">Percent ceded - excess of $1,000,000 of coverage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0"/>
              <w:ind w:left="0" w:right="0" w:hanging="0"/>
              <w:rPr/>
            </w:pPr>
            <w:r>
              <w:rPr/>
              <w:t> </w:t>
            </w:r>
          </w:p>
        </w:tc>
        <w:tc>
          <w:tcPr>
            <w:tcW w:w="1040" w:type="dxa"/>
            <w:tcBorders/>
            <w:shd w:fill="FFFFFF" w:val="clear"/>
            <w:vAlign w:val="center"/>
          </w:tcPr>
          <w:p>
            <w:pPr>
              <w:pStyle w:val="TableContents"/>
              <w:spacing w:before="0" w:after="283"/>
              <w:jc w:val="right"/>
              <w:rPr/>
            </w:pPr>
            <w:r>
              <w:rPr/>
              <w:t>95</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0"/>
              <w:ind w:left="0" w:right="0" w:hanging="0"/>
              <w:rPr/>
            </w:pPr>
            <w:r>
              <w:rPr/>
              <w:t> </w:t>
            </w:r>
          </w:p>
        </w:tc>
        <w:tc>
          <w:tcPr>
            <w:tcW w:w="1040" w:type="dxa"/>
            <w:tcBorders/>
            <w:shd w:fill="FFFFFF" w:val="clear"/>
            <w:vAlign w:val="center"/>
          </w:tcPr>
          <w:p>
            <w:pPr>
              <w:pStyle w:val="TableContents"/>
              <w:spacing w:before="0" w:after="283"/>
              <w:jc w:val="right"/>
              <w:rPr/>
            </w:pPr>
            <w:r>
              <w:rPr/>
              <w:t>100</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0"/>
              <w:ind w:left="0" w:right="0" w:hanging="0"/>
              <w:rPr/>
            </w:pPr>
            <w:r>
              <w:rPr/>
              <w:t> </w:t>
            </w:r>
          </w:p>
        </w:tc>
        <w:tc>
          <w:tcPr>
            <w:tcW w:w="1040" w:type="dxa"/>
            <w:tcBorders/>
            <w:shd w:fill="FFFFFF" w:val="clear"/>
            <w:vAlign w:val="center"/>
          </w:tcPr>
          <w:p>
            <w:pPr>
              <w:pStyle w:val="TableContents"/>
              <w:spacing w:before="0" w:after="283"/>
              <w:jc w:val="right"/>
              <w:rPr/>
            </w:pPr>
            <w:r>
              <w:rPr/>
              <w:t>100</w:t>
            </w:r>
          </w:p>
        </w:tc>
        <w:tc>
          <w:tcPr>
            <w:tcW w:w="294" w:type="dxa"/>
            <w:tcBorders/>
            <w:shd w:fill="FFFFFF" w:val="clear"/>
            <w:vAlign w:val="center"/>
          </w:tcPr>
          <w:p>
            <w:pPr>
              <w:pStyle w:val="TableContents"/>
              <w:spacing w:before="0" w:after="283"/>
              <w:rPr/>
            </w:pPr>
            <w:r>
              <w:rPr/>
              <w:t>%</w:t>
            </w:r>
          </w:p>
        </w:tc>
      </w:tr>
      <w:tr>
        <w:trPr/>
        <w:tc>
          <w:tcPr>
            <w:tcW w:w="5509" w:type="dxa"/>
            <w:tcBorders/>
            <w:shd w:fill="CCEEFF" w:val="clear"/>
            <w:vAlign w:val="center"/>
          </w:tcPr>
          <w:p>
            <w:pPr>
              <w:pStyle w:val="TableContents"/>
              <w:spacing w:before="0" w:after="0"/>
              <w:ind w:left="0" w:right="0" w:firstLine="480"/>
              <w:rPr>
                <w:rFonts w:ascii="times new roman" w:hAnsi="times new roman"/>
                <w:sz w:val="20"/>
              </w:rPr>
            </w:pPr>
            <w:r>
              <w:rPr>
                <w:rFonts w:ascii="times new roman" w:hAnsi="times new roman"/>
                <w:sz w:val="20"/>
              </w:rPr>
              <w:t xml:space="preserve">Risk retained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283"/>
              <w:rPr/>
            </w:pPr>
            <w:r>
              <w:rPr/>
              <w:t>$</w:t>
            </w:r>
          </w:p>
        </w:tc>
        <w:tc>
          <w:tcPr>
            <w:tcW w:w="1040" w:type="dxa"/>
            <w:tcBorders/>
            <w:shd w:fill="CCEEFF" w:val="clear"/>
            <w:vAlign w:val="center"/>
          </w:tcPr>
          <w:p>
            <w:pPr>
              <w:pStyle w:val="TableContents"/>
              <w:spacing w:before="0" w:after="283"/>
              <w:jc w:val="right"/>
              <w:rPr/>
            </w:pPr>
            <w:r>
              <w:rPr/>
              <w:t>300,000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283"/>
              <w:rPr/>
            </w:pPr>
            <w:r>
              <w:rPr/>
              <w:t>$</w:t>
            </w:r>
          </w:p>
        </w:tc>
        <w:tc>
          <w:tcPr>
            <w:tcW w:w="1040" w:type="dxa"/>
            <w:tcBorders/>
            <w:shd w:fill="CCEEFF" w:val="clear"/>
            <w:vAlign w:val="center"/>
          </w:tcPr>
          <w:p>
            <w:pPr>
              <w:pStyle w:val="TableContents"/>
              <w:spacing w:before="0" w:after="283"/>
              <w:jc w:val="right"/>
              <w:rPr/>
            </w:pPr>
            <w:r>
              <w:rPr/>
              <w:t>100,000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283"/>
              <w:rPr/>
            </w:pPr>
            <w:r>
              <w:rPr/>
              <w:t>$</w:t>
            </w:r>
          </w:p>
        </w:tc>
        <w:tc>
          <w:tcPr>
            <w:tcW w:w="1040" w:type="dxa"/>
            <w:tcBorders/>
            <w:shd w:fill="CCEEFF" w:val="clear"/>
            <w:vAlign w:val="center"/>
          </w:tcPr>
          <w:p>
            <w:pPr>
              <w:pStyle w:val="TableContents"/>
              <w:spacing w:before="0" w:after="283"/>
              <w:jc w:val="right"/>
              <w:rPr/>
            </w:pPr>
            <w:r>
              <w:rPr/>
              <w:t>100,000</w:t>
            </w:r>
          </w:p>
        </w:tc>
        <w:tc>
          <w:tcPr>
            <w:tcW w:w="294" w:type="dxa"/>
            <w:tcBorders/>
            <w:shd w:fill="CCEEFF" w:val="clear"/>
            <w:vAlign w:val="center"/>
          </w:tcPr>
          <w:p>
            <w:pPr>
              <w:pStyle w:val="TableContents"/>
              <w:spacing w:before="0" w:after="0"/>
              <w:ind w:left="0" w:right="0" w:hanging="0"/>
              <w:rPr/>
            </w:pPr>
            <w:r>
              <w:rPr/>
              <w:t> </w:t>
            </w:r>
          </w:p>
        </w:tc>
      </w:tr>
      <w:tr>
        <w:trPr/>
        <w:tc>
          <w:tcPr>
            <w:tcW w:w="5509" w:type="dxa"/>
            <w:tcBorders/>
            <w:shd w:fill="FFFFFF" w:val="clear"/>
            <w:vAlign w:val="center"/>
          </w:tcPr>
          <w:p>
            <w:pPr>
              <w:pStyle w:val="TableContents"/>
              <w:spacing w:before="0" w:after="0"/>
              <w:ind w:left="0" w:right="0" w:firstLine="480"/>
              <w:rPr>
                <w:rFonts w:ascii="times new roman" w:hAnsi="times new roman"/>
                <w:sz w:val="20"/>
              </w:rPr>
            </w:pPr>
            <w:r>
              <w:rPr>
                <w:rFonts w:ascii="times new roman" w:hAnsi="times new roman"/>
                <w:sz w:val="20"/>
              </w:rPr>
              <w:t xml:space="preserve">Total reinsurance coverage per occurrence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283"/>
              <w:rPr/>
            </w:pPr>
            <w:r>
              <w:rPr/>
              <w:t>$</w:t>
            </w:r>
          </w:p>
        </w:tc>
        <w:tc>
          <w:tcPr>
            <w:tcW w:w="1040" w:type="dxa"/>
            <w:tcBorders/>
            <w:shd w:fill="FFFFFF" w:val="clear"/>
            <w:vAlign w:val="center"/>
          </w:tcPr>
          <w:p>
            <w:pPr>
              <w:pStyle w:val="TableContents"/>
              <w:spacing w:before="0" w:after="283"/>
              <w:jc w:val="right"/>
              <w:rPr/>
            </w:pPr>
            <w:r>
              <w:rPr/>
              <w:t>4,700,000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283"/>
              <w:rPr/>
            </w:pPr>
            <w:r>
              <w:rPr/>
              <w:t>$</w:t>
            </w:r>
          </w:p>
        </w:tc>
        <w:tc>
          <w:tcPr>
            <w:tcW w:w="1040" w:type="dxa"/>
            <w:tcBorders/>
            <w:shd w:fill="FFFFFF" w:val="clear"/>
            <w:vAlign w:val="center"/>
          </w:tcPr>
          <w:p>
            <w:pPr>
              <w:pStyle w:val="TableContents"/>
              <w:spacing w:before="0" w:after="283"/>
              <w:jc w:val="right"/>
              <w:rPr/>
            </w:pPr>
            <w:r>
              <w:rPr/>
              <w:t>4,900,000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283"/>
              <w:rPr/>
            </w:pPr>
            <w:r>
              <w:rPr/>
              <w:t>$</w:t>
            </w:r>
          </w:p>
        </w:tc>
        <w:tc>
          <w:tcPr>
            <w:tcW w:w="1040" w:type="dxa"/>
            <w:tcBorders/>
            <w:shd w:fill="FFFFFF" w:val="clear"/>
            <w:vAlign w:val="center"/>
          </w:tcPr>
          <w:p>
            <w:pPr>
              <w:pStyle w:val="TableContents"/>
              <w:spacing w:before="0" w:after="283"/>
              <w:jc w:val="right"/>
              <w:rPr/>
            </w:pPr>
            <w:r>
              <w:rPr/>
              <w:t>4,900,000</w:t>
            </w:r>
          </w:p>
        </w:tc>
        <w:tc>
          <w:tcPr>
            <w:tcW w:w="294" w:type="dxa"/>
            <w:tcBorders/>
            <w:shd w:fill="FFFFFF" w:val="clear"/>
            <w:vAlign w:val="center"/>
          </w:tcPr>
          <w:p>
            <w:pPr>
              <w:pStyle w:val="TableContents"/>
              <w:spacing w:before="0" w:after="0"/>
              <w:ind w:left="0" w:right="0" w:hanging="0"/>
              <w:rPr/>
            </w:pPr>
            <w:r>
              <w:rPr/>
              <w:t> </w:t>
            </w:r>
          </w:p>
        </w:tc>
      </w:tr>
      <w:tr>
        <w:trPr/>
        <w:tc>
          <w:tcPr>
            <w:tcW w:w="5509" w:type="dxa"/>
            <w:tcBorders/>
            <w:shd w:fill="CCEEFF" w:val="clear"/>
            <w:vAlign w:val="center"/>
          </w:tcPr>
          <w:p>
            <w:pPr>
              <w:pStyle w:val="TableContents"/>
              <w:spacing w:before="0" w:after="0"/>
              <w:ind w:left="0" w:right="0" w:firstLine="480"/>
              <w:rPr>
                <w:rFonts w:ascii="times new roman" w:hAnsi="times new roman"/>
                <w:sz w:val="20"/>
              </w:rPr>
            </w:pPr>
            <w:r>
              <w:rPr>
                <w:rFonts w:ascii="times new roman" w:hAnsi="times new roman"/>
                <w:sz w:val="20"/>
              </w:rPr>
              <w:t xml:space="preserve">Losses per occurrence subject to quota share reinsurance coverage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283"/>
              <w:rPr/>
            </w:pPr>
            <w:r>
              <w:rPr/>
              <w:t>$</w:t>
            </w:r>
          </w:p>
        </w:tc>
        <w:tc>
          <w:tcPr>
            <w:tcW w:w="1040" w:type="dxa"/>
            <w:tcBorders/>
            <w:shd w:fill="CCEEFF" w:val="clear"/>
            <w:vAlign w:val="center"/>
          </w:tcPr>
          <w:p>
            <w:pPr>
              <w:pStyle w:val="TableContents"/>
              <w:spacing w:before="0" w:after="283"/>
              <w:jc w:val="right"/>
              <w:rPr/>
            </w:pPr>
            <w:r>
              <w:rPr/>
              <w:t>5,000,000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283"/>
              <w:rPr/>
            </w:pPr>
            <w:r>
              <w:rPr/>
              <w:t>$</w:t>
            </w:r>
          </w:p>
        </w:tc>
        <w:tc>
          <w:tcPr>
            <w:tcW w:w="1040" w:type="dxa"/>
            <w:tcBorders/>
            <w:shd w:fill="CCEEFF" w:val="clear"/>
            <w:vAlign w:val="center"/>
          </w:tcPr>
          <w:p>
            <w:pPr>
              <w:pStyle w:val="TableContents"/>
              <w:spacing w:before="0" w:after="283"/>
              <w:jc w:val="right"/>
              <w:rPr/>
            </w:pPr>
            <w:r>
              <w:rPr/>
              <w:t>5,000,000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283"/>
              <w:rPr/>
            </w:pPr>
            <w:r>
              <w:rPr/>
              <w:t>$</w:t>
            </w:r>
          </w:p>
        </w:tc>
        <w:tc>
          <w:tcPr>
            <w:tcW w:w="1040" w:type="dxa"/>
            <w:tcBorders/>
            <w:shd w:fill="CCEEFF" w:val="clear"/>
            <w:vAlign w:val="center"/>
          </w:tcPr>
          <w:p>
            <w:pPr>
              <w:pStyle w:val="TableContents"/>
              <w:spacing w:before="0" w:after="283"/>
              <w:jc w:val="right"/>
              <w:rPr/>
            </w:pPr>
            <w:r>
              <w:rPr/>
              <w:t>5,000,000</w:t>
            </w:r>
          </w:p>
        </w:tc>
        <w:tc>
          <w:tcPr>
            <w:tcW w:w="294" w:type="dxa"/>
            <w:tcBorders/>
            <w:shd w:fill="CCEEFF" w:val="clear"/>
            <w:vAlign w:val="center"/>
          </w:tcPr>
          <w:p>
            <w:pPr>
              <w:pStyle w:val="TableContents"/>
              <w:spacing w:before="0" w:after="0"/>
              <w:ind w:left="0" w:right="0" w:hanging="0"/>
              <w:rPr/>
            </w:pPr>
            <w:r>
              <w:rPr/>
              <w:t> </w:t>
            </w:r>
          </w:p>
        </w:tc>
      </w:tr>
      <w:tr>
        <w:trPr/>
        <w:tc>
          <w:tcPr>
            <w:tcW w:w="5509" w:type="dxa"/>
            <w:tcBorders/>
            <w:shd w:fill="FFFFFF" w:val="clear"/>
            <w:vAlign w:val="center"/>
          </w:tcPr>
          <w:p>
            <w:pPr>
              <w:pStyle w:val="TableContents"/>
              <w:spacing w:before="0" w:after="0"/>
              <w:ind w:left="0" w:right="0" w:firstLine="160"/>
              <w:rPr>
                <w:rFonts w:ascii="times new roman" w:hAnsi="times new roman"/>
                <w:sz w:val="20"/>
              </w:rPr>
            </w:pPr>
            <w:r>
              <w:rPr>
                <w:rFonts w:ascii="times new roman" w:hAnsi="times new roman"/>
                <w:sz w:val="20"/>
              </w:rPr>
              <w:t xml:space="preserve">Expiration date </w:t>
            </w:r>
          </w:p>
        </w:tc>
        <w:tc>
          <w:tcPr>
            <w:tcW w:w="90" w:type="dxa"/>
            <w:tcBorders/>
            <w:shd w:fill="FFFFFF" w:val="clear"/>
            <w:vAlign w:val="center"/>
          </w:tcPr>
          <w:p>
            <w:pPr>
              <w:pStyle w:val="TableContents"/>
              <w:spacing w:before="0" w:after="0"/>
              <w:ind w:left="0" w:right="0" w:hanging="0"/>
              <w:rPr/>
            </w:pPr>
            <w:r>
              <w:rPr/>
              <w:t> </w:t>
            </w:r>
          </w:p>
        </w:tc>
        <w:tc>
          <w:tcPr>
            <w:tcW w:w="1214" w:type="dxa"/>
            <w:gridSpan w:val="2"/>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June 30, 2021</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214" w:type="dxa"/>
            <w:gridSpan w:val="2"/>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June 30, 2020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214" w:type="dxa"/>
            <w:gridSpan w:val="2"/>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June 30, 2019</w:t>
            </w:r>
          </w:p>
        </w:tc>
        <w:tc>
          <w:tcPr>
            <w:tcW w:w="294" w:type="dxa"/>
            <w:tcBorders/>
            <w:shd w:fill="FFFFFF" w:val="clear"/>
            <w:vAlign w:val="center"/>
          </w:tcPr>
          <w:p>
            <w:pPr>
              <w:pStyle w:val="TableContents"/>
              <w:spacing w:before="0" w:after="0"/>
              <w:ind w:left="0" w:right="0" w:hanging="0"/>
              <w:rPr/>
            </w:pPr>
            <w:r>
              <w:rPr/>
              <w:t> </w:t>
            </w:r>
          </w:p>
        </w:tc>
      </w:tr>
      <w:tr>
        <w:trPr/>
        <w:tc>
          <w:tcPr>
            <w:tcW w:w="5509"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0"/>
              <w:ind w:left="0" w:right="0" w:hanging="0"/>
              <w:rPr/>
            </w:pPr>
            <w:r>
              <w:rPr/>
              <w:t> </w:t>
            </w:r>
          </w:p>
        </w:tc>
        <w:tc>
          <w:tcPr>
            <w:tcW w:w="104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0"/>
              <w:ind w:left="0" w:right="0" w:hanging="0"/>
              <w:rPr/>
            </w:pPr>
            <w:r>
              <w:rPr/>
              <w:t> </w:t>
            </w:r>
          </w:p>
        </w:tc>
        <w:tc>
          <w:tcPr>
            <w:tcW w:w="104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0"/>
              <w:ind w:left="0" w:right="0" w:hanging="0"/>
              <w:rPr/>
            </w:pPr>
            <w:r>
              <w:rPr/>
              <w:t> </w:t>
            </w:r>
          </w:p>
        </w:tc>
        <w:tc>
          <w:tcPr>
            <w:tcW w:w="1040" w:type="dxa"/>
            <w:tcBorders/>
            <w:shd w:fill="CCEEFF" w:val="clear"/>
            <w:vAlign w:val="center"/>
          </w:tcPr>
          <w:p>
            <w:pPr>
              <w:pStyle w:val="TableContents"/>
              <w:spacing w:before="0" w:after="0"/>
              <w:ind w:left="0" w:right="0" w:hanging="0"/>
              <w:rPr/>
            </w:pPr>
            <w:r>
              <w:rPr/>
              <w:t> </w:t>
            </w:r>
          </w:p>
        </w:tc>
        <w:tc>
          <w:tcPr>
            <w:tcW w:w="294" w:type="dxa"/>
            <w:tcBorders/>
            <w:shd w:fill="CCEEFF" w:val="clear"/>
            <w:vAlign w:val="center"/>
          </w:tcPr>
          <w:p>
            <w:pPr>
              <w:pStyle w:val="TableContents"/>
              <w:spacing w:before="0" w:after="0"/>
              <w:ind w:left="0" w:right="0" w:hanging="0"/>
              <w:rPr/>
            </w:pPr>
            <w:r>
              <w:rPr/>
              <w:t> </w:t>
            </w:r>
          </w:p>
        </w:tc>
      </w:tr>
      <w:tr>
        <w:trPr/>
        <w:tc>
          <w:tcPr>
            <w:tcW w:w="5509" w:type="dxa"/>
            <w:tcBorders/>
            <w:shd w:fill="FFFFFF" w:val="clear"/>
            <w:vAlign w:val="cente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Commercial Lines:</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0"/>
              <w:ind w:left="0" w:right="0" w:hanging="0"/>
              <w:rPr/>
            </w:pPr>
            <w:r>
              <w:rPr/>
              <w:t> </w:t>
            </w:r>
          </w:p>
        </w:tc>
        <w:tc>
          <w:tcPr>
            <w:tcW w:w="104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0"/>
              <w:ind w:left="0" w:right="0" w:hanging="0"/>
              <w:rPr/>
            </w:pPr>
            <w:r>
              <w:rPr/>
              <w:t> </w:t>
            </w:r>
          </w:p>
        </w:tc>
        <w:tc>
          <w:tcPr>
            <w:tcW w:w="104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0"/>
              <w:ind w:left="0" w:right="0" w:hanging="0"/>
              <w:rPr/>
            </w:pPr>
            <w:r>
              <w:rPr/>
              <w:t> </w:t>
            </w:r>
          </w:p>
        </w:tc>
        <w:tc>
          <w:tcPr>
            <w:tcW w:w="1040" w:type="dxa"/>
            <w:tcBorders/>
            <w:shd w:fill="FFFFFF" w:val="clear"/>
            <w:vAlign w:val="center"/>
          </w:tcPr>
          <w:p>
            <w:pPr>
              <w:pStyle w:val="TableContents"/>
              <w:spacing w:before="0" w:after="0"/>
              <w:ind w:left="0" w:right="0" w:hanging="0"/>
              <w:rPr/>
            </w:pPr>
            <w:r>
              <w:rPr/>
              <w:t> </w:t>
            </w:r>
          </w:p>
        </w:tc>
        <w:tc>
          <w:tcPr>
            <w:tcW w:w="294" w:type="dxa"/>
            <w:tcBorders/>
            <w:shd w:fill="FFFFFF" w:val="clear"/>
            <w:vAlign w:val="center"/>
          </w:tcPr>
          <w:p>
            <w:pPr>
              <w:pStyle w:val="TableContents"/>
              <w:spacing w:before="0" w:after="0"/>
              <w:ind w:left="0" w:right="0" w:hanging="0"/>
              <w:rPr/>
            </w:pPr>
            <w:r>
              <w:rPr/>
              <w:t> </w:t>
            </w:r>
          </w:p>
        </w:tc>
      </w:tr>
      <w:tr>
        <w:trPr/>
        <w:tc>
          <w:tcPr>
            <w:tcW w:w="5509"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General liability commercial policies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0"/>
              <w:ind w:left="0" w:right="0" w:hanging="0"/>
              <w:rPr/>
            </w:pPr>
            <w:r>
              <w:rPr/>
              <w:t> </w:t>
            </w:r>
          </w:p>
        </w:tc>
        <w:tc>
          <w:tcPr>
            <w:tcW w:w="104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0"/>
              <w:ind w:left="0" w:right="0" w:hanging="0"/>
              <w:rPr/>
            </w:pPr>
            <w:r>
              <w:rPr/>
              <w:t> </w:t>
            </w:r>
          </w:p>
        </w:tc>
        <w:tc>
          <w:tcPr>
            <w:tcW w:w="104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0"/>
              <w:ind w:left="0" w:right="0" w:hanging="0"/>
              <w:rPr/>
            </w:pPr>
            <w:r>
              <w:rPr/>
              <w:t> </w:t>
            </w:r>
          </w:p>
        </w:tc>
        <w:tc>
          <w:tcPr>
            <w:tcW w:w="1040" w:type="dxa"/>
            <w:tcBorders/>
            <w:shd w:fill="CCEEFF" w:val="clear"/>
            <w:vAlign w:val="center"/>
          </w:tcPr>
          <w:p>
            <w:pPr>
              <w:pStyle w:val="TableContents"/>
              <w:spacing w:before="0" w:after="0"/>
              <w:ind w:left="0" w:right="0" w:hanging="0"/>
              <w:rPr/>
            </w:pPr>
            <w:r>
              <w:rPr/>
              <w:t> </w:t>
            </w:r>
          </w:p>
        </w:tc>
        <w:tc>
          <w:tcPr>
            <w:tcW w:w="294" w:type="dxa"/>
            <w:tcBorders/>
            <w:shd w:fill="CCEEFF" w:val="clear"/>
            <w:vAlign w:val="center"/>
          </w:tcPr>
          <w:p>
            <w:pPr>
              <w:pStyle w:val="TableContents"/>
              <w:spacing w:before="0" w:after="0"/>
              <w:ind w:left="0" w:right="0" w:hanging="0"/>
              <w:rPr/>
            </w:pPr>
            <w:r>
              <w:rPr/>
              <w:t> </w:t>
            </w:r>
          </w:p>
        </w:tc>
      </w:tr>
      <w:tr>
        <w:trPr/>
        <w:tc>
          <w:tcPr>
            <w:tcW w:w="5509" w:type="dxa"/>
            <w:tcBorders/>
            <w:shd w:fill="FFFFFF" w:val="clear"/>
            <w:vAlign w:val="center"/>
          </w:tcPr>
          <w:p>
            <w:pPr>
              <w:pStyle w:val="TableContents"/>
              <w:spacing w:before="0" w:after="0"/>
              <w:ind w:left="0" w:right="0" w:firstLine="160"/>
              <w:rPr>
                <w:rFonts w:ascii="times new roman" w:hAnsi="times new roman"/>
                <w:sz w:val="20"/>
              </w:rPr>
            </w:pPr>
            <w:r>
              <w:rPr>
                <w:rFonts w:ascii="times new roman" w:hAnsi="times new roman"/>
                <w:sz w:val="20"/>
              </w:rPr>
              <w:t xml:space="preserve">Quota share treaty </w:t>
            </w:r>
          </w:p>
        </w:tc>
        <w:tc>
          <w:tcPr>
            <w:tcW w:w="90" w:type="dxa"/>
            <w:tcBorders/>
            <w:shd w:fill="FFFFFF" w:val="clear"/>
            <w:vAlign w:val="center"/>
          </w:tcPr>
          <w:p>
            <w:pPr>
              <w:pStyle w:val="TableContents"/>
              <w:spacing w:before="0" w:after="0"/>
              <w:ind w:left="0" w:right="0" w:hanging="0"/>
              <w:rPr/>
            </w:pPr>
            <w:r>
              <w:rPr/>
              <w:t> </w:t>
            </w:r>
          </w:p>
        </w:tc>
        <w:tc>
          <w:tcPr>
            <w:tcW w:w="1214" w:type="dxa"/>
            <w:gridSpan w:val="2"/>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None</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214" w:type="dxa"/>
            <w:gridSpan w:val="2"/>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None</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214" w:type="dxa"/>
            <w:gridSpan w:val="2"/>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None</w:t>
            </w:r>
          </w:p>
        </w:tc>
        <w:tc>
          <w:tcPr>
            <w:tcW w:w="294" w:type="dxa"/>
            <w:tcBorders/>
            <w:shd w:fill="FFFFFF" w:val="clear"/>
            <w:vAlign w:val="center"/>
          </w:tcPr>
          <w:p>
            <w:pPr>
              <w:pStyle w:val="TableContents"/>
              <w:spacing w:before="0" w:after="0"/>
              <w:ind w:left="0" w:right="0" w:hanging="0"/>
              <w:rPr/>
            </w:pPr>
            <w:r>
              <w:rPr/>
              <w:t> </w:t>
            </w:r>
          </w:p>
        </w:tc>
      </w:tr>
      <w:tr>
        <w:trPr/>
        <w:tc>
          <w:tcPr>
            <w:tcW w:w="5509" w:type="dxa"/>
            <w:tcBorders/>
            <w:shd w:fill="CCEEFF" w:val="clear"/>
            <w:vAlign w:val="center"/>
          </w:tcPr>
          <w:p>
            <w:pPr>
              <w:pStyle w:val="TableContents"/>
              <w:spacing w:before="0" w:after="0"/>
              <w:ind w:left="0" w:right="0" w:firstLine="160"/>
              <w:rPr>
                <w:rFonts w:ascii="times new roman" w:hAnsi="times new roman"/>
                <w:sz w:val="20"/>
              </w:rPr>
            </w:pPr>
            <w:r>
              <w:rPr>
                <w:rFonts w:ascii="times new roman" w:hAnsi="times new roman"/>
                <w:sz w:val="20"/>
              </w:rPr>
              <w:t xml:space="preserve">Risk retained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283"/>
              <w:rPr/>
            </w:pPr>
            <w:r>
              <w:rPr/>
              <w:t>$</w:t>
            </w:r>
          </w:p>
        </w:tc>
        <w:tc>
          <w:tcPr>
            <w:tcW w:w="1040" w:type="dxa"/>
            <w:tcBorders/>
            <w:shd w:fill="CCEEFF" w:val="clear"/>
            <w:vAlign w:val="center"/>
          </w:tcPr>
          <w:p>
            <w:pPr>
              <w:pStyle w:val="TableContents"/>
              <w:spacing w:before="0" w:after="283"/>
              <w:jc w:val="right"/>
              <w:rPr/>
            </w:pPr>
            <w:r>
              <w:rPr/>
              <w:t>750,000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283"/>
              <w:rPr/>
            </w:pPr>
            <w:r>
              <w:rPr/>
              <w:t>$</w:t>
            </w:r>
          </w:p>
        </w:tc>
        <w:tc>
          <w:tcPr>
            <w:tcW w:w="1040" w:type="dxa"/>
            <w:tcBorders/>
            <w:shd w:fill="CCEEFF" w:val="clear"/>
            <w:vAlign w:val="center"/>
          </w:tcPr>
          <w:p>
            <w:pPr>
              <w:pStyle w:val="TableContents"/>
              <w:spacing w:before="0" w:after="283"/>
              <w:jc w:val="right"/>
              <w:rPr/>
            </w:pPr>
            <w:r>
              <w:rPr/>
              <w:t>750,000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283"/>
              <w:rPr/>
            </w:pPr>
            <w:r>
              <w:rPr/>
              <w:t>$</w:t>
            </w:r>
          </w:p>
        </w:tc>
        <w:tc>
          <w:tcPr>
            <w:tcW w:w="1040" w:type="dxa"/>
            <w:tcBorders/>
            <w:shd w:fill="CCEEFF" w:val="clear"/>
            <w:vAlign w:val="center"/>
          </w:tcPr>
          <w:p>
            <w:pPr>
              <w:pStyle w:val="TableContents"/>
              <w:spacing w:before="0" w:after="283"/>
              <w:jc w:val="right"/>
              <w:rPr/>
            </w:pPr>
            <w:r>
              <w:rPr/>
              <w:t>750,000</w:t>
            </w:r>
          </w:p>
        </w:tc>
        <w:tc>
          <w:tcPr>
            <w:tcW w:w="294" w:type="dxa"/>
            <w:tcBorders/>
            <w:shd w:fill="CCEEFF" w:val="clear"/>
            <w:vAlign w:val="center"/>
          </w:tcPr>
          <w:p>
            <w:pPr>
              <w:pStyle w:val="TableContents"/>
              <w:spacing w:before="0" w:after="0"/>
              <w:ind w:left="0" w:right="0" w:hanging="0"/>
              <w:rPr/>
            </w:pPr>
            <w:r>
              <w:rPr/>
              <w:t> </w:t>
            </w:r>
          </w:p>
        </w:tc>
      </w:tr>
      <w:tr>
        <w:trPr/>
        <w:tc>
          <w:tcPr>
            <w:tcW w:w="5509" w:type="dxa"/>
            <w:tcBorders/>
            <w:shd w:fill="FFFFFF" w:val="clear"/>
            <w:vAlign w:val="center"/>
          </w:tcPr>
          <w:p>
            <w:pPr>
              <w:pStyle w:val="TableContents"/>
              <w:spacing w:before="0" w:after="0"/>
              <w:ind w:left="0" w:right="0" w:firstLine="160"/>
              <w:rPr>
                <w:rFonts w:ascii="times new roman" w:hAnsi="times new roman"/>
                <w:sz w:val="20"/>
              </w:rPr>
            </w:pPr>
            <w:r>
              <w:rPr>
                <w:rFonts w:ascii="times new roman" w:hAnsi="times new roman"/>
                <w:sz w:val="20"/>
              </w:rPr>
              <w:t xml:space="preserve">Excess of loss coverage above risk retained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283"/>
              <w:rPr/>
            </w:pPr>
            <w:r>
              <w:rPr/>
              <w:t>$</w:t>
            </w:r>
          </w:p>
        </w:tc>
        <w:tc>
          <w:tcPr>
            <w:tcW w:w="1040" w:type="dxa"/>
            <w:tcBorders/>
            <w:shd w:fill="FFFFFF" w:val="clear"/>
            <w:vAlign w:val="center"/>
          </w:tcPr>
          <w:p>
            <w:pPr>
              <w:pStyle w:val="TableContents"/>
              <w:spacing w:before="0" w:after="283"/>
              <w:jc w:val="right"/>
              <w:rPr/>
            </w:pPr>
            <w:r>
              <w:rPr/>
              <w:t>3,750,000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283"/>
              <w:rPr/>
            </w:pPr>
            <w:r>
              <w:rPr/>
              <w:t>$</w:t>
            </w:r>
          </w:p>
        </w:tc>
        <w:tc>
          <w:tcPr>
            <w:tcW w:w="1040" w:type="dxa"/>
            <w:tcBorders/>
            <w:shd w:fill="FFFFFF" w:val="clear"/>
            <w:vAlign w:val="center"/>
          </w:tcPr>
          <w:p>
            <w:pPr>
              <w:pStyle w:val="TableContents"/>
              <w:spacing w:before="0" w:after="283"/>
              <w:jc w:val="right"/>
              <w:rPr/>
            </w:pPr>
            <w:r>
              <w:rPr/>
              <w:t>3,750,000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283"/>
              <w:rPr/>
            </w:pPr>
            <w:r>
              <w:rPr/>
              <w:t>$</w:t>
            </w:r>
          </w:p>
        </w:tc>
        <w:tc>
          <w:tcPr>
            <w:tcW w:w="1040" w:type="dxa"/>
            <w:tcBorders/>
            <w:shd w:fill="FFFFFF" w:val="clear"/>
            <w:vAlign w:val="center"/>
          </w:tcPr>
          <w:p>
            <w:pPr>
              <w:pStyle w:val="TableContents"/>
              <w:spacing w:before="0" w:after="283"/>
              <w:jc w:val="right"/>
              <w:rPr/>
            </w:pPr>
            <w:r>
              <w:rPr/>
              <w:t>3,750,000</w:t>
            </w:r>
          </w:p>
        </w:tc>
        <w:tc>
          <w:tcPr>
            <w:tcW w:w="294" w:type="dxa"/>
            <w:tcBorders/>
            <w:shd w:fill="FFFFFF" w:val="clear"/>
            <w:vAlign w:val="center"/>
          </w:tcPr>
          <w:p>
            <w:pPr>
              <w:pStyle w:val="TableContents"/>
              <w:spacing w:before="0" w:after="0"/>
              <w:ind w:left="0" w:right="0" w:hanging="0"/>
              <w:rPr/>
            </w:pPr>
            <w:r>
              <w:rPr/>
              <w:t> </w:t>
            </w:r>
          </w:p>
        </w:tc>
      </w:tr>
      <w:tr>
        <w:trPr/>
        <w:tc>
          <w:tcPr>
            <w:tcW w:w="5509"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214" w:type="dxa"/>
            <w:gridSpan w:val="2"/>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in excess of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214" w:type="dxa"/>
            <w:gridSpan w:val="2"/>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in excess of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214" w:type="dxa"/>
            <w:gridSpan w:val="2"/>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in excess of </w:t>
            </w:r>
          </w:p>
        </w:tc>
        <w:tc>
          <w:tcPr>
            <w:tcW w:w="294" w:type="dxa"/>
            <w:tcBorders/>
            <w:shd w:fill="CCEEFF" w:val="clear"/>
            <w:vAlign w:val="center"/>
          </w:tcPr>
          <w:p>
            <w:pPr>
              <w:pStyle w:val="TableContents"/>
              <w:spacing w:before="0" w:after="0"/>
              <w:ind w:left="0" w:right="0" w:hanging="0"/>
              <w:rPr/>
            </w:pPr>
            <w:r>
              <w:rPr/>
              <w:t> </w:t>
            </w:r>
          </w:p>
        </w:tc>
      </w:tr>
      <w:tr>
        <w:trPr/>
        <w:tc>
          <w:tcPr>
            <w:tcW w:w="5509"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283"/>
              <w:rPr/>
            </w:pPr>
            <w:r>
              <w:rPr/>
              <w:t>$</w:t>
            </w:r>
          </w:p>
        </w:tc>
        <w:tc>
          <w:tcPr>
            <w:tcW w:w="1040" w:type="dxa"/>
            <w:tcBorders/>
            <w:shd w:fill="FFFFFF" w:val="clear"/>
            <w:vAlign w:val="center"/>
          </w:tcPr>
          <w:p>
            <w:pPr>
              <w:pStyle w:val="TableContents"/>
              <w:spacing w:before="0" w:after="283"/>
              <w:jc w:val="right"/>
              <w:rPr/>
            </w:pPr>
            <w:r>
              <w:rPr/>
              <w:t>750,000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283"/>
              <w:rPr/>
            </w:pPr>
            <w:r>
              <w:rPr/>
              <w:t>$</w:t>
            </w:r>
          </w:p>
        </w:tc>
        <w:tc>
          <w:tcPr>
            <w:tcW w:w="1040" w:type="dxa"/>
            <w:tcBorders/>
            <w:shd w:fill="FFFFFF" w:val="clear"/>
            <w:vAlign w:val="center"/>
          </w:tcPr>
          <w:p>
            <w:pPr>
              <w:pStyle w:val="TableContents"/>
              <w:spacing w:before="0" w:after="283"/>
              <w:jc w:val="right"/>
              <w:rPr/>
            </w:pPr>
            <w:r>
              <w:rPr/>
              <w:t>750,000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283"/>
              <w:rPr/>
            </w:pPr>
            <w:r>
              <w:rPr/>
              <w:t>$</w:t>
            </w:r>
          </w:p>
        </w:tc>
        <w:tc>
          <w:tcPr>
            <w:tcW w:w="1040" w:type="dxa"/>
            <w:tcBorders/>
            <w:shd w:fill="FFFFFF" w:val="clear"/>
            <w:vAlign w:val="center"/>
          </w:tcPr>
          <w:p>
            <w:pPr>
              <w:pStyle w:val="TableContents"/>
              <w:spacing w:before="0" w:after="283"/>
              <w:jc w:val="right"/>
              <w:rPr/>
            </w:pPr>
            <w:r>
              <w:rPr/>
              <w:t>750,000</w:t>
            </w:r>
          </w:p>
        </w:tc>
        <w:tc>
          <w:tcPr>
            <w:tcW w:w="294" w:type="dxa"/>
            <w:tcBorders/>
            <w:shd w:fill="FFFFFF" w:val="clear"/>
            <w:vAlign w:val="center"/>
          </w:tcPr>
          <w:p>
            <w:pPr>
              <w:pStyle w:val="TableContents"/>
              <w:spacing w:before="0" w:after="0"/>
              <w:ind w:left="0" w:right="0" w:hanging="0"/>
              <w:rPr/>
            </w:pPr>
            <w:r>
              <w:rPr/>
              <w:t> </w:t>
            </w:r>
          </w:p>
        </w:tc>
      </w:tr>
      <w:tr>
        <w:trPr/>
        <w:tc>
          <w:tcPr>
            <w:tcW w:w="5509" w:type="dxa"/>
            <w:tcBorders/>
            <w:shd w:fill="CCEEFF" w:val="clear"/>
            <w:vAlign w:val="center"/>
          </w:tcPr>
          <w:p>
            <w:pPr>
              <w:pStyle w:val="TableContents"/>
              <w:spacing w:before="0" w:after="0"/>
              <w:ind w:left="0" w:right="0" w:firstLine="160"/>
              <w:rPr>
                <w:rFonts w:ascii="times new roman" w:hAnsi="times new roman"/>
                <w:sz w:val="20"/>
              </w:rPr>
            </w:pPr>
            <w:r>
              <w:rPr>
                <w:rFonts w:ascii="times new roman" w:hAnsi="times new roman"/>
                <w:sz w:val="20"/>
              </w:rPr>
              <w:t xml:space="preserve">Total reinsurance coverage per occurrence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283"/>
              <w:rPr/>
            </w:pPr>
            <w:r>
              <w:rPr/>
              <w:t>$</w:t>
            </w:r>
          </w:p>
        </w:tc>
        <w:tc>
          <w:tcPr>
            <w:tcW w:w="1040" w:type="dxa"/>
            <w:tcBorders/>
            <w:shd w:fill="CCEEFF" w:val="clear"/>
            <w:vAlign w:val="center"/>
          </w:tcPr>
          <w:p>
            <w:pPr>
              <w:pStyle w:val="TableContents"/>
              <w:spacing w:before="0" w:after="283"/>
              <w:jc w:val="right"/>
              <w:rPr/>
            </w:pPr>
            <w:r>
              <w:rPr/>
              <w:t>3,750,000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283"/>
              <w:rPr/>
            </w:pPr>
            <w:r>
              <w:rPr/>
              <w:t>$</w:t>
            </w:r>
          </w:p>
        </w:tc>
        <w:tc>
          <w:tcPr>
            <w:tcW w:w="1040" w:type="dxa"/>
            <w:tcBorders/>
            <w:shd w:fill="CCEEFF" w:val="clear"/>
            <w:vAlign w:val="center"/>
          </w:tcPr>
          <w:p>
            <w:pPr>
              <w:pStyle w:val="TableContents"/>
              <w:spacing w:before="0" w:after="283"/>
              <w:jc w:val="right"/>
              <w:rPr/>
            </w:pPr>
            <w:r>
              <w:rPr/>
              <w:t>3,750,000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283"/>
              <w:rPr/>
            </w:pPr>
            <w:r>
              <w:rPr/>
              <w:t>$</w:t>
            </w:r>
          </w:p>
        </w:tc>
        <w:tc>
          <w:tcPr>
            <w:tcW w:w="1040" w:type="dxa"/>
            <w:tcBorders/>
            <w:shd w:fill="CCEEFF" w:val="clear"/>
            <w:vAlign w:val="center"/>
          </w:tcPr>
          <w:p>
            <w:pPr>
              <w:pStyle w:val="TableContents"/>
              <w:spacing w:before="0" w:after="283"/>
              <w:jc w:val="right"/>
              <w:rPr/>
            </w:pPr>
            <w:r>
              <w:rPr/>
              <w:t>3,750,000</w:t>
            </w:r>
          </w:p>
        </w:tc>
        <w:tc>
          <w:tcPr>
            <w:tcW w:w="294" w:type="dxa"/>
            <w:tcBorders/>
            <w:shd w:fill="CCEEFF" w:val="clear"/>
            <w:vAlign w:val="center"/>
          </w:tcPr>
          <w:p>
            <w:pPr>
              <w:pStyle w:val="TableContents"/>
              <w:spacing w:before="0" w:after="0"/>
              <w:ind w:left="0" w:right="0" w:hanging="0"/>
              <w:rPr/>
            </w:pPr>
            <w:r>
              <w:rPr/>
              <w:t> </w:t>
            </w:r>
          </w:p>
        </w:tc>
      </w:tr>
      <w:tr>
        <w:trPr/>
        <w:tc>
          <w:tcPr>
            <w:tcW w:w="5509" w:type="dxa"/>
            <w:tcBorders/>
            <w:shd w:fill="FFFFFF" w:val="clear"/>
            <w:vAlign w:val="center"/>
          </w:tcPr>
          <w:p>
            <w:pPr>
              <w:pStyle w:val="TableContents"/>
              <w:spacing w:before="0" w:after="0"/>
              <w:ind w:left="0" w:right="0" w:firstLine="160"/>
              <w:rPr>
                <w:rFonts w:ascii="times new roman" w:hAnsi="times new roman"/>
                <w:sz w:val="20"/>
              </w:rPr>
            </w:pPr>
            <w:r>
              <w:rPr>
                <w:rFonts w:ascii="times new roman" w:hAnsi="times new roman"/>
                <w:sz w:val="20"/>
              </w:rPr>
              <w:t xml:space="preserve">Losses per occurrence subject to reinsurance coverage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283"/>
              <w:rPr/>
            </w:pPr>
            <w:r>
              <w:rPr/>
              <w:t>$</w:t>
            </w:r>
          </w:p>
        </w:tc>
        <w:tc>
          <w:tcPr>
            <w:tcW w:w="1040" w:type="dxa"/>
            <w:tcBorders/>
            <w:shd w:fill="FFFFFF" w:val="clear"/>
            <w:vAlign w:val="center"/>
          </w:tcPr>
          <w:p>
            <w:pPr>
              <w:pStyle w:val="TableContents"/>
              <w:spacing w:before="0" w:after="283"/>
              <w:jc w:val="right"/>
              <w:rPr/>
            </w:pPr>
            <w:r>
              <w:rPr/>
              <w:t>4,500,000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283"/>
              <w:rPr/>
            </w:pPr>
            <w:r>
              <w:rPr/>
              <w:t>$</w:t>
            </w:r>
          </w:p>
        </w:tc>
        <w:tc>
          <w:tcPr>
            <w:tcW w:w="1040" w:type="dxa"/>
            <w:tcBorders/>
            <w:shd w:fill="FFFFFF" w:val="clear"/>
            <w:vAlign w:val="center"/>
          </w:tcPr>
          <w:p>
            <w:pPr>
              <w:pStyle w:val="TableContents"/>
              <w:spacing w:before="0" w:after="283"/>
              <w:jc w:val="right"/>
              <w:rPr/>
            </w:pPr>
            <w:r>
              <w:rPr/>
              <w:t>4,500,000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283"/>
              <w:rPr/>
            </w:pPr>
            <w:r>
              <w:rPr/>
              <w:t>$</w:t>
            </w:r>
          </w:p>
        </w:tc>
        <w:tc>
          <w:tcPr>
            <w:tcW w:w="1040" w:type="dxa"/>
            <w:tcBorders/>
            <w:shd w:fill="FFFFFF" w:val="clear"/>
            <w:vAlign w:val="center"/>
          </w:tcPr>
          <w:p>
            <w:pPr>
              <w:pStyle w:val="TableContents"/>
              <w:spacing w:before="0" w:after="283"/>
              <w:jc w:val="right"/>
              <w:rPr/>
            </w:pPr>
            <w:r>
              <w:rPr/>
              <w:t>4,500,000</w:t>
            </w:r>
          </w:p>
        </w:tc>
        <w:tc>
          <w:tcPr>
            <w:tcW w:w="294" w:type="dxa"/>
            <w:tcBorders/>
            <w:shd w:fill="FFFFFF" w:val="clear"/>
            <w:vAlign w:val="center"/>
          </w:tcPr>
          <w:p>
            <w:pPr>
              <w:pStyle w:val="TableContents"/>
              <w:spacing w:before="0" w:after="0"/>
              <w:ind w:left="0" w:right="0" w:hanging="0"/>
              <w:rPr/>
            </w:pPr>
            <w:r>
              <w:rPr/>
              <w:t> </w:t>
            </w:r>
          </w:p>
        </w:tc>
      </w:tr>
      <w:tr>
        <w:trPr/>
        <w:tc>
          <w:tcPr>
            <w:tcW w:w="5509"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0"/>
              <w:ind w:left="0" w:right="0" w:hanging="0"/>
              <w:rPr/>
            </w:pPr>
            <w:r>
              <w:rPr/>
              <w:t> </w:t>
            </w:r>
          </w:p>
        </w:tc>
        <w:tc>
          <w:tcPr>
            <w:tcW w:w="104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0"/>
              <w:ind w:left="0" w:right="0" w:hanging="0"/>
              <w:rPr/>
            </w:pPr>
            <w:r>
              <w:rPr/>
              <w:t> </w:t>
            </w:r>
          </w:p>
        </w:tc>
        <w:tc>
          <w:tcPr>
            <w:tcW w:w="104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0"/>
              <w:ind w:left="0" w:right="0" w:hanging="0"/>
              <w:rPr/>
            </w:pPr>
            <w:r>
              <w:rPr/>
              <w:t> </w:t>
            </w:r>
          </w:p>
        </w:tc>
        <w:tc>
          <w:tcPr>
            <w:tcW w:w="1040" w:type="dxa"/>
            <w:tcBorders/>
            <w:shd w:fill="CCEEFF" w:val="clear"/>
            <w:vAlign w:val="center"/>
          </w:tcPr>
          <w:p>
            <w:pPr>
              <w:pStyle w:val="TableContents"/>
              <w:spacing w:before="0" w:after="0"/>
              <w:ind w:left="0" w:right="0" w:hanging="0"/>
              <w:rPr/>
            </w:pPr>
            <w:r>
              <w:rPr/>
              <w:t> </w:t>
            </w:r>
          </w:p>
        </w:tc>
        <w:tc>
          <w:tcPr>
            <w:tcW w:w="294" w:type="dxa"/>
            <w:tcBorders/>
            <w:shd w:fill="CCEEFF" w:val="clear"/>
            <w:vAlign w:val="center"/>
          </w:tcPr>
          <w:p>
            <w:pPr>
              <w:pStyle w:val="TableContents"/>
              <w:spacing w:before="0" w:after="0"/>
              <w:ind w:left="0" w:right="0" w:hanging="0"/>
              <w:rPr/>
            </w:pPr>
            <w:r>
              <w:rPr/>
              <w:t> </w:t>
            </w:r>
          </w:p>
        </w:tc>
      </w:tr>
      <w:tr>
        <w:trPr/>
        <w:tc>
          <w:tcPr>
            <w:tcW w:w="5509"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Commercial Umbrella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0"/>
              <w:ind w:left="0" w:right="0" w:hanging="0"/>
              <w:rPr/>
            </w:pPr>
            <w:r>
              <w:rPr/>
              <w:t> </w:t>
            </w:r>
          </w:p>
        </w:tc>
        <w:tc>
          <w:tcPr>
            <w:tcW w:w="104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0"/>
              <w:ind w:left="0" w:right="0" w:hanging="0"/>
              <w:rPr/>
            </w:pPr>
            <w:r>
              <w:rPr/>
              <w:t> </w:t>
            </w:r>
          </w:p>
        </w:tc>
        <w:tc>
          <w:tcPr>
            <w:tcW w:w="104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0"/>
              <w:ind w:left="0" w:right="0" w:hanging="0"/>
              <w:rPr/>
            </w:pPr>
            <w:r>
              <w:rPr/>
              <w:t> </w:t>
            </w:r>
          </w:p>
        </w:tc>
        <w:tc>
          <w:tcPr>
            <w:tcW w:w="1040" w:type="dxa"/>
            <w:tcBorders/>
            <w:shd w:fill="FFFFFF" w:val="clear"/>
            <w:vAlign w:val="center"/>
          </w:tcPr>
          <w:p>
            <w:pPr>
              <w:pStyle w:val="TableContents"/>
              <w:spacing w:before="0" w:after="0"/>
              <w:ind w:left="0" w:right="0" w:hanging="0"/>
              <w:rPr/>
            </w:pPr>
            <w:r>
              <w:rPr/>
              <w:t> </w:t>
            </w:r>
          </w:p>
        </w:tc>
        <w:tc>
          <w:tcPr>
            <w:tcW w:w="294" w:type="dxa"/>
            <w:tcBorders/>
            <w:shd w:fill="FFFFFF" w:val="clear"/>
            <w:vAlign w:val="center"/>
          </w:tcPr>
          <w:p>
            <w:pPr>
              <w:pStyle w:val="TableContents"/>
              <w:spacing w:before="0" w:after="0"/>
              <w:ind w:left="0" w:right="0" w:hanging="0"/>
              <w:rPr/>
            </w:pPr>
            <w:r>
              <w:rPr/>
              <w:t> </w:t>
            </w:r>
          </w:p>
        </w:tc>
      </w:tr>
      <w:tr>
        <w:trPr/>
        <w:tc>
          <w:tcPr>
            <w:tcW w:w="5509" w:type="dxa"/>
            <w:tcBorders/>
            <w:shd w:fill="CCEEFF" w:val="clear"/>
            <w:vAlign w:val="center"/>
          </w:tcPr>
          <w:p>
            <w:pPr>
              <w:pStyle w:val="TableContents"/>
              <w:spacing w:before="0" w:after="0"/>
              <w:ind w:left="0" w:right="0" w:firstLine="160"/>
              <w:rPr>
                <w:rFonts w:ascii="times new roman" w:hAnsi="times new roman"/>
                <w:sz w:val="20"/>
              </w:rPr>
            </w:pPr>
            <w:r>
              <w:rPr>
                <w:rFonts w:ascii="times new roman" w:hAnsi="times new roman"/>
                <w:sz w:val="20"/>
              </w:rPr>
              <w:t xml:space="preserve">Quota share treaty: </w:t>
            </w:r>
          </w:p>
        </w:tc>
        <w:tc>
          <w:tcPr>
            <w:tcW w:w="90" w:type="dxa"/>
            <w:tcBorders/>
            <w:shd w:fill="CCEEFF" w:val="clear"/>
            <w:vAlign w:val="center"/>
          </w:tcPr>
          <w:p>
            <w:pPr>
              <w:pStyle w:val="TableContents"/>
              <w:spacing w:before="0" w:after="0"/>
              <w:ind w:left="0" w:right="0" w:hanging="0"/>
              <w:rPr/>
            </w:pPr>
            <w:r>
              <w:rPr/>
              <w:t> </w:t>
            </w:r>
          </w:p>
        </w:tc>
        <w:tc>
          <w:tcPr>
            <w:tcW w:w="1214" w:type="dxa"/>
            <w:gridSpan w:val="2"/>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None</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214" w:type="dxa"/>
            <w:gridSpan w:val="2"/>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None</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0"/>
              <w:ind w:left="0" w:right="0" w:hanging="0"/>
              <w:rPr/>
            </w:pPr>
            <w:r>
              <w:rPr/>
              <w:t> </w:t>
            </w:r>
          </w:p>
        </w:tc>
        <w:tc>
          <w:tcPr>
            <w:tcW w:w="1040" w:type="dxa"/>
            <w:tcBorders/>
            <w:shd w:fill="CCEEFF" w:val="clear"/>
            <w:vAlign w:val="center"/>
          </w:tcPr>
          <w:p>
            <w:pPr>
              <w:pStyle w:val="TableContents"/>
              <w:spacing w:before="0" w:after="0"/>
              <w:ind w:left="0" w:right="0" w:hanging="0"/>
              <w:rPr/>
            </w:pPr>
            <w:r>
              <w:rPr/>
              <w:t> </w:t>
            </w:r>
          </w:p>
        </w:tc>
        <w:tc>
          <w:tcPr>
            <w:tcW w:w="294" w:type="dxa"/>
            <w:tcBorders/>
            <w:shd w:fill="CCEEFF" w:val="clear"/>
            <w:vAlign w:val="center"/>
          </w:tcPr>
          <w:p>
            <w:pPr>
              <w:pStyle w:val="TableContents"/>
              <w:spacing w:before="0" w:after="0"/>
              <w:ind w:left="0" w:right="0" w:hanging="0"/>
              <w:rPr/>
            </w:pPr>
            <w:r>
              <w:rPr/>
              <w:t> </w:t>
            </w:r>
          </w:p>
        </w:tc>
      </w:tr>
      <w:tr>
        <w:trPr/>
        <w:tc>
          <w:tcPr>
            <w:tcW w:w="5509" w:type="dxa"/>
            <w:tcBorders/>
            <w:shd w:fill="FFFFFF" w:val="clear"/>
            <w:vAlign w:val="center"/>
          </w:tcPr>
          <w:p>
            <w:pPr>
              <w:pStyle w:val="TableContents"/>
              <w:spacing w:before="0" w:after="0"/>
              <w:ind w:left="0" w:right="0" w:firstLine="480"/>
              <w:rPr>
                <w:rFonts w:ascii="times new roman" w:hAnsi="times new roman"/>
                <w:sz w:val="20"/>
              </w:rPr>
            </w:pPr>
            <w:r>
              <w:rPr>
                <w:rFonts w:ascii="times new roman" w:hAnsi="times new roman"/>
                <w:sz w:val="20"/>
              </w:rPr>
              <w:t xml:space="preserve">Percent ceded - first $1,000,000 of coverage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0"/>
              <w:ind w:left="0" w:right="0" w:hanging="0"/>
              <w:rPr/>
            </w:pPr>
            <w:r>
              <w:rPr/>
              <w:t> </w:t>
            </w:r>
          </w:p>
        </w:tc>
        <w:tc>
          <w:tcPr>
            <w:tcW w:w="104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0"/>
              <w:ind w:left="0" w:right="0" w:hanging="0"/>
              <w:rPr/>
            </w:pPr>
            <w:r>
              <w:rPr/>
              <w:t> </w:t>
            </w:r>
          </w:p>
        </w:tc>
        <w:tc>
          <w:tcPr>
            <w:tcW w:w="104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0"/>
              <w:ind w:left="0" w:right="0" w:hanging="0"/>
              <w:rPr/>
            </w:pPr>
            <w:r>
              <w:rPr/>
              <w:t> </w:t>
            </w:r>
          </w:p>
        </w:tc>
        <w:tc>
          <w:tcPr>
            <w:tcW w:w="1040" w:type="dxa"/>
            <w:tcBorders/>
            <w:shd w:fill="FFFFFF" w:val="clear"/>
            <w:vAlign w:val="center"/>
          </w:tcPr>
          <w:p>
            <w:pPr>
              <w:pStyle w:val="TableContents"/>
              <w:spacing w:before="0" w:after="283"/>
              <w:jc w:val="right"/>
              <w:rPr/>
            </w:pPr>
            <w:r>
              <w:rPr/>
              <w:t>90</w:t>
            </w:r>
          </w:p>
        </w:tc>
        <w:tc>
          <w:tcPr>
            <w:tcW w:w="294" w:type="dxa"/>
            <w:tcBorders/>
            <w:shd w:fill="FFFFFF" w:val="clear"/>
            <w:vAlign w:val="center"/>
          </w:tcPr>
          <w:p>
            <w:pPr>
              <w:pStyle w:val="TableContents"/>
              <w:spacing w:before="0" w:after="283"/>
              <w:rPr/>
            </w:pPr>
            <w:r>
              <w:rPr/>
              <w:t>%</w:t>
            </w:r>
          </w:p>
        </w:tc>
      </w:tr>
      <w:tr>
        <w:trPr/>
        <w:tc>
          <w:tcPr>
            <w:tcW w:w="5509" w:type="dxa"/>
            <w:tcBorders/>
            <w:shd w:fill="CCEEFF" w:val="clear"/>
            <w:vAlign w:val="center"/>
          </w:tcPr>
          <w:p>
            <w:pPr>
              <w:pStyle w:val="TableContents"/>
              <w:spacing w:before="0" w:after="0"/>
              <w:ind w:left="0" w:right="0" w:firstLine="480"/>
              <w:rPr>
                <w:rFonts w:ascii="times new roman" w:hAnsi="times new roman"/>
                <w:sz w:val="20"/>
              </w:rPr>
            </w:pPr>
            <w:r>
              <w:rPr>
                <w:rFonts w:ascii="times new roman" w:hAnsi="times new roman"/>
                <w:sz w:val="20"/>
              </w:rPr>
              <w:t xml:space="preserve">Percent ceded - excess of $1,000,000 of coverage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0"/>
              <w:ind w:left="0" w:right="0" w:hanging="0"/>
              <w:rPr/>
            </w:pPr>
            <w:r>
              <w:rPr/>
              <w:t> </w:t>
            </w:r>
          </w:p>
        </w:tc>
        <w:tc>
          <w:tcPr>
            <w:tcW w:w="104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0"/>
              <w:ind w:left="0" w:right="0" w:hanging="0"/>
              <w:rPr/>
            </w:pPr>
            <w:r>
              <w:rPr/>
              <w:t> </w:t>
            </w:r>
          </w:p>
        </w:tc>
        <w:tc>
          <w:tcPr>
            <w:tcW w:w="104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0"/>
              <w:ind w:left="0" w:right="0" w:hanging="0"/>
              <w:rPr/>
            </w:pPr>
            <w:r>
              <w:rPr/>
              <w:t> </w:t>
            </w:r>
          </w:p>
        </w:tc>
        <w:tc>
          <w:tcPr>
            <w:tcW w:w="1040" w:type="dxa"/>
            <w:tcBorders/>
            <w:shd w:fill="CCEEFF" w:val="clear"/>
            <w:vAlign w:val="center"/>
          </w:tcPr>
          <w:p>
            <w:pPr>
              <w:pStyle w:val="TableContents"/>
              <w:spacing w:before="0" w:after="283"/>
              <w:jc w:val="right"/>
              <w:rPr/>
            </w:pPr>
            <w:r>
              <w:rPr/>
              <w:t>100</w:t>
            </w:r>
          </w:p>
        </w:tc>
        <w:tc>
          <w:tcPr>
            <w:tcW w:w="294" w:type="dxa"/>
            <w:tcBorders/>
            <w:shd w:fill="CCEEFF" w:val="clear"/>
            <w:vAlign w:val="center"/>
          </w:tcPr>
          <w:p>
            <w:pPr>
              <w:pStyle w:val="TableContents"/>
              <w:spacing w:before="0" w:after="283"/>
              <w:rPr/>
            </w:pPr>
            <w:r>
              <w:rPr/>
              <w:t>%</w:t>
            </w:r>
          </w:p>
        </w:tc>
      </w:tr>
      <w:tr>
        <w:trPr/>
        <w:tc>
          <w:tcPr>
            <w:tcW w:w="5509" w:type="dxa"/>
            <w:tcBorders/>
            <w:shd w:fill="FFFFFF" w:val="clear"/>
            <w:vAlign w:val="center"/>
          </w:tcPr>
          <w:p>
            <w:pPr>
              <w:pStyle w:val="TableContents"/>
              <w:spacing w:before="0" w:after="0"/>
              <w:ind w:left="0" w:right="0" w:firstLine="480"/>
              <w:rPr>
                <w:rFonts w:ascii="times new roman" w:hAnsi="times new roman"/>
                <w:sz w:val="20"/>
              </w:rPr>
            </w:pPr>
            <w:r>
              <w:rPr>
                <w:rFonts w:ascii="times new roman" w:hAnsi="times new roman"/>
                <w:sz w:val="20"/>
              </w:rPr>
              <w:t xml:space="preserve">Risk retained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0"/>
              <w:ind w:left="0" w:right="0" w:hanging="0"/>
              <w:rPr/>
            </w:pPr>
            <w:r>
              <w:rPr/>
              <w:t> </w:t>
            </w:r>
          </w:p>
        </w:tc>
        <w:tc>
          <w:tcPr>
            <w:tcW w:w="104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0"/>
              <w:ind w:left="0" w:right="0" w:hanging="0"/>
              <w:rPr/>
            </w:pPr>
            <w:r>
              <w:rPr/>
              <w:t> </w:t>
            </w:r>
          </w:p>
        </w:tc>
        <w:tc>
          <w:tcPr>
            <w:tcW w:w="104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283"/>
              <w:rPr/>
            </w:pPr>
            <w:r>
              <w:rPr/>
              <w:t>$</w:t>
            </w:r>
          </w:p>
        </w:tc>
        <w:tc>
          <w:tcPr>
            <w:tcW w:w="1040" w:type="dxa"/>
            <w:tcBorders/>
            <w:shd w:fill="FFFFFF" w:val="clear"/>
            <w:vAlign w:val="center"/>
          </w:tcPr>
          <w:p>
            <w:pPr>
              <w:pStyle w:val="TableContents"/>
              <w:spacing w:before="0" w:after="283"/>
              <w:jc w:val="right"/>
              <w:rPr/>
            </w:pPr>
            <w:r>
              <w:rPr/>
              <w:t>100,000</w:t>
            </w:r>
          </w:p>
        </w:tc>
        <w:tc>
          <w:tcPr>
            <w:tcW w:w="294" w:type="dxa"/>
            <w:tcBorders/>
            <w:shd w:fill="FFFFFF" w:val="clear"/>
            <w:vAlign w:val="center"/>
          </w:tcPr>
          <w:p>
            <w:pPr>
              <w:pStyle w:val="TableContents"/>
              <w:spacing w:before="0" w:after="0"/>
              <w:ind w:left="0" w:right="0" w:hanging="0"/>
              <w:rPr/>
            </w:pPr>
            <w:r>
              <w:rPr/>
              <w:t> </w:t>
            </w:r>
          </w:p>
        </w:tc>
      </w:tr>
      <w:tr>
        <w:trPr/>
        <w:tc>
          <w:tcPr>
            <w:tcW w:w="5509" w:type="dxa"/>
            <w:tcBorders/>
            <w:shd w:fill="CCEEFF" w:val="clear"/>
            <w:vAlign w:val="center"/>
          </w:tcPr>
          <w:p>
            <w:pPr>
              <w:pStyle w:val="TableContents"/>
              <w:spacing w:before="0" w:after="0"/>
              <w:ind w:left="0" w:right="0" w:firstLine="480"/>
              <w:rPr>
                <w:rFonts w:ascii="times new roman" w:hAnsi="times new roman"/>
                <w:sz w:val="20"/>
              </w:rPr>
            </w:pPr>
            <w:r>
              <w:rPr>
                <w:rFonts w:ascii="times new roman" w:hAnsi="times new roman"/>
                <w:sz w:val="20"/>
              </w:rPr>
              <w:t xml:space="preserve">Total reinsurance coverage per occurrence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0"/>
              <w:ind w:left="0" w:right="0" w:hanging="0"/>
              <w:rPr/>
            </w:pPr>
            <w:r>
              <w:rPr/>
              <w:t> </w:t>
            </w:r>
          </w:p>
        </w:tc>
        <w:tc>
          <w:tcPr>
            <w:tcW w:w="104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0"/>
              <w:ind w:left="0" w:right="0" w:hanging="0"/>
              <w:rPr/>
            </w:pPr>
            <w:r>
              <w:rPr/>
              <w:t> </w:t>
            </w:r>
          </w:p>
        </w:tc>
        <w:tc>
          <w:tcPr>
            <w:tcW w:w="104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283"/>
              <w:rPr/>
            </w:pPr>
            <w:r>
              <w:rPr/>
              <w:t>$</w:t>
            </w:r>
          </w:p>
        </w:tc>
        <w:tc>
          <w:tcPr>
            <w:tcW w:w="1040" w:type="dxa"/>
            <w:tcBorders/>
            <w:shd w:fill="CCEEFF" w:val="clear"/>
            <w:vAlign w:val="center"/>
          </w:tcPr>
          <w:p>
            <w:pPr>
              <w:pStyle w:val="TableContents"/>
              <w:spacing w:before="0" w:after="283"/>
              <w:jc w:val="right"/>
              <w:rPr/>
            </w:pPr>
            <w:r>
              <w:rPr/>
              <w:t>4,900,000</w:t>
            </w:r>
          </w:p>
        </w:tc>
        <w:tc>
          <w:tcPr>
            <w:tcW w:w="294" w:type="dxa"/>
            <w:tcBorders/>
            <w:shd w:fill="CCEEFF" w:val="clear"/>
            <w:vAlign w:val="center"/>
          </w:tcPr>
          <w:p>
            <w:pPr>
              <w:pStyle w:val="TableContents"/>
              <w:spacing w:before="0" w:after="0"/>
              <w:ind w:left="0" w:right="0" w:hanging="0"/>
              <w:rPr/>
            </w:pPr>
            <w:r>
              <w:rPr/>
              <w:t> </w:t>
            </w:r>
          </w:p>
        </w:tc>
      </w:tr>
      <w:tr>
        <w:trPr/>
        <w:tc>
          <w:tcPr>
            <w:tcW w:w="5509" w:type="dxa"/>
            <w:tcBorders/>
            <w:shd w:fill="FFFFFF" w:val="clear"/>
            <w:vAlign w:val="center"/>
          </w:tcPr>
          <w:p>
            <w:pPr>
              <w:pStyle w:val="TableContents"/>
              <w:spacing w:before="0" w:after="0"/>
              <w:ind w:left="0" w:right="0" w:firstLine="480"/>
              <w:rPr>
                <w:rFonts w:ascii="times new roman" w:hAnsi="times new roman"/>
                <w:sz w:val="20"/>
              </w:rPr>
            </w:pPr>
            <w:r>
              <w:rPr>
                <w:rFonts w:ascii="times new roman" w:hAnsi="times new roman"/>
                <w:sz w:val="20"/>
              </w:rPr>
              <w:t xml:space="preserve">Losses per occurrence subject to quota share reinsurance coverage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0"/>
              <w:ind w:left="0" w:right="0" w:hanging="0"/>
              <w:rPr/>
            </w:pPr>
            <w:r>
              <w:rPr/>
              <w:t> </w:t>
            </w:r>
          </w:p>
        </w:tc>
        <w:tc>
          <w:tcPr>
            <w:tcW w:w="104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0"/>
              <w:ind w:left="0" w:right="0" w:hanging="0"/>
              <w:rPr/>
            </w:pPr>
            <w:r>
              <w:rPr/>
              <w:t> </w:t>
            </w:r>
          </w:p>
        </w:tc>
        <w:tc>
          <w:tcPr>
            <w:tcW w:w="104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283"/>
              <w:rPr/>
            </w:pPr>
            <w:r>
              <w:rPr/>
              <w:t>$</w:t>
            </w:r>
          </w:p>
        </w:tc>
        <w:tc>
          <w:tcPr>
            <w:tcW w:w="1040" w:type="dxa"/>
            <w:tcBorders/>
            <w:shd w:fill="FFFFFF" w:val="clear"/>
            <w:vAlign w:val="center"/>
          </w:tcPr>
          <w:p>
            <w:pPr>
              <w:pStyle w:val="TableContents"/>
              <w:spacing w:before="0" w:after="283"/>
              <w:jc w:val="right"/>
              <w:rPr/>
            </w:pPr>
            <w:r>
              <w:rPr/>
              <w:t>5,000,000</w:t>
            </w:r>
          </w:p>
        </w:tc>
        <w:tc>
          <w:tcPr>
            <w:tcW w:w="294" w:type="dxa"/>
            <w:tcBorders/>
            <w:shd w:fill="FFFFFF" w:val="clear"/>
            <w:vAlign w:val="center"/>
          </w:tcPr>
          <w:p>
            <w:pPr>
              <w:pStyle w:val="TableContents"/>
              <w:spacing w:before="0" w:after="0"/>
              <w:ind w:left="0" w:right="0" w:hanging="0"/>
              <w:rPr/>
            </w:pPr>
            <w:r>
              <w:rPr/>
              <w:t> </w:t>
            </w:r>
          </w:p>
        </w:tc>
      </w:tr>
      <w:tr>
        <w:trPr/>
        <w:tc>
          <w:tcPr>
            <w:tcW w:w="5509" w:type="dxa"/>
            <w:tcBorders/>
            <w:shd w:fill="CCEEFF" w:val="clear"/>
            <w:vAlign w:val="center"/>
          </w:tcPr>
          <w:p>
            <w:pPr>
              <w:pStyle w:val="TableContents"/>
              <w:spacing w:before="0" w:after="0"/>
              <w:ind w:left="0" w:right="0" w:firstLine="160"/>
              <w:rPr>
                <w:rFonts w:ascii="times new roman" w:hAnsi="times new roman"/>
                <w:sz w:val="20"/>
              </w:rPr>
            </w:pPr>
            <w:r>
              <w:rPr>
                <w:rFonts w:ascii="times new roman" w:hAnsi="times new roman"/>
                <w:sz w:val="20"/>
              </w:rPr>
              <w:t xml:space="preserve">Expiration date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0"/>
              <w:ind w:left="0" w:right="0" w:hanging="0"/>
              <w:rPr/>
            </w:pPr>
            <w:r>
              <w:rPr/>
              <w:t> </w:t>
            </w:r>
          </w:p>
        </w:tc>
        <w:tc>
          <w:tcPr>
            <w:tcW w:w="104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0"/>
              <w:ind w:left="0" w:right="0" w:hanging="0"/>
              <w:rPr/>
            </w:pPr>
            <w:r>
              <w:rPr/>
              <w:t> </w:t>
            </w:r>
          </w:p>
        </w:tc>
        <w:tc>
          <w:tcPr>
            <w:tcW w:w="104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214" w:type="dxa"/>
            <w:gridSpan w:val="2"/>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June 30, 2019</w:t>
            </w:r>
          </w:p>
        </w:tc>
        <w:tc>
          <w:tcPr>
            <w:tcW w:w="294"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Company’s reinsurance program has been structured to enable the Company to grow its premium volume while maintaining regulatory capital and other financial ratios generally within or below the expected ranges used for regulatory oversight purposes. The reinsurance program also provides income as a result of ceding commissions earned pursuant to the quota share reinsurance contracts. The Company’s participation in reinsurance arrangements does not relieve the Company of its obligations to policyholders.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F-30</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2020 AND 2019</w:t>
      </w:r>
    </w:p>
    <w:p>
      <w:pPr>
        <w:pStyle w:val="TextBody"/>
        <w:spacing w:before="0" w:after="0"/>
        <w:ind w:left="0" w:right="0" w:hanging="0"/>
        <w:jc w:val="center"/>
        <w:rPr/>
      </w:pPr>
      <w:r>
        <w:rPr>
          <w:rStyle w:val="StrongEmphasis"/>
        </w:rPr>
        <w:t> </w:t>
      </w:r>
    </w:p>
    <w:p>
      <w:pPr>
        <w:pStyle w:val="TextBody"/>
        <w:spacing w:before="0" w:after="0"/>
        <w:ind w:left="0" w:right="0" w:hanging="0"/>
        <w:jc w:val="both"/>
        <w:rPr>
          <w:rFonts w:ascii="times new roman" w:hAnsi="times new roman"/>
          <w:sz w:val="20"/>
        </w:rPr>
      </w:pPr>
      <w:r>
        <w:rPr>
          <w:rFonts w:ascii="times new roman" w:hAnsi="times new roman"/>
          <w:sz w:val="20"/>
        </w:rPr>
        <w:t>Approximate reinsurance recoverables on unpaid and paid losses by reinsurer at December 31, 2020 and 2019 are as follows:</w:t>
      </w:r>
    </w:p>
    <w:p>
      <w:pPr>
        <w:pStyle w:val="TextBody"/>
        <w:spacing w:before="0" w:after="0"/>
        <w:ind w:left="0" w:right="0" w:hanging="0"/>
        <w:jc w:val="both"/>
        <w:rPr/>
      </w:pPr>
      <w:r>
        <w:rPr/>
        <w:t> </w:t>
      </w:r>
    </w:p>
    <w:p>
      <w:pPr>
        <w:pStyle w:val="TextBody"/>
        <w:spacing w:before="0" w:after="0"/>
        <w:ind w:left="0" w:right="0" w:hanging="0"/>
        <w:rPr/>
      </w:pPr>
      <w:r>
        <w:rPr/>
        <w:t> </w:t>
      </w:r>
    </w:p>
    <w:p>
      <w:pPr>
        <w:pStyle w:val="TextBody"/>
        <w:spacing w:before="0" w:after="0"/>
        <w:ind w:left="0" w:right="0" w:hanging="0"/>
        <w:rPr/>
      </w:pPr>
      <w:r>
        <w:rPr/>
        <w:t> </w:t>
      </w:r>
    </w:p>
    <w:tbl>
      <w:tblPr>
        <w:tblW w:w="8060" w:type="dxa"/>
        <w:jc w:val="left"/>
        <w:tblInd w:w="0" w:type="dxa"/>
        <w:tblCellMar>
          <w:top w:w="0" w:type="dxa"/>
          <w:left w:w="0" w:type="dxa"/>
          <w:bottom w:w="0" w:type="dxa"/>
          <w:right w:w="0" w:type="dxa"/>
        </w:tblCellMar>
      </w:tblPr>
      <w:tblGrid>
        <w:gridCol w:w="3590"/>
        <w:gridCol w:w="90"/>
        <w:gridCol w:w="170"/>
        <w:gridCol w:w="710"/>
        <w:gridCol w:w="90"/>
        <w:gridCol w:w="90"/>
        <w:gridCol w:w="170"/>
        <w:gridCol w:w="710"/>
        <w:gridCol w:w="90"/>
        <w:gridCol w:w="90"/>
        <w:gridCol w:w="170"/>
        <w:gridCol w:w="710"/>
        <w:gridCol w:w="90"/>
        <w:gridCol w:w="90"/>
        <w:gridCol w:w="170"/>
        <w:gridCol w:w="710"/>
        <w:gridCol w:w="320"/>
      </w:tblGrid>
      <w:tr>
        <w:trPr/>
        <w:tc>
          <w:tcPr>
            <w:tcW w:w="35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Unpaid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Paid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0"/>
              <w:ind w:left="0" w:right="0" w:hanging="0"/>
              <w:rPr/>
            </w:pPr>
            <w:r>
              <w:rPr/>
              <w:t> </w:t>
            </w:r>
          </w:p>
        </w:tc>
        <w:tc>
          <w:tcPr>
            <w:tcW w:w="320" w:type="dxa"/>
            <w:tcBorders/>
            <w:shd w:fill="auto" w:val="clear"/>
            <w:vAlign w:val="center"/>
          </w:tcPr>
          <w:p>
            <w:pPr>
              <w:pStyle w:val="TableContents"/>
              <w:spacing w:before="0" w:after="0"/>
              <w:ind w:left="0" w:right="0" w:hanging="0"/>
              <w:rPr/>
            </w:pPr>
            <w:r>
              <w:rPr/>
              <w:t> </w:t>
            </w:r>
          </w:p>
        </w:tc>
      </w:tr>
      <w:tr>
        <w:trPr/>
        <w:tc>
          <w:tcPr>
            <w:tcW w:w="3590"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Fonts w:ascii="times new roman" w:hAnsi="times new roman"/>
                <w:sz w:val="20"/>
              </w:rPr>
              <w:t xml:space="preserve">($ in thousands)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Losses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Losses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Total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Security </w:t>
            </w:r>
          </w:p>
        </w:tc>
        <w:tc>
          <w:tcPr>
            <w:tcW w:w="320" w:type="dxa"/>
            <w:tcBorders/>
            <w:shd w:fill="auto" w:val="clear"/>
            <w:vAlign w:val="center"/>
          </w:tcPr>
          <w:p>
            <w:pPr>
              <w:pStyle w:val="TableContents"/>
              <w:spacing w:before="0" w:after="0"/>
              <w:ind w:left="0" w:right="0" w:hanging="0"/>
              <w:rPr/>
            </w:pPr>
            <w:r>
              <w:rPr/>
              <w:t> </w:t>
            </w:r>
          </w:p>
        </w:tc>
      </w:tr>
      <w:tr>
        <w:trPr/>
        <w:tc>
          <w:tcPr>
            <w:tcW w:w="3590" w:type="dxa"/>
            <w:tcBorders/>
            <w:shd w:fill="auto" w:val="clear"/>
            <w:vAlign w:val="center"/>
          </w:tcPr>
          <w:p>
            <w:pPr>
              <w:pStyle w:val="TableContents"/>
              <w:spacing w:before="0" w:after="0"/>
              <w:ind w:left="0" w:right="0" w:hanging="0"/>
              <w:rPr/>
            </w:pPr>
            <w:r>
              <w:rPr>
                <w:rStyle w:val="StrongEmphasis"/>
                <w:rFonts w:ascii="times new roman" w:hAnsi="times new roman"/>
                <w:sz w:val="20"/>
              </w:rPr>
              <w:t>December 31, 2020</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0"/>
              <w:ind w:left="0" w:right="0" w:hanging="0"/>
              <w:rPr/>
            </w:pPr>
            <w:r>
              <w:rPr/>
              <w:t> </w:t>
            </w:r>
          </w:p>
        </w:tc>
        <w:tc>
          <w:tcPr>
            <w:tcW w:w="320" w:type="dxa"/>
            <w:tcBorders/>
            <w:shd w:fill="auto" w:val="clear"/>
            <w:vAlign w:val="center"/>
          </w:tcPr>
          <w:p>
            <w:pPr>
              <w:pStyle w:val="TableContents"/>
              <w:spacing w:before="0" w:after="0"/>
              <w:ind w:left="0" w:right="0" w:hanging="0"/>
              <w:rPr/>
            </w:pPr>
            <w:r>
              <w:rPr/>
              <w:t> </w:t>
            </w:r>
          </w:p>
        </w:tc>
      </w:tr>
      <w:tr>
        <w:trPr/>
        <w:tc>
          <w:tcPr>
            <w:tcW w:w="3590" w:type="dxa"/>
            <w:tcBorders/>
            <w:shd w:fill="CCEEFF" w:val="clear"/>
            <w:vAlign w:val="center"/>
          </w:tcPr>
          <w:p>
            <w:pPr>
              <w:pStyle w:val="TableContents"/>
              <w:spacing w:before="0" w:after="0"/>
              <w:ind w:left="0" w:right="0" w:firstLine="225"/>
              <w:rPr>
                <w:rFonts w:ascii="times new roman" w:hAnsi="times new roman"/>
                <w:sz w:val="20"/>
              </w:rPr>
            </w:pPr>
            <w:r>
              <w:rPr>
                <w:rFonts w:ascii="times new roman" w:hAnsi="times new roman"/>
                <w:sz w:val="20"/>
              </w:rPr>
              <w:t xml:space="preserve">Cavello Bay Reinsurance Limited (1)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jc w:val="right"/>
              <w:rPr/>
            </w:pPr>
            <w:r>
              <w:rPr/>
              <w:t>2,850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jc w:val="right"/>
              <w:rPr/>
            </w:pPr>
            <w:r>
              <w:rPr/>
              <w:t>3,405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jc w:val="right"/>
              <w:rPr/>
            </w:pPr>
            <w:r>
              <w:rPr/>
              <w:t>6,255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jc w:val="right"/>
              <w:rPr/>
            </w:pPr>
            <w:r>
              <w:rPr/>
              <w:t>10,086</w:t>
            </w:r>
          </w:p>
        </w:tc>
        <w:tc>
          <w:tcPr>
            <w:tcW w:w="32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(2)</w:t>
            </w:r>
          </w:p>
        </w:tc>
      </w:tr>
      <w:tr>
        <w:trPr/>
        <w:tc>
          <w:tcPr>
            <w:tcW w:w="3590" w:type="dxa"/>
            <w:tcBorders/>
            <w:shd w:fill="FFFFFF" w:val="clear"/>
            <w:vAlign w:val="center"/>
          </w:tcPr>
          <w:p>
            <w:pPr>
              <w:pStyle w:val="TableContents"/>
              <w:spacing w:before="0" w:after="0"/>
              <w:ind w:left="0" w:right="0" w:firstLine="225"/>
              <w:rPr>
                <w:rFonts w:ascii="times new roman" w:hAnsi="times new roman"/>
                <w:sz w:val="20"/>
              </w:rPr>
            </w:pPr>
            <w:r>
              <w:rPr>
                <w:rFonts w:ascii="times new roman" w:hAnsi="times new roman"/>
                <w:sz w:val="20"/>
              </w:rPr>
              <w:t xml:space="preserve">Swiss Reinsurance America Corporation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7,778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5,840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13,618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w:t>
            </w:r>
          </w:p>
        </w:tc>
        <w:tc>
          <w:tcPr>
            <w:tcW w:w="320" w:type="dxa"/>
            <w:tcBorders/>
            <w:shd w:fill="FFFFFF" w:val="clear"/>
            <w:vAlign w:val="center"/>
          </w:tcPr>
          <w:p>
            <w:pPr>
              <w:pStyle w:val="TableContents"/>
              <w:spacing w:before="0" w:after="0"/>
              <w:ind w:left="0" w:right="0" w:hanging="0"/>
              <w:rPr/>
            </w:pPr>
            <w:r>
              <w:rPr/>
              <w:t> </w:t>
            </w:r>
          </w:p>
        </w:tc>
      </w:tr>
      <w:tr>
        <w:trPr/>
        <w:tc>
          <w:tcPr>
            <w:tcW w:w="3590" w:type="dxa"/>
            <w:tcBorders/>
            <w:shd w:fill="CCEEFF" w:val="clear"/>
            <w:vAlign w:val="center"/>
          </w:tcPr>
          <w:p>
            <w:pPr>
              <w:pStyle w:val="TableContents"/>
              <w:spacing w:before="0" w:after="0"/>
              <w:ind w:left="0" w:right="0" w:firstLine="225"/>
              <w:rPr>
                <w:rFonts w:ascii="times new roman" w:hAnsi="times new roman"/>
                <w:sz w:val="20"/>
              </w:rPr>
            </w:pPr>
            <w:r>
              <w:rPr>
                <w:rFonts w:ascii="times new roman" w:hAnsi="times new roman"/>
                <w:sz w:val="20"/>
              </w:rPr>
              <w:t xml:space="preserve">Hanover Rueck SE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4,909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2,897</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7,806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w:t>
            </w:r>
          </w:p>
        </w:tc>
        <w:tc>
          <w:tcPr>
            <w:tcW w:w="320" w:type="dxa"/>
            <w:tcBorders/>
            <w:shd w:fill="CCEEFF" w:val="clear"/>
            <w:vAlign w:val="center"/>
          </w:tcPr>
          <w:p>
            <w:pPr>
              <w:pStyle w:val="TableContents"/>
              <w:spacing w:before="0" w:after="0"/>
              <w:ind w:left="0" w:right="0" w:hanging="0"/>
              <w:rPr/>
            </w:pPr>
            <w:r>
              <w:rPr/>
              <w:t> </w:t>
            </w:r>
          </w:p>
        </w:tc>
      </w:tr>
      <w:tr>
        <w:trPr/>
        <w:tc>
          <w:tcPr>
            <w:tcW w:w="3590" w:type="dxa"/>
            <w:tcBorders/>
            <w:shd w:fill="FFFFFF" w:val="clear"/>
            <w:vAlign w:val="center"/>
          </w:tcPr>
          <w:p>
            <w:pPr>
              <w:pStyle w:val="TableContents"/>
              <w:spacing w:before="0" w:after="0"/>
              <w:ind w:left="0" w:right="0" w:firstLine="225"/>
              <w:rPr>
                <w:rFonts w:ascii="times new roman" w:hAnsi="times new roman"/>
                <w:sz w:val="20"/>
              </w:rPr>
            </w:pPr>
            <w:r>
              <w:rPr>
                <w:rFonts w:ascii="times new roman" w:hAnsi="times new roman"/>
                <w:sz w:val="20"/>
              </w:rPr>
              <w:t xml:space="preserve">Allied World Assurance Company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2,019</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1,761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3,780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w:t>
            </w:r>
          </w:p>
        </w:tc>
        <w:tc>
          <w:tcPr>
            <w:tcW w:w="320" w:type="dxa"/>
            <w:tcBorders/>
            <w:shd w:fill="FFFFFF" w:val="clear"/>
            <w:vAlign w:val="center"/>
          </w:tcPr>
          <w:p>
            <w:pPr>
              <w:pStyle w:val="TableContents"/>
              <w:spacing w:before="0" w:after="0"/>
              <w:ind w:left="0" w:right="0" w:hanging="0"/>
              <w:rPr/>
            </w:pPr>
            <w:r>
              <w:rPr/>
              <w:t> </w:t>
            </w:r>
          </w:p>
        </w:tc>
      </w:tr>
      <w:tr>
        <w:trPr/>
        <w:tc>
          <w:tcPr>
            <w:tcW w:w="3590" w:type="dxa"/>
            <w:tcBorders/>
            <w:shd w:fill="CCEEFF" w:val="clear"/>
            <w:vAlign w:val="center"/>
          </w:tcPr>
          <w:p>
            <w:pPr>
              <w:pStyle w:val="TableContents"/>
              <w:spacing w:before="0" w:after="0"/>
              <w:ind w:left="0" w:right="0" w:firstLine="225"/>
              <w:rPr>
                <w:rFonts w:ascii="times new roman" w:hAnsi="times new roman"/>
                <w:sz w:val="20"/>
              </w:rPr>
            </w:pPr>
            <w:r>
              <w:rPr>
                <w:rFonts w:ascii="times new roman" w:hAnsi="times new roman"/>
                <w:sz w:val="20"/>
              </w:rPr>
              <w:t xml:space="preserve">Others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10" w:type="dxa"/>
            <w:tcBorders>
              <w:bottom w:val="single" w:sz="2" w:space="0" w:color="000000"/>
            </w:tcBorders>
            <w:shd w:fill="CCEEFF" w:val="clear"/>
            <w:tcMar>
              <w:bottom w:w="28" w:type="dxa"/>
            </w:tcMar>
            <w:vAlign w:val="center"/>
          </w:tcPr>
          <w:p>
            <w:pPr>
              <w:pStyle w:val="TableContents"/>
              <w:spacing w:before="0" w:after="283"/>
              <w:jc w:val="right"/>
              <w:rPr/>
            </w:pPr>
            <w:r>
              <w:rPr/>
              <w:t>2,598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10" w:type="dxa"/>
            <w:tcBorders>
              <w:bottom w:val="single" w:sz="2" w:space="0" w:color="000000"/>
            </w:tcBorders>
            <w:shd w:fill="CCEEFF" w:val="clear"/>
            <w:tcMar>
              <w:bottom w:w="28" w:type="dxa"/>
            </w:tcMar>
            <w:vAlign w:val="center"/>
          </w:tcPr>
          <w:p>
            <w:pPr>
              <w:pStyle w:val="TableContents"/>
              <w:spacing w:before="0" w:after="283"/>
              <w:jc w:val="right"/>
              <w:rPr/>
            </w:pPr>
            <w:r>
              <w:rPr/>
              <w:t>884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10" w:type="dxa"/>
            <w:tcBorders>
              <w:bottom w:val="single" w:sz="2" w:space="0" w:color="000000"/>
            </w:tcBorders>
            <w:shd w:fill="CCEEFF" w:val="clear"/>
            <w:tcMar>
              <w:bottom w:w="28" w:type="dxa"/>
            </w:tcMar>
            <w:vAlign w:val="center"/>
          </w:tcPr>
          <w:p>
            <w:pPr>
              <w:pStyle w:val="TableContents"/>
              <w:spacing w:before="0" w:after="283"/>
              <w:jc w:val="right"/>
              <w:rPr/>
            </w:pPr>
            <w:r>
              <w:rPr/>
              <w:t>3,482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10" w:type="dxa"/>
            <w:tcBorders>
              <w:bottom w:val="single" w:sz="2" w:space="0" w:color="000000"/>
            </w:tcBorders>
            <w:shd w:fill="CCEEFF" w:val="clear"/>
            <w:tcMar>
              <w:bottom w:w="28" w:type="dxa"/>
            </w:tcMar>
            <w:vAlign w:val="center"/>
          </w:tcPr>
          <w:p>
            <w:pPr>
              <w:pStyle w:val="TableContents"/>
              <w:spacing w:before="0" w:after="283"/>
              <w:jc w:val="right"/>
              <w:rPr/>
            </w:pPr>
            <w:r>
              <w:rPr/>
              <w:t>732</w:t>
            </w:r>
          </w:p>
        </w:tc>
        <w:tc>
          <w:tcPr>
            <w:tcW w:w="32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(3)</w:t>
            </w:r>
          </w:p>
        </w:tc>
      </w:tr>
      <w:tr>
        <w:trPr/>
        <w:tc>
          <w:tcPr>
            <w:tcW w:w="3590" w:type="dxa"/>
            <w:tcBorders/>
            <w:shd w:fill="FFFFFF" w:val="clear"/>
            <w:vAlign w:val="center"/>
          </w:tcPr>
          <w:p>
            <w:pPr>
              <w:pStyle w:val="TableContents"/>
              <w:spacing w:before="0" w:after="0"/>
              <w:ind w:left="0" w:right="0" w:firstLine="225"/>
              <w:rPr>
                <w:rFonts w:ascii="times new roman" w:hAnsi="times new roman"/>
                <w:sz w:val="20"/>
              </w:rPr>
            </w:pPr>
            <w:r>
              <w:rPr>
                <w:rFonts w:ascii="times new roman" w:hAnsi="times new roman"/>
                <w:sz w:val="20"/>
              </w:rPr>
              <w:t xml:space="preserve">Total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710" w:type="dxa"/>
            <w:tcBorders>
              <w:bottom w:val="double" w:sz="6" w:space="0" w:color="000000"/>
            </w:tcBorders>
            <w:shd w:fill="FFFFFF" w:val="clear"/>
            <w:tcMar>
              <w:bottom w:w="28" w:type="dxa"/>
            </w:tcMar>
            <w:vAlign w:val="center"/>
          </w:tcPr>
          <w:p>
            <w:pPr>
              <w:pStyle w:val="TableContents"/>
              <w:spacing w:before="0" w:after="283"/>
              <w:jc w:val="right"/>
              <w:rPr/>
            </w:pPr>
            <w:r>
              <w:rPr/>
              <w:t>20,154</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710" w:type="dxa"/>
            <w:tcBorders>
              <w:bottom w:val="double" w:sz="6" w:space="0" w:color="000000"/>
            </w:tcBorders>
            <w:shd w:fill="FFFFFF" w:val="clear"/>
            <w:tcMar>
              <w:bottom w:w="28" w:type="dxa"/>
            </w:tcMar>
            <w:vAlign w:val="center"/>
          </w:tcPr>
          <w:p>
            <w:pPr>
              <w:pStyle w:val="TableContents"/>
              <w:spacing w:before="0" w:after="283"/>
              <w:jc w:val="right"/>
              <w:rPr/>
            </w:pPr>
            <w:r>
              <w:rPr/>
              <w:t>14,787</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710" w:type="dxa"/>
            <w:tcBorders>
              <w:bottom w:val="double" w:sz="6" w:space="0" w:color="000000"/>
            </w:tcBorders>
            <w:shd w:fill="FFFFFF" w:val="clear"/>
            <w:tcMar>
              <w:bottom w:w="28" w:type="dxa"/>
            </w:tcMar>
            <w:vAlign w:val="center"/>
          </w:tcPr>
          <w:p>
            <w:pPr>
              <w:pStyle w:val="TableContents"/>
              <w:spacing w:before="0" w:after="283"/>
              <w:jc w:val="right"/>
              <w:rPr/>
            </w:pPr>
            <w:r>
              <w:rPr/>
              <w:t>34,941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710" w:type="dxa"/>
            <w:tcBorders>
              <w:bottom w:val="double" w:sz="6" w:space="0" w:color="000000"/>
            </w:tcBorders>
            <w:shd w:fill="FFFFFF" w:val="clear"/>
            <w:tcMar>
              <w:bottom w:w="28" w:type="dxa"/>
            </w:tcMar>
            <w:vAlign w:val="center"/>
          </w:tcPr>
          <w:p>
            <w:pPr>
              <w:pStyle w:val="TableContents"/>
              <w:spacing w:before="0" w:after="283"/>
              <w:jc w:val="right"/>
              <w:rPr/>
            </w:pPr>
            <w:r>
              <w:rPr/>
              <w:t>10,818</w:t>
            </w:r>
          </w:p>
        </w:tc>
        <w:tc>
          <w:tcPr>
            <w:tcW w:w="320" w:type="dxa"/>
            <w:tcBorders/>
            <w:shd w:fill="FFFFFF" w:val="clear"/>
            <w:vAlign w:val="center"/>
          </w:tcPr>
          <w:p>
            <w:pPr>
              <w:pStyle w:val="TableContents"/>
              <w:spacing w:before="0" w:after="0"/>
              <w:ind w:left="0" w:right="0" w:hanging="0"/>
              <w:rPr/>
            </w:pPr>
            <w:r>
              <w:rPr/>
              <w:t> </w:t>
            </w:r>
          </w:p>
        </w:tc>
      </w:tr>
      <w:tr>
        <w:trPr/>
        <w:tc>
          <w:tcPr>
            <w:tcW w:w="35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320" w:type="dxa"/>
            <w:tcBorders/>
            <w:shd w:fill="CCEEFF" w:val="clear"/>
            <w:vAlign w:val="center"/>
          </w:tcPr>
          <w:p>
            <w:pPr>
              <w:pStyle w:val="TableContents"/>
              <w:spacing w:before="0" w:after="0"/>
              <w:ind w:left="0" w:right="0" w:hanging="0"/>
              <w:rPr/>
            </w:pPr>
            <w:r>
              <w:rPr/>
              <w:t> </w:t>
            </w:r>
          </w:p>
        </w:tc>
      </w:tr>
      <w:tr>
        <w:trPr/>
        <w:tc>
          <w:tcPr>
            <w:tcW w:w="3590" w:type="dxa"/>
            <w:tcBorders/>
            <w:shd w:fill="FFFFFF" w:val="clear"/>
            <w:vAlign w:val="center"/>
          </w:tcPr>
          <w:p>
            <w:pPr>
              <w:pStyle w:val="TableContents"/>
              <w:spacing w:before="0" w:after="0"/>
              <w:ind w:left="0" w:right="0" w:hanging="0"/>
              <w:rPr/>
            </w:pPr>
            <w:r>
              <w:rPr>
                <w:rStyle w:val="StrongEmphasis"/>
                <w:rFonts w:ascii="times new roman" w:hAnsi="times new roman"/>
                <w:sz w:val="20"/>
              </w:rPr>
              <w:t>December 31, 2019</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320" w:type="dxa"/>
            <w:tcBorders/>
            <w:shd w:fill="FFFFFF" w:val="clear"/>
            <w:vAlign w:val="center"/>
          </w:tcPr>
          <w:p>
            <w:pPr>
              <w:pStyle w:val="TableContents"/>
              <w:spacing w:before="0" w:after="0"/>
              <w:ind w:left="0" w:right="0" w:hanging="0"/>
              <w:rPr/>
            </w:pPr>
            <w:r>
              <w:rPr/>
              <w:t> </w:t>
            </w:r>
          </w:p>
        </w:tc>
      </w:tr>
      <w:tr>
        <w:trPr/>
        <w:tc>
          <w:tcPr>
            <w:tcW w:w="3590" w:type="dxa"/>
            <w:tcBorders/>
            <w:shd w:fill="CCEEFF" w:val="clear"/>
            <w:vAlign w:val="center"/>
          </w:tcPr>
          <w:p>
            <w:pPr>
              <w:pStyle w:val="TableContents"/>
              <w:spacing w:before="0" w:after="0"/>
              <w:ind w:left="0" w:right="0" w:firstLine="225"/>
              <w:rPr>
                <w:rFonts w:ascii="times new roman" w:hAnsi="times new roman"/>
                <w:sz w:val="20"/>
              </w:rPr>
            </w:pPr>
            <w:r>
              <w:rPr>
                <w:rFonts w:ascii="times new roman" w:hAnsi="times new roman"/>
                <w:sz w:val="20"/>
              </w:rPr>
              <w:t xml:space="preserve">Cavello Bay Reinsurance Limited (1)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jc w:val="right"/>
              <w:rPr/>
            </w:pPr>
            <w:r>
              <w:rPr/>
              <w:t>4,036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jc w:val="right"/>
              <w:rPr/>
            </w:pPr>
            <w:r>
              <w:rPr/>
              <w:t>2,427</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jc w:val="right"/>
              <w:rPr/>
            </w:pPr>
            <w:r>
              <w:rPr/>
              <w:t>6,463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jc w:val="right"/>
              <w:rPr/>
            </w:pPr>
            <w:r>
              <w:rPr/>
              <w:t>5,995</w:t>
            </w:r>
          </w:p>
        </w:tc>
        <w:tc>
          <w:tcPr>
            <w:tcW w:w="32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(2)</w:t>
            </w:r>
          </w:p>
        </w:tc>
      </w:tr>
      <w:tr>
        <w:trPr/>
        <w:tc>
          <w:tcPr>
            <w:tcW w:w="3590" w:type="dxa"/>
            <w:tcBorders/>
            <w:shd w:fill="FFFFFF" w:val="clear"/>
            <w:vAlign w:val="center"/>
          </w:tcPr>
          <w:p>
            <w:pPr>
              <w:pStyle w:val="TableContents"/>
              <w:spacing w:before="0" w:after="0"/>
              <w:ind w:left="0" w:right="0" w:firstLine="225"/>
              <w:rPr>
                <w:rFonts w:ascii="times new roman" w:hAnsi="times new roman"/>
                <w:sz w:val="20"/>
              </w:rPr>
            </w:pPr>
            <w:r>
              <w:rPr>
                <w:rFonts w:ascii="times new roman" w:hAnsi="times new roman"/>
                <w:sz w:val="20"/>
              </w:rPr>
              <w:t xml:space="preserve">Swiss Reinsurance America Corporation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4,418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1,336</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5,754</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w:t>
            </w:r>
          </w:p>
        </w:tc>
        <w:tc>
          <w:tcPr>
            <w:tcW w:w="320" w:type="dxa"/>
            <w:tcBorders/>
            <w:shd w:fill="FFFFFF" w:val="clear"/>
            <w:vAlign w:val="center"/>
          </w:tcPr>
          <w:p>
            <w:pPr>
              <w:pStyle w:val="TableContents"/>
              <w:spacing w:before="0" w:after="0"/>
              <w:ind w:left="0" w:right="0" w:hanging="0"/>
              <w:rPr/>
            </w:pPr>
            <w:r>
              <w:rPr/>
              <w:t> </w:t>
            </w:r>
          </w:p>
        </w:tc>
      </w:tr>
      <w:tr>
        <w:trPr/>
        <w:tc>
          <w:tcPr>
            <w:tcW w:w="3590" w:type="dxa"/>
            <w:tcBorders/>
            <w:shd w:fill="CCEEFF" w:val="clear"/>
            <w:vAlign w:val="center"/>
          </w:tcPr>
          <w:p>
            <w:pPr>
              <w:pStyle w:val="TableContents"/>
              <w:spacing w:before="0" w:after="0"/>
              <w:ind w:left="0" w:right="0" w:firstLine="225"/>
              <w:rPr>
                <w:rFonts w:ascii="times new roman" w:hAnsi="times new roman"/>
                <w:sz w:val="20"/>
              </w:rPr>
            </w:pPr>
            <w:r>
              <w:rPr>
                <w:rFonts w:ascii="times new roman" w:hAnsi="times new roman"/>
                <w:sz w:val="20"/>
              </w:rPr>
              <w:t xml:space="preserve">Hanover Rueck SE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3,156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522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3,678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w:t>
            </w:r>
          </w:p>
        </w:tc>
        <w:tc>
          <w:tcPr>
            <w:tcW w:w="320" w:type="dxa"/>
            <w:tcBorders/>
            <w:shd w:fill="CCEEFF" w:val="clear"/>
            <w:vAlign w:val="center"/>
          </w:tcPr>
          <w:p>
            <w:pPr>
              <w:pStyle w:val="TableContents"/>
              <w:spacing w:before="0" w:after="0"/>
              <w:ind w:left="0" w:right="0" w:hanging="0"/>
              <w:rPr/>
            </w:pPr>
            <w:r>
              <w:rPr/>
              <w:t> </w:t>
            </w:r>
          </w:p>
        </w:tc>
      </w:tr>
      <w:tr>
        <w:trPr/>
        <w:tc>
          <w:tcPr>
            <w:tcW w:w="3590" w:type="dxa"/>
            <w:tcBorders/>
            <w:shd w:fill="FFFFFF" w:val="clear"/>
            <w:vAlign w:val="center"/>
          </w:tcPr>
          <w:p>
            <w:pPr>
              <w:pStyle w:val="TableContents"/>
              <w:spacing w:before="0" w:after="0"/>
              <w:ind w:left="0" w:right="0" w:firstLine="225"/>
              <w:rPr>
                <w:rFonts w:ascii="times new roman" w:hAnsi="times new roman"/>
                <w:sz w:val="20"/>
              </w:rPr>
            </w:pPr>
            <w:r>
              <w:rPr>
                <w:rFonts w:ascii="times new roman" w:hAnsi="times new roman"/>
                <w:sz w:val="20"/>
              </w:rPr>
              <w:t xml:space="preserve">SCOR Reinsurance Company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394</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458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852</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w:t>
            </w:r>
          </w:p>
        </w:tc>
        <w:tc>
          <w:tcPr>
            <w:tcW w:w="320" w:type="dxa"/>
            <w:tcBorders/>
            <w:shd w:fill="FFFFFF" w:val="clear"/>
            <w:vAlign w:val="center"/>
          </w:tcPr>
          <w:p>
            <w:pPr>
              <w:pStyle w:val="TableContents"/>
              <w:spacing w:before="0" w:after="0"/>
              <w:ind w:left="0" w:right="0" w:hanging="0"/>
              <w:rPr/>
            </w:pPr>
            <w:r>
              <w:rPr/>
              <w:t> </w:t>
            </w:r>
          </w:p>
        </w:tc>
      </w:tr>
      <w:tr>
        <w:trPr/>
        <w:tc>
          <w:tcPr>
            <w:tcW w:w="3590" w:type="dxa"/>
            <w:tcBorders/>
            <w:shd w:fill="CCEEFF" w:val="clear"/>
            <w:vAlign w:val="center"/>
          </w:tcPr>
          <w:p>
            <w:pPr>
              <w:pStyle w:val="TableContents"/>
              <w:spacing w:before="0" w:after="0"/>
              <w:ind w:left="0" w:right="0" w:firstLine="225"/>
              <w:rPr>
                <w:rFonts w:ascii="times new roman" w:hAnsi="times new roman"/>
                <w:sz w:val="20"/>
              </w:rPr>
            </w:pPr>
            <w:r>
              <w:rPr>
                <w:rFonts w:ascii="times new roman" w:hAnsi="times new roman"/>
                <w:sz w:val="20"/>
              </w:rPr>
              <w:t xml:space="preserve">Allied World Assurance Company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760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170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930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w:t>
            </w:r>
          </w:p>
        </w:tc>
        <w:tc>
          <w:tcPr>
            <w:tcW w:w="320" w:type="dxa"/>
            <w:tcBorders/>
            <w:shd w:fill="CCEEFF" w:val="clear"/>
            <w:vAlign w:val="center"/>
          </w:tcPr>
          <w:p>
            <w:pPr>
              <w:pStyle w:val="TableContents"/>
              <w:spacing w:before="0" w:after="0"/>
              <w:ind w:left="0" w:right="0" w:hanging="0"/>
              <w:rPr/>
            </w:pPr>
            <w:r>
              <w:rPr/>
              <w:t> </w:t>
            </w:r>
          </w:p>
        </w:tc>
      </w:tr>
      <w:tr>
        <w:trPr/>
        <w:tc>
          <w:tcPr>
            <w:tcW w:w="3590" w:type="dxa"/>
            <w:tcBorders/>
            <w:shd w:fill="FFFFFF" w:val="clear"/>
            <w:vAlign w:val="center"/>
          </w:tcPr>
          <w:p>
            <w:pPr>
              <w:pStyle w:val="TableContents"/>
              <w:spacing w:before="0" w:after="0"/>
              <w:ind w:left="0" w:right="0" w:firstLine="225"/>
              <w:rPr>
                <w:rFonts w:ascii="times new roman" w:hAnsi="times new roman"/>
                <w:sz w:val="20"/>
              </w:rPr>
            </w:pPr>
            <w:r>
              <w:rPr>
                <w:rFonts w:ascii="times new roman" w:hAnsi="times new roman"/>
                <w:sz w:val="20"/>
              </w:rPr>
              <w:t xml:space="preserve">Others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710" w:type="dxa"/>
            <w:tcBorders>
              <w:bottom w:val="single" w:sz="2" w:space="0" w:color="000000"/>
            </w:tcBorders>
            <w:shd w:fill="FFFFFF" w:val="clear"/>
            <w:tcMar>
              <w:bottom w:w="28" w:type="dxa"/>
            </w:tcMar>
            <w:vAlign w:val="center"/>
          </w:tcPr>
          <w:p>
            <w:pPr>
              <w:pStyle w:val="TableContents"/>
              <w:spacing w:before="0" w:after="283"/>
              <w:jc w:val="right"/>
              <w:rPr/>
            </w:pPr>
            <w:r>
              <w:rPr/>
              <w:t>2,964</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710" w:type="dxa"/>
            <w:tcBorders>
              <w:bottom w:val="single" w:sz="2" w:space="0" w:color="000000"/>
            </w:tcBorders>
            <w:shd w:fill="FFFFFF" w:val="clear"/>
            <w:tcMar>
              <w:bottom w:w="28" w:type="dxa"/>
            </w:tcMar>
            <w:vAlign w:val="center"/>
          </w:tcPr>
          <w:p>
            <w:pPr>
              <w:pStyle w:val="TableContents"/>
              <w:spacing w:before="0" w:after="283"/>
              <w:jc w:val="right"/>
              <w:rPr/>
            </w:pPr>
            <w:r>
              <w:rPr/>
              <w:t>471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710" w:type="dxa"/>
            <w:tcBorders>
              <w:bottom w:val="single" w:sz="2" w:space="0" w:color="000000"/>
            </w:tcBorders>
            <w:shd w:fill="FFFFFF" w:val="clear"/>
            <w:tcMar>
              <w:bottom w:w="28" w:type="dxa"/>
            </w:tcMar>
            <w:vAlign w:val="center"/>
          </w:tcPr>
          <w:p>
            <w:pPr>
              <w:pStyle w:val="TableContents"/>
              <w:spacing w:before="0" w:after="283"/>
              <w:jc w:val="right"/>
              <w:rPr/>
            </w:pPr>
            <w:r>
              <w:rPr/>
              <w:t>3,435</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710"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320" w:type="dxa"/>
            <w:tcBorders/>
            <w:shd w:fill="FFFFFF" w:val="clear"/>
            <w:vAlign w:val="center"/>
          </w:tcPr>
          <w:p>
            <w:pPr>
              <w:pStyle w:val="TableContents"/>
              <w:spacing w:before="0" w:after="0"/>
              <w:ind w:left="0" w:right="0" w:hanging="0"/>
              <w:rPr/>
            </w:pPr>
            <w:r>
              <w:rPr/>
              <w:t> </w:t>
            </w:r>
          </w:p>
        </w:tc>
      </w:tr>
      <w:tr>
        <w:trPr/>
        <w:tc>
          <w:tcPr>
            <w:tcW w:w="3590" w:type="dxa"/>
            <w:tcBorders/>
            <w:shd w:fill="CCEEFF" w:val="clear"/>
            <w:vAlign w:val="center"/>
          </w:tcPr>
          <w:p>
            <w:pPr>
              <w:pStyle w:val="TableContents"/>
              <w:spacing w:before="0" w:after="0"/>
              <w:ind w:left="0" w:right="0" w:firstLine="225"/>
              <w:rPr>
                <w:rFonts w:ascii="times new roman" w:hAnsi="times new roman"/>
                <w:sz w:val="20"/>
              </w:rPr>
            </w:pPr>
            <w:r>
              <w:rPr>
                <w:rFonts w:ascii="times new roman" w:hAnsi="times new roman"/>
                <w:sz w:val="20"/>
              </w:rPr>
              <w:t xml:space="preserve">Total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710" w:type="dxa"/>
            <w:tcBorders>
              <w:bottom w:val="double" w:sz="6" w:space="0" w:color="000000"/>
            </w:tcBorders>
            <w:shd w:fill="CCEEFF" w:val="clear"/>
            <w:tcMar>
              <w:bottom w:w="28" w:type="dxa"/>
            </w:tcMar>
            <w:vAlign w:val="center"/>
          </w:tcPr>
          <w:p>
            <w:pPr>
              <w:pStyle w:val="TableContents"/>
              <w:spacing w:before="0" w:after="283"/>
              <w:jc w:val="right"/>
              <w:rPr/>
            </w:pPr>
            <w:r>
              <w:rPr/>
              <w:t>15,728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710" w:type="dxa"/>
            <w:tcBorders>
              <w:bottom w:val="double" w:sz="6" w:space="0" w:color="000000"/>
            </w:tcBorders>
            <w:shd w:fill="CCEEFF" w:val="clear"/>
            <w:tcMar>
              <w:bottom w:w="28" w:type="dxa"/>
            </w:tcMar>
            <w:vAlign w:val="center"/>
          </w:tcPr>
          <w:p>
            <w:pPr>
              <w:pStyle w:val="TableContents"/>
              <w:spacing w:before="0" w:after="283"/>
              <w:jc w:val="right"/>
              <w:rPr/>
            </w:pPr>
            <w:r>
              <w:rPr/>
              <w:t>5,385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710" w:type="dxa"/>
            <w:tcBorders>
              <w:bottom w:val="double" w:sz="6" w:space="0" w:color="000000"/>
            </w:tcBorders>
            <w:shd w:fill="CCEEFF" w:val="clear"/>
            <w:tcMar>
              <w:bottom w:w="28" w:type="dxa"/>
            </w:tcMar>
            <w:vAlign w:val="center"/>
          </w:tcPr>
          <w:p>
            <w:pPr>
              <w:pStyle w:val="TableContents"/>
              <w:spacing w:before="0" w:after="283"/>
              <w:jc w:val="right"/>
              <w:rPr/>
            </w:pPr>
            <w:r>
              <w:rPr/>
              <w:t>21,112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710" w:type="dxa"/>
            <w:tcBorders>
              <w:bottom w:val="double" w:sz="6" w:space="0" w:color="000000"/>
            </w:tcBorders>
            <w:shd w:fill="CCEEFF" w:val="clear"/>
            <w:tcMar>
              <w:bottom w:w="28" w:type="dxa"/>
            </w:tcMar>
            <w:vAlign w:val="center"/>
          </w:tcPr>
          <w:p>
            <w:pPr>
              <w:pStyle w:val="TableContents"/>
              <w:spacing w:before="0" w:after="283"/>
              <w:jc w:val="right"/>
              <w:rPr/>
            </w:pPr>
            <w:r>
              <w:rPr/>
              <w:t>5,995</w:t>
            </w:r>
          </w:p>
        </w:tc>
        <w:tc>
          <w:tcPr>
            <w:tcW w:w="320"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hanging="0"/>
        <w:jc w:val="center"/>
        <w:rPr/>
      </w:pPr>
      <w:r>
        <w:rPr>
          <w:rStyle w:val="Emphasis"/>
          <w:rFonts w:ascii="times new roman" w:hAnsi="times new roman"/>
          <w:sz w:val="20"/>
        </w:rPr>
        <w:t>(Columns in the tables above may not sum to totals due to rounding)</w:t>
      </w:r>
    </w:p>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295"/>
        <w:gridCol w:w="9910"/>
      </w:tblGrid>
      <w:tr>
        <w:trPr/>
        <w:tc>
          <w:tcPr>
            <w:tcW w:w="29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(1) </w:t>
            </w:r>
          </w:p>
        </w:tc>
        <w:tc>
          <w:tcPr>
            <w:tcW w:w="9910"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On December 27, 2018, Enstar Group Limited announced that one of its wholly owned subsidiaries, Cavello Bay Reinsurance Limited, acquired Maiden Reinsurance North America, Inc. </w:t>
            </w:r>
          </w:p>
        </w:tc>
      </w:tr>
      <w:tr>
        <w:trPr/>
        <w:tc>
          <w:tcPr>
            <w:tcW w:w="295"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(2) </w:t>
            </w:r>
          </w:p>
        </w:tc>
        <w:tc>
          <w:tcPr>
            <w:tcW w:w="9910"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Secured pursuant to collateralized trust agreements. </w:t>
            </w:r>
          </w:p>
        </w:tc>
      </w:tr>
      <w:tr>
        <w:trPr/>
        <w:tc>
          <w:tcPr>
            <w:tcW w:w="295"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(3) </w:t>
            </w:r>
          </w:p>
        </w:tc>
        <w:tc>
          <w:tcPr>
            <w:tcW w:w="9910"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Represents $732,000 guaranteed by irrevocable letters of credit.</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Assets held in the trusts referred to in footnote (2) in the table above are not included in the Company’s invested assets and investment income earned on these assets is credited to the reinsurers respectively. In addition to reinsurance recoverables on unpaid and paid losses, reinsurance receivables in the accompanying consolidated balance sheets as of December 31, 2020 and 2019 include unearned ceded premiums of approximately $282,000 and $19,638,000, respectively.</w:t>
      </w:r>
    </w:p>
    <w:p>
      <w:pPr>
        <w:pStyle w:val="TextBody"/>
        <w:spacing w:before="0" w:after="0"/>
        <w:ind w:left="0" w:right="0" w:hanging="0"/>
        <w:jc w:val="both"/>
        <w:rPr/>
      </w:pPr>
      <w:r>
        <w:rPr/>
        <w:t> </w:t>
      </w:r>
    </w:p>
    <w:p>
      <w:pPr>
        <w:pStyle w:val="TextBody"/>
        <w:spacing w:before="0" w:after="0"/>
        <w:ind w:left="0" w:right="0" w:hanging="0"/>
        <w:jc w:val="both"/>
        <w:rPr/>
      </w:pPr>
      <w:r>
        <w:rPr>
          <w:rFonts w:ascii="times new roman" w:hAnsi="times new roman"/>
          <w:sz w:val="20"/>
          <w:u w:val="single"/>
        </w:rPr>
        <w:t>Ceding Commission Revenue</w:t>
      </w:r>
      <w:r>
        <w:rPr>
          <w:rStyle w:val="Emphasis"/>
          <w:rFonts w:ascii="times new roman" w:hAnsi="times new roman"/>
          <w:sz w:val="20"/>
        </w:rPr>
        <w:t xml:space="preserve">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Company earns ceding commission revenue under its quota share reinsurance agreements based on: (i) a fixed provisional commission rate at which provisional ceding commissions are earned, and (ii) a sliding scale of commission rates and ultimate treaty year loss ratios on the policies reinsured under each of these agreements based upon which contingent ceding commissions are earned. The sliding scale includes minimum and maximum commission rates in relation to specified ultimate loss ratios.  The commission rate and contingent ceding commissions earned increases when the estimated ultimate loss ratio decreases and, conversely, the commission rate and contingent ceding commissions earned decreases when the estimated ultimate loss ratio increases.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F-31</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2020 AND 2019</w:t>
      </w:r>
    </w:p>
    <w:p>
      <w:pPr>
        <w:pStyle w:val="TextBody"/>
        <w:spacing w:before="0" w:after="0"/>
        <w:ind w:left="0" w:right="0" w:hanging="0"/>
        <w:jc w:val="center"/>
        <w:rPr/>
      </w:pPr>
      <w:r>
        <w:rPr>
          <w:rStyle w:val="StrongEmphasis"/>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Company’s estimated ultimate treaty year loss ratios (the “Loss Ratio(s)”) for treaties in effect during the year ended December 31, 2020 are attributable to contracts under the 2019/2020 Treaty. The Loss Ratios for treaties in effect for the year ended December 31, 2019 are attributable to contracts under the 2019/2020 Treaty and 2017/2019 Treaty for the 2018/2019 Treaty Year, which expired on June 30, 2019 and was not renewed.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Under the 2019/2020 Treaty and the 2017/2019 Treaty for the 2018/2019 Treaty Year, the Company received an upfront fixed provisional ceding commission rate that is not subject to a sliding scale contingent adjustment. In addition to the treaties that were in effect during the years ended December 31, 2020 and 2019, the Loss Ratios from prior years’ treaties are subject to change as incurred losses from those periods increase or decrease, resulting in an increase or decrease in the commission rate and contingent ceding commissions earned.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Ceding commission revenue consists of the following:</w:t>
      </w:r>
    </w:p>
    <w:p>
      <w:pPr>
        <w:pStyle w:val="TextBody"/>
        <w:spacing w:before="0" w:after="0"/>
        <w:ind w:left="0" w:right="0" w:hanging="0"/>
        <w:jc w:val="both"/>
        <w:rPr/>
      </w:pPr>
      <w:r>
        <w:rPr/>
        <w:t>  </w:t>
      </w:r>
    </w:p>
    <w:p>
      <w:pPr>
        <w:pStyle w:val="TextBody"/>
        <w:spacing w:before="0" w:after="0"/>
        <w:ind w:left="0" w:right="0" w:hanging="0"/>
        <w:rPr/>
      </w:pPr>
      <w:r>
        <w:rPr/>
        <w:t> </w:t>
      </w:r>
    </w:p>
    <w:p>
      <w:pPr>
        <w:pStyle w:val="TextBody"/>
        <w:spacing w:before="0" w:after="0"/>
        <w:ind w:left="0" w:right="0" w:hanging="0"/>
        <w:rPr/>
      </w:pPr>
      <w:r>
        <w:rPr/>
        <w:t> </w:t>
      </w:r>
    </w:p>
    <w:tbl>
      <w:tblPr>
        <w:tblW w:w="6300" w:type="dxa"/>
        <w:jc w:val="left"/>
        <w:tblInd w:w="0" w:type="dxa"/>
        <w:tblCellMar>
          <w:top w:w="0" w:type="dxa"/>
          <w:left w:w="0" w:type="dxa"/>
          <w:bottom w:w="0" w:type="dxa"/>
          <w:right w:w="0" w:type="dxa"/>
        </w:tblCellMar>
      </w:tblPr>
      <w:tblGrid>
        <w:gridCol w:w="3380"/>
        <w:gridCol w:w="90"/>
        <w:gridCol w:w="170"/>
        <w:gridCol w:w="1130"/>
        <w:gridCol w:w="90"/>
        <w:gridCol w:w="90"/>
        <w:gridCol w:w="170"/>
        <w:gridCol w:w="1010"/>
        <w:gridCol w:w="170"/>
      </w:tblGrid>
      <w:tr>
        <w:trPr/>
        <w:tc>
          <w:tcPr>
            <w:tcW w:w="338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660" w:type="dxa"/>
            <w:gridSpan w:val="6"/>
            <w:tcBorders/>
            <w:shd w:fill="auto" w:val="clear"/>
            <w:vAlign w:val="center"/>
          </w:tcPr>
          <w:p>
            <w:pPr>
              <w:pStyle w:val="TableContents"/>
              <w:spacing w:before="0" w:after="0"/>
              <w:ind w:left="0" w:right="0" w:hanging="0"/>
              <w:jc w:val="center"/>
              <w:rPr/>
            </w:pPr>
            <w:r>
              <w:rPr>
                <w:rStyle w:val="StrongEmphasis"/>
              </w:rPr>
              <w:t xml:space="preserve">  </w:t>
            </w:r>
            <w:r>
              <w:rPr>
                <w:rStyle w:val="StrongEmphasis"/>
                <w:rFonts w:ascii="times new roman" w:hAnsi="times new roman"/>
                <w:sz w:val="20"/>
              </w:rPr>
              <w:t xml:space="preserve">Years ended </w:t>
            </w:r>
          </w:p>
        </w:tc>
        <w:tc>
          <w:tcPr>
            <w:tcW w:w="170" w:type="dxa"/>
            <w:tcBorders/>
            <w:shd w:fill="auto" w:val="clear"/>
            <w:vAlign w:val="center"/>
          </w:tcPr>
          <w:p>
            <w:pPr>
              <w:pStyle w:val="TableContents"/>
              <w:spacing w:before="0" w:after="0"/>
              <w:ind w:left="0" w:right="0" w:hanging="0"/>
              <w:rPr/>
            </w:pPr>
            <w:r>
              <w:rPr/>
              <w:t> </w:t>
            </w:r>
          </w:p>
        </w:tc>
      </w:tr>
      <w:tr>
        <w:trPr/>
        <w:tc>
          <w:tcPr>
            <w:tcW w:w="338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660"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w:t>
            </w:r>
          </w:p>
        </w:tc>
        <w:tc>
          <w:tcPr>
            <w:tcW w:w="170" w:type="dxa"/>
            <w:tcBorders/>
            <w:shd w:fill="auto" w:val="clear"/>
            <w:vAlign w:val="center"/>
          </w:tcPr>
          <w:p>
            <w:pPr>
              <w:pStyle w:val="TableContents"/>
              <w:spacing w:before="0" w:after="0"/>
              <w:ind w:left="0" w:right="0" w:hanging="0"/>
              <w:rPr/>
            </w:pPr>
            <w:r>
              <w:rPr/>
              <w:t> </w:t>
            </w:r>
          </w:p>
        </w:tc>
      </w:tr>
      <w:tr>
        <w:trPr/>
        <w:tc>
          <w:tcPr>
            <w:tcW w:w="338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2020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2019 </w:t>
            </w:r>
          </w:p>
        </w:tc>
        <w:tc>
          <w:tcPr>
            <w:tcW w:w="170" w:type="dxa"/>
            <w:tcBorders/>
            <w:shd w:fill="auto" w:val="clear"/>
            <w:vAlign w:val="center"/>
          </w:tcPr>
          <w:p>
            <w:pPr>
              <w:pStyle w:val="TableContents"/>
              <w:spacing w:before="0" w:after="0"/>
              <w:ind w:left="0" w:right="0" w:hanging="0"/>
              <w:rPr/>
            </w:pPr>
            <w:r>
              <w:rPr/>
              <w:t> </w:t>
            </w:r>
          </w:p>
        </w:tc>
      </w:tr>
      <w:tr>
        <w:trPr/>
        <w:tc>
          <w:tcPr>
            <w:tcW w:w="338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40" w:type="dxa"/>
            <w:gridSpan w:val="4"/>
            <w:tcBorders/>
            <w:shd w:fill="auto" w:val="clear"/>
            <w:vAlign w:val="center"/>
          </w:tcPr>
          <w:p>
            <w:pPr>
              <w:pStyle w:val="TableContents"/>
              <w:spacing w:before="0" w:after="0"/>
              <w:ind w:left="0" w:right="0" w:hanging="0"/>
              <w:rPr/>
            </w:pPr>
            <w:r>
              <w:rPr/>
              <w:t> </w:t>
            </w:r>
          </w:p>
        </w:tc>
      </w:tr>
      <w:tr>
        <w:trPr/>
        <w:tc>
          <w:tcPr>
            <w:tcW w:w="3380" w:type="dxa"/>
            <w:tcBorders/>
            <w:shd w:fill="CCEEFF" w:val="clear"/>
            <w:vAlign w:val="center"/>
          </w:tcPr>
          <w:p>
            <w:pPr>
              <w:pStyle w:val="TableContents"/>
              <w:spacing w:before="0" w:after="0"/>
              <w:ind w:left="0" w:right="0" w:hanging="0"/>
              <w:rPr/>
            </w:pPr>
            <w:r>
              <w:rPr/>
              <w:t> </w:t>
            </w:r>
            <w:r>
              <w:rPr>
                <w:rFonts w:ascii="times new roman" w:hAnsi="times new roman"/>
                <w:sz w:val="20"/>
              </w:rPr>
              <w:t xml:space="preserve">Provisional ceding commissions earned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14,119,180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5,446,370</w:t>
            </w:r>
          </w:p>
        </w:tc>
        <w:tc>
          <w:tcPr>
            <w:tcW w:w="170" w:type="dxa"/>
            <w:tcBorders/>
            <w:shd w:fill="CCEEFF" w:val="clear"/>
            <w:vAlign w:val="center"/>
          </w:tcPr>
          <w:p>
            <w:pPr>
              <w:pStyle w:val="TableContents"/>
              <w:spacing w:before="0" w:after="0"/>
              <w:ind w:left="0" w:right="0" w:hanging="0"/>
              <w:rPr/>
            </w:pPr>
            <w:r>
              <w:rPr/>
              <w:t> </w:t>
            </w:r>
          </w:p>
        </w:tc>
      </w:tr>
      <w:tr>
        <w:trPr/>
        <w:tc>
          <w:tcPr>
            <w:tcW w:w="3380" w:type="dxa"/>
            <w:tcBorders/>
            <w:shd w:fill="FFFFFF" w:val="clear"/>
            <w:vAlign w:val="center"/>
          </w:tcPr>
          <w:p>
            <w:pPr>
              <w:pStyle w:val="TableContents"/>
              <w:spacing w:before="0" w:after="0"/>
              <w:ind w:left="0" w:right="0" w:hanging="0"/>
              <w:rPr/>
            </w:pPr>
            <w:r>
              <w:rPr/>
              <w:t> </w:t>
            </w:r>
            <w:r>
              <w:rPr>
                <w:rFonts w:ascii="times new roman" w:hAnsi="times new roman"/>
                <w:sz w:val="20"/>
              </w:rPr>
              <w:t xml:space="preserve">Contingent ceding commissions earned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FFFFFF" w:val="clear"/>
            <w:tcMar>
              <w:bottom w:w="28" w:type="dxa"/>
            </w:tcMar>
            <w:vAlign w:val="center"/>
          </w:tcPr>
          <w:p>
            <w:pPr>
              <w:pStyle w:val="TableContents"/>
              <w:spacing w:before="0" w:after="283"/>
              <w:jc w:val="right"/>
              <w:rPr/>
            </w:pPr>
            <w:r>
              <w:rPr/>
              <w:t>83,173</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283"/>
              <w:jc w:val="right"/>
              <w:rPr/>
            </w:pPr>
            <w:r>
              <w:rPr/>
              <w:t>(795,519</w:t>
            </w:r>
          </w:p>
        </w:tc>
        <w:tc>
          <w:tcPr>
            <w:tcW w:w="170" w:type="dxa"/>
            <w:tcBorders/>
            <w:shd w:fill="FFFFFF" w:val="clear"/>
            <w:vAlign w:val="center"/>
          </w:tcPr>
          <w:p>
            <w:pPr>
              <w:pStyle w:val="TableContents"/>
              <w:spacing w:before="0" w:after="283"/>
              <w:rPr/>
            </w:pPr>
            <w:r>
              <w:rPr/>
              <w:t>)</w:t>
            </w:r>
          </w:p>
        </w:tc>
      </w:tr>
      <w:tr>
        <w:trPr/>
        <w:tc>
          <w:tcPr>
            <w:tcW w:w="338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130" w:type="dxa"/>
            <w:tcBorders>
              <w:bottom w:val="double" w:sz="6" w:space="0" w:color="000000"/>
            </w:tcBorders>
            <w:shd w:fill="CCEEFF" w:val="clear"/>
            <w:tcMar>
              <w:bottom w:w="28" w:type="dxa"/>
            </w:tcMar>
            <w:vAlign w:val="center"/>
          </w:tcPr>
          <w:p>
            <w:pPr>
              <w:pStyle w:val="TableContents"/>
              <w:spacing w:before="0" w:after="283"/>
              <w:jc w:val="right"/>
              <w:rPr/>
            </w:pPr>
            <w:r>
              <w:rPr/>
              <w:t>14,202,353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6" w:space="0" w:color="000000"/>
            </w:tcBorders>
            <w:shd w:fill="CCEEFF" w:val="clear"/>
            <w:tcMar>
              <w:bottom w:w="28" w:type="dxa"/>
            </w:tcMar>
            <w:vAlign w:val="center"/>
          </w:tcPr>
          <w:p>
            <w:pPr>
              <w:pStyle w:val="TableContents"/>
              <w:spacing w:before="0" w:after="283"/>
              <w:jc w:val="right"/>
              <w:rPr/>
            </w:pPr>
            <w:r>
              <w:rPr/>
              <w:t>4,650,851</w:t>
            </w:r>
          </w:p>
        </w:tc>
        <w:tc>
          <w:tcPr>
            <w:tcW w:w="170"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Provisional ceding commissions are settled monthly. Balances due from reinsurers for contingent ceding commissions on quota share treaties are settled annually based on the Loss Ratio of each treaty year that ends on June 30. As discussed above, the Loss Ratios from prior years’ treaties are subject to change as incurred losses from those periods develop, resulting in an increase or decrease in the commission rate and contingent ceding commissions earned.  As of December 31, 2020 and 2019, net contingent ceding commissions payable to reinsurers under all treaties was approximately $2,604,000 and $2,886,000, respectively, which is recorded in reinsurance balances payable on the accompanying consolidated balance sheets.</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F-32</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2020 AND 2019</w:t>
      </w:r>
    </w:p>
    <w:p>
      <w:pPr>
        <w:pStyle w:val="TextBody"/>
        <w:spacing w:before="0" w:after="0"/>
        <w:ind w:left="0" w:right="0" w:hanging="0"/>
        <w:jc w:val="center"/>
        <w:rPr/>
      </w:pPr>
      <w:r>
        <w:rPr/>
        <w:t> </w:t>
      </w:r>
    </w:p>
    <w:p>
      <w:pPr>
        <w:pStyle w:val="TextBody"/>
        <w:spacing w:before="0" w:after="0"/>
        <w:ind w:left="0" w:right="0" w:hanging="0"/>
        <w:jc w:val="both"/>
        <w:rPr/>
      </w:pPr>
      <w:r>
        <w:rPr>
          <w:rStyle w:val="StrongEmphasis"/>
          <w:rFonts w:ascii="times new roman" w:hAnsi="times new roman"/>
          <w:sz w:val="20"/>
        </w:rPr>
        <w:t>Note 8 - Deferred Policy Acquisition Costs and Deferred Ceding Commission Revenue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Deferred policy acquisition costs incurred and policy-related ceding commission revenue are deferred and amortized to income on property and casualty insurance business as follows: </w:t>
      </w:r>
    </w:p>
    <w:p>
      <w:pPr>
        <w:pStyle w:val="TextBody"/>
        <w:spacing w:before="0" w:after="0"/>
        <w:ind w:left="0" w:right="0" w:hanging="0"/>
        <w:jc w:val="both"/>
        <w:rPr/>
      </w:pPr>
      <w:r>
        <w:rPr/>
        <w:t> </w:t>
      </w:r>
    </w:p>
    <w:p>
      <w:pPr>
        <w:pStyle w:val="TextBody"/>
        <w:spacing w:before="0" w:after="0"/>
        <w:ind w:left="0" w:right="0" w:hanging="0"/>
        <w:rPr/>
      </w:pPr>
      <w:r>
        <w:rPr/>
        <w:t> </w:t>
      </w:r>
    </w:p>
    <w:p>
      <w:pPr>
        <w:pStyle w:val="TextBody"/>
        <w:spacing w:before="0" w:after="0"/>
        <w:ind w:left="0" w:right="0" w:hanging="0"/>
        <w:rPr/>
      </w:pPr>
      <w:r>
        <w:rPr/>
        <w:t> </w:t>
      </w:r>
    </w:p>
    <w:tbl>
      <w:tblPr>
        <w:tblW w:w="7460" w:type="dxa"/>
        <w:jc w:val="left"/>
        <w:tblInd w:w="0" w:type="dxa"/>
        <w:tblCellMar>
          <w:top w:w="0" w:type="dxa"/>
          <w:left w:w="0" w:type="dxa"/>
          <w:bottom w:w="0" w:type="dxa"/>
          <w:right w:w="0" w:type="dxa"/>
        </w:tblCellMar>
      </w:tblPr>
      <w:tblGrid>
        <w:gridCol w:w="4235"/>
        <w:gridCol w:w="90"/>
        <w:gridCol w:w="170"/>
        <w:gridCol w:w="1205"/>
        <w:gridCol w:w="125"/>
        <w:gridCol w:w="90"/>
        <w:gridCol w:w="170"/>
        <w:gridCol w:w="1205"/>
        <w:gridCol w:w="170"/>
      </w:tblGrid>
      <w:tr>
        <w:trPr/>
        <w:tc>
          <w:tcPr>
            <w:tcW w:w="423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965" w:type="dxa"/>
            <w:gridSpan w:val="6"/>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Years ended </w:t>
            </w:r>
          </w:p>
        </w:tc>
        <w:tc>
          <w:tcPr>
            <w:tcW w:w="170" w:type="dxa"/>
            <w:tcBorders/>
            <w:shd w:fill="auto" w:val="clear"/>
            <w:vAlign w:val="center"/>
          </w:tcPr>
          <w:p>
            <w:pPr>
              <w:pStyle w:val="TableContents"/>
              <w:spacing w:before="0" w:after="0"/>
              <w:ind w:left="0" w:right="0" w:hanging="0"/>
              <w:rPr/>
            </w:pPr>
            <w:r>
              <w:rPr/>
              <w:t> </w:t>
            </w:r>
          </w:p>
        </w:tc>
      </w:tr>
      <w:tr>
        <w:trPr/>
        <w:tc>
          <w:tcPr>
            <w:tcW w:w="423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965"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December 31, </w:t>
            </w:r>
          </w:p>
        </w:tc>
        <w:tc>
          <w:tcPr>
            <w:tcW w:w="170" w:type="dxa"/>
            <w:tcBorders/>
            <w:shd w:fill="auto" w:val="clear"/>
            <w:vAlign w:val="center"/>
          </w:tcPr>
          <w:p>
            <w:pPr>
              <w:pStyle w:val="TableContents"/>
              <w:spacing w:before="0" w:after="0"/>
              <w:ind w:left="0" w:right="0" w:hanging="0"/>
              <w:rPr/>
            </w:pPr>
            <w:r>
              <w:rPr/>
              <w:t> </w:t>
            </w:r>
          </w:p>
        </w:tc>
      </w:tr>
      <w:tr>
        <w:trPr/>
        <w:tc>
          <w:tcPr>
            <w:tcW w:w="423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2020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2019 </w:t>
            </w:r>
          </w:p>
        </w:tc>
        <w:tc>
          <w:tcPr>
            <w:tcW w:w="170" w:type="dxa"/>
            <w:tcBorders/>
            <w:shd w:fill="auto" w:val="clear"/>
            <w:vAlign w:val="center"/>
          </w:tcPr>
          <w:p>
            <w:pPr>
              <w:pStyle w:val="TableContents"/>
              <w:spacing w:before="0" w:after="0"/>
              <w:ind w:left="0" w:right="0" w:hanging="0"/>
              <w:rPr/>
            </w:pPr>
            <w:r>
              <w:rPr/>
              <w:t> </w:t>
            </w:r>
          </w:p>
        </w:tc>
      </w:tr>
      <w:tr>
        <w:trPr/>
        <w:tc>
          <w:tcPr>
            <w:tcW w:w="423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1635" w:type="dxa"/>
            <w:gridSpan w:val="4"/>
            <w:tcBorders/>
            <w:shd w:fill="auto" w:val="clear"/>
            <w:vAlign w:val="center"/>
          </w:tcPr>
          <w:p>
            <w:pPr>
              <w:pStyle w:val="TableContents"/>
              <w:spacing w:before="0" w:after="0"/>
              <w:ind w:left="0" w:right="0" w:hanging="0"/>
              <w:rPr/>
            </w:pPr>
            <w:r>
              <w:rPr/>
              <w:t> </w:t>
            </w:r>
          </w:p>
        </w:tc>
      </w:tr>
      <w:tr>
        <w:trPr/>
        <w:tc>
          <w:tcPr>
            <w:tcW w:w="423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Net deferred policy acquisition costs, net of ceding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r>
      <w:tr>
        <w:trPr/>
        <w:tc>
          <w:tcPr>
            <w:tcW w:w="4235" w:type="dxa"/>
            <w:tcBorders/>
            <w:shd w:fill="CCEE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 xml:space="preserve">commission revenue, beginning of year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283"/>
              <w:rPr/>
            </w:pPr>
            <w:r>
              <w:rPr/>
              <w:t>$</w:t>
            </w:r>
          </w:p>
        </w:tc>
        <w:tc>
          <w:tcPr>
            <w:tcW w:w="1205" w:type="dxa"/>
            <w:tcBorders>
              <w:bottom w:val="single" w:sz="2" w:space="0" w:color="000000"/>
            </w:tcBorders>
            <w:shd w:fill="CCEEFF" w:val="clear"/>
            <w:tcMar>
              <w:bottom w:w="28" w:type="dxa"/>
            </w:tcMar>
            <w:vAlign w:val="center"/>
          </w:tcPr>
          <w:p>
            <w:pPr>
              <w:pStyle w:val="TableContents"/>
              <w:spacing w:before="0" w:after="283"/>
              <w:jc w:val="right"/>
              <w:rPr/>
            </w:pPr>
            <w:r>
              <w:rPr/>
              <w:t>12,898,980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283"/>
              <w:rPr/>
            </w:pPr>
            <w:r>
              <w:rPr/>
              <w:t>$</w:t>
            </w:r>
          </w:p>
        </w:tc>
        <w:tc>
          <w:tcPr>
            <w:tcW w:w="1205" w:type="dxa"/>
            <w:tcBorders>
              <w:bottom w:val="single" w:sz="2" w:space="0" w:color="000000"/>
            </w:tcBorders>
            <w:shd w:fill="CCEEFF" w:val="clear"/>
            <w:tcMar>
              <w:bottom w:w="28" w:type="dxa"/>
            </w:tcMar>
            <w:vAlign w:val="center"/>
          </w:tcPr>
          <w:p>
            <w:pPr>
              <w:pStyle w:val="TableContents"/>
              <w:spacing w:before="0" w:after="283"/>
              <w:jc w:val="right"/>
              <w:rPr/>
            </w:pPr>
            <w:r>
              <w:rPr/>
              <w:t>15,221,060</w:t>
            </w:r>
          </w:p>
        </w:tc>
        <w:tc>
          <w:tcPr>
            <w:tcW w:w="170" w:type="dxa"/>
            <w:tcBorders/>
            <w:shd w:fill="CCEEFF" w:val="clear"/>
            <w:vAlign w:val="center"/>
          </w:tcPr>
          <w:p>
            <w:pPr>
              <w:pStyle w:val="TableContents"/>
              <w:spacing w:before="0" w:after="0"/>
              <w:ind w:left="0" w:right="0" w:hanging="0"/>
              <w:rPr/>
            </w:pPr>
            <w:r>
              <w:rPr/>
              <w:t> </w:t>
            </w:r>
          </w:p>
        </w:tc>
      </w:tr>
      <w:tr>
        <w:trPr/>
        <w:tc>
          <w:tcPr>
            <w:tcW w:w="423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423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Cost incurred and deferred: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423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Commissions and brokerage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32,279,848</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32,541,094</w:t>
            </w:r>
          </w:p>
        </w:tc>
        <w:tc>
          <w:tcPr>
            <w:tcW w:w="170" w:type="dxa"/>
            <w:tcBorders/>
            <w:shd w:fill="FFFFFF" w:val="clear"/>
            <w:vAlign w:val="center"/>
          </w:tcPr>
          <w:p>
            <w:pPr>
              <w:pStyle w:val="TableContents"/>
              <w:spacing w:before="0" w:after="0"/>
              <w:ind w:left="0" w:right="0" w:hanging="0"/>
              <w:rPr/>
            </w:pPr>
            <w:r>
              <w:rPr/>
              <w:t> </w:t>
            </w:r>
          </w:p>
        </w:tc>
      </w:tr>
      <w:tr>
        <w:trPr/>
        <w:tc>
          <w:tcPr>
            <w:tcW w:w="423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Other underwriting and policy acquisition costs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8,526,003</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9,423,340</w:t>
            </w:r>
          </w:p>
        </w:tc>
        <w:tc>
          <w:tcPr>
            <w:tcW w:w="170" w:type="dxa"/>
            <w:tcBorders/>
            <w:shd w:fill="CCEEFF" w:val="clear"/>
            <w:vAlign w:val="center"/>
          </w:tcPr>
          <w:p>
            <w:pPr>
              <w:pStyle w:val="TableContents"/>
              <w:spacing w:before="0" w:after="0"/>
              <w:ind w:left="0" w:right="0" w:hanging="0"/>
              <w:rPr/>
            </w:pPr>
            <w:r>
              <w:rPr/>
              <w:t> </w:t>
            </w:r>
          </w:p>
        </w:tc>
      </w:tr>
      <w:tr>
        <w:trPr/>
        <w:tc>
          <w:tcPr>
            <w:tcW w:w="423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Ceding commission revenue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(13,680,042</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(3,754,889</w:t>
            </w:r>
          </w:p>
        </w:tc>
        <w:tc>
          <w:tcPr>
            <w:tcW w:w="170" w:type="dxa"/>
            <w:tcBorders/>
            <w:shd w:fill="FFFFFF" w:val="clear"/>
            <w:vAlign w:val="center"/>
          </w:tcPr>
          <w:p>
            <w:pPr>
              <w:pStyle w:val="TableContents"/>
              <w:spacing w:before="0" w:after="283"/>
              <w:rPr/>
            </w:pPr>
            <w:r>
              <w:rPr/>
              <w:t>)</w:t>
            </w:r>
          </w:p>
        </w:tc>
      </w:tr>
      <w:tr>
        <w:trPr/>
        <w:tc>
          <w:tcPr>
            <w:tcW w:w="423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Net deferred policy acquisition costs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27,125,809</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38,209,545</w:t>
            </w:r>
          </w:p>
        </w:tc>
        <w:tc>
          <w:tcPr>
            <w:tcW w:w="170" w:type="dxa"/>
            <w:tcBorders/>
            <w:shd w:fill="CCEEFF" w:val="clear"/>
            <w:vAlign w:val="center"/>
          </w:tcPr>
          <w:p>
            <w:pPr>
              <w:pStyle w:val="TableContents"/>
              <w:spacing w:before="0" w:after="0"/>
              <w:ind w:left="0" w:right="0" w:hanging="0"/>
              <w:rPr/>
            </w:pPr>
            <w:r>
              <w:rPr/>
              <w:t> </w:t>
            </w:r>
          </w:p>
        </w:tc>
      </w:tr>
      <w:tr>
        <w:trPr/>
        <w:tc>
          <w:tcPr>
            <w:tcW w:w="423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Return of deferred ceding commission revenue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4235" w:type="dxa"/>
            <w:tcBorders/>
            <w:shd w:fill="CCEE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 xml:space="preserve">due to reduction of quota share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7,202,741</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w:t>
            </w:r>
          </w:p>
        </w:tc>
        <w:tc>
          <w:tcPr>
            <w:tcW w:w="170" w:type="dxa"/>
            <w:tcBorders/>
            <w:shd w:fill="CCEEFF" w:val="clear"/>
            <w:vAlign w:val="center"/>
          </w:tcPr>
          <w:p>
            <w:pPr>
              <w:pStyle w:val="TableContents"/>
              <w:spacing w:before="0" w:after="0"/>
              <w:ind w:left="0" w:right="0" w:hanging="0"/>
              <w:rPr/>
            </w:pPr>
            <w:r>
              <w:rPr/>
              <w:t> </w:t>
            </w:r>
          </w:p>
        </w:tc>
      </w:tr>
      <w:tr>
        <w:trPr/>
        <w:tc>
          <w:tcPr>
            <w:tcW w:w="423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Additional deferred ceding commission revenue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4235" w:type="dxa"/>
            <w:tcBorders/>
            <w:shd w:fill="CCEE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 xml:space="preserve">due to inception of quota share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(6,740,202</w:t>
            </w:r>
          </w:p>
        </w:tc>
        <w:tc>
          <w:tcPr>
            <w:tcW w:w="170" w:type="dxa"/>
            <w:tcBorders/>
            <w:shd w:fill="CCEEFF" w:val="clear"/>
            <w:vAlign w:val="center"/>
          </w:tcPr>
          <w:p>
            <w:pPr>
              <w:pStyle w:val="TableContents"/>
              <w:spacing w:before="0" w:after="283"/>
              <w:rPr/>
            </w:pPr>
            <w:r>
              <w:rPr/>
              <w:t>)</w:t>
            </w:r>
          </w:p>
        </w:tc>
      </w:tr>
      <w:tr>
        <w:trPr/>
        <w:tc>
          <w:tcPr>
            <w:tcW w:w="423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Amortization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(27,178,534</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(33,791,423</w:t>
            </w:r>
          </w:p>
        </w:tc>
        <w:tc>
          <w:tcPr>
            <w:tcW w:w="170" w:type="dxa"/>
            <w:tcBorders/>
            <w:shd w:fill="FFFFFF" w:val="clear"/>
            <w:vAlign w:val="center"/>
          </w:tcPr>
          <w:p>
            <w:pPr>
              <w:pStyle w:val="TableContents"/>
              <w:spacing w:before="0" w:after="283"/>
              <w:rPr/>
            </w:pPr>
            <w:r>
              <w:rPr/>
              <w:t>)</w:t>
            </w:r>
          </w:p>
        </w:tc>
      </w:tr>
      <w:tr>
        <w:trPr/>
        <w:tc>
          <w:tcPr>
            <w:tcW w:w="423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CCEEFF" w:val="clear"/>
            <w:tcMar>
              <w:bottom w:w="28" w:type="dxa"/>
            </w:tcMar>
            <w:vAlign w:val="center"/>
          </w:tcPr>
          <w:p>
            <w:pPr>
              <w:pStyle w:val="TableContents"/>
              <w:spacing w:before="0" w:after="283"/>
              <w:jc w:val="right"/>
              <w:rPr/>
            </w:pPr>
            <w:r>
              <w:rPr/>
              <w:t>7,150,016</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CCEEFF" w:val="clear"/>
            <w:tcMar>
              <w:bottom w:w="28" w:type="dxa"/>
            </w:tcMar>
            <w:vAlign w:val="center"/>
          </w:tcPr>
          <w:p>
            <w:pPr>
              <w:pStyle w:val="TableContents"/>
              <w:spacing w:before="0" w:after="283"/>
              <w:jc w:val="right"/>
              <w:rPr/>
            </w:pPr>
            <w:r>
              <w:rPr/>
              <w:t>(2,322,080</w:t>
            </w:r>
          </w:p>
        </w:tc>
        <w:tc>
          <w:tcPr>
            <w:tcW w:w="170" w:type="dxa"/>
            <w:tcBorders/>
            <w:shd w:fill="CCEEFF" w:val="clear"/>
            <w:vAlign w:val="center"/>
          </w:tcPr>
          <w:p>
            <w:pPr>
              <w:pStyle w:val="TableContents"/>
              <w:spacing w:before="0" w:after="283"/>
              <w:rPr/>
            </w:pPr>
            <w:r>
              <w:rPr/>
              <w:t>)</w:t>
            </w:r>
          </w:p>
        </w:tc>
      </w:tr>
      <w:tr>
        <w:trPr/>
        <w:tc>
          <w:tcPr>
            <w:tcW w:w="423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423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Net deferred policy acquisition costs, net of ceding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4235" w:type="dxa"/>
            <w:tcBorders/>
            <w:shd w:fill="FFFF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commission revenue, end of year</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05" w:type="dxa"/>
            <w:tcBorders>
              <w:bottom w:val="double" w:sz="6" w:space="0" w:color="000000"/>
            </w:tcBorders>
            <w:shd w:fill="FFFFFF" w:val="clear"/>
            <w:tcMar>
              <w:bottom w:w="28" w:type="dxa"/>
            </w:tcMar>
            <w:vAlign w:val="center"/>
          </w:tcPr>
          <w:p>
            <w:pPr>
              <w:pStyle w:val="TableContents"/>
              <w:spacing w:before="0" w:after="283"/>
              <w:jc w:val="right"/>
              <w:rPr/>
            </w:pPr>
            <w:r>
              <w:rPr/>
              <w:t>20,048,996</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05" w:type="dxa"/>
            <w:tcBorders>
              <w:bottom w:val="double" w:sz="6" w:space="0" w:color="000000"/>
            </w:tcBorders>
            <w:shd w:fill="FFFFFF" w:val="clear"/>
            <w:tcMar>
              <w:bottom w:w="28" w:type="dxa"/>
            </w:tcMar>
            <w:vAlign w:val="center"/>
          </w:tcPr>
          <w:p>
            <w:pPr>
              <w:pStyle w:val="TableContents"/>
              <w:spacing w:before="0" w:after="283"/>
              <w:jc w:val="right"/>
              <w:rPr/>
            </w:pPr>
            <w:r>
              <w:rPr/>
              <w:t>12,898,980</w:t>
            </w:r>
          </w:p>
        </w:tc>
        <w:tc>
          <w:tcPr>
            <w:tcW w:w="170" w:type="dxa"/>
            <w:tcBorders/>
            <w:shd w:fill="FFFF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Deferred policy acquisition costs and deferred ceding commission revenue as of December 31, 2020 and 2019 are as follows: </w:t>
      </w:r>
    </w:p>
    <w:p>
      <w:pPr>
        <w:pStyle w:val="TextBody"/>
        <w:spacing w:before="0" w:after="0"/>
        <w:ind w:left="0" w:right="0" w:hanging="0"/>
        <w:jc w:val="both"/>
        <w:rPr/>
      </w:pPr>
      <w:r>
        <w:rPr/>
        <w:t> </w:t>
      </w:r>
    </w:p>
    <w:p>
      <w:pPr>
        <w:pStyle w:val="TextBody"/>
        <w:spacing w:before="0" w:after="0"/>
        <w:ind w:left="0" w:right="0" w:hanging="0"/>
        <w:rPr/>
      </w:pPr>
      <w:r>
        <w:rPr/>
        <w:t> </w:t>
      </w:r>
    </w:p>
    <w:p>
      <w:pPr>
        <w:pStyle w:val="TextBody"/>
        <w:spacing w:before="0" w:after="0"/>
        <w:ind w:left="0" w:right="0" w:hanging="0"/>
        <w:rPr/>
      </w:pPr>
      <w:r>
        <w:rPr/>
        <w:t> </w:t>
      </w:r>
    </w:p>
    <w:tbl>
      <w:tblPr>
        <w:tblW w:w="6185" w:type="dxa"/>
        <w:jc w:val="left"/>
        <w:tblInd w:w="0" w:type="dxa"/>
        <w:tblCellMar>
          <w:top w:w="0" w:type="dxa"/>
          <w:left w:w="0" w:type="dxa"/>
          <w:bottom w:w="0" w:type="dxa"/>
          <w:right w:w="0" w:type="dxa"/>
        </w:tblCellMar>
      </w:tblPr>
      <w:tblGrid>
        <w:gridCol w:w="3110"/>
        <w:gridCol w:w="90"/>
        <w:gridCol w:w="170"/>
        <w:gridCol w:w="1130"/>
        <w:gridCol w:w="125"/>
        <w:gridCol w:w="90"/>
        <w:gridCol w:w="170"/>
        <w:gridCol w:w="1130"/>
        <w:gridCol w:w="170"/>
      </w:tblGrid>
      <w:tr>
        <w:trPr/>
        <w:tc>
          <w:tcPr>
            <w:tcW w:w="311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815"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December 31, </w:t>
            </w:r>
          </w:p>
        </w:tc>
        <w:tc>
          <w:tcPr>
            <w:tcW w:w="170" w:type="dxa"/>
            <w:tcBorders/>
            <w:shd w:fill="auto" w:val="clear"/>
            <w:vAlign w:val="center"/>
          </w:tcPr>
          <w:p>
            <w:pPr>
              <w:pStyle w:val="TableContents"/>
              <w:spacing w:before="0" w:after="0"/>
              <w:ind w:left="0" w:right="0" w:hanging="0"/>
              <w:rPr/>
            </w:pPr>
            <w:r>
              <w:rPr/>
              <w:t> </w:t>
            </w:r>
          </w:p>
        </w:tc>
      </w:tr>
      <w:tr>
        <w:trPr/>
        <w:tc>
          <w:tcPr>
            <w:tcW w:w="311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2020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2019 </w:t>
            </w:r>
          </w:p>
        </w:tc>
        <w:tc>
          <w:tcPr>
            <w:tcW w:w="170" w:type="dxa"/>
            <w:tcBorders/>
            <w:shd w:fill="auto" w:val="clear"/>
            <w:vAlign w:val="center"/>
          </w:tcPr>
          <w:p>
            <w:pPr>
              <w:pStyle w:val="TableContents"/>
              <w:spacing w:before="0" w:after="0"/>
              <w:ind w:left="0" w:right="0" w:hanging="0"/>
              <w:rPr/>
            </w:pPr>
            <w:r>
              <w:rPr/>
              <w:t> </w:t>
            </w:r>
          </w:p>
        </w:tc>
      </w:tr>
      <w:tr>
        <w:trPr/>
        <w:tc>
          <w:tcPr>
            <w:tcW w:w="311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1560" w:type="dxa"/>
            <w:gridSpan w:val="4"/>
            <w:tcBorders/>
            <w:shd w:fill="auto" w:val="clear"/>
            <w:vAlign w:val="center"/>
          </w:tcPr>
          <w:p>
            <w:pPr>
              <w:pStyle w:val="TableContents"/>
              <w:spacing w:before="0" w:after="0"/>
              <w:ind w:left="0" w:right="0" w:hanging="0"/>
              <w:rPr/>
            </w:pPr>
            <w:r>
              <w:rPr/>
              <w:t> </w:t>
            </w:r>
          </w:p>
        </w:tc>
      </w:tr>
      <w:tr>
        <w:trPr/>
        <w:tc>
          <w:tcPr>
            <w:tcW w:w="311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Deferred policy acquisition costs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20,142,515</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20,634,378</w:t>
            </w:r>
          </w:p>
        </w:tc>
        <w:tc>
          <w:tcPr>
            <w:tcW w:w="170" w:type="dxa"/>
            <w:tcBorders/>
            <w:shd w:fill="CCEEFF" w:val="clear"/>
            <w:vAlign w:val="center"/>
          </w:tcPr>
          <w:p>
            <w:pPr>
              <w:pStyle w:val="TableContents"/>
              <w:spacing w:before="0" w:after="0"/>
              <w:ind w:left="0" w:right="0" w:hanging="0"/>
              <w:rPr/>
            </w:pPr>
            <w:r>
              <w:rPr/>
              <w:t> </w:t>
            </w:r>
          </w:p>
        </w:tc>
      </w:tr>
      <w:tr>
        <w:trPr/>
        <w:tc>
          <w:tcPr>
            <w:tcW w:w="311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Deferred ceding commission revenue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FFFFFF" w:val="clear"/>
            <w:tcMar>
              <w:bottom w:w="28" w:type="dxa"/>
            </w:tcMar>
            <w:vAlign w:val="center"/>
          </w:tcPr>
          <w:p>
            <w:pPr>
              <w:pStyle w:val="TableContents"/>
              <w:spacing w:before="0" w:after="283"/>
              <w:jc w:val="right"/>
              <w:rPr/>
            </w:pPr>
            <w:r>
              <w:rPr/>
              <w:t>(93,519</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FFFFFF" w:val="clear"/>
            <w:tcMar>
              <w:bottom w:w="28" w:type="dxa"/>
            </w:tcMar>
            <w:vAlign w:val="center"/>
          </w:tcPr>
          <w:p>
            <w:pPr>
              <w:pStyle w:val="TableContents"/>
              <w:spacing w:before="0" w:after="283"/>
              <w:jc w:val="right"/>
              <w:rPr/>
            </w:pPr>
            <w:r>
              <w:rPr/>
              <w:t>(7,735,398</w:t>
            </w:r>
          </w:p>
        </w:tc>
        <w:tc>
          <w:tcPr>
            <w:tcW w:w="170" w:type="dxa"/>
            <w:tcBorders/>
            <w:shd w:fill="FFFFFF" w:val="clear"/>
            <w:vAlign w:val="center"/>
          </w:tcPr>
          <w:p>
            <w:pPr>
              <w:pStyle w:val="TableContents"/>
              <w:spacing w:before="0" w:after="283"/>
              <w:rPr/>
            </w:pPr>
            <w:r>
              <w:rPr/>
              <w:t>)</w:t>
            </w:r>
          </w:p>
        </w:tc>
      </w:tr>
      <w:tr>
        <w:trPr/>
        <w:tc>
          <w:tcPr>
            <w:tcW w:w="311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Balance at end of period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130" w:type="dxa"/>
            <w:tcBorders>
              <w:bottom w:val="double" w:sz="6" w:space="0" w:color="000000"/>
            </w:tcBorders>
            <w:shd w:fill="CCEEFF" w:val="clear"/>
            <w:tcMar>
              <w:bottom w:w="28" w:type="dxa"/>
            </w:tcMar>
            <w:vAlign w:val="center"/>
          </w:tcPr>
          <w:p>
            <w:pPr>
              <w:pStyle w:val="TableContents"/>
              <w:spacing w:before="0" w:after="283"/>
              <w:jc w:val="right"/>
              <w:rPr/>
            </w:pPr>
            <w:r>
              <w:rPr/>
              <w:t>20,048,996</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130" w:type="dxa"/>
            <w:tcBorders>
              <w:bottom w:val="double" w:sz="6" w:space="0" w:color="000000"/>
            </w:tcBorders>
            <w:shd w:fill="CCEEFF" w:val="clear"/>
            <w:tcMar>
              <w:bottom w:w="28" w:type="dxa"/>
            </w:tcMar>
            <w:vAlign w:val="center"/>
          </w:tcPr>
          <w:p>
            <w:pPr>
              <w:pStyle w:val="TableContents"/>
              <w:spacing w:before="0" w:after="283"/>
              <w:jc w:val="right"/>
              <w:rPr/>
            </w:pPr>
            <w:r>
              <w:rPr/>
              <w:t>12,898,980</w:t>
            </w:r>
          </w:p>
        </w:tc>
        <w:tc>
          <w:tcPr>
            <w:tcW w:w="170"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Note 9 – Debt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Federal Home Loan Bank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July 2017, KICO became a member of, and invested in, the Federal Home Loan Bank of New York (“FHLBNY”). The aggregate fair value of the investment in dividend bearing common stock was $11,200 and $15,180 as of December 31, 2020 and 2019, respectively. FHLBNY members have access to a variety of flexible, low cost funding through FHLBNY’s credit products, enabling members to customize advances, which are to be fully collateralized.  Eligible collateral to pledge to FHLBNY includes residential and commercial mortgage backed securities, along with U.S. Treasury and agency securities. See Note 3 – Investments for eligible collateral held in a designated custodian account available for future advances.Advances are limited to 5% of KICO’s net admitted assets as of the previous quarter and are due and payable within one year of borrowing.  The maximum allowable advance as of December 31, 2020 was approximately $12,066,000. Advances are limited to 85% of the amount of available collateral, which was approximately $9,682,000 as of December 31, 2020.  There were no borrowings under this facility during the years ended December 31, 2020 and 2019.</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F-33</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2020 AND 2019</w:t>
      </w:r>
    </w:p>
    <w:p>
      <w:pPr>
        <w:pStyle w:val="TextBody"/>
        <w:spacing w:before="0" w:after="0"/>
        <w:ind w:left="0" w:right="0" w:hanging="0"/>
        <w:jc w:val="center"/>
        <w:rPr/>
      </w:pPr>
      <w:r>
        <w:rPr>
          <w:rStyle w:val="StrongEmphasis"/>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Long-term Debt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December 19, 2017, the Company issued $30 million of its 5.50% Senior Unsecured Notes due December 30, 2022 (the “Notes”) in an underwritten public offering. Interest is payable semi-annually in arrears on June 30 and December 30 of each year, which began on June 30, 2018 at the rate of 5.50% per annum. The net proceeds of the issuance were $29,121,630, net of discount of $163,200 and transaction costs of $715,170, for an effective yield of 5.67% per annum. The balance of long-term debt as of December 31, 2020 and 2019 is as follows:</w:t>
      </w:r>
    </w:p>
    <w:p>
      <w:pPr>
        <w:pStyle w:val="TextBody"/>
        <w:spacing w:before="0" w:after="0"/>
        <w:ind w:left="0" w:right="0" w:hanging="0"/>
        <w:jc w:val="both"/>
        <w:rPr/>
      </w:pPr>
      <w:r>
        <w:rPr/>
        <w:t>  </w:t>
      </w:r>
    </w:p>
    <w:p>
      <w:pPr>
        <w:pStyle w:val="TextBody"/>
        <w:spacing w:before="0" w:after="0"/>
        <w:ind w:left="0" w:right="0" w:hanging="0"/>
        <w:rPr/>
      </w:pPr>
      <w:r>
        <w:rPr/>
        <w:t> </w:t>
      </w:r>
    </w:p>
    <w:p>
      <w:pPr>
        <w:pStyle w:val="TextBody"/>
        <w:spacing w:before="0" w:after="0"/>
        <w:ind w:left="0" w:right="0" w:hanging="0"/>
        <w:rPr/>
      </w:pPr>
      <w:r>
        <w:rPr/>
        <w:t> </w:t>
      </w:r>
    </w:p>
    <w:tbl>
      <w:tblPr>
        <w:tblW w:w="5708" w:type="dxa"/>
        <w:jc w:val="left"/>
        <w:tblInd w:w="0" w:type="dxa"/>
        <w:tblCellMar>
          <w:top w:w="0" w:type="dxa"/>
          <w:left w:w="0" w:type="dxa"/>
          <w:bottom w:w="0" w:type="dxa"/>
          <w:right w:w="0" w:type="dxa"/>
        </w:tblCellMar>
      </w:tblPr>
      <w:tblGrid>
        <w:gridCol w:w="2615"/>
        <w:gridCol w:w="90"/>
        <w:gridCol w:w="171"/>
        <w:gridCol w:w="1138"/>
        <w:gridCol w:w="125"/>
        <w:gridCol w:w="90"/>
        <w:gridCol w:w="171"/>
        <w:gridCol w:w="1138"/>
        <w:gridCol w:w="170"/>
      </w:tblGrid>
      <w:tr>
        <w:trPr/>
        <w:tc>
          <w:tcPr>
            <w:tcW w:w="261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9" w:type="dxa"/>
            <w:gridSpan w:val="2"/>
            <w:tcBorders/>
            <w:shd w:fill="auto" w:val="clear"/>
            <w:vAlign w:val="center"/>
          </w:tcPr>
          <w:p>
            <w:pPr>
              <w:pStyle w:val="TableContents"/>
              <w:spacing w:before="0" w:after="0"/>
              <w:ind w:left="0" w:right="0" w:hanging="0"/>
              <w:jc w:val="center"/>
              <w:rPr/>
            </w:pPr>
            <w:r>
              <w:rPr/>
              <w:t> </w:t>
            </w:r>
            <w:r>
              <w:rPr>
                <w:rStyle w:val="StrongEmphasis"/>
                <w:rFonts w:ascii="times new roman" w:hAnsi="times new roman"/>
                <w:sz w:val="20"/>
              </w:rPr>
              <w:t xml:space="preserve">December 31, </w:t>
            </w:r>
          </w:p>
        </w:tc>
        <w:tc>
          <w:tcPr>
            <w:tcW w:w="12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09"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December 31, </w:t>
            </w:r>
          </w:p>
        </w:tc>
        <w:tc>
          <w:tcPr>
            <w:tcW w:w="170" w:type="dxa"/>
            <w:tcBorders/>
            <w:shd w:fill="auto" w:val="clear"/>
            <w:vAlign w:val="center"/>
          </w:tcPr>
          <w:p>
            <w:pPr>
              <w:pStyle w:val="TableContents"/>
              <w:spacing w:before="0" w:after="0"/>
              <w:ind w:left="0" w:right="0" w:hanging="0"/>
              <w:rPr/>
            </w:pPr>
            <w:r>
              <w:rPr>
                <w:rStyle w:val="StrongEmphasis"/>
              </w:rPr>
              <w:t> </w:t>
            </w:r>
          </w:p>
        </w:tc>
      </w:tr>
      <w:tr>
        <w:trPr/>
        <w:tc>
          <w:tcPr>
            <w:tcW w:w="261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0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2020</w:t>
            </w:r>
          </w:p>
        </w:tc>
        <w:tc>
          <w:tcPr>
            <w:tcW w:w="12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0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2019</w:t>
            </w:r>
          </w:p>
        </w:tc>
        <w:tc>
          <w:tcPr>
            <w:tcW w:w="170" w:type="dxa"/>
            <w:tcBorders/>
            <w:shd w:fill="auto" w:val="clear"/>
            <w:vAlign w:val="center"/>
          </w:tcPr>
          <w:p>
            <w:pPr>
              <w:pStyle w:val="TableContents"/>
              <w:spacing w:before="0" w:after="0"/>
              <w:ind w:left="0" w:right="0" w:hanging="0"/>
              <w:rPr/>
            </w:pPr>
            <w:r>
              <w:rPr/>
              <w:t> </w:t>
            </w:r>
          </w:p>
        </w:tc>
      </w:tr>
      <w:tr>
        <w:trPr/>
        <w:tc>
          <w:tcPr>
            <w:tcW w:w="261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9"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9" w:type="dxa"/>
            <w:gridSpan w:val="2"/>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r>
      <w:tr>
        <w:trPr/>
        <w:tc>
          <w:tcPr>
            <w:tcW w:w="261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5.50% Senior Unsecured Notes </w:t>
            </w:r>
          </w:p>
        </w:tc>
        <w:tc>
          <w:tcPr>
            <w:tcW w:w="90" w:type="dxa"/>
            <w:tcBorders/>
            <w:shd w:fill="CCEEFF" w:val="clear"/>
            <w:vAlign w:val="center"/>
          </w:tcPr>
          <w:p>
            <w:pPr>
              <w:pStyle w:val="TableContents"/>
              <w:spacing w:before="0" w:after="0"/>
              <w:ind w:left="0" w:right="0" w:hanging="0"/>
              <w:rPr/>
            </w:pPr>
            <w:r>
              <w:rPr/>
              <w:t> </w:t>
            </w:r>
          </w:p>
        </w:tc>
        <w:tc>
          <w:tcPr>
            <w:tcW w:w="171" w:type="dxa"/>
            <w:tcBorders/>
            <w:shd w:fill="CCEEFF" w:val="clear"/>
            <w:vAlign w:val="center"/>
          </w:tcPr>
          <w:p>
            <w:pPr>
              <w:pStyle w:val="TableContents"/>
              <w:spacing w:before="0" w:after="283"/>
              <w:rPr/>
            </w:pPr>
            <w:r>
              <w:rPr/>
              <w:t>$</w:t>
            </w:r>
          </w:p>
        </w:tc>
        <w:tc>
          <w:tcPr>
            <w:tcW w:w="1138" w:type="dxa"/>
            <w:tcBorders/>
            <w:shd w:fill="CCEEFF" w:val="clear"/>
            <w:vAlign w:val="center"/>
          </w:tcPr>
          <w:p>
            <w:pPr>
              <w:pStyle w:val="TableContents"/>
              <w:spacing w:before="0" w:after="283"/>
              <w:jc w:val="right"/>
              <w:rPr/>
            </w:pPr>
            <w:r>
              <w:rPr/>
              <w:t>30,000,000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1" w:type="dxa"/>
            <w:tcBorders/>
            <w:shd w:fill="CCEEFF" w:val="clear"/>
            <w:vAlign w:val="center"/>
          </w:tcPr>
          <w:p>
            <w:pPr>
              <w:pStyle w:val="TableContents"/>
              <w:spacing w:before="0" w:after="283"/>
              <w:rPr/>
            </w:pPr>
            <w:r>
              <w:rPr/>
              <w:t>$</w:t>
            </w:r>
          </w:p>
        </w:tc>
        <w:tc>
          <w:tcPr>
            <w:tcW w:w="1138" w:type="dxa"/>
            <w:tcBorders/>
            <w:shd w:fill="CCEEFF" w:val="clear"/>
            <w:vAlign w:val="center"/>
          </w:tcPr>
          <w:p>
            <w:pPr>
              <w:pStyle w:val="TableContents"/>
              <w:spacing w:before="0" w:after="283"/>
              <w:jc w:val="right"/>
              <w:rPr/>
            </w:pPr>
            <w:r>
              <w:rPr/>
              <w:t>30,000,000</w:t>
            </w:r>
          </w:p>
        </w:tc>
        <w:tc>
          <w:tcPr>
            <w:tcW w:w="170" w:type="dxa"/>
            <w:tcBorders/>
            <w:shd w:fill="CCEEFF" w:val="clear"/>
            <w:vAlign w:val="center"/>
          </w:tcPr>
          <w:p>
            <w:pPr>
              <w:pStyle w:val="TableContents"/>
              <w:spacing w:before="0" w:after="0"/>
              <w:ind w:left="0" w:right="0" w:hanging="0"/>
              <w:rPr/>
            </w:pPr>
            <w:r>
              <w:rPr/>
              <w:t> </w:t>
            </w:r>
          </w:p>
        </w:tc>
      </w:tr>
      <w:tr>
        <w:trPr/>
        <w:tc>
          <w:tcPr>
            <w:tcW w:w="261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Discount </w:t>
            </w:r>
          </w:p>
        </w:tc>
        <w:tc>
          <w:tcPr>
            <w:tcW w:w="90" w:type="dxa"/>
            <w:tcBorders/>
            <w:shd w:fill="FFFFFF" w:val="clear"/>
            <w:vAlign w:val="center"/>
          </w:tcPr>
          <w:p>
            <w:pPr>
              <w:pStyle w:val="TableContents"/>
              <w:spacing w:before="0" w:after="0"/>
              <w:ind w:left="0" w:right="0" w:hanging="0"/>
              <w:rPr/>
            </w:pPr>
            <w:r>
              <w:rPr/>
              <w:t> </w:t>
            </w:r>
          </w:p>
        </w:tc>
        <w:tc>
          <w:tcPr>
            <w:tcW w:w="171" w:type="dxa"/>
            <w:tcBorders/>
            <w:shd w:fill="FFFFFF" w:val="clear"/>
            <w:vAlign w:val="center"/>
          </w:tcPr>
          <w:p>
            <w:pPr>
              <w:pStyle w:val="TableContents"/>
              <w:spacing w:before="0" w:after="0"/>
              <w:ind w:left="0" w:right="0" w:hanging="0"/>
              <w:rPr/>
            </w:pPr>
            <w:r>
              <w:rPr/>
              <w:t> </w:t>
            </w:r>
          </w:p>
        </w:tc>
        <w:tc>
          <w:tcPr>
            <w:tcW w:w="1138" w:type="dxa"/>
            <w:tcBorders/>
            <w:shd w:fill="FFFFFF" w:val="clear"/>
            <w:vAlign w:val="center"/>
          </w:tcPr>
          <w:p>
            <w:pPr>
              <w:pStyle w:val="TableContents"/>
              <w:spacing w:before="0" w:after="283"/>
              <w:jc w:val="right"/>
              <w:rPr/>
            </w:pPr>
            <w:r>
              <w:rPr/>
              <w:t>(64,883</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1" w:type="dxa"/>
            <w:tcBorders/>
            <w:shd w:fill="FFFFFF" w:val="clear"/>
            <w:vAlign w:val="center"/>
          </w:tcPr>
          <w:p>
            <w:pPr>
              <w:pStyle w:val="TableContents"/>
              <w:spacing w:before="0" w:after="0"/>
              <w:ind w:left="0" w:right="0" w:hanging="0"/>
              <w:rPr/>
            </w:pPr>
            <w:r>
              <w:rPr/>
              <w:t> </w:t>
            </w:r>
          </w:p>
        </w:tc>
        <w:tc>
          <w:tcPr>
            <w:tcW w:w="1138" w:type="dxa"/>
            <w:tcBorders/>
            <w:shd w:fill="FFFFFF" w:val="clear"/>
            <w:vAlign w:val="center"/>
          </w:tcPr>
          <w:p>
            <w:pPr>
              <w:pStyle w:val="TableContents"/>
              <w:spacing w:before="0" w:after="283"/>
              <w:jc w:val="right"/>
              <w:rPr/>
            </w:pPr>
            <w:r>
              <w:rPr/>
              <w:t>(97,325</w:t>
            </w:r>
          </w:p>
        </w:tc>
        <w:tc>
          <w:tcPr>
            <w:tcW w:w="170" w:type="dxa"/>
            <w:tcBorders/>
            <w:shd w:fill="FFFFFF" w:val="clear"/>
            <w:vAlign w:val="center"/>
          </w:tcPr>
          <w:p>
            <w:pPr>
              <w:pStyle w:val="TableContents"/>
              <w:spacing w:before="0" w:after="283"/>
              <w:rPr/>
            </w:pPr>
            <w:r>
              <w:rPr/>
              <w:t>)</w:t>
            </w:r>
          </w:p>
        </w:tc>
      </w:tr>
      <w:tr>
        <w:trPr/>
        <w:tc>
          <w:tcPr>
            <w:tcW w:w="261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Issuance costs </w:t>
            </w:r>
          </w:p>
        </w:tc>
        <w:tc>
          <w:tcPr>
            <w:tcW w:w="90" w:type="dxa"/>
            <w:tcBorders/>
            <w:shd w:fill="CCEEFF" w:val="clear"/>
            <w:vAlign w:val="center"/>
          </w:tcPr>
          <w:p>
            <w:pPr>
              <w:pStyle w:val="TableContents"/>
              <w:spacing w:before="0" w:after="0"/>
              <w:ind w:left="0" w:right="0" w:hanging="0"/>
              <w:rPr/>
            </w:pPr>
            <w:r>
              <w:rPr/>
              <w:t> </w:t>
            </w:r>
          </w:p>
        </w:tc>
        <w:tc>
          <w:tcPr>
            <w:tcW w:w="17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8" w:type="dxa"/>
            <w:tcBorders>
              <w:bottom w:val="single" w:sz="2" w:space="0" w:color="000000"/>
            </w:tcBorders>
            <w:shd w:fill="CCEEFF" w:val="clear"/>
            <w:tcMar>
              <w:bottom w:w="28" w:type="dxa"/>
            </w:tcMar>
            <w:vAlign w:val="center"/>
          </w:tcPr>
          <w:p>
            <w:pPr>
              <w:pStyle w:val="TableContents"/>
              <w:spacing w:before="0" w:after="283"/>
              <w:jc w:val="right"/>
              <w:rPr/>
            </w:pPr>
            <w:r>
              <w:rPr/>
              <w:t>(287,506</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8" w:type="dxa"/>
            <w:tcBorders>
              <w:bottom w:val="single" w:sz="2" w:space="0" w:color="000000"/>
            </w:tcBorders>
            <w:shd w:fill="CCEEFF" w:val="clear"/>
            <w:tcMar>
              <w:bottom w:w="28" w:type="dxa"/>
            </w:tcMar>
            <w:vAlign w:val="center"/>
          </w:tcPr>
          <w:p>
            <w:pPr>
              <w:pStyle w:val="TableContents"/>
              <w:spacing w:before="0" w:after="283"/>
              <w:jc w:val="right"/>
              <w:rPr/>
            </w:pPr>
            <w:r>
              <w:rPr/>
              <w:t>(431,244</w:t>
            </w:r>
          </w:p>
        </w:tc>
        <w:tc>
          <w:tcPr>
            <w:tcW w:w="170" w:type="dxa"/>
            <w:tcBorders/>
            <w:shd w:fill="CCEEFF" w:val="clear"/>
            <w:vAlign w:val="center"/>
          </w:tcPr>
          <w:p>
            <w:pPr>
              <w:pStyle w:val="TableContents"/>
              <w:spacing w:before="0" w:after="283"/>
              <w:rPr/>
            </w:pPr>
            <w:r>
              <w:rPr/>
              <w:t>)</w:t>
            </w:r>
          </w:p>
        </w:tc>
      </w:tr>
      <w:tr>
        <w:trPr/>
        <w:tc>
          <w:tcPr>
            <w:tcW w:w="261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Long-term debt, net </w:t>
            </w:r>
          </w:p>
        </w:tc>
        <w:tc>
          <w:tcPr>
            <w:tcW w:w="90" w:type="dxa"/>
            <w:tcBorders/>
            <w:shd w:fill="FFFFFF" w:val="clear"/>
            <w:vAlign w:val="center"/>
          </w:tcPr>
          <w:p>
            <w:pPr>
              <w:pStyle w:val="TableContents"/>
              <w:spacing w:before="0" w:after="0"/>
              <w:ind w:left="0" w:right="0" w:hanging="0"/>
              <w:rPr/>
            </w:pPr>
            <w:r>
              <w:rPr/>
              <w:t> </w:t>
            </w:r>
          </w:p>
        </w:tc>
        <w:tc>
          <w:tcPr>
            <w:tcW w:w="171" w:type="dxa"/>
            <w:tcBorders>
              <w:bottom w:val="double" w:sz="6" w:space="0" w:color="000000"/>
            </w:tcBorders>
            <w:shd w:fill="FFFFFF" w:val="clear"/>
            <w:tcMar>
              <w:bottom w:w="28" w:type="dxa"/>
            </w:tcMar>
            <w:vAlign w:val="center"/>
          </w:tcPr>
          <w:p>
            <w:pPr>
              <w:pStyle w:val="TableContents"/>
              <w:spacing w:before="0" w:after="283"/>
              <w:rPr/>
            </w:pPr>
            <w:r>
              <w:rPr/>
              <w:t>$</w:t>
            </w:r>
          </w:p>
        </w:tc>
        <w:tc>
          <w:tcPr>
            <w:tcW w:w="1138" w:type="dxa"/>
            <w:tcBorders>
              <w:bottom w:val="double" w:sz="6" w:space="0" w:color="000000"/>
            </w:tcBorders>
            <w:shd w:fill="FFFFFF" w:val="clear"/>
            <w:tcMar>
              <w:bottom w:w="28" w:type="dxa"/>
            </w:tcMar>
            <w:vAlign w:val="center"/>
          </w:tcPr>
          <w:p>
            <w:pPr>
              <w:pStyle w:val="TableContents"/>
              <w:spacing w:before="0" w:after="283"/>
              <w:jc w:val="right"/>
              <w:rPr/>
            </w:pPr>
            <w:r>
              <w:rPr/>
              <w:t>29,647,611</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1" w:type="dxa"/>
            <w:tcBorders>
              <w:bottom w:val="double" w:sz="6" w:space="0" w:color="000000"/>
            </w:tcBorders>
            <w:shd w:fill="FFFFFF" w:val="clear"/>
            <w:tcMar>
              <w:bottom w:w="28" w:type="dxa"/>
            </w:tcMar>
            <w:vAlign w:val="center"/>
          </w:tcPr>
          <w:p>
            <w:pPr>
              <w:pStyle w:val="TableContents"/>
              <w:spacing w:before="0" w:after="283"/>
              <w:rPr/>
            </w:pPr>
            <w:r>
              <w:rPr/>
              <w:t>$</w:t>
            </w:r>
          </w:p>
        </w:tc>
        <w:tc>
          <w:tcPr>
            <w:tcW w:w="1138" w:type="dxa"/>
            <w:tcBorders>
              <w:bottom w:val="double" w:sz="6" w:space="0" w:color="000000"/>
            </w:tcBorders>
            <w:shd w:fill="FFFFFF" w:val="clear"/>
            <w:tcMar>
              <w:bottom w:w="28" w:type="dxa"/>
            </w:tcMar>
            <w:vAlign w:val="center"/>
          </w:tcPr>
          <w:p>
            <w:pPr>
              <w:pStyle w:val="TableContents"/>
              <w:spacing w:before="0" w:after="283"/>
              <w:jc w:val="right"/>
              <w:rPr/>
            </w:pPr>
            <w:r>
              <w:rPr/>
              <w:t>29,471,431</w:t>
            </w:r>
          </w:p>
        </w:tc>
        <w:tc>
          <w:tcPr>
            <w:tcW w:w="170" w:type="dxa"/>
            <w:tcBorders/>
            <w:shd w:fill="FFFF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Notes are unsecured obligations of the Company and are not the obligations of or guaranteed by any of the Company's subsidiaries. The Notes rank senior in right of payment to any of the Company's existing and future indebtedness that is by its terms expressly subordinated or junior in right of payment to the Notes. The Notes rank equally in right of payment to all of the Company's existing and future senior indebtedness, but will be effectively subordinated to any secured indebtedness to the extent of the value of the collateral securing such secured indebtedness. In addition, the Notes will be structurally subordinated to the indebtedness and other obligations of the Company's subsidiaries. The Company may redeem the Notes, at any time in whole or from time to time in part, at the redemption price equal to the greater of: (i) 100% of the principal amount of the Notes to be redeemed; and (ii) the sum of the present values of the remaining scheduled payments of principal and interest on the Notes to be redeemed that would be due if the Notes matured on the applicable redemption date (exclusive of interest accrued to the applicable redemption date) discounted to the redemption date on a semi-annual basis at the Treasury Rate, plus 50 basis points.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Company has used an aggregate $28,256,335 of the net proceeds from the offering to contribute capital to KICO in order to support additional growth. The remainder of the net proceeds is being used for general corporate purposes. A registration statement relating to the debt issued in the offering was filed with the SEC, which became effective on November 28, 2017.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F-34</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2020 AND 2019</w:t>
      </w:r>
    </w:p>
    <w:p>
      <w:pPr>
        <w:pStyle w:val="TextBody"/>
        <w:spacing w:before="0" w:after="0"/>
        <w:ind w:left="0" w:right="0" w:hanging="0"/>
        <w:jc w:val="center"/>
        <w:rPr/>
      </w:pPr>
      <w:r>
        <w:rPr/>
        <w:t> </w:t>
      </w:r>
    </w:p>
    <w:p>
      <w:pPr>
        <w:pStyle w:val="TextBody"/>
        <w:spacing w:before="0" w:after="0"/>
        <w:ind w:left="0" w:right="0" w:hanging="0"/>
        <w:jc w:val="both"/>
        <w:rPr/>
      </w:pPr>
      <w:r>
        <w:rPr>
          <w:rStyle w:val="StrongEmphasis"/>
          <w:rFonts w:ascii="times new roman" w:hAnsi="times new roman"/>
          <w:sz w:val="20"/>
        </w:rPr>
        <w:t>Note 10 - Property and Equipment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components of property and equipment are summarized as follows: </w:t>
      </w:r>
    </w:p>
    <w:p>
      <w:pPr>
        <w:pStyle w:val="TextBody"/>
        <w:spacing w:before="0" w:after="0"/>
        <w:ind w:left="0" w:right="0" w:hanging="0"/>
        <w:jc w:val="both"/>
        <w:rPr/>
      </w:pPr>
      <w:r>
        <w:rPr/>
        <w:t>  </w:t>
      </w:r>
    </w:p>
    <w:p>
      <w:pPr>
        <w:pStyle w:val="TextBody"/>
        <w:spacing w:before="0" w:after="0"/>
        <w:ind w:left="0" w:right="0" w:hanging="0"/>
        <w:rPr/>
      </w:pPr>
      <w:r>
        <w:rPr/>
        <w:t> </w:t>
      </w:r>
    </w:p>
    <w:p>
      <w:pPr>
        <w:pStyle w:val="TextBody"/>
        <w:spacing w:before="0" w:after="0"/>
        <w:ind w:left="0" w:right="0" w:hanging="0"/>
        <w:rPr/>
      </w:pPr>
      <w:r>
        <w:rPr/>
        <w:t> </w:t>
      </w:r>
    </w:p>
    <w:tbl>
      <w:tblPr>
        <w:tblW w:w="7600" w:type="dxa"/>
        <w:jc w:val="left"/>
        <w:tblInd w:w="0" w:type="dxa"/>
        <w:tblCellMar>
          <w:top w:w="0" w:type="dxa"/>
          <w:left w:w="0" w:type="dxa"/>
          <w:bottom w:w="0" w:type="dxa"/>
          <w:right w:w="0" w:type="dxa"/>
        </w:tblCellMar>
      </w:tblPr>
      <w:tblGrid>
        <w:gridCol w:w="3125"/>
        <w:gridCol w:w="90"/>
        <w:gridCol w:w="170"/>
        <w:gridCol w:w="1130"/>
        <w:gridCol w:w="90"/>
        <w:gridCol w:w="90"/>
        <w:gridCol w:w="170"/>
        <w:gridCol w:w="1205"/>
        <w:gridCol w:w="125"/>
        <w:gridCol w:w="90"/>
        <w:gridCol w:w="170"/>
        <w:gridCol w:w="1010"/>
        <w:gridCol w:w="135"/>
      </w:tblGrid>
      <w:tr>
        <w:trPr/>
        <w:tc>
          <w:tcPr>
            <w:tcW w:w="3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Accumulated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0"/>
              <w:ind w:left="0" w:right="0" w:hanging="0"/>
              <w:rPr/>
            </w:pPr>
            <w:r>
              <w:rPr/>
              <w:t> </w:t>
            </w:r>
          </w:p>
        </w:tc>
      </w:tr>
      <w:tr>
        <w:trPr/>
        <w:tc>
          <w:tcPr>
            <w:tcW w:w="3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Cost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Depreciation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Net  </w:t>
            </w:r>
          </w:p>
        </w:tc>
        <w:tc>
          <w:tcPr>
            <w:tcW w:w="135" w:type="dxa"/>
            <w:tcBorders/>
            <w:shd w:fill="auto" w:val="clear"/>
            <w:vAlign w:val="center"/>
          </w:tcPr>
          <w:p>
            <w:pPr>
              <w:pStyle w:val="TableContents"/>
              <w:spacing w:before="0" w:after="0"/>
              <w:ind w:left="0" w:right="0" w:hanging="0"/>
              <w:rPr/>
            </w:pPr>
            <w:r>
              <w:rPr/>
              <w:t> </w:t>
            </w:r>
          </w:p>
        </w:tc>
      </w:tr>
      <w:tr>
        <w:trPr/>
        <w:tc>
          <w:tcPr>
            <w:tcW w:w="3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3125" w:type="dxa"/>
            <w:tcBorders/>
            <w:shd w:fill="auto" w:val="clear"/>
            <w:vAlign w:val="center"/>
          </w:tcPr>
          <w:p>
            <w:pPr>
              <w:pStyle w:val="TableContents"/>
              <w:spacing w:before="0" w:after="0"/>
              <w:ind w:left="0" w:right="0" w:hanging="0"/>
              <w:rPr/>
            </w:pPr>
            <w:r>
              <w:rPr>
                <w:rStyle w:val="StrongEmphasis"/>
                <w:rFonts w:ascii="times new roman" w:hAnsi="times new roman"/>
                <w:sz w:val="20"/>
              </w:rPr>
              <w:t>December 31, 2020</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3125" w:type="dxa"/>
            <w:tcBorders/>
            <w:shd w:fill="CCEEFF" w:val="clear"/>
            <w:vAlign w:val="center"/>
          </w:tcPr>
          <w:p>
            <w:pPr>
              <w:pStyle w:val="TableContents"/>
              <w:spacing w:before="0" w:after="0"/>
              <w:ind w:left="0" w:right="0" w:firstLine="225"/>
              <w:rPr>
                <w:rFonts w:ascii="times new roman" w:hAnsi="times new roman"/>
                <w:sz w:val="20"/>
              </w:rPr>
            </w:pPr>
            <w:r>
              <w:rPr>
                <w:rFonts w:ascii="times new roman" w:hAnsi="times new roman"/>
                <w:sz w:val="20"/>
              </w:rPr>
              <w:t xml:space="preserve">Building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2,344,188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05" w:type="dxa"/>
            <w:tcBorders/>
            <w:shd w:fill="CCEEFF" w:val="clear"/>
            <w:vAlign w:val="center"/>
          </w:tcPr>
          <w:p>
            <w:pPr>
              <w:pStyle w:val="TableContents"/>
              <w:spacing w:before="0" w:after="283"/>
              <w:jc w:val="right"/>
              <w:rPr/>
            </w:pPr>
            <w:r>
              <w:rPr/>
              <w:t>(760,302</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1,583,886</w:t>
            </w:r>
          </w:p>
        </w:tc>
        <w:tc>
          <w:tcPr>
            <w:tcW w:w="135" w:type="dxa"/>
            <w:tcBorders/>
            <w:shd w:fill="CCEEFF" w:val="clear"/>
            <w:vAlign w:val="center"/>
          </w:tcPr>
          <w:p>
            <w:pPr>
              <w:pStyle w:val="TableContents"/>
              <w:spacing w:before="0" w:after="0"/>
              <w:ind w:left="0" w:right="0" w:hanging="0"/>
              <w:rPr/>
            </w:pPr>
            <w:r>
              <w:rPr/>
              <w:t> </w:t>
            </w:r>
          </w:p>
        </w:tc>
      </w:tr>
      <w:tr>
        <w:trPr/>
        <w:tc>
          <w:tcPr>
            <w:tcW w:w="3125" w:type="dxa"/>
            <w:tcBorders/>
            <w:shd w:fill="FFFFFF" w:val="clear"/>
            <w:vAlign w:val="center"/>
          </w:tcPr>
          <w:p>
            <w:pPr>
              <w:pStyle w:val="TableContents"/>
              <w:spacing w:before="0" w:after="0"/>
              <w:ind w:left="0" w:right="0" w:firstLine="225"/>
              <w:rPr>
                <w:rFonts w:ascii="times new roman" w:hAnsi="times new roman"/>
                <w:sz w:val="20"/>
              </w:rPr>
            </w:pPr>
            <w:r>
              <w:rPr>
                <w:rFonts w:ascii="times new roman" w:hAnsi="times new roman"/>
                <w:sz w:val="20"/>
              </w:rPr>
              <w:t xml:space="preserve">Land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652,437</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652,437</w:t>
            </w:r>
          </w:p>
        </w:tc>
        <w:tc>
          <w:tcPr>
            <w:tcW w:w="135" w:type="dxa"/>
            <w:tcBorders/>
            <w:shd w:fill="FFFFFF" w:val="clear"/>
            <w:vAlign w:val="center"/>
          </w:tcPr>
          <w:p>
            <w:pPr>
              <w:pStyle w:val="TableContents"/>
              <w:spacing w:before="0" w:after="0"/>
              <w:ind w:left="0" w:right="0" w:hanging="0"/>
              <w:rPr/>
            </w:pPr>
            <w:r>
              <w:rPr/>
              <w:t> </w:t>
            </w:r>
          </w:p>
        </w:tc>
      </w:tr>
      <w:tr>
        <w:trPr/>
        <w:tc>
          <w:tcPr>
            <w:tcW w:w="3125" w:type="dxa"/>
            <w:tcBorders/>
            <w:shd w:fill="CCEEFF" w:val="clear"/>
            <w:vAlign w:val="center"/>
          </w:tcPr>
          <w:p>
            <w:pPr>
              <w:pStyle w:val="TableContents"/>
              <w:spacing w:before="0" w:after="0"/>
              <w:ind w:left="0" w:right="0" w:firstLine="225"/>
              <w:rPr>
                <w:rFonts w:ascii="times new roman" w:hAnsi="times new roman"/>
                <w:sz w:val="20"/>
              </w:rPr>
            </w:pPr>
            <w:r>
              <w:rPr>
                <w:rFonts w:ascii="times new roman" w:hAnsi="times new roman"/>
                <w:sz w:val="20"/>
              </w:rPr>
              <w:t xml:space="preserve">Furniture office equipment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802,325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(715,819</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86,506</w:t>
            </w:r>
          </w:p>
        </w:tc>
        <w:tc>
          <w:tcPr>
            <w:tcW w:w="135" w:type="dxa"/>
            <w:tcBorders/>
            <w:shd w:fill="CCEEFF" w:val="clear"/>
            <w:vAlign w:val="center"/>
          </w:tcPr>
          <w:p>
            <w:pPr>
              <w:pStyle w:val="TableContents"/>
              <w:spacing w:before="0" w:after="0"/>
              <w:ind w:left="0" w:right="0" w:hanging="0"/>
              <w:rPr/>
            </w:pPr>
            <w:r>
              <w:rPr/>
              <w:t> </w:t>
            </w:r>
          </w:p>
        </w:tc>
      </w:tr>
      <w:tr>
        <w:trPr/>
        <w:tc>
          <w:tcPr>
            <w:tcW w:w="3125" w:type="dxa"/>
            <w:tcBorders/>
            <w:shd w:fill="FFFFFF" w:val="clear"/>
            <w:vAlign w:val="center"/>
          </w:tcPr>
          <w:p>
            <w:pPr>
              <w:pStyle w:val="TableContents"/>
              <w:spacing w:before="0" w:after="0"/>
              <w:ind w:left="0" w:right="0" w:firstLine="225"/>
              <w:rPr>
                <w:rFonts w:ascii="times new roman" w:hAnsi="times new roman"/>
                <w:sz w:val="20"/>
              </w:rPr>
            </w:pPr>
            <w:r>
              <w:rPr>
                <w:rFonts w:ascii="times new roman" w:hAnsi="times new roman"/>
                <w:sz w:val="20"/>
              </w:rPr>
              <w:t xml:space="preserve">Leasehold improvements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18,996</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(2,712</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16,284</w:t>
            </w:r>
          </w:p>
        </w:tc>
        <w:tc>
          <w:tcPr>
            <w:tcW w:w="135" w:type="dxa"/>
            <w:tcBorders/>
            <w:shd w:fill="FFFFFF" w:val="clear"/>
            <w:vAlign w:val="center"/>
          </w:tcPr>
          <w:p>
            <w:pPr>
              <w:pStyle w:val="TableContents"/>
              <w:spacing w:before="0" w:after="0"/>
              <w:ind w:left="0" w:right="0" w:hanging="0"/>
              <w:rPr/>
            </w:pPr>
            <w:r>
              <w:rPr/>
              <w:t> </w:t>
            </w:r>
          </w:p>
        </w:tc>
      </w:tr>
      <w:tr>
        <w:trPr/>
        <w:tc>
          <w:tcPr>
            <w:tcW w:w="3125" w:type="dxa"/>
            <w:tcBorders/>
            <w:shd w:fill="CCEEFF" w:val="clear"/>
            <w:vAlign w:val="center"/>
          </w:tcPr>
          <w:p>
            <w:pPr>
              <w:pStyle w:val="TableContents"/>
              <w:spacing w:before="0" w:after="0"/>
              <w:ind w:left="0" w:right="0" w:firstLine="225"/>
              <w:rPr>
                <w:rFonts w:ascii="times new roman" w:hAnsi="times new roman"/>
                <w:sz w:val="20"/>
              </w:rPr>
            </w:pPr>
            <w:r>
              <w:rPr>
                <w:rFonts w:ascii="times new roman" w:hAnsi="times new roman"/>
                <w:sz w:val="20"/>
              </w:rPr>
              <w:t xml:space="preserve">Computer equipment and software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14,187,456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(8,491,325</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5,696,131</w:t>
            </w:r>
          </w:p>
        </w:tc>
        <w:tc>
          <w:tcPr>
            <w:tcW w:w="135" w:type="dxa"/>
            <w:tcBorders/>
            <w:shd w:fill="CCEEFF" w:val="clear"/>
            <w:vAlign w:val="center"/>
          </w:tcPr>
          <w:p>
            <w:pPr>
              <w:pStyle w:val="TableContents"/>
              <w:spacing w:before="0" w:after="0"/>
              <w:ind w:left="0" w:right="0" w:hanging="0"/>
              <w:rPr/>
            </w:pPr>
            <w:r>
              <w:rPr/>
              <w:t> </w:t>
            </w:r>
          </w:p>
        </w:tc>
      </w:tr>
      <w:tr>
        <w:trPr/>
        <w:tc>
          <w:tcPr>
            <w:tcW w:w="3125" w:type="dxa"/>
            <w:tcBorders/>
            <w:shd w:fill="FFFFFF" w:val="clear"/>
            <w:vAlign w:val="center"/>
          </w:tcPr>
          <w:p>
            <w:pPr>
              <w:pStyle w:val="TableContents"/>
              <w:spacing w:before="0" w:after="0"/>
              <w:ind w:left="0" w:right="0" w:firstLine="225"/>
              <w:rPr>
                <w:rFonts w:ascii="times new roman" w:hAnsi="times new roman"/>
                <w:sz w:val="20"/>
              </w:rPr>
            </w:pPr>
            <w:r>
              <w:rPr>
                <w:rFonts w:ascii="times new roman" w:hAnsi="times new roman"/>
                <w:sz w:val="20"/>
              </w:rPr>
              <w:t xml:space="preserve">Automobile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FFFFFF" w:val="clear"/>
            <w:tcMar>
              <w:bottom w:w="28" w:type="dxa"/>
            </w:tcMar>
            <w:vAlign w:val="center"/>
          </w:tcPr>
          <w:p>
            <w:pPr>
              <w:pStyle w:val="TableContents"/>
              <w:spacing w:before="0" w:after="283"/>
              <w:jc w:val="right"/>
              <w:rPr/>
            </w:pPr>
            <w:r>
              <w:rPr/>
              <w:t>99,352</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(51,473</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283"/>
              <w:jc w:val="right"/>
              <w:rPr/>
            </w:pPr>
            <w:r>
              <w:rPr/>
              <w:t>47,879</w:t>
            </w:r>
          </w:p>
        </w:tc>
        <w:tc>
          <w:tcPr>
            <w:tcW w:w="135" w:type="dxa"/>
            <w:tcBorders/>
            <w:shd w:fill="FFFFFF" w:val="clear"/>
            <w:vAlign w:val="center"/>
          </w:tcPr>
          <w:p>
            <w:pPr>
              <w:pStyle w:val="TableContents"/>
              <w:spacing w:before="0" w:after="0"/>
              <w:ind w:left="0" w:right="0" w:hanging="0"/>
              <w:rPr/>
            </w:pPr>
            <w:r>
              <w:rPr/>
              <w:t> </w:t>
            </w:r>
          </w:p>
        </w:tc>
      </w:tr>
      <w:tr>
        <w:trPr/>
        <w:tc>
          <w:tcPr>
            <w:tcW w:w="3125" w:type="dxa"/>
            <w:tcBorders/>
            <w:shd w:fill="CCEEFF" w:val="clear"/>
            <w:vAlign w:val="center"/>
          </w:tcPr>
          <w:p>
            <w:pPr>
              <w:pStyle w:val="TableContents"/>
              <w:spacing w:before="0" w:after="0"/>
              <w:ind w:left="0" w:right="0" w:firstLine="225"/>
              <w:rPr>
                <w:rFonts w:ascii="times new roman" w:hAnsi="times new roman"/>
                <w:sz w:val="20"/>
              </w:rPr>
            </w:pPr>
            <w:r>
              <w:rPr>
                <w:rFonts w:ascii="times new roman" w:hAnsi="times new roman"/>
                <w:sz w:val="20"/>
              </w:rPr>
              <w:t xml:space="preserve">Total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130" w:type="dxa"/>
            <w:tcBorders>
              <w:bottom w:val="double" w:sz="6" w:space="0" w:color="000000"/>
            </w:tcBorders>
            <w:shd w:fill="CCEEFF" w:val="clear"/>
            <w:tcMar>
              <w:bottom w:w="28" w:type="dxa"/>
            </w:tcMar>
            <w:vAlign w:val="center"/>
          </w:tcPr>
          <w:p>
            <w:pPr>
              <w:pStyle w:val="TableContents"/>
              <w:spacing w:before="0" w:after="283"/>
              <w:jc w:val="right"/>
              <w:rPr/>
            </w:pPr>
            <w:r>
              <w:rPr/>
              <w:t>18,104,754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05" w:type="dxa"/>
            <w:tcBorders>
              <w:bottom w:val="double" w:sz="6" w:space="0" w:color="000000"/>
            </w:tcBorders>
            <w:shd w:fill="CCEEFF" w:val="clear"/>
            <w:tcMar>
              <w:bottom w:w="28" w:type="dxa"/>
            </w:tcMar>
            <w:vAlign w:val="center"/>
          </w:tcPr>
          <w:p>
            <w:pPr>
              <w:pStyle w:val="TableContents"/>
              <w:spacing w:before="0" w:after="283"/>
              <w:jc w:val="right"/>
              <w:rPr/>
            </w:pPr>
            <w:r>
              <w:rPr/>
              <w:t>(10,021,631</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6" w:space="0" w:color="000000"/>
            </w:tcBorders>
            <w:shd w:fill="CCEEFF" w:val="clear"/>
            <w:tcMar>
              <w:bottom w:w="28" w:type="dxa"/>
            </w:tcMar>
            <w:vAlign w:val="center"/>
          </w:tcPr>
          <w:p>
            <w:pPr>
              <w:pStyle w:val="TableContents"/>
              <w:spacing w:before="0" w:after="283"/>
              <w:jc w:val="right"/>
              <w:rPr/>
            </w:pPr>
            <w:r>
              <w:rPr/>
              <w:t>8,083,123</w:t>
            </w:r>
          </w:p>
        </w:tc>
        <w:tc>
          <w:tcPr>
            <w:tcW w:w="135" w:type="dxa"/>
            <w:tcBorders/>
            <w:shd w:fill="CCEEFF" w:val="clear"/>
            <w:vAlign w:val="center"/>
          </w:tcPr>
          <w:p>
            <w:pPr>
              <w:pStyle w:val="TableContents"/>
              <w:spacing w:before="0" w:after="0"/>
              <w:ind w:left="0" w:right="0" w:hanging="0"/>
              <w:rPr/>
            </w:pPr>
            <w:r>
              <w:rPr/>
              <w:t> </w:t>
            </w:r>
          </w:p>
        </w:tc>
      </w:tr>
      <w:tr>
        <w:trPr/>
        <w:tc>
          <w:tcPr>
            <w:tcW w:w="3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135" w:type="dxa"/>
            <w:tcBorders/>
            <w:shd w:fill="FFFFFF" w:val="clear"/>
            <w:vAlign w:val="center"/>
          </w:tcPr>
          <w:p>
            <w:pPr>
              <w:pStyle w:val="TableContents"/>
              <w:spacing w:before="0" w:after="0"/>
              <w:ind w:left="0" w:right="0" w:hanging="0"/>
              <w:rPr/>
            </w:pPr>
            <w:r>
              <w:rPr/>
              <w:t> </w:t>
            </w:r>
          </w:p>
        </w:tc>
      </w:tr>
      <w:tr>
        <w:trPr/>
        <w:tc>
          <w:tcPr>
            <w:tcW w:w="3125" w:type="dxa"/>
            <w:tcBorders/>
            <w:shd w:fill="CCEEFF" w:val="clear"/>
            <w:vAlign w:val="center"/>
          </w:tcPr>
          <w:p>
            <w:pPr>
              <w:pStyle w:val="TableContents"/>
              <w:spacing w:before="0" w:after="0"/>
              <w:ind w:left="0" w:right="0" w:hanging="0"/>
              <w:rPr/>
            </w:pPr>
            <w:r>
              <w:rPr>
                <w:rStyle w:val="StrongEmphasis"/>
                <w:rFonts w:ascii="times new roman" w:hAnsi="times new roman"/>
                <w:sz w:val="20"/>
              </w:rPr>
              <w:t>December 31, 2019</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135" w:type="dxa"/>
            <w:tcBorders/>
            <w:shd w:fill="CCEEFF" w:val="clear"/>
            <w:vAlign w:val="center"/>
          </w:tcPr>
          <w:p>
            <w:pPr>
              <w:pStyle w:val="TableContents"/>
              <w:spacing w:before="0" w:after="0"/>
              <w:ind w:left="0" w:right="0" w:hanging="0"/>
              <w:rPr/>
            </w:pPr>
            <w:r>
              <w:rPr/>
              <w:t> </w:t>
            </w:r>
          </w:p>
        </w:tc>
      </w:tr>
      <w:tr>
        <w:trPr/>
        <w:tc>
          <w:tcPr>
            <w:tcW w:w="3125" w:type="dxa"/>
            <w:tcBorders/>
            <w:shd w:fill="FFFFFF" w:val="clear"/>
            <w:vAlign w:val="center"/>
          </w:tcPr>
          <w:p>
            <w:pPr>
              <w:pStyle w:val="TableContents"/>
              <w:spacing w:before="0" w:after="0"/>
              <w:ind w:left="0" w:right="0" w:firstLine="225"/>
              <w:rPr>
                <w:rFonts w:ascii="times new roman" w:hAnsi="times new roman"/>
                <w:sz w:val="20"/>
              </w:rPr>
            </w:pPr>
            <w:r>
              <w:rPr>
                <w:rFonts w:ascii="times new roman" w:hAnsi="times new roman"/>
                <w:sz w:val="20"/>
              </w:rPr>
              <w:t xml:space="preserve">Building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130" w:type="dxa"/>
            <w:tcBorders/>
            <w:shd w:fill="FFFFFF" w:val="clear"/>
            <w:vAlign w:val="center"/>
          </w:tcPr>
          <w:p>
            <w:pPr>
              <w:pStyle w:val="TableContents"/>
              <w:spacing w:before="0" w:after="283"/>
              <w:jc w:val="right"/>
              <w:rPr/>
            </w:pPr>
            <w:r>
              <w:rPr/>
              <w:t>2,344,188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05" w:type="dxa"/>
            <w:tcBorders/>
            <w:shd w:fill="FFFFFF" w:val="clear"/>
            <w:vAlign w:val="center"/>
          </w:tcPr>
          <w:p>
            <w:pPr>
              <w:pStyle w:val="TableContents"/>
              <w:spacing w:before="0" w:after="283"/>
              <w:jc w:val="right"/>
              <w:rPr/>
            </w:pPr>
            <w:r>
              <w:rPr/>
              <w:t>(663,200</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010" w:type="dxa"/>
            <w:tcBorders/>
            <w:shd w:fill="FFFFFF" w:val="clear"/>
            <w:vAlign w:val="center"/>
          </w:tcPr>
          <w:p>
            <w:pPr>
              <w:pStyle w:val="TableContents"/>
              <w:spacing w:before="0" w:after="283"/>
              <w:jc w:val="right"/>
              <w:rPr/>
            </w:pPr>
            <w:r>
              <w:rPr/>
              <w:t>1,680,988</w:t>
            </w:r>
          </w:p>
        </w:tc>
        <w:tc>
          <w:tcPr>
            <w:tcW w:w="135" w:type="dxa"/>
            <w:tcBorders/>
            <w:shd w:fill="FFFFFF" w:val="clear"/>
            <w:vAlign w:val="center"/>
          </w:tcPr>
          <w:p>
            <w:pPr>
              <w:pStyle w:val="TableContents"/>
              <w:spacing w:before="0" w:after="0"/>
              <w:ind w:left="0" w:right="0" w:hanging="0"/>
              <w:rPr/>
            </w:pPr>
            <w:r>
              <w:rPr/>
              <w:t> </w:t>
            </w:r>
          </w:p>
        </w:tc>
      </w:tr>
      <w:tr>
        <w:trPr/>
        <w:tc>
          <w:tcPr>
            <w:tcW w:w="3125" w:type="dxa"/>
            <w:tcBorders/>
            <w:shd w:fill="CCEEFF" w:val="clear"/>
            <w:vAlign w:val="center"/>
          </w:tcPr>
          <w:p>
            <w:pPr>
              <w:pStyle w:val="TableContents"/>
              <w:spacing w:before="0" w:after="0"/>
              <w:ind w:left="0" w:right="0" w:firstLine="225"/>
              <w:rPr>
                <w:rFonts w:ascii="times new roman" w:hAnsi="times new roman"/>
                <w:sz w:val="20"/>
              </w:rPr>
            </w:pPr>
            <w:r>
              <w:rPr>
                <w:rFonts w:ascii="times new roman" w:hAnsi="times new roman"/>
                <w:sz w:val="20"/>
              </w:rPr>
              <w:t xml:space="preserve">Land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652,437</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652,437</w:t>
            </w:r>
          </w:p>
        </w:tc>
        <w:tc>
          <w:tcPr>
            <w:tcW w:w="135" w:type="dxa"/>
            <w:tcBorders/>
            <w:shd w:fill="CCEEFF" w:val="clear"/>
            <w:vAlign w:val="center"/>
          </w:tcPr>
          <w:p>
            <w:pPr>
              <w:pStyle w:val="TableContents"/>
              <w:spacing w:before="0" w:after="0"/>
              <w:ind w:left="0" w:right="0" w:hanging="0"/>
              <w:rPr/>
            </w:pPr>
            <w:r>
              <w:rPr/>
              <w:t> </w:t>
            </w:r>
          </w:p>
        </w:tc>
      </w:tr>
      <w:tr>
        <w:trPr/>
        <w:tc>
          <w:tcPr>
            <w:tcW w:w="3125" w:type="dxa"/>
            <w:tcBorders/>
            <w:shd w:fill="FFFFFF" w:val="clear"/>
            <w:vAlign w:val="center"/>
          </w:tcPr>
          <w:p>
            <w:pPr>
              <w:pStyle w:val="TableContents"/>
              <w:spacing w:before="0" w:after="0"/>
              <w:ind w:left="0" w:right="0" w:firstLine="225"/>
              <w:rPr>
                <w:rFonts w:ascii="times new roman" w:hAnsi="times new roman"/>
                <w:sz w:val="20"/>
              </w:rPr>
            </w:pPr>
            <w:r>
              <w:rPr>
                <w:rFonts w:ascii="times new roman" w:hAnsi="times new roman"/>
                <w:sz w:val="20"/>
              </w:rPr>
              <w:t xml:space="preserve">Furniture office equipment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802,325</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(656,204</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146,121</w:t>
            </w:r>
          </w:p>
        </w:tc>
        <w:tc>
          <w:tcPr>
            <w:tcW w:w="135" w:type="dxa"/>
            <w:tcBorders/>
            <w:shd w:fill="FFFFFF" w:val="clear"/>
            <w:vAlign w:val="center"/>
          </w:tcPr>
          <w:p>
            <w:pPr>
              <w:pStyle w:val="TableContents"/>
              <w:spacing w:before="0" w:after="0"/>
              <w:ind w:left="0" w:right="0" w:hanging="0"/>
              <w:rPr/>
            </w:pPr>
            <w:r>
              <w:rPr/>
              <w:t> </w:t>
            </w:r>
          </w:p>
        </w:tc>
      </w:tr>
      <w:tr>
        <w:trPr/>
        <w:tc>
          <w:tcPr>
            <w:tcW w:w="3125" w:type="dxa"/>
            <w:tcBorders/>
            <w:shd w:fill="CCEEFF" w:val="clear"/>
            <w:vAlign w:val="center"/>
          </w:tcPr>
          <w:p>
            <w:pPr>
              <w:pStyle w:val="TableContents"/>
              <w:spacing w:before="0" w:after="0"/>
              <w:ind w:left="0" w:right="0" w:firstLine="225"/>
              <w:rPr>
                <w:rFonts w:ascii="times new roman" w:hAnsi="times new roman"/>
                <w:sz w:val="20"/>
              </w:rPr>
            </w:pPr>
            <w:r>
              <w:rPr>
                <w:rFonts w:ascii="times new roman" w:hAnsi="times new roman"/>
                <w:sz w:val="20"/>
              </w:rPr>
              <w:t xml:space="preserve">Leasehold improvements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18,996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(226</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18,770</w:t>
            </w:r>
          </w:p>
        </w:tc>
        <w:tc>
          <w:tcPr>
            <w:tcW w:w="135" w:type="dxa"/>
            <w:tcBorders/>
            <w:shd w:fill="CCEEFF" w:val="clear"/>
            <w:vAlign w:val="center"/>
          </w:tcPr>
          <w:p>
            <w:pPr>
              <w:pStyle w:val="TableContents"/>
              <w:spacing w:before="0" w:after="0"/>
              <w:ind w:left="0" w:right="0" w:hanging="0"/>
              <w:rPr/>
            </w:pPr>
            <w:r>
              <w:rPr/>
              <w:t> </w:t>
            </w:r>
          </w:p>
        </w:tc>
      </w:tr>
      <w:tr>
        <w:trPr/>
        <w:tc>
          <w:tcPr>
            <w:tcW w:w="3125" w:type="dxa"/>
            <w:tcBorders/>
            <w:shd w:fill="FFFFFF" w:val="clear"/>
            <w:vAlign w:val="center"/>
          </w:tcPr>
          <w:p>
            <w:pPr>
              <w:pStyle w:val="TableContents"/>
              <w:spacing w:before="0" w:after="0"/>
              <w:ind w:left="0" w:right="0" w:firstLine="225"/>
              <w:rPr>
                <w:rFonts w:ascii="times new roman" w:hAnsi="times new roman"/>
                <w:sz w:val="20"/>
              </w:rPr>
            </w:pPr>
            <w:r>
              <w:rPr>
                <w:rFonts w:ascii="times new roman" w:hAnsi="times new roman"/>
                <w:sz w:val="20"/>
              </w:rPr>
              <w:t xml:space="preserve">Computer equipment and software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10,861,385</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(5,813,308</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5,048,077</w:t>
            </w:r>
          </w:p>
        </w:tc>
        <w:tc>
          <w:tcPr>
            <w:tcW w:w="135" w:type="dxa"/>
            <w:tcBorders/>
            <w:shd w:fill="FFFFFF" w:val="clear"/>
            <w:vAlign w:val="center"/>
          </w:tcPr>
          <w:p>
            <w:pPr>
              <w:pStyle w:val="TableContents"/>
              <w:spacing w:before="0" w:after="0"/>
              <w:ind w:left="0" w:right="0" w:hanging="0"/>
              <w:rPr/>
            </w:pPr>
            <w:r>
              <w:rPr/>
              <w:t> </w:t>
            </w:r>
          </w:p>
        </w:tc>
      </w:tr>
      <w:tr>
        <w:trPr/>
        <w:tc>
          <w:tcPr>
            <w:tcW w:w="3125" w:type="dxa"/>
            <w:tcBorders/>
            <w:shd w:fill="CCEEFF" w:val="clear"/>
            <w:vAlign w:val="center"/>
          </w:tcPr>
          <w:p>
            <w:pPr>
              <w:pStyle w:val="TableContents"/>
              <w:spacing w:before="0" w:after="0"/>
              <w:ind w:left="0" w:right="0" w:firstLine="225"/>
              <w:rPr>
                <w:rFonts w:ascii="times new roman" w:hAnsi="times new roman"/>
                <w:sz w:val="20"/>
              </w:rPr>
            </w:pPr>
            <w:r>
              <w:rPr>
                <w:rFonts w:ascii="times new roman" w:hAnsi="times new roman"/>
                <w:sz w:val="20"/>
              </w:rPr>
              <w:t xml:space="preserve">Automobile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CCEEFF" w:val="clear"/>
            <w:tcMar>
              <w:bottom w:w="28" w:type="dxa"/>
            </w:tcMar>
            <w:vAlign w:val="center"/>
          </w:tcPr>
          <w:p>
            <w:pPr>
              <w:pStyle w:val="TableContents"/>
              <w:spacing w:before="0" w:after="283"/>
              <w:jc w:val="right"/>
              <w:rPr/>
            </w:pPr>
            <w:r>
              <w:rPr/>
              <w:t>99,352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CCEEFF" w:val="clear"/>
            <w:tcMar>
              <w:bottom w:w="28" w:type="dxa"/>
            </w:tcMar>
            <w:vAlign w:val="center"/>
          </w:tcPr>
          <w:p>
            <w:pPr>
              <w:pStyle w:val="TableContents"/>
              <w:spacing w:before="0" w:after="283"/>
              <w:jc w:val="right"/>
              <w:rPr/>
            </w:pPr>
            <w:r>
              <w:rPr/>
              <w:t>(25,109</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74,243</w:t>
            </w:r>
          </w:p>
        </w:tc>
        <w:tc>
          <w:tcPr>
            <w:tcW w:w="135" w:type="dxa"/>
            <w:tcBorders/>
            <w:shd w:fill="CCEEFF" w:val="clear"/>
            <w:vAlign w:val="center"/>
          </w:tcPr>
          <w:p>
            <w:pPr>
              <w:pStyle w:val="TableContents"/>
              <w:spacing w:before="0" w:after="0"/>
              <w:ind w:left="0" w:right="0" w:hanging="0"/>
              <w:rPr/>
            </w:pPr>
            <w:r>
              <w:rPr/>
              <w:t> </w:t>
            </w:r>
          </w:p>
        </w:tc>
      </w:tr>
      <w:tr>
        <w:trPr/>
        <w:tc>
          <w:tcPr>
            <w:tcW w:w="3125" w:type="dxa"/>
            <w:tcBorders/>
            <w:shd w:fill="FFFFFF" w:val="clear"/>
            <w:vAlign w:val="center"/>
          </w:tcPr>
          <w:p>
            <w:pPr>
              <w:pStyle w:val="TableContents"/>
              <w:spacing w:before="0" w:after="0"/>
              <w:ind w:left="0" w:right="0" w:firstLine="225"/>
              <w:rPr>
                <w:rFonts w:ascii="times new roman" w:hAnsi="times new roman"/>
                <w:sz w:val="20"/>
              </w:rPr>
            </w:pPr>
            <w:r>
              <w:rPr>
                <w:rFonts w:ascii="times new roman" w:hAnsi="times new roman"/>
                <w:sz w:val="20"/>
              </w:rPr>
              <w:t xml:space="preserve">Total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130" w:type="dxa"/>
            <w:tcBorders>
              <w:bottom w:val="double" w:sz="6" w:space="0" w:color="000000"/>
            </w:tcBorders>
            <w:shd w:fill="FFFFFF" w:val="clear"/>
            <w:tcMar>
              <w:bottom w:w="28" w:type="dxa"/>
            </w:tcMar>
            <w:vAlign w:val="center"/>
          </w:tcPr>
          <w:p>
            <w:pPr>
              <w:pStyle w:val="TableContents"/>
              <w:spacing w:before="0" w:after="283"/>
              <w:jc w:val="right"/>
              <w:rPr/>
            </w:pPr>
            <w:r>
              <w:rPr/>
              <w:t>14,778,683</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05" w:type="dxa"/>
            <w:tcBorders>
              <w:bottom w:val="double" w:sz="6" w:space="0" w:color="000000"/>
            </w:tcBorders>
            <w:shd w:fill="FFFFFF" w:val="clear"/>
            <w:tcMar>
              <w:bottom w:w="28" w:type="dxa"/>
            </w:tcMar>
            <w:vAlign w:val="center"/>
          </w:tcPr>
          <w:p>
            <w:pPr>
              <w:pStyle w:val="TableContents"/>
              <w:spacing w:before="0" w:after="283"/>
              <w:jc w:val="right"/>
              <w:rPr/>
            </w:pPr>
            <w:r>
              <w:rPr/>
              <w:t>(7,158,047</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010" w:type="dxa"/>
            <w:tcBorders>
              <w:bottom w:val="double" w:sz="6" w:space="0" w:color="000000"/>
            </w:tcBorders>
            <w:shd w:fill="FFFFFF" w:val="clear"/>
            <w:tcMar>
              <w:bottom w:w="28" w:type="dxa"/>
            </w:tcMar>
            <w:vAlign w:val="center"/>
          </w:tcPr>
          <w:p>
            <w:pPr>
              <w:pStyle w:val="TableContents"/>
              <w:spacing w:before="0" w:after="283"/>
              <w:jc w:val="right"/>
              <w:rPr/>
            </w:pPr>
            <w:r>
              <w:rPr/>
              <w:t>7,620,636</w:t>
            </w:r>
          </w:p>
        </w:tc>
        <w:tc>
          <w:tcPr>
            <w:tcW w:w="135" w:type="dxa"/>
            <w:tcBorders/>
            <w:shd w:fill="FFFF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Depreciation expense for the years ended December 31, 2020 and 2019 was $2,864,583 and $2,375,946, respectively. </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Note 11 - Property and Casualty Insurance Activity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Premiums written, ceded and earned are as follows:</w:t>
      </w:r>
    </w:p>
    <w:p>
      <w:pPr>
        <w:pStyle w:val="TextBody"/>
        <w:spacing w:before="0" w:after="0"/>
        <w:ind w:left="0" w:right="0" w:hanging="0"/>
        <w:jc w:val="both"/>
        <w:rPr/>
      </w:pPr>
      <w:r>
        <w:rPr/>
        <w:t>  </w:t>
      </w:r>
    </w:p>
    <w:p>
      <w:pPr>
        <w:pStyle w:val="TextBody"/>
        <w:spacing w:before="0" w:after="0"/>
        <w:ind w:left="0" w:right="0" w:hanging="0"/>
        <w:rPr/>
      </w:pPr>
      <w:r>
        <w:rPr/>
        <w:t> </w:t>
      </w:r>
    </w:p>
    <w:p>
      <w:pPr>
        <w:pStyle w:val="TextBody"/>
        <w:spacing w:before="0" w:after="0"/>
        <w:ind w:left="0" w:right="0" w:hanging="0"/>
        <w:rPr/>
      </w:pPr>
      <w:r>
        <w:rPr/>
        <w:t> </w:t>
      </w:r>
    </w:p>
    <w:tbl>
      <w:tblPr>
        <w:tblW w:w="8879" w:type="dxa"/>
        <w:jc w:val="left"/>
        <w:tblInd w:w="0" w:type="dxa"/>
        <w:tblCellMar>
          <w:top w:w="0" w:type="dxa"/>
          <w:left w:w="0" w:type="dxa"/>
          <w:bottom w:w="0" w:type="dxa"/>
          <w:right w:w="0" w:type="dxa"/>
        </w:tblCellMar>
      </w:tblPr>
      <w:tblGrid>
        <w:gridCol w:w="2810"/>
        <w:gridCol w:w="90"/>
        <w:gridCol w:w="170"/>
        <w:gridCol w:w="1250"/>
        <w:gridCol w:w="125"/>
        <w:gridCol w:w="90"/>
        <w:gridCol w:w="245"/>
        <w:gridCol w:w="704"/>
        <w:gridCol w:w="125"/>
        <w:gridCol w:w="90"/>
        <w:gridCol w:w="170"/>
        <w:gridCol w:w="1205"/>
        <w:gridCol w:w="125"/>
        <w:gridCol w:w="90"/>
        <w:gridCol w:w="170"/>
        <w:gridCol w:w="1250"/>
        <w:gridCol w:w="170"/>
      </w:tblGrid>
      <w:tr>
        <w:trPr/>
        <w:tc>
          <w:tcPr>
            <w:tcW w:w="281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Direct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4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Assumed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Ceded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Net  </w:t>
            </w:r>
          </w:p>
        </w:tc>
        <w:tc>
          <w:tcPr>
            <w:tcW w:w="170" w:type="dxa"/>
            <w:tcBorders/>
            <w:shd w:fill="auto" w:val="clear"/>
            <w:vAlign w:val="center"/>
          </w:tcPr>
          <w:p>
            <w:pPr>
              <w:pStyle w:val="TableContents"/>
              <w:spacing w:before="0" w:after="0"/>
              <w:ind w:left="0" w:right="0" w:hanging="0"/>
              <w:rPr/>
            </w:pPr>
            <w:r>
              <w:rPr/>
              <w:t> </w:t>
            </w:r>
          </w:p>
        </w:tc>
      </w:tr>
      <w:tr>
        <w:trPr/>
        <w:tc>
          <w:tcPr>
            <w:tcW w:w="281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49"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r>
      <w:tr>
        <w:trPr/>
        <w:tc>
          <w:tcPr>
            <w:tcW w:w="2810" w:type="dxa"/>
            <w:tcBorders/>
            <w:shd w:fill="auto" w:val="clear"/>
            <w:vAlign w:val="center"/>
          </w:tcPr>
          <w:p>
            <w:pPr>
              <w:pStyle w:val="TableContents"/>
              <w:spacing w:before="0" w:after="0"/>
              <w:ind w:left="0" w:right="0" w:hanging="0"/>
              <w:rPr/>
            </w:pPr>
            <w:r>
              <w:rPr>
                <w:rStyle w:val="StrongEmphasis"/>
                <w:rFonts w:ascii="times new roman" w:hAnsi="times new roman"/>
                <w:sz w:val="20"/>
              </w:rPr>
              <w:t>Year ended December 31, 2020</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49"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r>
      <w:tr>
        <w:trPr/>
        <w:tc>
          <w:tcPr>
            <w:tcW w:w="2810" w:type="dxa"/>
            <w:tcBorders/>
            <w:shd w:fill="CCEEFF" w:val="clear"/>
            <w:vAlign w:val="center"/>
          </w:tcPr>
          <w:p>
            <w:pPr>
              <w:pStyle w:val="TableContents"/>
              <w:spacing w:before="0" w:after="0"/>
              <w:ind w:left="0" w:right="0" w:firstLine="225"/>
              <w:rPr>
                <w:rFonts w:ascii="times new roman" w:hAnsi="times new roman"/>
                <w:sz w:val="20"/>
              </w:rPr>
            </w:pPr>
            <w:r>
              <w:rPr>
                <w:rFonts w:ascii="times new roman" w:hAnsi="times new roman"/>
                <w:sz w:val="20"/>
              </w:rPr>
              <w:t xml:space="preserve">Premiums written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169,317,904</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283"/>
              <w:rPr/>
            </w:pPr>
            <w:r>
              <w:rPr/>
              <w:t>$</w:t>
            </w:r>
          </w:p>
        </w:tc>
        <w:tc>
          <w:tcPr>
            <w:tcW w:w="704"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05" w:type="dxa"/>
            <w:tcBorders/>
            <w:shd w:fill="CCEEFF" w:val="clear"/>
            <w:vAlign w:val="center"/>
          </w:tcPr>
          <w:p>
            <w:pPr>
              <w:pStyle w:val="TableContents"/>
              <w:spacing w:before="0" w:after="283"/>
              <w:jc w:val="right"/>
              <w:rPr/>
            </w:pPr>
            <w:r>
              <w:rPr/>
              <w:t>(42,255,383</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127,062,521</w:t>
            </w:r>
          </w:p>
        </w:tc>
        <w:tc>
          <w:tcPr>
            <w:tcW w:w="170" w:type="dxa"/>
            <w:tcBorders/>
            <w:shd w:fill="CCEEFF" w:val="clear"/>
            <w:vAlign w:val="center"/>
          </w:tcPr>
          <w:p>
            <w:pPr>
              <w:pStyle w:val="TableContents"/>
              <w:spacing w:before="0" w:after="0"/>
              <w:ind w:left="0" w:right="0" w:hanging="0"/>
              <w:rPr/>
            </w:pPr>
            <w:r>
              <w:rPr/>
              <w:t> </w:t>
            </w:r>
          </w:p>
        </w:tc>
      </w:tr>
      <w:tr>
        <w:trPr/>
        <w:tc>
          <w:tcPr>
            <w:tcW w:w="2810" w:type="dxa"/>
            <w:tcBorders/>
            <w:shd w:fill="FFFFFF" w:val="clear"/>
            <w:vAlign w:val="center"/>
          </w:tcPr>
          <w:p>
            <w:pPr>
              <w:pStyle w:val="TableContents"/>
              <w:spacing w:before="0" w:after="0"/>
              <w:ind w:left="0" w:right="0" w:firstLine="225"/>
              <w:rPr>
                <w:rFonts w:ascii="times new roman" w:hAnsi="times new roman"/>
                <w:sz w:val="20"/>
              </w:rPr>
            </w:pPr>
            <w:r>
              <w:rPr>
                <w:rFonts w:ascii="times new roman" w:hAnsi="times new roman"/>
                <w:sz w:val="20"/>
              </w:rPr>
              <w:t xml:space="preserve">Change in unearned premiums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373,966</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45"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704"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(19,355,858</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(18,981,892</w:t>
            </w:r>
          </w:p>
        </w:tc>
        <w:tc>
          <w:tcPr>
            <w:tcW w:w="170" w:type="dxa"/>
            <w:tcBorders/>
            <w:shd w:fill="FFFFFF" w:val="clear"/>
            <w:vAlign w:val="center"/>
          </w:tcPr>
          <w:p>
            <w:pPr>
              <w:pStyle w:val="TableContents"/>
              <w:spacing w:before="0" w:after="283"/>
              <w:rPr/>
            </w:pPr>
            <w:r>
              <w:rPr/>
              <w:t>)</w:t>
            </w:r>
          </w:p>
        </w:tc>
      </w:tr>
      <w:tr>
        <w:trPr/>
        <w:tc>
          <w:tcPr>
            <w:tcW w:w="2810" w:type="dxa"/>
            <w:tcBorders/>
            <w:shd w:fill="CCEEFF" w:val="clear"/>
            <w:vAlign w:val="center"/>
          </w:tcPr>
          <w:p>
            <w:pPr>
              <w:pStyle w:val="TableContents"/>
              <w:spacing w:before="0" w:after="0"/>
              <w:ind w:left="0" w:right="0" w:firstLine="225"/>
              <w:rPr>
                <w:rFonts w:ascii="times new roman" w:hAnsi="times new roman"/>
                <w:sz w:val="20"/>
              </w:rPr>
            </w:pPr>
            <w:r>
              <w:rPr>
                <w:rFonts w:ascii="times new roman" w:hAnsi="times new roman"/>
                <w:sz w:val="20"/>
              </w:rPr>
              <w:t xml:space="preserve">Premiums earned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169,691,870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45" w:type="dxa"/>
            <w:tcBorders>
              <w:bottom w:val="double" w:sz="6" w:space="0" w:color="000000"/>
            </w:tcBorders>
            <w:shd w:fill="CCEEFF" w:val="clear"/>
            <w:tcMar>
              <w:bottom w:w="28" w:type="dxa"/>
            </w:tcMar>
            <w:vAlign w:val="center"/>
          </w:tcPr>
          <w:p>
            <w:pPr>
              <w:pStyle w:val="TableContents"/>
              <w:spacing w:before="0" w:after="283"/>
              <w:rPr/>
            </w:pPr>
            <w:r>
              <w:rPr/>
              <w:t>$</w:t>
            </w:r>
          </w:p>
        </w:tc>
        <w:tc>
          <w:tcPr>
            <w:tcW w:w="704" w:type="dxa"/>
            <w:tcBorders>
              <w:bottom w:val="double" w:sz="6" w:space="0" w:color="000000"/>
            </w:tcBorders>
            <w:shd w:fill="CCEEFF" w:val="clear"/>
            <w:tcMar>
              <w:bottom w:w="28" w:type="dxa"/>
            </w:tcM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05" w:type="dxa"/>
            <w:tcBorders>
              <w:bottom w:val="double" w:sz="6" w:space="0" w:color="000000"/>
            </w:tcBorders>
            <w:shd w:fill="CCEEFF" w:val="clear"/>
            <w:tcMar>
              <w:bottom w:w="28" w:type="dxa"/>
            </w:tcMar>
            <w:vAlign w:val="center"/>
          </w:tcPr>
          <w:p>
            <w:pPr>
              <w:pStyle w:val="TableContents"/>
              <w:spacing w:before="0" w:after="283"/>
              <w:jc w:val="right"/>
              <w:rPr/>
            </w:pPr>
            <w:r>
              <w:rPr/>
              <w:t>(61,611,241</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108,080,629</w:t>
            </w:r>
          </w:p>
        </w:tc>
        <w:tc>
          <w:tcPr>
            <w:tcW w:w="170" w:type="dxa"/>
            <w:tcBorders/>
            <w:shd w:fill="CCEEFF" w:val="clear"/>
            <w:vAlign w:val="center"/>
          </w:tcPr>
          <w:p>
            <w:pPr>
              <w:pStyle w:val="TableContents"/>
              <w:spacing w:before="0" w:after="0"/>
              <w:ind w:left="0" w:right="0" w:hanging="0"/>
              <w:rPr/>
            </w:pPr>
            <w:r>
              <w:rPr/>
              <w:t> </w:t>
            </w:r>
          </w:p>
        </w:tc>
      </w:tr>
      <w:tr>
        <w:trPr/>
        <w:tc>
          <w:tcPr>
            <w:tcW w:w="28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704"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2810" w:type="dxa"/>
            <w:tcBorders/>
            <w:shd w:fill="CCEEFF" w:val="clear"/>
            <w:vAlign w:val="center"/>
          </w:tcPr>
          <w:p>
            <w:pPr>
              <w:pStyle w:val="TableContents"/>
              <w:spacing w:before="0" w:after="0"/>
              <w:ind w:left="0" w:right="0" w:hanging="0"/>
              <w:rPr/>
            </w:pPr>
            <w:r>
              <w:rPr>
                <w:rStyle w:val="StrongEmphasis"/>
                <w:rFonts w:ascii="times new roman" w:hAnsi="times new roman"/>
                <w:sz w:val="20"/>
              </w:rPr>
              <w:t>Year ended December 31, 2019</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704"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2810" w:type="dxa"/>
            <w:tcBorders/>
            <w:shd w:fill="FFFFFF" w:val="clear"/>
            <w:vAlign w:val="center"/>
          </w:tcPr>
          <w:p>
            <w:pPr>
              <w:pStyle w:val="TableContents"/>
              <w:spacing w:before="0" w:after="0"/>
              <w:ind w:left="0" w:right="0" w:firstLine="225"/>
              <w:rPr>
                <w:rFonts w:ascii="times new roman" w:hAnsi="times new roman"/>
                <w:sz w:val="20"/>
              </w:rPr>
            </w:pPr>
            <w:r>
              <w:rPr>
                <w:rFonts w:ascii="times new roman" w:hAnsi="times new roman"/>
                <w:sz w:val="20"/>
              </w:rPr>
              <w:t xml:space="preserve">Premiums written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171,214,091</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283"/>
              <w:rPr/>
            </w:pPr>
            <w:r>
              <w:rPr/>
              <w:t>$</w:t>
            </w:r>
          </w:p>
        </w:tc>
        <w:tc>
          <w:tcPr>
            <w:tcW w:w="704" w:type="dxa"/>
            <w:tcBorders/>
            <w:shd w:fill="FFFFFF" w:val="clear"/>
            <w:vAlign w:val="center"/>
          </w:tcPr>
          <w:p>
            <w:pPr>
              <w:pStyle w:val="TableContents"/>
              <w:spacing w:before="0" w:after="283"/>
              <w:jc w:val="right"/>
              <w:rPr/>
            </w:pPr>
            <w:r>
              <w:rPr/>
              <w:t>939</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05" w:type="dxa"/>
            <w:tcBorders/>
            <w:shd w:fill="FFFFFF" w:val="clear"/>
            <w:vAlign w:val="center"/>
          </w:tcPr>
          <w:p>
            <w:pPr>
              <w:pStyle w:val="TableContents"/>
              <w:spacing w:before="0" w:after="283"/>
              <w:jc w:val="right"/>
              <w:rPr/>
            </w:pPr>
            <w:r>
              <w:rPr/>
              <w:t>(45,635,899</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125,579,131</w:t>
            </w:r>
          </w:p>
        </w:tc>
        <w:tc>
          <w:tcPr>
            <w:tcW w:w="170" w:type="dxa"/>
            <w:tcBorders/>
            <w:shd w:fill="FFFFFF" w:val="clear"/>
            <w:vAlign w:val="center"/>
          </w:tcPr>
          <w:p>
            <w:pPr>
              <w:pStyle w:val="TableContents"/>
              <w:spacing w:before="0" w:after="0"/>
              <w:ind w:left="0" w:right="0" w:hanging="0"/>
              <w:rPr/>
            </w:pPr>
            <w:r>
              <w:rPr/>
              <w:t> </w:t>
            </w:r>
          </w:p>
        </w:tc>
      </w:tr>
      <w:tr>
        <w:trPr/>
        <w:tc>
          <w:tcPr>
            <w:tcW w:w="2810" w:type="dxa"/>
            <w:tcBorders/>
            <w:shd w:fill="CCEEFF" w:val="clear"/>
            <w:vAlign w:val="center"/>
          </w:tcPr>
          <w:p>
            <w:pPr>
              <w:pStyle w:val="TableContents"/>
              <w:spacing w:before="0" w:after="0"/>
              <w:ind w:left="0" w:right="0" w:firstLine="225"/>
              <w:rPr>
                <w:rFonts w:ascii="times new roman" w:hAnsi="times new roman"/>
                <w:sz w:val="20"/>
              </w:rPr>
            </w:pPr>
            <w:r>
              <w:rPr>
                <w:rFonts w:ascii="times new roman" w:hAnsi="times new roman"/>
                <w:sz w:val="20"/>
              </w:rPr>
              <w:t xml:space="preserve">Change in unearned premiums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(11,350,864</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24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04" w:type="dxa"/>
            <w:tcBorders>
              <w:bottom w:val="single" w:sz="2" w:space="0" w:color="000000"/>
            </w:tcBorders>
            <w:shd w:fill="CCEEFF" w:val="clear"/>
            <w:tcMar>
              <w:bottom w:w="28" w:type="dxa"/>
            </w:tcMar>
            <w:vAlign w:val="center"/>
          </w:tcPr>
          <w:p>
            <w:pPr>
              <w:pStyle w:val="TableContents"/>
              <w:spacing w:before="0" w:after="283"/>
              <w:jc w:val="right"/>
              <w:rPr/>
            </w:pPr>
            <w:r>
              <w:rPr/>
              <w:t>(243</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CCEEFF" w:val="clear"/>
            <w:tcMar>
              <w:bottom w:w="28" w:type="dxa"/>
            </w:tcMar>
            <w:vAlign w:val="center"/>
          </w:tcPr>
          <w:p>
            <w:pPr>
              <w:pStyle w:val="TableContents"/>
              <w:spacing w:before="0" w:after="283"/>
              <w:jc w:val="right"/>
              <w:rPr/>
            </w:pPr>
            <w:r>
              <w:rPr/>
              <w:t>13,395,418</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2,044,311</w:t>
            </w:r>
          </w:p>
        </w:tc>
        <w:tc>
          <w:tcPr>
            <w:tcW w:w="170" w:type="dxa"/>
            <w:tcBorders/>
            <w:shd w:fill="CCEEFF" w:val="clear"/>
            <w:vAlign w:val="center"/>
          </w:tcPr>
          <w:p>
            <w:pPr>
              <w:pStyle w:val="TableContents"/>
              <w:spacing w:before="0" w:after="0"/>
              <w:ind w:left="0" w:right="0" w:hanging="0"/>
              <w:rPr/>
            </w:pPr>
            <w:r>
              <w:rPr/>
              <w:t> </w:t>
            </w:r>
          </w:p>
        </w:tc>
      </w:tr>
      <w:tr>
        <w:trPr/>
        <w:tc>
          <w:tcPr>
            <w:tcW w:w="2810" w:type="dxa"/>
            <w:tcBorders/>
            <w:shd w:fill="FFFFFF" w:val="clear"/>
            <w:vAlign w:val="center"/>
          </w:tcPr>
          <w:p>
            <w:pPr>
              <w:pStyle w:val="TableContents"/>
              <w:spacing w:before="0" w:after="0"/>
              <w:ind w:left="0" w:right="0" w:firstLine="225"/>
              <w:rPr>
                <w:rFonts w:ascii="times new roman" w:hAnsi="times new roman"/>
                <w:sz w:val="20"/>
              </w:rPr>
            </w:pPr>
            <w:r>
              <w:rPr>
                <w:rFonts w:ascii="times new roman" w:hAnsi="times new roman"/>
                <w:sz w:val="20"/>
              </w:rPr>
              <w:t xml:space="preserve">Premiums earned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159,863,227</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45" w:type="dxa"/>
            <w:tcBorders>
              <w:bottom w:val="double" w:sz="6" w:space="0" w:color="000000"/>
            </w:tcBorders>
            <w:shd w:fill="FFFFFF" w:val="clear"/>
            <w:tcMar>
              <w:bottom w:w="28" w:type="dxa"/>
            </w:tcMar>
            <w:vAlign w:val="center"/>
          </w:tcPr>
          <w:p>
            <w:pPr>
              <w:pStyle w:val="TableContents"/>
              <w:spacing w:before="0" w:after="283"/>
              <w:rPr/>
            </w:pPr>
            <w:r>
              <w:rPr/>
              <w:t>$</w:t>
            </w:r>
          </w:p>
        </w:tc>
        <w:tc>
          <w:tcPr>
            <w:tcW w:w="704" w:type="dxa"/>
            <w:tcBorders>
              <w:bottom w:val="double" w:sz="6" w:space="0" w:color="000000"/>
            </w:tcBorders>
            <w:shd w:fill="FFFFFF" w:val="clear"/>
            <w:tcMar>
              <w:bottom w:w="28" w:type="dxa"/>
            </w:tcMar>
            <w:vAlign w:val="center"/>
          </w:tcPr>
          <w:p>
            <w:pPr>
              <w:pStyle w:val="TableContents"/>
              <w:spacing w:before="0" w:after="283"/>
              <w:jc w:val="right"/>
              <w:rPr/>
            </w:pPr>
            <w:r>
              <w:rPr/>
              <w:t>696</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05" w:type="dxa"/>
            <w:tcBorders>
              <w:bottom w:val="double" w:sz="6" w:space="0" w:color="000000"/>
            </w:tcBorders>
            <w:shd w:fill="FFFFFF" w:val="clear"/>
            <w:tcMar>
              <w:bottom w:w="28" w:type="dxa"/>
            </w:tcMar>
            <w:vAlign w:val="center"/>
          </w:tcPr>
          <w:p>
            <w:pPr>
              <w:pStyle w:val="TableContents"/>
              <w:spacing w:before="0" w:after="283"/>
              <w:jc w:val="right"/>
              <w:rPr/>
            </w:pPr>
            <w:r>
              <w:rPr/>
              <w:t>(32,240,481</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127,623,442</w:t>
            </w:r>
          </w:p>
        </w:tc>
        <w:tc>
          <w:tcPr>
            <w:tcW w:w="170" w:type="dxa"/>
            <w:tcBorders/>
            <w:shd w:fill="FFFF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Premium receipts in advance of the policy effective date are recorded as advance premiums.  The balance of advance premiums as of December 31, 2020 and December 31, 2019 was $2,660,354 and $3,191,512, respectively.</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F-35</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2020 AND 2019</w:t>
      </w:r>
    </w:p>
    <w:p>
      <w:pPr>
        <w:pStyle w:val="TextBody"/>
        <w:spacing w:before="0" w:after="0"/>
        <w:ind w:left="0" w:right="0" w:hanging="0"/>
        <w:jc w:val="center"/>
        <w:rPr/>
      </w:pPr>
      <w:r>
        <w:rPr>
          <w:rStyle w:val="StrongEmphasis"/>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components of the liability for loss and LAE expenses and related reinsurance receivables as of December 31, 2020 and 2019 are as follows:</w:t>
      </w:r>
    </w:p>
    <w:p>
      <w:pPr>
        <w:pStyle w:val="TextBody"/>
        <w:spacing w:before="0" w:after="0"/>
        <w:ind w:left="0" w:right="0" w:hanging="0"/>
        <w:jc w:val="both"/>
        <w:rPr/>
      </w:pPr>
      <w:r>
        <w:rPr/>
        <w:t> </w:t>
      </w:r>
    </w:p>
    <w:p>
      <w:pPr>
        <w:pStyle w:val="TextBody"/>
        <w:spacing w:before="0" w:after="0"/>
        <w:ind w:left="0" w:right="0" w:hanging="0"/>
        <w:rPr/>
      </w:pPr>
      <w:r>
        <w:rPr/>
        <w:t> </w:t>
      </w:r>
    </w:p>
    <w:p>
      <w:pPr>
        <w:pStyle w:val="TextBody"/>
        <w:spacing w:before="0" w:after="0"/>
        <w:ind w:left="0" w:right="0" w:hanging="0"/>
        <w:rPr/>
      </w:pPr>
      <w:r>
        <w:rPr/>
        <w:t> </w:t>
      </w:r>
    </w:p>
    <w:tbl>
      <w:tblPr>
        <w:tblW w:w="6565" w:type="dxa"/>
        <w:jc w:val="left"/>
        <w:tblInd w:w="0" w:type="dxa"/>
        <w:tblCellMar>
          <w:top w:w="0" w:type="dxa"/>
          <w:left w:w="0" w:type="dxa"/>
          <w:bottom w:w="0" w:type="dxa"/>
          <w:right w:w="0" w:type="dxa"/>
        </w:tblCellMar>
      </w:tblPr>
      <w:tblGrid>
        <w:gridCol w:w="3560"/>
        <w:gridCol w:w="90"/>
        <w:gridCol w:w="170"/>
        <w:gridCol w:w="1130"/>
        <w:gridCol w:w="90"/>
        <w:gridCol w:w="90"/>
        <w:gridCol w:w="170"/>
        <w:gridCol w:w="1130"/>
        <w:gridCol w:w="135"/>
      </w:tblGrid>
      <w:tr>
        <w:trPr/>
        <w:tc>
          <w:tcPr>
            <w:tcW w:w="356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Gross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Reinsurance </w:t>
            </w:r>
          </w:p>
        </w:tc>
        <w:tc>
          <w:tcPr>
            <w:tcW w:w="135" w:type="dxa"/>
            <w:tcBorders/>
            <w:shd w:fill="auto" w:val="clear"/>
            <w:vAlign w:val="center"/>
          </w:tcPr>
          <w:p>
            <w:pPr>
              <w:pStyle w:val="TableContents"/>
              <w:spacing w:before="0" w:after="0"/>
              <w:ind w:left="0" w:right="0" w:hanging="0"/>
              <w:rPr/>
            </w:pPr>
            <w:r>
              <w:rPr/>
              <w:t> </w:t>
            </w:r>
          </w:p>
        </w:tc>
      </w:tr>
      <w:tr>
        <w:trPr/>
        <w:tc>
          <w:tcPr>
            <w:tcW w:w="356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Liability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Receivables </w:t>
            </w:r>
          </w:p>
        </w:tc>
        <w:tc>
          <w:tcPr>
            <w:tcW w:w="135" w:type="dxa"/>
            <w:tcBorders/>
            <w:shd w:fill="auto" w:val="clear"/>
            <w:vAlign w:val="center"/>
          </w:tcPr>
          <w:p>
            <w:pPr>
              <w:pStyle w:val="TableContents"/>
              <w:spacing w:before="0" w:after="0"/>
              <w:ind w:left="0" w:right="0" w:hanging="0"/>
              <w:rPr/>
            </w:pPr>
            <w:r>
              <w:rPr/>
              <w:t> </w:t>
            </w:r>
          </w:p>
        </w:tc>
      </w:tr>
      <w:tr>
        <w:trPr/>
        <w:tc>
          <w:tcPr>
            <w:tcW w:w="3560" w:type="dxa"/>
            <w:tcBorders/>
            <w:shd w:fill="auto" w:val="clear"/>
            <w:vAlign w:val="center"/>
          </w:tcPr>
          <w:p>
            <w:pPr>
              <w:pStyle w:val="TableContents"/>
              <w:spacing w:before="0" w:after="0"/>
              <w:ind w:left="0" w:right="0" w:hanging="0"/>
              <w:rPr/>
            </w:pPr>
            <w:r>
              <w:rPr>
                <w:rStyle w:val="StrongEmphasis"/>
                <w:rFonts w:ascii="times new roman" w:hAnsi="times new roman"/>
                <w:sz w:val="20"/>
              </w:rPr>
              <w:t>December 31, 2020</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3560" w:type="dxa"/>
            <w:tcBorders/>
            <w:shd w:fill="CCEEFF" w:val="clear"/>
            <w:vAlign w:val="center"/>
          </w:tcPr>
          <w:p>
            <w:pPr>
              <w:pStyle w:val="TableContents"/>
              <w:spacing w:before="0" w:after="0"/>
              <w:ind w:left="0" w:right="0" w:firstLine="225"/>
              <w:rPr>
                <w:rFonts w:ascii="times new roman" w:hAnsi="times new roman"/>
                <w:sz w:val="20"/>
              </w:rPr>
            </w:pPr>
            <w:r>
              <w:rPr>
                <w:rFonts w:ascii="times new roman" w:hAnsi="times new roman"/>
                <w:sz w:val="20"/>
              </w:rPr>
              <w:t xml:space="preserve">Case-basis reserves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47,657,198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15,432,347</w:t>
            </w:r>
          </w:p>
        </w:tc>
        <w:tc>
          <w:tcPr>
            <w:tcW w:w="135" w:type="dxa"/>
            <w:tcBorders/>
            <w:shd w:fill="CCEEFF" w:val="clear"/>
            <w:vAlign w:val="center"/>
          </w:tcPr>
          <w:p>
            <w:pPr>
              <w:pStyle w:val="TableContents"/>
              <w:spacing w:before="0" w:after="0"/>
              <w:ind w:left="0" w:right="0" w:hanging="0"/>
              <w:rPr/>
            </w:pPr>
            <w:r>
              <w:rPr/>
              <w:t> </w:t>
            </w:r>
          </w:p>
        </w:tc>
      </w:tr>
      <w:tr>
        <w:trPr/>
        <w:tc>
          <w:tcPr>
            <w:tcW w:w="3560" w:type="dxa"/>
            <w:tcBorders/>
            <w:shd w:fill="FFFFFF" w:val="clear"/>
            <w:vAlign w:val="center"/>
          </w:tcPr>
          <w:p>
            <w:pPr>
              <w:pStyle w:val="TableContents"/>
              <w:spacing w:before="0" w:after="0"/>
              <w:ind w:left="0" w:right="0" w:firstLine="225"/>
              <w:rPr>
                <w:rFonts w:ascii="times new roman" w:hAnsi="times new roman"/>
                <w:sz w:val="20"/>
              </w:rPr>
            </w:pPr>
            <w:r>
              <w:rPr>
                <w:rFonts w:ascii="times new roman" w:hAnsi="times new roman"/>
                <w:sz w:val="20"/>
              </w:rPr>
              <w:t xml:space="preserve">Loss adjustment expenses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13,610,284</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1,882,419</w:t>
            </w:r>
          </w:p>
        </w:tc>
        <w:tc>
          <w:tcPr>
            <w:tcW w:w="135" w:type="dxa"/>
            <w:tcBorders/>
            <w:shd w:fill="FFFFFF" w:val="clear"/>
            <w:vAlign w:val="center"/>
          </w:tcPr>
          <w:p>
            <w:pPr>
              <w:pStyle w:val="TableContents"/>
              <w:spacing w:before="0" w:after="0"/>
              <w:ind w:left="0" w:right="0" w:hanging="0"/>
              <w:rPr/>
            </w:pPr>
            <w:r>
              <w:rPr/>
              <w:t> </w:t>
            </w:r>
          </w:p>
        </w:tc>
      </w:tr>
      <w:tr>
        <w:trPr/>
        <w:tc>
          <w:tcPr>
            <w:tcW w:w="3560" w:type="dxa"/>
            <w:tcBorders/>
            <w:shd w:fill="CCEEFF" w:val="clear"/>
            <w:vAlign w:val="center"/>
          </w:tcPr>
          <w:p>
            <w:pPr>
              <w:pStyle w:val="TableContents"/>
              <w:spacing w:before="0" w:after="0"/>
              <w:ind w:left="0" w:right="0" w:firstLine="225"/>
              <w:rPr>
                <w:rFonts w:ascii="times new roman" w:hAnsi="times new roman"/>
                <w:sz w:val="20"/>
              </w:rPr>
            </w:pPr>
            <w:r>
              <w:rPr>
                <w:rFonts w:ascii="times new roman" w:hAnsi="times new roman"/>
                <w:sz w:val="20"/>
              </w:rPr>
              <w:t xml:space="preserve">IBNR reserves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21,533,746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CCEEFF" w:val="clear"/>
            <w:tcMar>
              <w:bottom w:w="28" w:type="dxa"/>
            </w:tcMar>
            <w:vAlign w:val="center"/>
          </w:tcPr>
          <w:p>
            <w:pPr>
              <w:pStyle w:val="TableContents"/>
              <w:spacing w:before="0" w:after="283"/>
              <w:jc w:val="right"/>
              <w:rPr/>
            </w:pPr>
            <w:r>
              <w:rPr/>
              <w:t>2,839,486</w:t>
            </w:r>
          </w:p>
        </w:tc>
        <w:tc>
          <w:tcPr>
            <w:tcW w:w="135" w:type="dxa"/>
            <w:tcBorders/>
            <w:shd w:fill="CCEEFF" w:val="clear"/>
            <w:vAlign w:val="center"/>
          </w:tcPr>
          <w:p>
            <w:pPr>
              <w:pStyle w:val="TableContents"/>
              <w:spacing w:before="0" w:after="0"/>
              <w:ind w:left="0" w:right="0" w:hanging="0"/>
              <w:rPr/>
            </w:pPr>
            <w:r>
              <w:rPr/>
              <w:t> </w:t>
            </w:r>
          </w:p>
        </w:tc>
      </w:tr>
      <w:tr>
        <w:trPr/>
        <w:tc>
          <w:tcPr>
            <w:tcW w:w="3560" w:type="dxa"/>
            <w:tcBorders/>
            <w:shd w:fill="FFFFFF" w:val="clear"/>
            <w:vAlign w:val="center"/>
          </w:tcPr>
          <w:p>
            <w:pPr>
              <w:pStyle w:val="TableContents"/>
              <w:spacing w:before="0" w:after="0"/>
              <w:ind w:left="0" w:right="0" w:firstLine="225"/>
              <w:rPr>
                <w:rFonts w:ascii="times new roman" w:hAnsi="times new roman"/>
                <w:sz w:val="20"/>
              </w:rPr>
            </w:pPr>
            <w:r>
              <w:rPr>
                <w:rFonts w:ascii="times new roman" w:hAnsi="times new roman"/>
                <w:sz w:val="20"/>
              </w:rPr>
              <w:t xml:space="preserve">Recoverable on unpaid losses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20,154,252</w:t>
            </w:r>
          </w:p>
        </w:tc>
        <w:tc>
          <w:tcPr>
            <w:tcW w:w="135" w:type="dxa"/>
            <w:tcBorders/>
            <w:shd w:fill="FFFFFF" w:val="clear"/>
            <w:vAlign w:val="center"/>
          </w:tcPr>
          <w:p>
            <w:pPr>
              <w:pStyle w:val="TableContents"/>
              <w:spacing w:before="0" w:after="0"/>
              <w:ind w:left="0" w:right="0" w:hanging="0"/>
              <w:rPr/>
            </w:pPr>
            <w:r>
              <w:rPr/>
              <w:t> </w:t>
            </w:r>
          </w:p>
        </w:tc>
      </w:tr>
      <w:tr>
        <w:trPr/>
        <w:tc>
          <w:tcPr>
            <w:tcW w:w="3560" w:type="dxa"/>
            <w:tcBorders/>
            <w:shd w:fill="CCEEFF" w:val="clear"/>
            <w:vAlign w:val="center"/>
          </w:tcPr>
          <w:p>
            <w:pPr>
              <w:pStyle w:val="TableContents"/>
              <w:spacing w:before="0" w:after="0"/>
              <w:ind w:left="0" w:right="0" w:firstLine="225"/>
              <w:rPr>
                <w:rFonts w:ascii="times new roman" w:hAnsi="times new roman"/>
                <w:sz w:val="20"/>
              </w:rPr>
            </w:pPr>
            <w:r>
              <w:rPr>
                <w:rFonts w:ascii="times new roman" w:hAnsi="times new roman"/>
                <w:sz w:val="20"/>
              </w:rPr>
              <w:t xml:space="preserve">Recoverable on paid losses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CCEEFF" w:val="clear"/>
            <w:tcMar>
              <w:bottom w:w="28" w:type="dxa"/>
            </w:tcMar>
            <w:vAlign w:val="center"/>
          </w:tcPr>
          <w:p>
            <w:pPr>
              <w:pStyle w:val="TableContents"/>
              <w:spacing w:before="0" w:after="283"/>
              <w:jc w:val="right"/>
              <w:rPr/>
            </w:pPr>
            <w:r>
              <w:rPr/>
              <w:t>14,787,037</w:t>
            </w:r>
          </w:p>
        </w:tc>
        <w:tc>
          <w:tcPr>
            <w:tcW w:w="135" w:type="dxa"/>
            <w:tcBorders/>
            <w:shd w:fill="CCEEFF" w:val="clear"/>
            <w:vAlign w:val="center"/>
          </w:tcPr>
          <w:p>
            <w:pPr>
              <w:pStyle w:val="TableContents"/>
              <w:spacing w:before="0" w:after="0"/>
              <w:ind w:left="0" w:right="0" w:hanging="0"/>
              <w:rPr/>
            </w:pPr>
            <w:r>
              <w:rPr/>
              <w:t> </w:t>
            </w:r>
          </w:p>
        </w:tc>
      </w:tr>
      <w:tr>
        <w:trPr/>
        <w:tc>
          <w:tcPr>
            <w:tcW w:w="3560" w:type="dxa"/>
            <w:tcBorders/>
            <w:shd w:fill="FFFFFF" w:val="clear"/>
            <w:vAlign w:val="center"/>
          </w:tcPr>
          <w:p>
            <w:pPr>
              <w:pStyle w:val="TableContents"/>
              <w:spacing w:before="0" w:after="0"/>
              <w:ind w:left="0" w:right="0" w:firstLine="225"/>
              <w:rPr>
                <w:rFonts w:ascii="times new roman" w:hAnsi="times new roman"/>
                <w:sz w:val="20"/>
              </w:rPr>
            </w:pPr>
            <w:r>
              <w:rPr>
                <w:rFonts w:ascii="times new roman" w:hAnsi="times new roman"/>
                <w:sz w:val="20"/>
              </w:rPr>
              <w:t xml:space="preserve">Total loss and loss adjustment expenses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130" w:type="dxa"/>
            <w:tcBorders>
              <w:bottom w:val="double" w:sz="6" w:space="0" w:color="000000"/>
            </w:tcBorders>
            <w:shd w:fill="FFFFFF" w:val="clear"/>
            <w:tcMar>
              <w:bottom w:w="28" w:type="dxa"/>
            </w:tcMar>
            <w:vAlign w:val="center"/>
          </w:tcPr>
          <w:p>
            <w:pPr>
              <w:pStyle w:val="TableContents"/>
              <w:spacing w:before="0" w:after="283"/>
              <w:jc w:val="right"/>
              <w:rPr/>
            </w:pPr>
            <w:r>
              <w:rPr/>
              <w:t>82,801,228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34,941,289</w:t>
            </w:r>
          </w:p>
        </w:tc>
        <w:tc>
          <w:tcPr>
            <w:tcW w:w="135" w:type="dxa"/>
            <w:tcBorders/>
            <w:shd w:fill="FFFFFF" w:val="clear"/>
            <w:vAlign w:val="center"/>
          </w:tcPr>
          <w:p>
            <w:pPr>
              <w:pStyle w:val="TableContents"/>
              <w:spacing w:before="0" w:after="0"/>
              <w:ind w:left="0" w:right="0" w:hanging="0"/>
              <w:rPr/>
            </w:pPr>
            <w:r>
              <w:rPr/>
              <w:t> </w:t>
            </w:r>
          </w:p>
        </w:tc>
      </w:tr>
      <w:tr>
        <w:trPr/>
        <w:tc>
          <w:tcPr>
            <w:tcW w:w="3560" w:type="dxa"/>
            <w:tcBorders/>
            <w:shd w:fill="CCEEFF" w:val="clear"/>
            <w:vAlign w:val="center"/>
          </w:tcPr>
          <w:p>
            <w:pPr>
              <w:pStyle w:val="TableContents"/>
              <w:spacing w:before="0" w:after="0"/>
              <w:ind w:left="0" w:right="0" w:firstLine="225"/>
              <w:rPr>
                <w:rFonts w:ascii="times new roman" w:hAnsi="times new roman"/>
                <w:sz w:val="20"/>
              </w:rPr>
            </w:pPr>
            <w:r>
              <w:rPr>
                <w:rFonts w:ascii="times new roman" w:hAnsi="times new roman"/>
                <w:sz w:val="20"/>
              </w:rPr>
              <w:t xml:space="preserve">Unearned premiums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282,131</w:t>
            </w:r>
          </w:p>
        </w:tc>
        <w:tc>
          <w:tcPr>
            <w:tcW w:w="135" w:type="dxa"/>
            <w:tcBorders/>
            <w:shd w:fill="CCEEFF" w:val="clear"/>
            <w:vAlign w:val="center"/>
          </w:tcPr>
          <w:p>
            <w:pPr>
              <w:pStyle w:val="TableContents"/>
              <w:spacing w:before="0" w:after="0"/>
              <w:ind w:left="0" w:right="0" w:hanging="0"/>
              <w:rPr/>
            </w:pPr>
            <w:r>
              <w:rPr/>
              <w:t> </w:t>
            </w:r>
          </w:p>
        </w:tc>
      </w:tr>
      <w:tr>
        <w:trPr/>
        <w:tc>
          <w:tcPr>
            <w:tcW w:w="3560" w:type="dxa"/>
            <w:tcBorders/>
            <w:shd w:fill="FFFFFF" w:val="clear"/>
            <w:vAlign w:val="center"/>
          </w:tcPr>
          <w:p>
            <w:pPr>
              <w:pStyle w:val="TableContents"/>
              <w:spacing w:before="0" w:after="0"/>
              <w:ind w:left="0" w:right="0" w:firstLine="225"/>
              <w:rPr>
                <w:rFonts w:ascii="times new roman" w:hAnsi="times new roman"/>
                <w:sz w:val="20"/>
              </w:rPr>
            </w:pPr>
            <w:r>
              <w:rPr>
                <w:rFonts w:ascii="times new roman" w:hAnsi="times new roman"/>
                <w:sz w:val="20"/>
              </w:rPr>
              <w:t xml:space="preserve">Receivables - reinsurance contracts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FFFFFF" w:val="clear"/>
            <w:tcMar>
              <w:bottom w:w="28" w:type="dxa"/>
            </w:tcMar>
            <w:vAlign w:val="center"/>
          </w:tcPr>
          <w:p>
            <w:pPr>
              <w:pStyle w:val="TableContents"/>
              <w:spacing w:before="0" w:after="283"/>
              <w:jc w:val="right"/>
              <w:rPr/>
            </w:pPr>
            <w:r>
              <w:rPr/>
              <w:t>10,237,309</w:t>
            </w:r>
          </w:p>
        </w:tc>
        <w:tc>
          <w:tcPr>
            <w:tcW w:w="135" w:type="dxa"/>
            <w:tcBorders/>
            <w:shd w:fill="FFFFFF" w:val="clear"/>
            <w:vAlign w:val="center"/>
          </w:tcPr>
          <w:p>
            <w:pPr>
              <w:pStyle w:val="TableContents"/>
              <w:spacing w:before="0" w:after="0"/>
              <w:ind w:left="0" w:right="0" w:hanging="0"/>
              <w:rPr/>
            </w:pPr>
            <w:r>
              <w:rPr/>
              <w:t> </w:t>
            </w:r>
          </w:p>
        </w:tc>
      </w:tr>
      <w:tr>
        <w:trPr/>
        <w:tc>
          <w:tcPr>
            <w:tcW w:w="3560" w:type="dxa"/>
            <w:tcBorders/>
            <w:shd w:fill="CCEEFF" w:val="clear"/>
            <w:vAlign w:val="center"/>
          </w:tcPr>
          <w:p>
            <w:pPr>
              <w:pStyle w:val="TableContents"/>
              <w:spacing w:before="0" w:after="0"/>
              <w:ind w:left="0" w:right="0" w:firstLine="225"/>
              <w:rPr>
                <w:rFonts w:ascii="times new roman" w:hAnsi="times new roman"/>
                <w:sz w:val="20"/>
              </w:rPr>
            </w:pPr>
            <w:r>
              <w:rPr>
                <w:rFonts w:ascii="times new roman" w:hAnsi="times new roman"/>
                <w:sz w:val="20"/>
              </w:rPr>
              <w:t xml:space="preserve">Total reinsurance receivables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130" w:type="dxa"/>
            <w:tcBorders>
              <w:bottom w:val="double" w:sz="6" w:space="0" w:color="000000"/>
            </w:tcBorders>
            <w:shd w:fill="CCEEFF" w:val="clear"/>
            <w:tcMar>
              <w:bottom w:w="28" w:type="dxa"/>
            </w:tcMar>
            <w:vAlign w:val="center"/>
          </w:tcPr>
          <w:p>
            <w:pPr>
              <w:pStyle w:val="TableContents"/>
              <w:spacing w:before="0" w:after="283"/>
              <w:jc w:val="right"/>
              <w:rPr/>
            </w:pPr>
            <w:r>
              <w:rPr/>
              <w:t>45,460,729</w:t>
            </w:r>
          </w:p>
        </w:tc>
        <w:tc>
          <w:tcPr>
            <w:tcW w:w="135" w:type="dxa"/>
            <w:tcBorders/>
            <w:shd w:fill="CCEEFF" w:val="clear"/>
            <w:vAlign w:val="center"/>
          </w:tcPr>
          <w:p>
            <w:pPr>
              <w:pStyle w:val="TableContents"/>
              <w:spacing w:before="0" w:after="0"/>
              <w:ind w:left="0" w:right="0" w:hanging="0"/>
              <w:rPr/>
            </w:pPr>
            <w:r>
              <w:rPr/>
              <w:t> </w:t>
            </w:r>
          </w:p>
        </w:tc>
      </w:tr>
      <w:tr>
        <w:trPr/>
        <w:tc>
          <w:tcPr>
            <w:tcW w:w="356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135" w:type="dxa"/>
            <w:tcBorders/>
            <w:shd w:fill="FFFFFF" w:val="clear"/>
            <w:vAlign w:val="center"/>
          </w:tcPr>
          <w:p>
            <w:pPr>
              <w:pStyle w:val="TableContents"/>
              <w:spacing w:before="0" w:after="0"/>
              <w:ind w:left="0" w:right="0" w:hanging="0"/>
              <w:rPr/>
            </w:pPr>
            <w:r>
              <w:rPr/>
              <w:t> </w:t>
            </w:r>
          </w:p>
        </w:tc>
      </w:tr>
      <w:tr>
        <w:trPr/>
        <w:tc>
          <w:tcPr>
            <w:tcW w:w="3560" w:type="dxa"/>
            <w:tcBorders/>
            <w:shd w:fill="CCEEFF" w:val="clear"/>
            <w:vAlign w:val="center"/>
          </w:tcPr>
          <w:p>
            <w:pPr>
              <w:pStyle w:val="TableContents"/>
              <w:spacing w:before="0" w:after="0"/>
              <w:ind w:left="0" w:right="0" w:hanging="0"/>
              <w:rPr/>
            </w:pPr>
            <w:r>
              <w:rPr>
                <w:rStyle w:val="StrongEmphasis"/>
                <w:rFonts w:ascii="times new roman" w:hAnsi="times new roman"/>
                <w:sz w:val="20"/>
              </w:rPr>
              <w:t>December 31, 2019</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135" w:type="dxa"/>
            <w:tcBorders/>
            <w:shd w:fill="CCEEFF" w:val="clear"/>
            <w:vAlign w:val="center"/>
          </w:tcPr>
          <w:p>
            <w:pPr>
              <w:pStyle w:val="TableContents"/>
              <w:spacing w:before="0" w:after="0"/>
              <w:ind w:left="0" w:right="0" w:hanging="0"/>
              <w:rPr/>
            </w:pPr>
            <w:r>
              <w:rPr/>
              <w:t> </w:t>
            </w:r>
          </w:p>
        </w:tc>
      </w:tr>
      <w:tr>
        <w:trPr/>
        <w:tc>
          <w:tcPr>
            <w:tcW w:w="3560" w:type="dxa"/>
            <w:tcBorders/>
            <w:shd w:fill="FFFFFF" w:val="clear"/>
            <w:vAlign w:val="center"/>
          </w:tcPr>
          <w:p>
            <w:pPr>
              <w:pStyle w:val="TableContents"/>
              <w:spacing w:before="0" w:after="0"/>
              <w:ind w:left="0" w:right="0" w:firstLine="225"/>
              <w:rPr>
                <w:rFonts w:ascii="times new roman" w:hAnsi="times new roman"/>
                <w:sz w:val="20"/>
              </w:rPr>
            </w:pPr>
            <w:r>
              <w:rPr>
                <w:rFonts w:ascii="times new roman" w:hAnsi="times new roman"/>
                <w:sz w:val="20"/>
              </w:rPr>
              <w:t xml:space="preserve">Case-basis reserves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130" w:type="dxa"/>
            <w:tcBorders/>
            <w:shd w:fill="FFFFFF" w:val="clear"/>
            <w:vAlign w:val="center"/>
          </w:tcPr>
          <w:p>
            <w:pPr>
              <w:pStyle w:val="TableContents"/>
              <w:spacing w:before="0" w:after="283"/>
              <w:jc w:val="right"/>
              <w:rPr/>
            </w:pPr>
            <w:r>
              <w:rPr/>
              <w:t>48,688,643</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130" w:type="dxa"/>
            <w:tcBorders/>
            <w:shd w:fill="FFFFFF" w:val="clear"/>
            <w:vAlign w:val="center"/>
          </w:tcPr>
          <w:p>
            <w:pPr>
              <w:pStyle w:val="TableContents"/>
              <w:spacing w:before="0" w:after="283"/>
              <w:jc w:val="right"/>
              <w:rPr/>
            </w:pPr>
            <w:r>
              <w:rPr/>
              <w:t>12,894,469</w:t>
            </w:r>
          </w:p>
        </w:tc>
        <w:tc>
          <w:tcPr>
            <w:tcW w:w="135" w:type="dxa"/>
            <w:tcBorders/>
            <w:shd w:fill="FFFFFF" w:val="clear"/>
            <w:vAlign w:val="center"/>
          </w:tcPr>
          <w:p>
            <w:pPr>
              <w:pStyle w:val="TableContents"/>
              <w:spacing w:before="0" w:after="0"/>
              <w:ind w:left="0" w:right="0" w:hanging="0"/>
              <w:rPr/>
            </w:pPr>
            <w:r>
              <w:rPr/>
              <w:t> </w:t>
            </w:r>
          </w:p>
        </w:tc>
      </w:tr>
      <w:tr>
        <w:trPr/>
        <w:tc>
          <w:tcPr>
            <w:tcW w:w="3560" w:type="dxa"/>
            <w:tcBorders/>
            <w:shd w:fill="CCEEFF" w:val="clear"/>
            <w:vAlign w:val="center"/>
          </w:tcPr>
          <w:p>
            <w:pPr>
              <w:pStyle w:val="TableContents"/>
              <w:spacing w:before="0" w:after="0"/>
              <w:ind w:left="0" w:right="0" w:firstLine="225"/>
              <w:rPr>
                <w:rFonts w:ascii="times new roman" w:hAnsi="times new roman"/>
                <w:sz w:val="20"/>
              </w:rPr>
            </w:pPr>
            <w:r>
              <w:rPr>
                <w:rFonts w:ascii="times new roman" w:hAnsi="times new roman"/>
                <w:sz w:val="20"/>
              </w:rPr>
              <w:t xml:space="preserve">Loss adjustment expenses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12,606,236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1,416,686</w:t>
            </w:r>
          </w:p>
        </w:tc>
        <w:tc>
          <w:tcPr>
            <w:tcW w:w="135" w:type="dxa"/>
            <w:tcBorders/>
            <w:shd w:fill="CCEEFF" w:val="clear"/>
            <w:vAlign w:val="center"/>
          </w:tcPr>
          <w:p>
            <w:pPr>
              <w:pStyle w:val="TableContents"/>
              <w:spacing w:before="0" w:after="0"/>
              <w:ind w:left="0" w:right="0" w:hanging="0"/>
              <w:rPr/>
            </w:pPr>
            <w:r>
              <w:rPr/>
              <w:t> </w:t>
            </w:r>
          </w:p>
        </w:tc>
      </w:tr>
      <w:tr>
        <w:trPr/>
        <w:tc>
          <w:tcPr>
            <w:tcW w:w="3560" w:type="dxa"/>
            <w:tcBorders/>
            <w:shd w:fill="FFFFFF" w:val="clear"/>
            <w:vAlign w:val="center"/>
          </w:tcPr>
          <w:p>
            <w:pPr>
              <w:pStyle w:val="TableContents"/>
              <w:spacing w:before="0" w:after="0"/>
              <w:ind w:left="0" w:right="0" w:firstLine="225"/>
              <w:rPr>
                <w:rFonts w:ascii="times new roman" w:hAnsi="times new roman"/>
                <w:sz w:val="20"/>
              </w:rPr>
            </w:pPr>
            <w:r>
              <w:rPr>
                <w:rFonts w:ascii="times new roman" w:hAnsi="times new roman"/>
                <w:sz w:val="20"/>
              </w:rPr>
              <w:t xml:space="preserve">IBNR reserves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19,203,732</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FFFFFF" w:val="clear"/>
            <w:tcMar>
              <w:bottom w:w="28" w:type="dxa"/>
            </w:tcMar>
            <w:vAlign w:val="center"/>
          </w:tcPr>
          <w:p>
            <w:pPr>
              <w:pStyle w:val="TableContents"/>
              <w:spacing w:before="0" w:after="283"/>
              <w:jc w:val="right"/>
              <w:rPr/>
            </w:pPr>
            <w:r>
              <w:rPr/>
              <w:t>1,417,070</w:t>
            </w:r>
          </w:p>
        </w:tc>
        <w:tc>
          <w:tcPr>
            <w:tcW w:w="135" w:type="dxa"/>
            <w:tcBorders/>
            <w:shd w:fill="FFFFFF" w:val="clear"/>
            <w:vAlign w:val="center"/>
          </w:tcPr>
          <w:p>
            <w:pPr>
              <w:pStyle w:val="TableContents"/>
              <w:spacing w:before="0" w:after="0"/>
              <w:ind w:left="0" w:right="0" w:hanging="0"/>
              <w:rPr/>
            </w:pPr>
            <w:r>
              <w:rPr/>
              <w:t> </w:t>
            </w:r>
          </w:p>
        </w:tc>
      </w:tr>
      <w:tr>
        <w:trPr/>
        <w:tc>
          <w:tcPr>
            <w:tcW w:w="3560" w:type="dxa"/>
            <w:tcBorders/>
            <w:shd w:fill="CCEEFF" w:val="clear"/>
            <w:vAlign w:val="center"/>
          </w:tcPr>
          <w:p>
            <w:pPr>
              <w:pStyle w:val="TableContents"/>
              <w:spacing w:before="0" w:after="0"/>
              <w:ind w:left="0" w:right="0" w:firstLine="225"/>
              <w:rPr>
                <w:rFonts w:ascii="times new roman" w:hAnsi="times new roman"/>
                <w:sz w:val="20"/>
              </w:rPr>
            </w:pPr>
            <w:r>
              <w:rPr>
                <w:rFonts w:ascii="times new roman" w:hAnsi="times new roman"/>
                <w:sz w:val="20"/>
              </w:rPr>
              <w:t xml:space="preserve">Recoverable on unpaid losses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15,728,225</w:t>
            </w:r>
          </w:p>
        </w:tc>
        <w:tc>
          <w:tcPr>
            <w:tcW w:w="135" w:type="dxa"/>
            <w:tcBorders/>
            <w:shd w:fill="CCEEFF" w:val="clear"/>
            <w:vAlign w:val="center"/>
          </w:tcPr>
          <w:p>
            <w:pPr>
              <w:pStyle w:val="TableContents"/>
              <w:spacing w:before="0" w:after="0"/>
              <w:ind w:left="0" w:right="0" w:hanging="0"/>
              <w:rPr/>
            </w:pPr>
            <w:r>
              <w:rPr/>
              <w:t> </w:t>
            </w:r>
          </w:p>
        </w:tc>
      </w:tr>
      <w:tr>
        <w:trPr/>
        <w:tc>
          <w:tcPr>
            <w:tcW w:w="3560" w:type="dxa"/>
            <w:tcBorders/>
            <w:shd w:fill="FFFFFF" w:val="clear"/>
            <w:vAlign w:val="center"/>
          </w:tcPr>
          <w:p>
            <w:pPr>
              <w:pStyle w:val="TableContents"/>
              <w:spacing w:before="0" w:after="0"/>
              <w:ind w:left="0" w:right="0" w:firstLine="225"/>
              <w:rPr>
                <w:rFonts w:ascii="times new roman" w:hAnsi="times new roman"/>
                <w:sz w:val="20"/>
              </w:rPr>
            </w:pPr>
            <w:r>
              <w:rPr>
                <w:rFonts w:ascii="times new roman" w:hAnsi="times new roman"/>
                <w:sz w:val="20"/>
              </w:rPr>
              <w:t xml:space="preserve">Recoverable on paid losses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FFFFFF" w:val="clear"/>
            <w:tcMar>
              <w:bottom w:w="28" w:type="dxa"/>
            </w:tcMar>
            <w:vAlign w:val="center"/>
          </w:tcPr>
          <w:p>
            <w:pPr>
              <w:pStyle w:val="TableContents"/>
              <w:spacing w:before="0" w:after="283"/>
              <w:jc w:val="right"/>
              <w:rPr/>
            </w:pPr>
            <w:r>
              <w:rPr/>
              <w:t>5,384,325</w:t>
            </w:r>
          </w:p>
        </w:tc>
        <w:tc>
          <w:tcPr>
            <w:tcW w:w="135" w:type="dxa"/>
            <w:tcBorders/>
            <w:shd w:fill="FFFFFF" w:val="clear"/>
            <w:vAlign w:val="center"/>
          </w:tcPr>
          <w:p>
            <w:pPr>
              <w:pStyle w:val="TableContents"/>
              <w:spacing w:before="0" w:after="0"/>
              <w:ind w:left="0" w:right="0" w:hanging="0"/>
              <w:rPr/>
            </w:pPr>
            <w:r>
              <w:rPr/>
              <w:t> </w:t>
            </w:r>
          </w:p>
        </w:tc>
      </w:tr>
      <w:tr>
        <w:trPr/>
        <w:tc>
          <w:tcPr>
            <w:tcW w:w="3560" w:type="dxa"/>
            <w:tcBorders/>
            <w:shd w:fill="CCEEFF" w:val="clear"/>
            <w:vAlign w:val="center"/>
          </w:tcPr>
          <w:p>
            <w:pPr>
              <w:pStyle w:val="TableContents"/>
              <w:spacing w:before="0" w:after="0"/>
              <w:ind w:left="0" w:right="0" w:firstLine="225"/>
              <w:rPr>
                <w:rFonts w:ascii="times new roman" w:hAnsi="times new roman"/>
                <w:sz w:val="20"/>
              </w:rPr>
            </w:pPr>
            <w:r>
              <w:rPr>
                <w:rFonts w:ascii="times new roman" w:hAnsi="times new roman"/>
                <w:sz w:val="20"/>
              </w:rPr>
              <w:t xml:space="preserve">Total loss and loss adjustment expenses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130" w:type="dxa"/>
            <w:tcBorders>
              <w:bottom w:val="double" w:sz="6" w:space="0" w:color="000000"/>
            </w:tcBorders>
            <w:shd w:fill="CCEEFF" w:val="clear"/>
            <w:tcMar>
              <w:bottom w:w="28" w:type="dxa"/>
            </w:tcMar>
            <w:vAlign w:val="center"/>
          </w:tcPr>
          <w:p>
            <w:pPr>
              <w:pStyle w:val="TableContents"/>
              <w:spacing w:before="0" w:after="283"/>
              <w:jc w:val="right"/>
              <w:rPr/>
            </w:pPr>
            <w:r>
              <w:rPr/>
              <w:t>80,498,611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21,112,550</w:t>
            </w:r>
          </w:p>
        </w:tc>
        <w:tc>
          <w:tcPr>
            <w:tcW w:w="135" w:type="dxa"/>
            <w:tcBorders/>
            <w:shd w:fill="CCEEFF" w:val="clear"/>
            <w:vAlign w:val="center"/>
          </w:tcPr>
          <w:p>
            <w:pPr>
              <w:pStyle w:val="TableContents"/>
              <w:spacing w:before="0" w:after="0"/>
              <w:ind w:left="0" w:right="0" w:hanging="0"/>
              <w:rPr/>
            </w:pPr>
            <w:r>
              <w:rPr/>
              <w:t> </w:t>
            </w:r>
          </w:p>
        </w:tc>
      </w:tr>
      <w:tr>
        <w:trPr/>
        <w:tc>
          <w:tcPr>
            <w:tcW w:w="3560" w:type="dxa"/>
            <w:tcBorders/>
            <w:shd w:fill="FFFFFF" w:val="clear"/>
            <w:vAlign w:val="center"/>
          </w:tcPr>
          <w:p>
            <w:pPr>
              <w:pStyle w:val="TableContents"/>
              <w:spacing w:before="0" w:after="0"/>
              <w:ind w:left="0" w:right="0" w:firstLine="225"/>
              <w:rPr>
                <w:rFonts w:ascii="times new roman" w:hAnsi="times new roman"/>
                <w:sz w:val="20"/>
              </w:rPr>
            </w:pPr>
            <w:r>
              <w:rPr>
                <w:rFonts w:ascii="times new roman" w:hAnsi="times new roman"/>
                <w:sz w:val="20"/>
              </w:rPr>
              <w:t xml:space="preserve">Unearned premiums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FFFFFF" w:val="clear"/>
            <w:tcMar>
              <w:bottom w:w="28" w:type="dxa"/>
            </w:tcMar>
            <w:vAlign w:val="center"/>
          </w:tcPr>
          <w:p>
            <w:pPr>
              <w:pStyle w:val="TableContents"/>
              <w:spacing w:before="0" w:after="283"/>
              <w:jc w:val="right"/>
              <w:rPr/>
            </w:pPr>
            <w:r>
              <w:rPr/>
              <w:t>19,637,988</w:t>
            </w:r>
          </w:p>
        </w:tc>
        <w:tc>
          <w:tcPr>
            <w:tcW w:w="135" w:type="dxa"/>
            <w:tcBorders/>
            <w:shd w:fill="FFFFFF" w:val="clear"/>
            <w:vAlign w:val="center"/>
          </w:tcPr>
          <w:p>
            <w:pPr>
              <w:pStyle w:val="TableContents"/>
              <w:spacing w:before="0" w:after="0"/>
              <w:ind w:left="0" w:right="0" w:hanging="0"/>
              <w:rPr/>
            </w:pPr>
            <w:r>
              <w:rPr/>
              <w:t> </w:t>
            </w:r>
          </w:p>
        </w:tc>
      </w:tr>
      <w:tr>
        <w:trPr/>
        <w:tc>
          <w:tcPr>
            <w:tcW w:w="3560" w:type="dxa"/>
            <w:tcBorders/>
            <w:shd w:fill="CCEEFF" w:val="clear"/>
            <w:vAlign w:val="center"/>
          </w:tcPr>
          <w:p>
            <w:pPr>
              <w:pStyle w:val="TableContents"/>
              <w:spacing w:before="0" w:after="0"/>
              <w:ind w:left="0" w:right="0" w:firstLine="225"/>
              <w:rPr>
                <w:rFonts w:ascii="times new roman" w:hAnsi="times new roman"/>
                <w:sz w:val="20"/>
              </w:rPr>
            </w:pPr>
            <w:r>
              <w:rPr>
                <w:rFonts w:ascii="times new roman" w:hAnsi="times new roman"/>
                <w:sz w:val="20"/>
              </w:rPr>
              <w:t xml:space="preserve">Total reinsurance receivables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130" w:type="dxa"/>
            <w:tcBorders>
              <w:bottom w:val="double" w:sz="6" w:space="0" w:color="000000"/>
            </w:tcBorders>
            <w:shd w:fill="CCEEFF" w:val="clear"/>
            <w:tcMar>
              <w:bottom w:w="28" w:type="dxa"/>
            </w:tcMar>
            <w:vAlign w:val="center"/>
          </w:tcPr>
          <w:p>
            <w:pPr>
              <w:pStyle w:val="TableContents"/>
              <w:spacing w:before="0" w:after="283"/>
              <w:jc w:val="right"/>
              <w:rPr/>
            </w:pPr>
            <w:r>
              <w:rPr/>
              <w:t>40,750,538</w:t>
            </w:r>
          </w:p>
        </w:tc>
        <w:tc>
          <w:tcPr>
            <w:tcW w:w="135"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provides a reconciliation of the beginning and ending balances for unpaid losses and LAE: </w:t>
      </w:r>
    </w:p>
    <w:p>
      <w:pPr>
        <w:pStyle w:val="TextBody"/>
        <w:spacing w:before="0" w:after="0"/>
        <w:ind w:left="0" w:right="0" w:hanging="0"/>
        <w:jc w:val="center"/>
        <w:rPr/>
      </w:pPr>
      <w:r>
        <w:rPr/>
        <w:t> </w:t>
      </w:r>
    </w:p>
    <w:p>
      <w:pPr>
        <w:pStyle w:val="TextBody"/>
        <w:spacing w:before="0" w:after="0"/>
        <w:ind w:left="0" w:right="0" w:hanging="0"/>
        <w:rPr/>
      </w:pPr>
      <w:r>
        <w:rPr/>
        <w:t> </w:t>
      </w:r>
    </w:p>
    <w:p>
      <w:pPr>
        <w:pStyle w:val="TextBody"/>
        <w:spacing w:before="0" w:after="0"/>
        <w:ind w:left="0" w:right="0" w:hanging="0"/>
        <w:rPr/>
      </w:pPr>
      <w:r>
        <w:rPr/>
        <w:t> </w:t>
      </w:r>
    </w:p>
    <w:tbl>
      <w:tblPr>
        <w:tblW w:w="6005" w:type="dxa"/>
        <w:jc w:val="left"/>
        <w:tblInd w:w="0" w:type="dxa"/>
        <w:tblCellMar>
          <w:top w:w="0" w:type="dxa"/>
          <w:left w:w="0" w:type="dxa"/>
          <w:bottom w:w="0" w:type="dxa"/>
          <w:right w:w="0" w:type="dxa"/>
        </w:tblCellMar>
      </w:tblPr>
      <w:tblGrid>
        <w:gridCol w:w="2780"/>
        <w:gridCol w:w="90"/>
        <w:gridCol w:w="170"/>
        <w:gridCol w:w="1205"/>
        <w:gridCol w:w="125"/>
        <w:gridCol w:w="90"/>
        <w:gridCol w:w="170"/>
        <w:gridCol w:w="1205"/>
        <w:gridCol w:w="170"/>
      </w:tblGrid>
      <w:tr>
        <w:trPr/>
        <w:tc>
          <w:tcPr>
            <w:tcW w:w="278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965" w:type="dxa"/>
            <w:gridSpan w:val="6"/>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Years ended </w:t>
            </w:r>
          </w:p>
        </w:tc>
        <w:tc>
          <w:tcPr>
            <w:tcW w:w="170" w:type="dxa"/>
            <w:tcBorders/>
            <w:shd w:fill="auto" w:val="clear"/>
            <w:vAlign w:val="center"/>
          </w:tcPr>
          <w:p>
            <w:pPr>
              <w:pStyle w:val="TableContents"/>
              <w:spacing w:before="0" w:after="0"/>
              <w:ind w:left="0" w:right="0" w:hanging="0"/>
              <w:rPr/>
            </w:pPr>
            <w:r>
              <w:rPr/>
              <w:t> </w:t>
            </w:r>
          </w:p>
        </w:tc>
      </w:tr>
      <w:tr>
        <w:trPr/>
        <w:tc>
          <w:tcPr>
            <w:tcW w:w="278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965"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December 31, </w:t>
            </w:r>
          </w:p>
        </w:tc>
        <w:tc>
          <w:tcPr>
            <w:tcW w:w="170" w:type="dxa"/>
            <w:tcBorders/>
            <w:shd w:fill="auto" w:val="clear"/>
            <w:vAlign w:val="center"/>
          </w:tcPr>
          <w:p>
            <w:pPr>
              <w:pStyle w:val="TableContents"/>
              <w:spacing w:before="0" w:after="0"/>
              <w:ind w:left="0" w:right="0" w:hanging="0"/>
              <w:rPr/>
            </w:pPr>
            <w:r>
              <w:rPr/>
              <w:t> </w:t>
            </w:r>
          </w:p>
        </w:tc>
      </w:tr>
      <w:tr>
        <w:trPr/>
        <w:tc>
          <w:tcPr>
            <w:tcW w:w="278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2020</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2019</w:t>
            </w:r>
          </w:p>
        </w:tc>
        <w:tc>
          <w:tcPr>
            <w:tcW w:w="170" w:type="dxa"/>
            <w:tcBorders/>
            <w:shd w:fill="auto" w:val="clear"/>
            <w:vAlign w:val="center"/>
          </w:tcPr>
          <w:p>
            <w:pPr>
              <w:pStyle w:val="TableContents"/>
              <w:spacing w:before="0" w:after="0"/>
              <w:ind w:left="0" w:right="0" w:hanging="0"/>
              <w:rPr/>
            </w:pPr>
            <w:r>
              <w:rPr/>
              <w:t> </w:t>
            </w:r>
          </w:p>
        </w:tc>
      </w:tr>
      <w:tr>
        <w:trPr/>
        <w:tc>
          <w:tcPr>
            <w:tcW w:w="278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1635" w:type="dxa"/>
            <w:gridSpan w:val="4"/>
            <w:tcBorders/>
            <w:shd w:fill="auto" w:val="clear"/>
            <w:vAlign w:val="center"/>
          </w:tcPr>
          <w:p>
            <w:pPr>
              <w:pStyle w:val="TableContents"/>
              <w:spacing w:before="0" w:after="0"/>
              <w:ind w:left="0" w:right="0" w:hanging="0"/>
              <w:rPr/>
            </w:pPr>
            <w:r>
              <w:rPr/>
              <w:t> </w:t>
            </w:r>
          </w:p>
        </w:tc>
      </w:tr>
      <w:tr>
        <w:trPr/>
        <w:tc>
          <w:tcPr>
            <w:tcW w:w="278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Balance at beginning of period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05" w:type="dxa"/>
            <w:tcBorders/>
            <w:shd w:fill="CCEEFF" w:val="clear"/>
            <w:vAlign w:val="center"/>
          </w:tcPr>
          <w:p>
            <w:pPr>
              <w:pStyle w:val="TableContents"/>
              <w:spacing w:before="0" w:after="283"/>
              <w:jc w:val="right"/>
              <w:rPr/>
            </w:pPr>
            <w:r>
              <w:rPr/>
              <w:t>80,498,611</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05" w:type="dxa"/>
            <w:tcBorders/>
            <w:shd w:fill="CCEEFF" w:val="clear"/>
            <w:vAlign w:val="center"/>
          </w:tcPr>
          <w:p>
            <w:pPr>
              <w:pStyle w:val="TableContents"/>
              <w:spacing w:before="0" w:after="283"/>
              <w:jc w:val="right"/>
              <w:rPr/>
            </w:pPr>
            <w:r>
              <w:rPr/>
              <w:t>56,197,106</w:t>
            </w:r>
          </w:p>
        </w:tc>
        <w:tc>
          <w:tcPr>
            <w:tcW w:w="170" w:type="dxa"/>
            <w:tcBorders/>
            <w:shd w:fill="CCEEFF" w:val="clear"/>
            <w:vAlign w:val="center"/>
          </w:tcPr>
          <w:p>
            <w:pPr>
              <w:pStyle w:val="TableContents"/>
              <w:spacing w:before="0" w:after="0"/>
              <w:ind w:left="0" w:right="0" w:hanging="0"/>
              <w:rPr/>
            </w:pPr>
            <w:r>
              <w:rPr/>
              <w:t> </w:t>
            </w:r>
          </w:p>
        </w:tc>
      </w:tr>
      <w:tr>
        <w:trPr/>
        <w:tc>
          <w:tcPr>
            <w:tcW w:w="278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Less reinsurance recoverables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(15,728,224</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(15,671,247</w:t>
            </w:r>
          </w:p>
        </w:tc>
        <w:tc>
          <w:tcPr>
            <w:tcW w:w="170" w:type="dxa"/>
            <w:tcBorders/>
            <w:shd w:fill="FFFFFF" w:val="clear"/>
            <w:vAlign w:val="center"/>
          </w:tcPr>
          <w:p>
            <w:pPr>
              <w:pStyle w:val="TableContents"/>
              <w:spacing w:before="0" w:after="283"/>
              <w:rPr/>
            </w:pPr>
            <w:r>
              <w:rPr/>
              <w:t>)</w:t>
            </w:r>
          </w:p>
        </w:tc>
      </w:tr>
      <w:tr>
        <w:trPr/>
        <w:tc>
          <w:tcPr>
            <w:tcW w:w="278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Net balance, beginning of period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CCEEFF" w:val="clear"/>
            <w:tcMar>
              <w:bottom w:w="28" w:type="dxa"/>
            </w:tcMar>
            <w:vAlign w:val="center"/>
          </w:tcPr>
          <w:p>
            <w:pPr>
              <w:pStyle w:val="TableContents"/>
              <w:spacing w:before="0" w:after="283"/>
              <w:jc w:val="right"/>
              <w:rPr/>
            </w:pPr>
            <w:r>
              <w:rPr/>
              <w:t>64,770,387</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CCEEFF" w:val="clear"/>
            <w:tcMar>
              <w:bottom w:w="28" w:type="dxa"/>
            </w:tcMar>
            <w:vAlign w:val="center"/>
          </w:tcPr>
          <w:p>
            <w:pPr>
              <w:pStyle w:val="TableContents"/>
              <w:spacing w:before="0" w:after="283"/>
              <w:jc w:val="right"/>
              <w:rPr/>
            </w:pPr>
            <w:r>
              <w:rPr/>
              <w:t>40,525,859</w:t>
            </w:r>
          </w:p>
        </w:tc>
        <w:tc>
          <w:tcPr>
            <w:tcW w:w="170" w:type="dxa"/>
            <w:tcBorders/>
            <w:shd w:fill="CCEEFF" w:val="clear"/>
            <w:vAlign w:val="center"/>
          </w:tcPr>
          <w:p>
            <w:pPr>
              <w:pStyle w:val="TableContents"/>
              <w:spacing w:before="0" w:after="0"/>
              <w:ind w:left="0" w:right="0" w:hanging="0"/>
              <w:rPr/>
            </w:pPr>
            <w:r>
              <w:rPr/>
              <w:t> </w:t>
            </w:r>
          </w:p>
        </w:tc>
      </w:tr>
      <w:tr>
        <w:trPr/>
        <w:tc>
          <w:tcPr>
            <w:tcW w:w="278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278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Incurred related to: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278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Current year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66,389,907</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79,044,301</w:t>
            </w:r>
          </w:p>
        </w:tc>
        <w:tc>
          <w:tcPr>
            <w:tcW w:w="170" w:type="dxa"/>
            <w:tcBorders/>
            <w:shd w:fill="FFFFFF" w:val="clear"/>
            <w:vAlign w:val="center"/>
          </w:tcPr>
          <w:p>
            <w:pPr>
              <w:pStyle w:val="TableContents"/>
              <w:spacing w:before="0" w:after="0"/>
              <w:ind w:left="0" w:right="0" w:hanging="0"/>
              <w:rPr/>
            </w:pPr>
            <w:r>
              <w:rPr/>
              <w:t> </w:t>
            </w:r>
          </w:p>
        </w:tc>
      </w:tr>
      <w:tr>
        <w:trPr/>
        <w:tc>
          <w:tcPr>
            <w:tcW w:w="278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Prior years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CCEEFF" w:val="clear"/>
            <w:tcMar>
              <w:bottom w:w="28" w:type="dxa"/>
            </w:tcMar>
            <w:vAlign w:val="center"/>
          </w:tcPr>
          <w:p>
            <w:pPr>
              <w:pStyle w:val="TableContents"/>
              <w:spacing w:before="0" w:after="283"/>
              <w:jc w:val="right"/>
              <w:rPr/>
            </w:pPr>
            <w:r>
              <w:rPr/>
              <w:t>41,165</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CCEEFF" w:val="clear"/>
            <w:tcMar>
              <w:bottom w:w="28" w:type="dxa"/>
            </w:tcMar>
            <w:vAlign w:val="center"/>
          </w:tcPr>
          <w:p>
            <w:pPr>
              <w:pStyle w:val="TableContents"/>
              <w:spacing w:before="0" w:after="283"/>
              <w:jc w:val="right"/>
              <w:rPr/>
            </w:pPr>
            <w:r>
              <w:rPr/>
              <w:t>11,138,023</w:t>
            </w:r>
          </w:p>
        </w:tc>
        <w:tc>
          <w:tcPr>
            <w:tcW w:w="170" w:type="dxa"/>
            <w:tcBorders/>
            <w:shd w:fill="CCEEFF" w:val="clear"/>
            <w:vAlign w:val="center"/>
          </w:tcPr>
          <w:p>
            <w:pPr>
              <w:pStyle w:val="TableContents"/>
              <w:spacing w:before="0" w:after="0"/>
              <w:ind w:left="0" w:right="0" w:hanging="0"/>
              <w:rPr/>
            </w:pPr>
            <w:r>
              <w:rPr/>
              <w:t> </w:t>
            </w:r>
          </w:p>
        </w:tc>
      </w:tr>
      <w:tr>
        <w:trPr/>
        <w:tc>
          <w:tcPr>
            <w:tcW w:w="278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Total incurred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66,431,072</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90,182,324</w:t>
            </w:r>
          </w:p>
        </w:tc>
        <w:tc>
          <w:tcPr>
            <w:tcW w:w="170" w:type="dxa"/>
            <w:tcBorders/>
            <w:shd w:fill="FFFFFF" w:val="clear"/>
            <w:vAlign w:val="center"/>
          </w:tcPr>
          <w:p>
            <w:pPr>
              <w:pStyle w:val="TableContents"/>
              <w:spacing w:before="0" w:after="0"/>
              <w:ind w:left="0" w:right="0" w:hanging="0"/>
              <w:rPr/>
            </w:pPr>
            <w:r>
              <w:rPr/>
              <w:t> </w:t>
            </w:r>
          </w:p>
        </w:tc>
      </w:tr>
      <w:tr>
        <w:trPr/>
        <w:tc>
          <w:tcPr>
            <w:tcW w:w="278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278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Paid related to: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278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Current year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41,100,578</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42,861,207</w:t>
            </w:r>
          </w:p>
        </w:tc>
        <w:tc>
          <w:tcPr>
            <w:tcW w:w="170" w:type="dxa"/>
            <w:tcBorders/>
            <w:shd w:fill="CCEEFF" w:val="clear"/>
            <w:vAlign w:val="center"/>
          </w:tcPr>
          <w:p>
            <w:pPr>
              <w:pStyle w:val="TableContents"/>
              <w:spacing w:before="0" w:after="0"/>
              <w:ind w:left="0" w:right="0" w:hanging="0"/>
              <w:rPr/>
            </w:pPr>
            <w:r>
              <w:rPr/>
              <w:t> </w:t>
            </w:r>
          </w:p>
        </w:tc>
      </w:tr>
      <w:tr>
        <w:trPr/>
        <w:tc>
          <w:tcPr>
            <w:tcW w:w="278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Prior years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27,453,904</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23,076,589</w:t>
            </w:r>
          </w:p>
        </w:tc>
        <w:tc>
          <w:tcPr>
            <w:tcW w:w="170" w:type="dxa"/>
            <w:tcBorders/>
            <w:shd w:fill="FFFFFF" w:val="clear"/>
            <w:vAlign w:val="center"/>
          </w:tcPr>
          <w:p>
            <w:pPr>
              <w:pStyle w:val="TableContents"/>
              <w:spacing w:before="0" w:after="0"/>
              <w:ind w:left="0" w:right="0" w:hanging="0"/>
              <w:rPr/>
            </w:pPr>
            <w:r>
              <w:rPr/>
              <w:t> </w:t>
            </w:r>
          </w:p>
        </w:tc>
      </w:tr>
      <w:tr>
        <w:trPr/>
        <w:tc>
          <w:tcPr>
            <w:tcW w:w="278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Total paid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CCEEFF" w:val="clear"/>
            <w:tcMar>
              <w:bottom w:w="28" w:type="dxa"/>
            </w:tcMar>
            <w:vAlign w:val="center"/>
          </w:tcPr>
          <w:p>
            <w:pPr>
              <w:pStyle w:val="TableContents"/>
              <w:spacing w:before="0" w:after="283"/>
              <w:jc w:val="right"/>
              <w:rPr/>
            </w:pPr>
            <w:r>
              <w:rPr/>
              <w:t>68,554,482</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CCEEFF" w:val="clear"/>
            <w:tcMar>
              <w:bottom w:w="28" w:type="dxa"/>
            </w:tcMar>
            <w:vAlign w:val="center"/>
          </w:tcPr>
          <w:p>
            <w:pPr>
              <w:pStyle w:val="TableContents"/>
              <w:spacing w:before="0" w:after="283"/>
              <w:jc w:val="right"/>
              <w:rPr/>
            </w:pPr>
            <w:r>
              <w:rPr/>
              <w:t>65,937,796</w:t>
            </w:r>
          </w:p>
        </w:tc>
        <w:tc>
          <w:tcPr>
            <w:tcW w:w="170" w:type="dxa"/>
            <w:tcBorders/>
            <w:shd w:fill="CCEEFF" w:val="clear"/>
            <w:vAlign w:val="center"/>
          </w:tcPr>
          <w:p>
            <w:pPr>
              <w:pStyle w:val="TableContents"/>
              <w:spacing w:before="0" w:after="0"/>
              <w:ind w:left="0" w:right="0" w:hanging="0"/>
              <w:rPr/>
            </w:pPr>
            <w:r>
              <w:rPr/>
              <w:t> </w:t>
            </w:r>
          </w:p>
        </w:tc>
      </w:tr>
      <w:tr>
        <w:trPr/>
        <w:tc>
          <w:tcPr>
            <w:tcW w:w="278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278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Net balance at end of period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62,646,977</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64,770,387</w:t>
            </w:r>
          </w:p>
        </w:tc>
        <w:tc>
          <w:tcPr>
            <w:tcW w:w="170" w:type="dxa"/>
            <w:tcBorders/>
            <w:shd w:fill="CCEEFF" w:val="clear"/>
            <w:vAlign w:val="center"/>
          </w:tcPr>
          <w:p>
            <w:pPr>
              <w:pStyle w:val="TableContents"/>
              <w:spacing w:before="0" w:after="0"/>
              <w:ind w:left="0" w:right="0" w:hanging="0"/>
              <w:rPr/>
            </w:pPr>
            <w:r>
              <w:rPr/>
              <w:t> </w:t>
            </w:r>
          </w:p>
        </w:tc>
      </w:tr>
      <w:tr>
        <w:trPr/>
        <w:tc>
          <w:tcPr>
            <w:tcW w:w="278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Add reinsurance recoverables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20,154,251</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15,728,224</w:t>
            </w:r>
          </w:p>
        </w:tc>
        <w:tc>
          <w:tcPr>
            <w:tcW w:w="170" w:type="dxa"/>
            <w:tcBorders/>
            <w:shd w:fill="FFFFFF" w:val="clear"/>
            <w:vAlign w:val="center"/>
          </w:tcPr>
          <w:p>
            <w:pPr>
              <w:pStyle w:val="TableContents"/>
              <w:spacing w:before="0" w:after="0"/>
              <w:ind w:left="0" w:right="0" w:hanging="0"/>
              <w:rPr/>
            </w:pPr>
            <w:r>
              <w:rPr/>
              <w:t> </w:t>
            </w:r>
          </w:p>
        </w:tc>
      </w:tr>
      <w:tr>
        <w:trPr/>
        <w:tc>
          <w:tcPr>
            <w:tcW w:w="278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Balance at end of period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05" w:type="dxa"/>
            <w:tcBorders>
              <w:bottom w:val="double" w:sz="6" w:space="0" w:color="000000"/>
            </w:tcBorders>
            <w:shd w:fill="CCEEFF" w:val="clear"/>
            <w:tcMar>
              <w:bottom w:w="28" w:type="dxa"/>
            </w:tcMar>
            <w:vAlign w:val="center"/>
          </w:tcPr>
          <w:p>
            <w:pPr>
              <w:pStyle w:val="TableContents"/>
              <w:spacing w:before="0" w:after="283"/>
              <w:jc w:val="right"/>
              <w:rPr/>
            </w:pPr>
            <w:r>
              <w:rPr/>
              <w:t>82,801,228</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05" w:type="dxa"/>
            <w:tcBorders>
              <w:bottom w:val="double" w:sz="6" w:space="0" w:color="000000"/>
            </w:tcBorders>
            <w:shd w:fill="CCEEFF" w:val="clear"/>
            <w:tcMar>
              <w:bottom w:w="28" w:type="dxa"/>
            </w:tcMar>
            <w:vAlign w:val="center"/>
          </w:tcPr>
          <w:p>
            <w:pPr>
              <w:pStyle w:val="TableContents"/>
              <w:spacing w:before="0" w:after="283"/>
              <w:jc w:val="right"/>
              <w:rPr/>
            </w:pPr>
            <w:r>
              <w:rPr/>
              <w:t>80,498,611</w:t>
            </w:r>
          </w:p>
        </w:tc>
        <w:tc>
          <w:tcPr>
            <w:tcW w:w="170"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F-36</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2020 AND 2019</w:t>
      </w:r>
    </w:p>
    <w:p>
      <w:pPr>
        <w:pStyle w:val="TextBody"/>
        <w:spacing w:before="0" w:after="0"/>
        <w:ind w:left="0" w:right="0" w:hanging="0"/>
        <w:jc w:val="center"/>
        <w:rPr/>
      </w:pPr>
      <w:r>
        <w:rPr>
          <w:rStyle w:val="StrongEmphasis"/>
        </w:rPr>
        <w:t> </w:t>
      </w:r>
    </w:p>
    <w:p>
      <w:pPr>
        <w:pStyle w:val="TextBody"/>
        <w:spacing w:before="0" w:after="0"/>
        <w:ind w:left="0" w:right="0" w:hanging="0"/>
        <w:jc w:val="both"/>
        <w:rPr>
          <w:rFonts w:ascii="times new roman" w:hAnsi="times new roman"/>
          <w:sz w:val="20"/>
        </w:rPr>
      </w:pPr>
      <w:r>
        <w:rPr>
          <w:rFonts w:ascii="times new roman" w:hAnsi="times new roman"/>
          <w:sz w:val="20"/>
        </w:rPr>
        <w:t>Incurred losses and LAE are net of reinsurance recoveries under reinsurance contracts of $27,951,005 and $12,769,015 for the years ended December 31, 2020 and 2019, respectively.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Prior year incurred loss and LAE development is based upon estimates by line of business and accident year. Prior year loss and LAE development incurred during the years ended December 31, 2020 and 2019 was $41,165 unfavorable and $11,138,023 unfavorable, respectively. During the year ended December 31, 2019, the Company increased case reserves for certain older open liability claims, which primarily affected the ultimate loss projections for commercial lines business. This was in response to management’s detailed review of open liability claims that resulted in new assessments of carried case and incurred but not reported (“IBNR”) reserve levels, giving consideration to both Company and industry trends.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Loss and LAE reserves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reserving process for loss and LAE reserves provides for the Company’s best estimate at a particular point in time of the ultimate unpaid cost of all losses and LAE incurred, including settlement and administration of losses, and is based on facts and circumstances then known including losses that have occurred but that have not yet been reported. The process relies on standard actuarial reserving methodologies, judgments relative to estimates of ultimate claim severity and frequency, the length of time before losses will develop to their ultimate level (‘tail’ factors), and the likelihood of changes in the law or other external factors that are beyond the Company’s control. Several actuarial reserving methodologies are used to estimate required loss reserves. The process produces carried reserves set by management based upon the actuaries’ best estimate and is the cumulative combination of the best estimates made by line of business, accident year, and loss and LAE. The amount of loss and LAE reserves for individual reported claims (the “case reserve”) is determined by the claims department and changes over time as new information is gathered.  Such information is critical to the review of appropriate IBNR reserves and includes a review of coverage applicability, comparative liability on the part of the insured, injury severity, property damage, replacement cost estimates, and any other information considered pertinent to estimating the exposure presented by the claim. The amounts of loss and LAE reserves for unreported claims and development on known claims (IBNR reserves) are determined using historical information aggregated by line of insurance as adjusted to current conditions. Since this process produces loss reserves set by management based upon the actuaries’ best estimate, there is no explicit or implicit provision for uncertainty in the carried loss reserves.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Due to the inherent uncertainty associated with the reserving process, the ultimate liability may differ, perhaps substantially, from the original estimate. Such estimates are regularly reviewed and updated and any resulting adjustments are included in the current period’s results. Reserves are closely monitored and are recomputed periodically using the most recent information on reported claims and a variety of statistical techniques. On at least a quarterly basis, the Company reviews by line of business existing reserves, new claims, changes to existing case reserves, and paid losses with respect to the current and prior periods. Several methods are used, varying by line of business and accident year, in order to select the estimated period-end loss reserves.  These methods include the following:</w:t>
      </w:r>
    </w:p>
    <w:p>
      <w:pPr>
        <w:pStyle w:val="TextBody"/>
        <w:spacing w:before="0" w:after="0"/>
        <w:ind w:left="0" w:right="0" w:hanging="0"/>
        <w:jc w:val="both"/>
        <w:rPr/>
      </w:pPr>
      <w:r>
        <w:rPr/>
        <w:t> </w:t>
      </w:r>
    </w:p>
    <w:p>
      <w:pPr>
        <w:pStyle w:val="TextBody"/>
        <w:spacing w:before="0" w:after="0"/>
        <w:ind w:left="720" w:right="0" w:hanging="0"/>
        <w:jc w:val="both"/>
        <w:rPr/>
      </w:pPr>
      <w:r>
        <w:rPr>
          <w:rStyle w:val="Emphasis"/>
          <w:rFonts w:ascii="times new roman" w:hAnsi="times new roman"/>
          <w:sz w:val="20"/>
        </w:rPr>
        <w:t>Paid Loss Development</w:t>
      </w:r>
      <w:r>
        <w:rPr>
          <w:rFonts w:ascii="times new roman" w:hAnsi="times new roman"/>
          <w:sz w:val="20"/>
        </w:rPr>
        <w:t xml:space="preserve"> – historical patterns of paid loss development are used to project future paid loss emergence in order to estimate required reserves.</w:t>
      </w:r>
    </w:p>
    <w:p>
      <w:pPr>
        <w:pStyle w:val="TextBody"/>
        <w:spacing w:before="0" w:after="0"/>
        <w:ind w:left="0" w:right="0" w:hanging="0"/>
        <w:jc w:val="both"/>
        <w:rPr/>
      </w:pPr>
      <w:r>
        <w:rPr/>
        <w:t> </w:t>
      </w:r>
    </w:p>
    <w:p>
      <w:pPr>
        <w:pStyle w:val="TextBody"/>
        <w:spacing w:before="0" w:after="0"/>
        <w:ind w:left="720" w:right="0" w:hanging="0"/>
        <w:jc w:val="both"/>
        <w:rPr/>
      </w:pPr>
      <w:r>
        <w:rPr>
          <w:rStyle w:val="Emphasis"/>
          <w:rFonts w:ascii="times new roman" w:hAnsi="times new roman"/>
          <w:sz w:val="20"/>
        </w:rPr>
        <w:t>Incurred Loss Development</w:t>
      </w:r>
      <w:r>
        <w:rPr>
          <w:rFonts w:ascii="times new roman" w:hAnsi="times new roman"/>
          <w:sz w:val="20"/>
        </w:rPr>
        <w:t xml:space="preserve"> – historical patterns of incurred loss development, reflecting both paid losses and changes in case reserves, are used to project future incurred loss emergence in order to estimate required reserves.</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F-37</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2020 AND 2019</w:t>
      </w:r>
    </w:p>
    <w:p>
      <w:pPr>
        <w:pStyle w:val="TextBody"/>
        <w:spacing w:before="0" w:after="0"/>
        <w:ind w:left="0" w:right="0" w:hanging="0"/>
        <w:jc w:val="center"/>
        <w:rPr/>
      </w:pPr>
      <w:r>
        <w:rPr>
          <w:rStyle w:val="StrongEmphasis"/>
        </w:rPr>
        <w:t> </w:t>
      </w:r>
    </w:p>
    <w:p>
      <w:pPr>
        <w:pStyle w:val="TextBody"/>
        <w:spacing w:before="0" w:after="0"/>
        <w:ind w:left="720" w:right="0" w:hanging="0"/>
        <w:jc w:val="both"/>
        <w:rPr/>
      </w:pPr>
      <w:r>
        <w:rPr>
          <w:rStyle w:val="Emphasis"/>
          <w:rFonts w:ascii="times new roman" w:hAnsi="times new roman"/>
          <w:sz w:val="20"/>
        </w:rPr>
        <w:t>Paid Bornhuetter-Ferguson (“BF”)</w:t>
      </w:r>
      <w:r>
        <w:rPr>
          <w:rFonts w:ascii="times new roman" w:hAnsi="times new roman"/>
          <w:sz w:val="20"/>
        </w:rPr>
        <w:t xml:space="preserve"> – an estimated loss ratio for a particular accident year is determined, and is weighted against the portion of the accident year claims that have been paid, based on historical paid loss development patterns. The estimate of required reserves assumes that the remaining unpaid portion of a particular accident year will pay out at a rate consistent with the estimated loss ratio for that year.  This method can be useful for situations where an unusually high or low amount of paid losses exists at the early stages of the claims development process.</w:t>
      </w:r>
    </w:p>
    <w:p>
      <w:pPr>
        <w:pStyle w:val="TextBody"/>
        <w:spacing w:before="0" w:after="0"/>
        <w:ind w:left="0" w:right="0" w:hanging="0"/>
        <w:jc w:val="both"/>
        <w:rPr/>
      </w:pPr>
      <w:r>
        <w:rPr/>
        <w:t> </w:t>
      </w:r>
    </w:p>
    <w:p>
      <w:pPr>
        <w:pStyle w:val="TextBody"/>
        <w:spacing w:before="0" w:after="0"/>
        <w:ind w:left="720" w:right="0" w:hanging="0"/>
        <w:jc w:val="both"/>
        <w:rPr/>
      </w:pPr>
      <w:r>
        <w:rPr>
          <w:rStyle w:val="Emphasis"/>
          <w:rFonts w:ascii="times new roman" w:hAnsi="times new roman"/>
          <w:sz w:val="20"/>
        </w:rPr>
        <w:t>Incurred Bornhuetter-Ferguson (“BF”)</w:t>
      </w:r>
      <w:r>
        <w:rPr>
          <w:rFonts w:ascii="times new roman" w:hAnsi="times new roman"/>
          <w:sz w:val="20"/>
        </w:rPr>
        <w:t xml:space="preserve"> - an estimated loss ratio for a particular accident year is determined, and is weighted against the portion of the accident year claims that have been reported, based on historical incurred loss development patterns.  The estimate of required reserves assumes that the remaining unreported portion of a particular accident year will pay out at a rate consistent with the estimated loss ratio for that year.  This method can be useful for situations where an unusually high or low amount of reported losses exists at the early stages of the claims development process.</w:t>
      </w:r>
    </w:p>
    <w:p>
      <w:pPr>
        <w:pStyle w:val="TextBody"/>
        <w:spacing w:before="0" w:after="0"/>
        <w:ind w:left="0" w:right="0" w:hanging="0"/>
        <w:jc w:val="both"/>
        <w:rPr/>
      </w:pPr>
      <w:r>
        <w:rPr/>
        <w:t> </w:t>
      </w:r>
    </w:p>
    <w:p>
      <w:pPr>
        <w:pStyle w:val="TextBody"/>
        <w:spacing w:before="0" w:after="0"/>
        <w:ind w:left="720" w:right="0" w:hanging="0"/>
        <w:jc w:val="both"/>
        <w:rPr/>
      </w:pPr>
      <w:r>
        <w:rPr>
          <w:rStyle w:val="Emphasis"/>
          <w:rFonts w:ascii="times new roman" w:hAnsi="times new roman"/>
          <w:sz w:val="20"/>
        </w:rPr>
        <w:t xml:space="preserve">Incremental Claim-Based Methods </w:t>
      </w:r>
      <w:r>
        <w:rPr>
          <w:rFonts w:ascii="times new roman" w:hAnsi="times new roman"/>
          <w:sz w:val="20"/>
        </w:rPr>
        <w:t>– historical patterns of incremental incurred losses and paid LAE during various stages of development are reviewed and assumptions are made regarding average loss and LAE development applied to remaining claims inventory.  Such methods more properly reflect changes in the speed of claims closure and the relative adequacy of case reserve levels at various stages of development.  These methods may provide a more accurate estimate of IBNR for lines of business with relatively few remaining open claims but for which significant recent settlement activity has occurred.</w:t>
      </w:r>
    </w:p>
    <w:p>
      <w:pPr>
        <w:pStyle w:val="TextBody"/>
        <w:spacing w:before="0" w:after="0"/>
        <w:ind w:left="0" w:right="0" w:hanging="0"/>
        <w:jc w:val="both"/>
        <w:rPr/>
      </w:pPr>
      <w:r>
        <w:rPr/>
        <w:t> </w:t>
      </w:r>
    </w:p>
    <w:p>
      <w:pPr>
        <w:pStyle w:val="TextBody"/>
        <w:spacing w:before="0" w:after="0"/>
        <w:ind w:left="720" w:right="0" w:hanging="0"/>
        <w:jc w:val="both"/>
        <w:rPr/>
      </w:pPr>
      <w:r>
        <w:rPr>
          <w:rStyle w:val="Emphasis"/>
          <w:rFonts w:ascii="times new roman" w:hAnsi="times new roman"/>
          <w:sz w:val="20"/>
        </w:rPr>
        <w:t>Frequency / Severity Based Methods</w:t>
      </w:r>
      <w:r>
        <w:rPr>
          <w:rFonts w:ascii="times new roman" w:hAnsi="times new roman"/>
          <w:sz w:val="20"/>
        </w:rPr>
        <w:t xml:space="preserve"> – historical measurements of claim frequency and average paid claim size (severity) are reviewed for more mature accident years where a majority of claims have been reported and/or closed.  These historical averages are trended forward to more recent periods in order to estimate ultimate losses for newer accident years that are not yet fully developed.  These methods are useful for lines of business with slow and/or volatile loss development patterns, such as liability lines where information pertaining to individual cases may not be completely known for many years.  The claim frequency and severity information for older periods can then be used as reasonable measures for developing a range of estimates for more recent immature periods.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Management’s best estimate of required reserves is generally based on an average of the methods above, with appropriate weighting of methods based on the line of business and accident year being projected. In some cases, additional methods or historical data from industry sources are employed to supplement the projections derived from the methods listed above.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Three key assumptions that materially affect the estimate of loss reserves are the loss ratio estimate for the current accident year used in the BF methods, the loss development factor selections used in the loss development methods, and the loss severity assumptions used in the frequency / severity method described above. The loss ratio estimates used in the BF methods are selected after reviewing historical accident year loss ratios adjusted for rate changes, trend, and mix of business.  The loss severity assumptions used in the frequency / severity method are determined by reviewing historical average claim severity for older more mature accident periods, trended forward to less mature accident periods.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Company is not aware of any claim trends that have emerged or that would cause future adverse development that have not already been contemplated in setting current carried reserves levels.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F-38</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2020 AND 2019</w:t>
      </w:r>
    </w:p>
    <w:p>
      <w:pPr>
        <w:pStyle w:val="TextBody"/>
        <w:spacing w:before="0" w:after="0"/>
        <w:ind w:left="0" w:right="0" w:hanging="0"/>
        <w:jc w:val="center"/>
        <w:rPr/>
      </w:pPr>
      <w:r>
        <w:rPr>
          <w:rStyle w:val="StrongEmphasis"/>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 New York State, lawsuits for negligence are subject to certain limitations and must be commenced within three years from the date of the accident or are otherwise barred. Accordingly, the Company’s exposure to unreported claims (“pure” IBNR) for accident dates of December 31, 2017 and prior is limited, although there remains the possibility of adverse development on reported claims (“case development” IBNR).  In certain rare circumstances states have retroactively revised a statute of limitations.  The Company is not aware of any such effort that would have a material impact on the Company’s results.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is information about incurred and paid claims development as of December 31, 2020, net of reinsurance, as well as the cumulative reported claims by accident year and total IBNR reserves as of December 31, 2020 included in the net incurred loss and allocated expense amounts. The historical information regarding incurred and paid claims development for the years ended December 31, 2011 to December 31, 2019 is presented as supplementary unaudited information.</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F-39</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2020 AND 2019</w:t>
      </w:r>
    </w:p>
    <w:p>
      <w:pPr>
        <w:pStyle w:val="TextBody"/>
        <w:spacing w:before="0" w:after="0"/>
        <w:ind w:left="0" w:right="0" w:hanging="0"/>
        <w:jc w:val="center"/>
        <w:rPr/>
      </w:pPr>
      <w:r>
        <w:rPr/>
        <w:t> </w:t>
      </w:r>
    </w:p>
    <w:p>
      <w:pPr>
        <w:pStyle w:val="TextBody"/>
        <w:spacing w:before="0" w:after="0"/>
        <w:ind w:left="0" w:right="0" w:hanging="0"/>
        <w:rPr/>
      </w:pPr>
      <w:r>
        <w:rPr/>
        <w:t> </w:t>
      </w:r>
    </w:p>
    <w:tbl>
      <w:tblPr>
        <w:tblW w:w="13730" w:type="dxa"/>
        <w:jc w:val="left"/>
        <w:tblInd w:w="0" w:type="dxa"/>
        <w:tblCellMar>
          <w:top w:w="0" w:type="dxa"/>
          <w:left w:w="0" w:type="dxa"/>
          <w:bottom w:w="0" w:type="dxa"/>
          <w:right w:w="0" w:type="dxa"/>
        </w:tblCellMar>
      </w:tblPr>
      <w:tblGrid>
        <w:gridCol w:w="800"/>
        <w:gridCol w:w="90"/>
        <w:gridCol w:w="170"/>
        <w:gridCol w:w="590"/>
        <w:gridCol w:w="90"/>
        <w:gridCol w:w="90"/>
        <w:gridCol w:w="170"/>
        <w:gridCol w:w="59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830"/>
        <w:gridCol w:w="90"/>
        <w:gridCol w:w="90"/>
        <w:gridCol w:w="170"/>
        <w:gridCol w:w="710"/>
        <w:gridCol w:w="90"/>
        <w:gridCol w:w="90"/>
        <w:gridCol w:w="137"/>
        <w:gridCol w:w="903"/>
        <w:gridCol w:w="260"/>
      </w:tblGrid>
      <w:tr>
        <w:trPr/>
        <w:tc>
          <w:tcPr>
            <w:tcW w:w="2590" w:type="dxa"/>
            <w:gridSpan w:val="8"/>
            <w:tcBorders/>
            <w:shd w:fill="auto" w:val="clear"/>
            <w:vAlign w:val="center"/>
          </w:tcPr>
          <w:p>
            <w:pPr>
              <w:pStyle w:val="TableContents"/>
              <w:spacing w:before="0" w:after="0"/>
              <w:ind w:left="0" w:right="0" w:hanging="0"/>
              <w:rPr/>
            </w:pPr>
            <w:r>
              <w:rPr>
                <w:rStyle w:val="StrongEmphasis"/>
                <w:rFonts w:ascii="times new roman" w:hAnsi="times new roman"/>
                <w:sz w:val="20"/>
              </w:rPr>
              <w:t>All Lines of Business</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40" w:type="dxa"/>
            <w:gridSpan w:val="2"/>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0"/>
              <w:ind w:left="0" w:right="0" w:hanging="0"/>
              <w:rPr/>
            </w:pPr>
            <w:r>
              <w:rPr/>
              <w:t> </w:t>
            </w:r>
          </w:p>
        </w:tc>
      </w:tr>
      <w:tr>
        <w:trPr/>
        <w:tc>
          <w:tcPr>
            <w:tcW w:w="4710" w:type="dxa"/>
            <w:gridSpan w:val="16"/>
            <w:tcBorders/>
            <w:shd w:fill="auto" w:val="clear"/>
            <w:vAlign w:val="center"/>
          </w:tcPr>
          <w:p>
            <w:pPr>
              <w:pStyle w:val="TableContents"/>
              <w:spacing w:before="0" w:after="0"/>
              <w:ind w:left="0" w:right="0" w:hanging="0"/>
              <w:rPr/>
            </w:pPr>
            <w:r>
              <w:rPr>
                <w:rStyle w:val="Emphasis"/>
                <w:rFonts w:ascii="times new roman" w:hAnsi="times new roman"/>
                <w:sz w:val="20"/>
              </w:rPr>
              <w:t>(in thousands, except reported claims data)</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40" w:type="dxa"/>
            <w:gridSpan w:val="2"/>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0"/>
              <w:ind w:left="0" w:right="0" w:hanging="0"/>
              <w:rPr/>
            </w:pPr>
            <w:r>
              <w:rPr/>
              <w:t> </w:t>
            </w:r>
          </w:p>
        </w:tc>
      </w:tr>
      <w:tr>
        <w:trPr/>
        <w:tc>
          <w:tcPr>
            <w:tcW w:w="80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6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6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100" w:type="dxa"/>
            <w:gridSpan w:val="6"/>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As of</w:t>
            </w:r>
          </w:p>
        </w:tc>
        <w:tc>
          <w:tcPr>
            <w:tcW w:w="260" w:type="dxa"/>
            <w:tcBorders/>
            <w:shd w:fill="auto" w:val="clear"/>
            <w:vAlign w:val="center"/>
          </w:tcPr>
          <w:p>
            <w:pPr>
              <w:pStyle w:val="TableContents"/>
              <w:spacing w:before="0" w:after="0"/>
              <w:ind w:left="0" w:right="0" w:hanging="0"/>
              <w:rPr/>
            </w:pPr>
            <w:r>
              <w:rPr/>
              <w:t> </w:t>
            </w:r>
          </w:p>
        </w:tc>
      </w:tr>
      <w:tr>
        <w:trPr/>
        <w:tc>
          <w:tcPr>
            <w:tcW w:w="80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300" w:type="dxa"/>
            <w:gridSpan w:val="38"/>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Incurred Loss and Allocated Loss Adjustment Expenses, Net of Reinsurance</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100"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2020</w:t>
            </w:r>
          </w:p>
        </w:tc>
        <w:tc>
          <w:tcPr>
            <w:tcW w:w="260" w:type="dxa"/>
            <w:tcBorders/>
            <w:shd w:fill="auto" w:val="clear"/>
            <w:vAlign w:val="center"/>
          </w:tcPr>
          <w:p>
            <w:pPr>
              <w:pStyle w:val="TableContents"/>
              <w:spacing w:before="0" w:after="0"/>
              <w:ind w:left="0" w:right="0" w:hanging="0"/>
              <w:rPr/>
            </w:pPr>
            <w:r>
              <w:rPr/>
              <w:t> </w:t>
            </w:r>
          </w:p>
        </w:tc>
      </w:tr>
      <w:tr>
        <w:trPr/>
        <w:tc>
          <w:tcPr>
            <w:tcW w:w="80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300" w:type="dxa"/>
            <w:gridSpan w:val="38"/>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For the Years Ended December 31,</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IBNR</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Cumulative Number</w:t>
            </w:r>
          </w:p>
          <w:p>
            <w:pPr>
              <w:pStyle w:val="TableContents"/>
              <w:spacing w:before="0" w:after="0"/>
              <w:ind w:left="0" w:right="0" w:hanging="0"/>
              <w:jc w:val="center"/>
              <w:rPr/>
            </w:pPr>
            <w:r>
              <w:rPr>
                <w:rStyle w:val="StrongEmphasis"/>
                <w:rFonts w:ascii="times new roman" w:hAnsi="times new roman"/>
                <w:sz w:val="20"/>
              </w:rPr>
              <w:t>of Reported</w:t>
            </w:r>
          </w:p>
          <w:p>
            <w:pPr>
              <w:pStyle w:val="TableContents"/>
              <w:spacing w:before="0" w:after="0"/>
              <w:ind w:left="0" w:right="0" w:hanging="0"/>
              <w:jc w:val="center"/>
              <w:rPr/>
            </w:pPr>
            <w:r>
              <w:rPr>
                <w:rStyle w:val="StrongEmphasis"/>
                <w:rFonts w:ascii="times new roman" w:hAnsi="times new roman"/>
                <w:sz w:val="20"/>
              </w:rPr>
              <w:t>Claims by</w:t>
            </w:r>
          </w:p>
          <w:p>
            <w:pPr>
              <w:pStyle w:val="TableContents"/>
              <w:spacing w:before="0" w:after="0"/>
              <w:ind w:left="0" w:right="0" w:hanging="0"/>
              <w:jc w:val="center"/>
              <w:rPr/>
            </w:pPr>
            <w:r>
              <w:rPr>
                <w:rStyle w:val="StrongEmphasis"/>
                <w:rFonts w:ascii="times new roman" w:hAnsi="times new roman"/>
                <w:sz w:val="20"/>
              </w:rPr>
              <w:t>Accident Year</w:t>
            </w:r>
          </w:p>
        </w:tc>
        <w:tc>
          <w:tcPr>
            <w:tcW w:w="260" w:type="dxa"/>
            <w:tcBorders/>
            <w:shd w:fill="auto" w:val="clear"/>
            <w:vAlign w:val="center"/>
          </w:tcPr>
          <w:p>
            <w:pPr>
              <w:pStyle w:val="TableContents"/>
              <w:spacing w:before="0" w:after="0"/>
              <w:ind w:left="0" w:right="0" w:hanging="0"/>
              <w:rPr/>
            </w:pPr>
            <w:r>
              <w:rPr/>
              <w:t> </w:t>
            </w:r>
          </w:p>
        </w:tc>
      </w:tr>
      <w:tr>
        <w:trPr/>
        <w:tc>
          <w:tcPr>
            <w:tcW w:w="800"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Accident Year</w:t>
            </w:r>
          </w:p>
        </w:tc>
        <w:tc>
          <w:tcPr>
            <w:tcW w:w="90" w:type="dxa"/>
            <w:tcBorders/>
            <w:shd w:fill="auto" w:val="clear"/>
            <w:vAlign w:val="center"/>
          </w:tcPr>
          <w:p>
            <w:pPr>
              <w:pStyle w:val="TableContents"/>
              <w:spacing w:before="0" w:after="0"/>
              <w:ind w:left="0" w:right="0" w:hanging="0"/>
              <w:rPr/>
            </w:pPr>
            <w:r>
              <w:rPr/>
              <w:t> </w:t>
            </w:r>
          </w:p>
        </w:tc>
        <w:tc>
          <w:tcPr>
            <w:tcW w:w="7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2011</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2012</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2013</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2014</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2015</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2016</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2017</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2018</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2019</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2020</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40" w:type="dxa"/>
            <w:gridSpan w:val="2"/>
            <w:tcBorders/>
            <w:shd w:fill="auto" w:val="clear"/>
            <w:vAlign w:val="center"/>
          </w:tcPr>
          <w:p>
            <w:pPr>
              <w:pStyle w:val="TableContents"/>
              <w:spacing w:before="0" w:after="0"/>
              <w:ind w:left="0" w:right="0" w:hanging="0"/>
              <w:rPr/>
            </w:pPr>
            <w:r>
              <w:rPr/>
              <w:t> </w:t>
            </w:r>
          </w:p>
        </w:tc>
        <w:tc>
          <w:tcPr>
            <w:tcW w:w="260" w:type="dxa"/>
            <w:tcBorders/>
            <w:shd w:fill="auto" w:val="clear"/>
            <w:vAlign w:val="center"/>
          </w:tcPr>
          <w:p>
            <w:pPr>
              <w:pStyle w:val="TableContents"/>
              <w:spacing w:before="0" w:after="0"/>
              <w:ind w:left="0" w:right="0" w:hanging="0"/>
              <w:rPr/>
            </w:pPr>
            <w:r>
              <w:rPr/>
              <w:t> </w:t>
            </w:r>
          </w:p>
        </w:tc>
      </w:tr>
      <w:tr>
        <w:trPr/>
        <w:tc>
          <w:tcPr>
            <w:tcW w:w="80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120" w:type="dxa"/>
            <w:gridSpan w:val="34"/>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(Unaudited 2011 - 2019)</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40" w:type="dxa"/>
            <w:gridSpan w:val="2"/>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0"/>
              <w:ind w:left="0" w:right="0" w:hanging="0"/>
              <w:rPr/>
            </w:pPr>
            <w:r>
              <w:rPr/>
              <w:t> </w:t>
            </w:r>
          </w:p>
        </w:tc>
      </w:tr>
      <w:tr>
        <w:trPr/>
        <w:tc>
          <w:tcPr>
            <w:tcW w:w="80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6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6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40" w:type="dxa"/>
            <w:gridSpan w:val="2"/>
            <w:tcBorders/>
            <w:shd w:fill="auto" w:val="clear"/>
            <w:vAlign w:val="center"/>
          </w:tcPr>
          <w:p>
            <w:pPr>
              <w:pStyle w:val="TableContents"/>
              <w:spacing w:before="0" w:after="0"/>
              <w:ind w:left="0" w:right="0" w:hanging="0"/>
              <w:rPr/>
            </w:pPr>
            <w:r>
              <w:rPr/>
              <w:t> </w:t>
            </w:r>
          </w:p>
        </w:tc>
        <w:tc>
          <w:tcPr>
            <w:tcW w:w="260" w:type="dxa"/>
            <w:tcBorders/>
            <w:shd w:fill="auto" w:val="clear"/>
            <w:vAlign w:val="center"/>
          </w:tcPr>
          <w:p>
            <w:pPr>
              <w:pStyle w:val="TableContents"/>
              <w:spacing w:before="0" w:after="0"/>
              <w:ind w:left="0" w:right="0" w:hanging="0"/>
              <w:rPr/>
            </w:pPr>
            <w:r>
              <w:rPr/>
              <w:t> </w:t>
            </w:r>
          </w:p>
        </w:tc>
      </w:tr>
      <w:tr>
        <w:trPr/>
        <w:tc>
          <w:tcPr>
            <w:tcW w:w="800"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2011</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590" w:type="dxa"/>
            <w:tcBorders/>
            <w:shd w:fill="CCEEFF" w:val="clear"/>
            <w:vAlign w:val="center"/>
          </w:tcPr>
          <w:p>
            <w:pPr>
              <w:pStyle w:val="TableContents"/>
              <w:spacing w:before="0" w:after="283"/>
              <w:jc w:val="right"/>
              <w:rPr/>
            </w:pPr>
            <w:r>
              <w:rPr/>
              <w:t>7,603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590" w:type="dxa"/>
            <w:tcBorders/>
            <w:shd w:fill="CCEEFF" w:val="clear"/>
            <w:vAlign w:val="center"/>
          </w:tcPr>
          <w:p>
            <w:pPr>
              <w:pStyle w:val="TableContents"/>
              <w:spacing w:before="0" w:after="283"/>
              <w:jc w:val="right"/>
              <w:rPr/>
            </w:pPr>
            <w:r>
              <w:rPr/>
              <w:t>7,678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jc w:val="right"/>
              <w:rPr/>
            </w:pPr>
            <w:r>
              <w:rPr/>
              <w:t>8,618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jc w:val="right"/>
              <w:rPr/>
            </w:pPr>
            <w:r>
              <w:rPr/>
              <w:t>9,440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jc w:val="right"/>
              <w:rPr/>
            </w:pPr>
            <w:r>
              <w:rPr/>
              <w:t>9,198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jc w:val="right"/>
              <w:rPr/>
            </w:pPr>
            <w:r>
              <w:rPr/>
              <w:t>9,066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jc w:val="right"/>
              <w:rPr/>
            </w:pPr>
            <w:r>
              <w:rPr/>
              <w:t>9,144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jc w:val="right"/>
              <w:rPr/>
            </w:pPr>
            <w:r>
              <w:rPr/>
              <w:t>9,171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jc w:val="right"/>
              <w:rPr/>
            </w:pPr>
            <w:r>
              <w:rPr/>
              <w:t>9,127</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830" w:type="dxa"/>
            <w:tcBorders/>
            <w:shd w:fill="CCEEFF" w:val="clear"/>
            <w:vAlign w:val="center"/>
          </w:tcPr>
          <w:p>
            <w:pPr>
              <w:pStyle w:val="TableContents"/>
              <w:spacing w:before="0" w:after="283"/>
              <w:jc w:val="right"/>
              <w:rPr/>
            </w:pPr>
            <w:r>
              <w:rPr/>
              <w:t>9,128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37" w:type="dxa"/>
            <w:tcBorders/>
            <w:shd w:fill="CCEEFF" w:val="clear"/>
            <w:vAlign w:val="center"/>
          </w:tcPr>
          <w:p>
            <w:pPr>
              <w:pStyle w:val="TableContents"/>
              <w:spacing w:before="0" w:after="0"/>
              <w:ind w:left="0" w:right="0" w:hanging="0"/>
              <w:rPr/>
            </w:pPr>
            <w:r>
              <w:rPr/>
              <w:t> </w:t>
            </w:r>
          </w:p>
        </w:tc>
        <w:tc>
          <w:tcPr>
            <w:tcW w:w="903" w:type="dxa"/>
            <w:tcBorders/>
            <w:shd w:fill="CCEEFF" w:val="clear"/>
            <w:vAlign w:val="center"/>
          </w:tcPr>
          <w:p>
            <w:pPr>
              <w:pStyle w:val="TableContents"/>
              <w:spacing w:before="0" w:after="283"/>
              <w:jc w:val="right"/>
              <w:rPr/>
            </w:pPr>
            <w:r>
              <w:rPr/>
              <w:t>1,914</w:t>
            </w:r>
          </w:p>
        </w:tc>
        <w:tc>
          <w:tcPr>
            <w:tcW w:w="260" w:type="dxa"/>
            <w:tcBorders/>
            <w:shd w:fill="CCEEFF" w:val="clear"/>
            <w:vAlign w:val="center"/>
          </w:tcPr>
          <w:p>
            <w:pPr>
              <w:pStyle w:val="TableContents"/>
              <w:spacing w:before="0" w:after="0"/>
              <w:ind w:left="0" w:right="0" w:hanging="0"/>
              <w:rPr/>
            </w:pPr>
            <w:r>
              <w:rPr/>
              <w:t> </w:t>
            </w:r>
          </w:p>
        </w:tc>
      </w:tr>
      <w:tr>
        <w:trPr/>
        <w:tc>
          <w:tcPr>
            <w:tcW w:w="800"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2012</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283"/>
              <w:jc w:val="right"/>
              <w:rPr/>
            </w:pPr>
            <w:r>
              <w:rPr/>
              <w:t>9,539</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9,344</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10,278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10,382</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10,582</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10,790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10,791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11,015</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10,885</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13</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37" w:type="dxa"/>
            <w:tcBorders/>
            <w:shd w:fill="FFFFFF" w:val="clear"/>
            <w:vAlign w:val="center"/>
          </w:tcPr>
          <w:p>
            <w:pPr>
              <w:pStyle w:val="TableContents"/>
              <w:spacing w:before="0" w:after="0"/>
              <w:ind w:left="0" w:right="0" w:hanging="0"/>
              <w:rPr/>
            </w:pPr>
            <w:r>
              <w:rPr/>
              <w:t> </w:t>
            </w:r>
          </w:p>
        </w:tc>
        <w:tc>
          <w:tcPr>
            <w:tcW w:w="903" w:type="dxa"/>
            <w:tcBorders/>
            <w:shd w:fill="FFFFFF" w:val="clear"/>
            <w:vAlign w:val="center"/>
          </w:tcPr>
          <w:p>
            <w:pPr>
              <w:pStyle w:val="TableContents"/>
              <w:spacing w:before="0" w:after="283"/>
              <w:jc w:val="right"/>
              <w:rPr/>
            </w:pPr>
            <w:r>
              <w:rPr/>
              <w:t>4,704</w:t>
            </w:r>
          </w:p>
        </w:tc>
        <w:tc>
          <w:tcPr>
            <w:tcW w:w="26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(1) </w:t>
            </w:r>
          </w:p>
        </w:tc>
      </w:tr>
      <w:tr>
        <w:trPr/>
        <w:tc>
          <w:tcPr>
            <w:tcW w:w="800"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2013</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10,728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9,745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9,424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9,621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10,061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10,089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10,607</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10,495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37" w:type="dxa"/>
            <w:tcBorders/>
            <w:shd w:fill="CCEEFF" w:val="clear"/>
            <w:vAlign w:val="center"/>
          </w:tcPr>
          <w:p>
            <w:pPr>
              <w:pStyle w:val="TableContents"/>
              <w:spacing w:before="0" w:after="0"/>
              <w:ind w:left="0" w:right="0" w:hanging="0"/>
              <w:rPr/>
            </w:pPr>
            <w:r>
              <w:rPr/>
              <w:t> </w:t>
            </w:r>
          </w:p>
        </w:tc>
        <w:tc>
          <w:tcPr>
            <w:tcW w:w="903" w:type="dxa"/>
            <w:tcBorders/>
            <w:shd w:fill="CCEEFF" w:val="clear"/>
            <w:vAlign w:val="center"/>
          </w:tcPr>
          <w:p>
            <w:pPr>
              <w:pStyle w:val="TableContents"/>
              <w:spacing w:before="0" w:after="283"/>
              <w:jc w:val="right"/>
              <w:rPr/>
            </w:pPr>
            <w:r>
              <w:rPr/>
              <w:t>1,563</w:t>
            </w:r>
          </w:p>
        </w:tc>
        <w:tc>
          <w:tcPr>
            <w:tcW w:w="260" w:type="dxa"/>
            <w:tcBorders/>
            <w:shd w:fill="CCEEFF" w:val="clear"/>
            <w:vAlign w:val="center"/>
          </w:tcPr>
          <w:p>
            <w:pPr>
              <w:pStyle w:val="TableContents"/>
              <w:spacing w:before="0" w:after="0"/>
              <w:ind w:left="0" w:right="0" w:hanging="0"/>
              <w:rPr/>
            </w:pPr>
            <w:r>
              <w:rPr/>
              <w:t> </w:t>
            </w:r>
          </w:p>
        </w:tc>
      </w:tr>
      <w:tr>
        <w:trPr/>
        <w:tc>
          <w:tcPr>
            <w:tcW w:w="800"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2014</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14,193</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14,260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14,218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14,564</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15,023</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16,381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16,428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257</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37" w:type="dxa"/>
            <w:tcBorders/>
            <w:shd w:fill="FFFFFF" w:val="clear"/>
            <w:vAlign w:val="center"/>
          </w:tcPr>
          <w:p>
            <w:pPr>
              <w:pStyle w:val="TableContents"/>
              <w:spacing w:before="0" w:after="0"/>
              <w:ind w:left="0" w:right="0" w:hanging="0"/>
              <w:rPr/>
            </w:pPr>
            <w:r>
              <w:rPr/>
              <w:t> </w:t>
            </w:r>
          </w:p>
        </w:tc>
        <w:tc>
          <w:tcPr>
            <w:tcW w:w="903" w:type="dxa"/>
            <w:tcBorders/>
            <w:shd w:fill="FFFFFF" w:val="clear"/>
            <w:vAlign w:val="center"/>
          </w:tcPr>
          <w:p>
            <w:pPr>
              <w:pStyle w:val="TableContents"/>
              <w:spacing w:before="0" w:after="283"/>
              <w:jc w:val="right"/>
              <w:rPr/>
            </w:pPr>
            <w:r>
              <w:rPr/>
              <w:t>2,138</w:t>
            </w:r>
          </w:p>
        </w:tc>
        <w:tc>
          <w:tcPr>
            <w:tcW w:w="260" w:type="dxa"/>
            <w:tcBorders/>
            <w:shd w:fill="FFFFFF" w:val="clear"/>
            <w:vAlign w:val="center"/>
          </w:tcPr>
          <w:p>
            <w:pPr>
              <w:pStyle w:val="TableContents"/>
              <w:spacing w:before="0" w:after="0"/>
              <w:ind w:left="0" w:right="0" w:hanging="0"/>
              <w:rPr/>
            </w:pPr>
            <w:r>
              <w:rPr/>
              <w:t> </w:t>
            </w:r>
          </w:p>
        </w:tc>
      </w:tr>
      <w:tr>
        <w:trPr/>
        <w:tc>
          <w:tcPr>
            <w:tcW w:w="800"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2015</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22,340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21,994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22,148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22,491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23,386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23,291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312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37" w:type="dxa"/>
            <w:tcBorders/>
            <w:shd w:fill="CCEEFF" w:val="clear"/>
            <w:vAlign w:val="center"/>
          </w:tcPr>
          <w:p>
            <w:pPr>
              <w:pStyle w:val="TableContents"/>
              <w:spacing w:before="0" w:after="0"/>
              <w:ind w:left="0" w:right="0" w:hanging="0"/>
              <w:rPr/>
            </w:pPr>
            <w:r>
              <w:rPr/>
              <w:t> </w:t>
            </w:r>
          </w:p>
        </w:tc>
        <w:tc>
          <w:tcPr>
            <w:tcW w:w="903" w:type="dxa"/>
            <w:tcBorders/>
            <w:shd w:fill="CCEEFF" w:val="clear"/>
            <w:vAlign w:val="center"/>
          </w:tcPr>
          <w:p>
            <w:pPr>
              <w:pStyle w:val="TableContents"/>
              <w:spacing w:before="0" w:after="283"/>
              <w:jc w:val="right"/>
              <w:rPr/>
            </w:pPr>
            <w:r>
              <w:rPr/>
              <w:t>2,556</w:t>
            </w:r>
          </w:p>
        </w:tc>
        <w:tc>
          <w:tcPr>
            <w:tcW w:w="260" w:type="dxa"/>
            <w:tcBorders/>
            <w:shd w:fill="CCEEFF" w:val="clear"/>
            <w:vAlign w:val="center"/>
          </w:tcPr>
          <w:p>
            <w:pPr>
              <w:pStyle w:val="TableContents"/>
              <w:spacing w:before="0" w:after="0"/>
              <w:ind w:left="0" w:right="0" w:hanging="0"/>
              <w:rPr/>
            </w:pPr>
            <w:r>
              <w:rPr/>
              <w:t> </w:t>
            </w:r>
          </w:p>
        </w:tc>
      </w:tr>
      <w:tr>
        <w:trPr/>
        <w:tc>
          <w:tcPr>
            <w:tcW w:w="800"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2016</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26,062</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24,941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24,789</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27,887</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27,966</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461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37" w:type="dxa"/>
            <w:tcBorders/>
            <w:shd w:fill="FFFFFF" w:val="clear"/>
            <w:vAlign w:val="center"/>
          </w:tcPr>
          <w:p>
            <w:pPr>
              <w:pStyle w:val="TableContents"/>
              <w:spacing w:before="0" w:after="0"/>
              <w:ind w:left="0" w:right="0" w:hanging="0"/>
              <w:rPr/>
            </w:pPr>
            <w:r>
              <w:rPr/>
              <w:t> </w:t>
            </w:r>
          </w:p>
        </w:tc>
        <w:tc>
          <w:tcPr>
            <w:tcW w:w="903" w:type="dxa"/>
            <w:tcBorders/>
            <w:shd w:fill="FFFFFF" w:val="clear"/>
            <w:vAlign w:val="center"/>
          </w:tcPr>
          <w:p>
            <w:pPr>
              <w:pStyle w:val="TableContents"/>
              <w:spacing w:before="0" w:after="283"/>
              <w:jc w:val="right"/>
              <w:rPr/>
            </w:pPr>
            <w:r>
              <w:rPr/>
              <w:t>2,878</w:t>
            </w:r>
          </w:p>
        </w:tc>
        <w:tc>
          <w:tcPr>
            <w:tcW w:w="260" w:type="dxa"/>
            <w:tcBorders/>
            <w:shd w:fill="FFFFFF" w:val="clear"/>
            <w:vAlign w:val="center"/>
          </w:tcPr>
          <w:p>
            <w:pPr>
              <w:pStyle w:val="TableContents"/>
              <w:spacing w:before="0" w:after="0"/>
              <w:ind w:left="0" w:right="0" w:hanging="0"/>
              <w:rPr/>
            </w:pPr>
            <w:r>
              <w:rPr/>
              <w:t> </w:t>
            </w:r>
          </w:p>
        </w:tc>
      </w:tr>
      <w:tr>
        <w:trPr/>
        <w:tc>
          <w:tcPr>
            <w:tcW w:w="800"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2017</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31,605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32,169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35,304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36,160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654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37" w:type="dxa"/>
            <w:tcBorders/>
            <w:shd w:fill="CCEEFF" w:val="clear"/>
            <w:vAlign w:val="center"/>
          </w:tcPr>
          <w:p>
            <w:pPr>
              <w:pStyle w:val="TableContents"/>
              <w:spacing w:before="0" w:after="0"/>
              <w:ind w:left="0" w:right="0" w:hanging="0"/>
              <w:rPr/>
            </w:pPr>
            <w:r>
              <w:rPr/>
              <w:t> </w:t>
            </w:r>
          </w:p>
        </w:tc>
        <w:tc>
          <w:tcPr>
            <w:tcW w:w="903" w:type="dxa"/>
            <w:tcBorders/>
            <w:shd w:fill="CCEEFF" w:val="clear"/>
            <w:vAlign w:val="center"/>
          </w:tcPr>
          <w:p>
            <w:pPr>
              <w:pStyle w:val="TableContents"/>
              <w:spacing w:before="0" w:after="283"/>
              <w:jc w:val="right"/>
              <w:rPr/>
            </w:pPr>
            <w:r>
              <w:rPr/>
              <w:t>3,391</w:t>
            </w:r>
          </w:p>
        </w:tc>
        <w:tc>
          <w:tcPr>
            <w:tcW w:w="260" w:type="dxa"/>
            <w:tcBorders/>
            <w:shd w:fill="CCEEFF" w:val="clear"/>
            <w:vAlign w:val="center"/>
          </w:tcPr>
          <w:p>
            <w:pPr>
              <w:pStyle w:val="TableContents"/>
              <w:spacing w:before="0" w:after="0"/>
              <w:ind w:left="0" w:right="0" w:hanging="0"/>
              <w:rPr/>
            </w:pPr>
            <w:r>
              <w:rPr/>
              <w:t> </w:t>
            </w:r>
          </w:p>
        </w:tc>
      </w:tr>
      <w:tr>
        <w:trPr/>
        <w:tc>
          <w:tcPr>
            <w:tcW w:w="800"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2018</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54,455</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56,351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58,441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1,928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37" w:type="dxa"/>
            <w:tcBorders/>
            <w:shd w:fill="FFFFFF" w:val="clear"/>
            <w:vAlign w:val="center"/>
          </w:tcPr>
          <w:p>
            <w:pPr>
              <w:pStyle w:val="TableContents"/>
              <w:spacing w:before="0" w:after="0"/>
              <w:ind w:left="0" w:right="0" w:hanging="0"/>
              <w:rPr/>
            </w:pPr>
            <w:r>
              <w:rPr/>
              <w:t> </w:t>
            </w:r>
          </w:p>
        </w:tc>
        <w:tc>
          <w:tcPr>
            <w:tcW w:w="903" w:type="dxa"/>
            <w:tcBorders/>
            <w:shd w:fill="FFFFFF" w:val="clear"/>
            <w:vAlign w:val="center"/>
          </w:tcPr>
          <w:p>
            <w:pPr>
              <w:pStyle w:val="TableContents"/>
              <w:spacing w:before="0" w:after="283"/>
              <w:jc w:val="right"/>
              <w:rPr/>
            </w:pPr>
            <w:r>
              <w:rPr/>
              <w:t>4,208</w:t>
            </w:r>
          </w:p>
        </w:tc>
        <w:tc>
          <w:tcPr>
            <w:tcW w:w="260" w:type="dxa"/>
            <w:tcBorders/>
            <w:shd w:fill="FFFFFF" w:val="clear"/>
            <w:vAlign w:val="center"/>
          </w:tcPr>
          <w:p>
            <w:pPr>
              <w:pStyle w:val="TableContents"/>
              <w:spacing w:before="0" w:after="0"/>
              <w:ind w:left="0" w:right="0" w:hanging="0"/>
              <w:rPr/>
            </w:pPr>
            <w:r>
              <w:rPr/>
              <w:t> </w:t>
            </w:r>
          </w:p>
        </w:tc>
      </w:tr>
      <w:tr>
        <w:trPr/>
        <w:tc>
          <w:tcPr>
            <w:tcW w:w="800"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2019</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75,092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72,368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9,547</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37" w:type="dxa"/>
            <w:tcBorders/>
            <w:shd w:fill="CCEEFF" w:val="clear"/>
            <w:vAlign w:val="center"/>
          </w:tcPr>
          <w:p>
            <w:pPr>
              <w:pStyle w:val="TableContents"/>
              <w:spacing w:before="0" w:after="0"/>
              <w:ind w:left="0" w:right="0" w:hanging="0"/>
              <w:rPr/>
            </w:pPr>
            <w:r>
              <w:rPr/>
              <w:t> </w:t>
            </w:r>
          </w:p>
        </w:tc>
        <w:tc>
          <w:tcPr>
            <w:tcW w:w="903" w:type="dxa"/>
            <w:tcBorders/>
            <w:shd w:fill="CCEEFF" w:val="clear"/>
            <w:vAlign w:val="center"/>
          </w:tcPr>
          <w:p>
            <w:pPr>
              <w:pStyle w:val="TableContents"/>
              <w:spacing w:before="0" w:after="283"/>
              <w:jc w:val="right"/>
              <w:rPr/>
            </w:pPr>
            <w:r>
              <w:rPr/>
              <w:t>4,442</w:t>
            </w:r>
          </w:p>
        </w:tc>
        <w:tc>
          <w:tcPr>
            <w:tcW w:w="260" w:type="dxa"/>
            <w:tcBorders/>
            <w:shd w:fill="CCEEFF" w:val="clear"/>
            <w:vAlign w:val="center"/>
          </w:tcPr>
          <w:p>
            <w:pPr>
              <w:pStyle w:val="TableContents"/>
              <w:spacing w:before="0" w:after="0"/>
              <w:ind w:left="0" w:right="0" w:hanging="0"/>
              <w:rPr/>
            </w:pPr>
            <w:r>
              <w:rPr/>
              <w:t> </w:t>
            </w:r>
          </w:p>
        </w:tc>
      </w:tr>
      <w:tr>
        <w:trPr/>
        <w:tc>
          <w:tcPr>
            <w:tcW w:w="800"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2020</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63,083</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11,421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37" w:type="dxa"/>
            <w:tcBorders/>
            <w:shd w:fill="FFFFFF" w:val="clear"/>
            <w:vAlign w:val="center"/>
          </w:tcPr>
          <w:p>
            <w:pPr>
              <w:pStyle w:val="TableContents"/>
              <w:spacing w:before="0" w:after="0"/>
              <w:ind w:left="0" w:right="0" w:hanging="0"/>
              <w:rPr/>
            </w:pPr>
            <w:r>
              <w:rPr/>
              <w:t> </w:t>
            </w:r>
          </w:p>
        </w:tc>
        <w:tc>
          <w:tcPr>
            <w:tcW w:w="903" w:type="dxa"/>
            <w:tcBorders/>
            <w:shd w:fill="FFFFFF" w:val="clear"/>
            <w:vAlign w:val="center"/>
          </w:tcPr>
          <w:p>
            <w:pPr>
              <w:pStyle w:val="TableContents"/>
              <w:spacing w:before="0" w:after="283"/>
              <w:jc w:val="right"/>
              <w:rPr/>
            </w:pPr>
            <w:r>
              <w:rPr/>
              <w:t>5,596</w:t>
            </w:r>
          </w:p>
        </w:tc>
        <w:tc>
          <w:tcPr>
            <w:tcW w:w="260" w:type="dxa"/>
            <w:tcBorders/>
            <w:shd w:fill="FFFFFF" w:val="clear"/>
            <w:vAlign w:val="center"/>
          </w:tcPr>
          <w:p>
            <w:pPr>
              <w:pStyle w:val="TableContents"/>
              <w:spacing w:before="0" w:after="0"/>
              <w:ind w:left="0" w:right="0" w:hanging="0"/>
              <w:rPr/>
            </w:pPr>
            <w:r>
              <w:rPr/>
              <w:t> </w:t>
            </w:r>
          </w:p>
        </w:tc>
      </w:tr>
      <w:tr>
        <w:trPr/>
        <w:tc>
          <w:tcPr>
            <w:tcW w:w="800" w:type="dxa"/>
            <w:tcBorders/>
            <w:shd w:fill="CCEEFF" w:val="clear"/>
            <w:vAlign w:val="center"/>
          </w:tcPr>
          <w:p>
            <w:pPr>
              <w:pStyle w:val="TableContents"/>
              <w:spacing w:before="0" w:after="0"/>
              <w:ind w:left="0" w:right="0" w:hanging="0"/>
              <w:rPr/>
            </w:pPr>
            <w:r>
              <w:rPr>
                <w:rStyle w:val="StrongEmphasis"/>
                <w:rFonts w:ascii="times new roman" w:hAnsi="times new roman"/>
                <w:sz w:val="20"/>
              </w:rPr>
              <w:t xml:space="preserve">Total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880" w:type="dxa"/>
            <w:gridSpan w:val="2"/>
            <w:tcBorders/>
            <w:shd w:fill="CCEEFF" w:val="clear"/>
            <w:vAlign w:val="center"/>
          </w:tcPr>
          <w:p>
            <w:pPr>
              <w:pStyle w:val="TableContents"/>
              <w:spacing w:before="0" w:after="0"/>
              <w:ind w:left="0" w:right="0" w:hanging="0"/>
              <w:jc w:val="right"/>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283"/>
              <w:rPr/>
            </w:pPr>
            <w:r>
              <w:rPr/>
              <w:t>$</w:t>
            </w:r>
          </w:p>
        </w:tc>
        <w:tc>
          <w:tcPr>
            <w:tcW w:w="830" w:type="dxa"/>
            <w:tcBorders>
              <w:bottom w:val="single" w:sz="2" w:space="0" w:color="000000"/>
            </w:tcBorders>
            <w:shd w:fill="CCEEFF" w:val="clear"/>
            <w:tcMar>
              <w:bottom w:w="28" w:type="dxa"/>
            </w:tcMar>
            <w:vAlign w:val="center"/>
          </w:tcPr>
          <w:p>
            <w:pPr>
              <w:pStyle w:val="TableContents"/>
              <w:spacing w:before="0" w:after="283"/>
              <w:jc w:val="right"/>
              <w:rPr/>
            </w:pPr>
            <w:r>
              <w:rPr/>
              <w:t>328,244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37" w:type="dxa"/>
            <w:tcBorders/>
            <w:shd w:fill="CCEEFF" w:val="clear"/>
            <w:vAlign w:val="center"/>
          </w:tcPr>
          <w:p>
            <w:pPr>
              <w:pStyle w:val="TableContents"/>
              <w:spacing w:before="0" w:after="0"/>
              <w:ind w:left="0" w:right="0" w:hanging="0"/>
              <w:rPr/>
            </w:pPr>
            <w:r>
              <w:rPr/>
              <w:t> </w:t>
            </w:r>
          </w:p>
        </w:tc>
        <w:tc>
          <w:tcPr>
            <w:tcW w:w="903" w:type="dxa"/>
            <w:tcBorders/>
            <w:shd w:fill="CCEEFF" w:val="clear"/>
            <w:vAlign w:val="center"/>
          </w:tcPr>
          <w:p>
            <w:pPr>
              <w:pStyle w:val="TableContents"/>
              <w:spacing w:before="0" w:after="0"/>
              <w:ind w:left="0" w:right="0" w:hanging="0"/>
              <w:rPr/>
            </w:pPr>
            <w:r>
              <w:rPr/>
              <w:t> </w:t>
            </w:r>
          </w:p>
        </w:tc>
        <w:tc>
          <w:tcPr>
            <w:tcW w:w="260"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 Reported claims for accident year 2012 includes 3,406 claims from Superstorm Sandy.</w:t>
      </w:r>
    </w:p>
    <w:p>
      <w:pPr>
        <w:pStyle w:val="TextBody"/>
        <w:spacing w:before="0" w:after="0"/>
        <w:ind w:left="0" w:right="0" w:hanging="0"/>
        <w:jc w:val="both"/>
        <w:rPr/>
      </w:pPr>
      <w:r>
        <w:rPr/>
        <w:t> </w:t>
      </w:r>
    </w:p>
    <w:p>
      <w:pPr>
        <w:pStyle w:val="TextBody"/>
        <w:spacing w:before="0" w:after="0"/>
        <w:ind w:left="0" w:right="0" w:hanging="0"/>
        <w:rPr/>
      </w:pPr>
      <w:r>
        <w:rPr/>
        <w:t> </w:t>
      </w:r>
    </w:p>
    <w:p>
      <w:pPr>
        <w:pStyle w:val="TextBody"/>
        <w:spacing w:before="0" w:after="0"/>
        <w:ind w:left="0" w:right="0" w:hanging="0"/>
        <w:rPr/>
      </w:pPr>
      <w:r>
        <w:rPr/>
        <w:t> </w:t>
      </w:r>
    </w:p>
    <w:tbl>
      <w:tblPr>
        <w:tblW w:w="11325" w:type="dxa"/>
        <w:jc w:val="left"/>
        <w:tblInd w:w="0" w:type="dxa"/>
        <w:tblCellMar>
          <w:top w:w="0" w:type="dxa"/>
          <w:left w:w="0" w:type="dxa"/>
          <w:bottom w:w="0" w:type="dxa"/>
          <w:right w:w="0" w:type="dxa"/>
        </w:tblCellMar>
      </w:tblPr>
      <w:tblGrid>
        <w:gridCol w:w="1040"/>
        <w:gridCol w:w="90"/>
        <w:gridCol w:w="170"/>
        <w:gridCol w:w="590"/>
        <w:gridCol w:w="90"/>
        <w:gridCol w:w="90"/>
        <w:gridCol w:w="170"/>
        <w:gridCol w:w="590"/>
        <w:gridCol w:w="90"/>
        <w:gridCol w:w="90"/>
        <w:gridCol w:w="170"/>
        <w:gridCol w:w="590"/>
        <w:gridCol w:w="90"/>
        <w:gridCol w:w="90"/>
        <w:gridCol w:w="170"/>
        <w:gridCol w:w="59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830"/>
        <w:gridCol w:w="135"/>
      </w:tblGrid>
      <w:tr>
        <w:trPr/>
        <w:tc>
          <w:tcPr>
            <w:tcW w:w="2830" w:type="dxa"/>
            <w:gridSpan w:val="8"/>
            <w:tcBorders/>
            <w:shd w:fill="auto" w:val="clear"/>
            <w:vAlign w:val="center"/>
          </w:tcPr>
          <w:p>
            <w:pPr>
              <w:pStyle w:val="TableContents"/>
              <w:spacing w:before="0" w:after="0"/>
              <w:ind w:left="0" w:right="0" w:hanging="0"/>
              <w:rPr/>
            </w:pPr>
            <w:r>
              <w:rPr>
                <w:rStyle w:val="StrongEmphasis"/>
                <w:rFonts w:ascii="times new roman" w:hAnsi="times new roman"/>
                <w:sz w:val="20"/>
              </w:rPr>
              <w:t>All Lines of Business</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6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6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0" w:type="dxa"/>
            <w:gridSpan w:val="2"/>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0"/>
              <w:ind w:left="0" w:right="0" w:hanging="0"/>
              <w:rPr/>
            </w:pPr>
            <w:r>
              <w:rPr/>
              <w:t> </w:t>
            </w:r>
          </w:p>
        </w:tc>
      </w:tr>
      <w:tr>
        <w:trPr/>
        <w:tc>
          <w:tcPr>
            <w:tcW w:w="1890" w:type="dxa"/>
            <w:gridSpan w:val="4"/>
            <w:tcBorders/>
            <w:shd w:fill="auto" w:val="clear"/>
            <w:vAlign w:val="center"/>
          </w:tcPr>
          <w:p>
            <w:pPr>
              <w:pStyle w:val="TableContents"/>
              <w:spacing w:before="0" w:after="0"/>
              <w:ind w:left="0" w:right="0" w:hanging="0"/>
              <w:rPr/>
            </w:pPr>
            <w:r>
              <w:rPr>
                <w:rStyle w:val="Emphasis"/>
                <w:rFonts w:ascii="times new roman" w:hAnsi="times new roman"/>
                <w:sz w:val="20"/>
              </w:rPr>
              <w:t>(in thousands)</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6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6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6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0" w:type="dxa"/>
            <w:gridSpan w:val="2"/>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0"/>
              <w:ind w:left="0" w:right="0" w:hanging="0"/>
              <w:rPr/>
            </w:pPr>
            <w:r>
              <w:rPr/>
              <w:t> </w:t>
            </w:r>
          </w:p>
        </w:tc>
      </w:tr>
      <w:tr>
        <w:trPr/>
        <w:tc>
          <w:tcPr>
            <w:tcW w:w="104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60" w:type="dxa"/>
            <w:gridSpan w:val="38"/>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Cumulative Paid Loss and Allocated Loss Adjustment Expenses, Net of Reinsurance</w:t>
            </w:r>
          </w:p>
        </w:tc>
        <w:tc>
          <w:tcPr>
            <w:tcW w:w="135" w:type="dxa"/>
            <w:tcBorders/>
            <w:shd w:fill="auto" w:val="clear"/>
            <w:vAlign w:val="center"/>
          </w:tcPr>
          <w:p>
            <w:pPr>
              <w:pStyle w:val="TableContents"/>
              <w:spacing w:before="0" w:after="0"/>
              <w:ind w:left="0" w:right="0" w:hanging="0"/>
              <w:rPr/>
            </w:pPr>
            <w:r>
              <w:rPr/>
              <w:t> </w:t>
            </w:r>
          </w:p>
        </w:tc>
      </w:tr>
      <w:tr>
        <w:trPr/>
        <w:tc>
          <w:tcPr>
            <w:tcW w:w="104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60" w:type="dxa"/>
            <w:gridSpan w:val="38"/>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For the Years Ended December 31,</w:t>
            </w:r>
          </w:p>
        </w:tc>
        <w:tc>
          <w:tcPr>
            <w:tcW w:w="135" w:type="dxa"/>
            <w:tcBorders/>
            <w:shd w:fill="auto" w:val="clear"/>
            <w:vAlign w:val="center"/>
          </w:tcPr>
          <w:p>
            <w:pPr>
              <w:pStyle w:val="TableContents"/>
              <w:spacing w:before="0" w:after="0"/>
              <w:ind w:left="0" w:right="0" w:hanging="0"/>
              <w:rPr/>
            </w:pPr>
            <w:r>
              <w:rPr/>
              <w:t> </w:t>
            </w:r>
          </w:p>
        </w:tc>
      </w:tr>
      <w:tr>
        <w:trPr/>
        <w:tc>
          <w:tcPr>
            <w:tcW w:w="1040" w:type="dxa"/>
            <w:tcBorders>
              <w:bottom w:val="single" w:sz="2" w:space="0" w:color="000000"/>
            </w:tcBorders>
            <w:shd w:fill="auto" w:val="clear"/>
            <w:tcMar>
              <w:bottom w:w="28" w:type="dxa"/>
            </w:tcMar>
            <w:vAlign w:val="center"/>
          </w:tcPr>
          <w:p>
            <w:pPr>
              <w:pStyle w:val="TableContents"/>
              <w:spacing w:before="0" w:after="0"/>
              <w:ind w:left="0" w:right="0" w:hanging="0"/>
              <w:jc w:val="left"/>
              <w:rPr/>
            </w:pPr>
            <w:r>
              <w:rPr>
                <w:rStyle w:val="StrongEmphasis"/>
                <w:rFonts w:ascii="times new roman" w:hAnsi="times new roman"/>
                <w:sz w:val="20"/>
              </w:rPr>
              <w:t>Accident Year</w:t>
            </w:r>
          </w:p>
        </w:tc>
        <w:tc>
          <w:tcPr>
            <w:tcW w:w="90" w:type="dxa"/>
            <w:tcBorders/>
            <w:shd w:fill="auto" w:val="clear"/>
            <w:vAlign w:val="center"/>
          </w:tcPr>
          <w:p>
            <w:pPr>
              <w:pStyle w:val="TableContents"/>
              <w:spacing w:before="0" w:after="0"/>
              <w:ind w:left="0" w:right="0" w:hanging="0"/>
              <w:rPr/>
            </w:pPr>
            <w:r>
              <w:rPr/>
              <w:t> </w:t>
            </w:r>
          </w:p>
        </w:tc>
        <w:tc>
          <w:tcPr>
            <w:tcW w:w="7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2011</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2012</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2013</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2014</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2015</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2016</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2017</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2018</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2019</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2020</w:t>
            </w:r>
          </w:p>
        </w:tc>
        <w:tc>
          <w:tcPr>
            <w:tcW w:w="135" w:type="dxa"/>
            <w:tcBorders/>
            <w:shd w:fill="auto" w:val="clear"/>
            <w:vAlign w:val="center"/>
          </w:tcPr>
          <w:p>
            <w:pPr>
              <w:pStyle w:val="TableContents"/>
              <w:spacing w:before="0" w:after="0"/>
              <w:ind w:left="0" w:right="0" w:hanging="0"/>
              <w:rPr/>
            </w:pPr>
            <w:r>
              <w:rPr/>
              <w:t> </w:t>
            </w:r>
          </w:p>
        </w:tc>
      </w:tr>
      <w:tr>
        <w:trPr/>
        <w:tc>
          <w:tcPr>
            <w:tcW w:w="104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80" w:type="dxa"/>
            <w:gridSpan w:val="34"/>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(Unaudited 2011 - 2019)</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0" w:type="dxa"/>
            <w:gridSpan w:val="2"/>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0"/>
              <w:ind w:left="0" w:right="0" w:hanging="0"/>
              <w:rPr/>
            </w:pPr>
            <w:r>
              <w:rPr/>
              <w:t> </w:t>
            </w:r>
          </w:p>
        </w:tc>
      </w:tr>
      <w:tr>
        <w:trPr/>
        <w:tc>
          <w:tcPr>
            <w:tcW w:w="104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6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6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6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6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0" w:type="dxa"/>
            <w:gridSpan w:val="2"/>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1040"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2011</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590" w:type="dxa"/>
            <w:tcBorders/>
            <w:shd w:fill="CCEEFF" w:val="clear"/>
            <w:vAlign w:val="center"/>
          </w:tcPr>
          <w:p>
            <w:pPr>
              <w:pStyle w:val="TableContents"/>
              <w:spacing w:before="0" w:after="283"/>
              <w:jc w:val="right"/>
              <w:rPr/>
            </w:pPr>
            <w:r>
              <w:rPr/>
              <w:t>3,740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590" w:type="dxa"/>
            <w:tcBorders/>
            <w:shd w:fill="CCEEFF" w:val="clear"/>
            <w:vAlign w:val="center"/>
          </w:tcPr>
          <w:p>
            <w:pPr>
              <w:pStyle w:val="TableContents"/>
              <w:spacing w:before="0" w:after="283"/>
              <w:jc w:val="right"/>
              <w:rPr/>
            </w:pPr>
            <w:r>
              <w:rPr/>
              <w:t>5,117</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590" w:type="dxa"/>
            <w:tcBorders/>
            <w:shd w:fill="CCEEFF" w:val="clear"/>
            <w:vAlign w:val="center"/>
          </w:tcPr>
          <w:p>
            <w:pPr>
              <w:pStyle w:val="TableContents"/>
              <w:spacing w:before="0" w:after="283"/>
              <w:jc w:val="right"/>
              <w:rPr/>
            </w:pPr>
            <w:r>
              <w:rPr/>
              <w:t>6,228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590" w:type="dxa"/>
            <w:tcBorders/>
            <w:shd w:fill="CCEEFF" w:val="clear"/>
            <w:vAlign w:val="center"/>
          </w:tcPr>
          <w:p>
            <w:pPr>
              <w:pStyle w:val="TableContents"/>
              <w:spacing w:before="0" w:after="283"/>
              <w:jc w:val="right"/>
              <w:rPr/>
            </w:pPr>
            <w:r>
              <w:rPr/>
              <w:t>7,170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jc w:val="right"/>
              <w:rPr/>
            </w:pPr>
            <w:r>
              <w:rPr/>
              <w:t>8,139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jc w:val="right"/>
              <w:rPr/>
            </w:pPr>
            <w:r>
              <w:rPr/>
              <w:t>8,540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jc w:val="right"/>
              <w:rPr/>
            </w:pPr>
            <w:r>
              <w:rPr/>
              <w:t>8,702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jc w:val="right"/>
              <w:rPr/>
            </w:pPr>
            <w:r>
              <w:rPr/>
              <w:t>8,727</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jc w:val="right"/>
              <w:rPr/>
            </w:pPr>
            <w:r>
              <w:rPr/>
              <w:t>8,789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830" w:type="dxa"/>
            <w:tcBorders/>
            <w:shd w:fill="CCEEFF" w:val="clear"/>
            <w:vAlign w:val="center"/>
          </w:tcPr>
          <w:p>
            <w:pPr>
              <w:pStyle w:val="TableContents"/>
              <w:spacing w:before="0" w:after="283"/>
              <w:jc w:val="right"/>
              <w:rPr/>
            </w:pPr>
            <w:r>
              <w:rPr/>
              <w:t>9,106</w:t>
            </w:r>
          </w:p>
        </w:tc>
        <w:tc>
          <w:tcPr>
            <w:tcW w:w="135" w:type="dxa"/>
            <w:tcBorders/>
            <w:shd w:fill="CCEEFF" w:val="clear"/>
            <w:vAlign w:val="center"/>
          </w:tcPr>
          <w:p>
            <w:pPr>
              <w:pStyle w:val="TableContents"/>
              <w:spacing w:before="0" w:after="0"/>
              <w:ind w:left="0" w:right="0" w:hanging="0"/>
              <w:rPr/>
            </w:pPr>
            <w:r>
              <w:rPr/>
              <w:t> </w:t>
            </w:r>
          </w:p>
        </w:tc>
      </w:tr>
      <w:tr>
        <w:trPr/>
        <w:tc>
          <w:tcPr>
            <w:tcW w:w="1040"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2012</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283"/>
              <w:jc w:val="right"/>
              <w:rPr/>
            </w:pPr>
            <w:r>
              <w:rPr/>
              <w:t>3,950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283"/>
              <w:jc w:val="right"/>
              <w:rPr/>
            </w:pPr>
            <w:r>
              <w:rPr/>
              <w:t>5,770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283"/>
              <w:jc w:val="right"/>
              <w:rPr/>
            </w:pPr>
            <w:r>
              <w:rPr/>
              <w:t>7,127</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8,196</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9,187</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10,236</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10,323</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10,428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10,451</w:t>
            </w:r>
          </w:p>
        </w:tc>
        <w:tc>
          <w:tcPr>
            <w:tcW w:w="135" w:type="dxa"/>
            <w:tcBorders/>
            <w:shd w:fill="FFFFFF" w:val="clear"/>
            <w:vAlign w:val="center"/>
          </w:tcPr>
          <w:p>
            <w:pPr>
              <w:pStyle w:val="TableContents"/>
              <w:spacing w:before="0" w:after="0"/>
              <w:ind w:left="0" w:right="0" w:hanging="0"/>
              <w:rPr/>
            </w:pPr>
            <w:r>
              <w:rPr/>
              <w:t> </w:t>
            </w:r>
          </w:p>
        </w:tc>
      </w:tr>
      <w:tr>
        <w:trPr/>
        <w:tc>
          <w:tcPr>
            <w:tcW w:w="1040"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2013</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283"/>
              <w:jc w:val="right"/>
              <w:rPr/>
            </w:pPr>
            <w:r>
              <w:rPr/>
              <w:t>3,405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283"/>
              <w:jc w:val="right"/>
              <w:rPr/>
            </w:pPr>
            <w:r>
              <w:rPr/>
              <w:t>5,303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6,633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7,591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8,407</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9,056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9,717</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10,016</w:t>
            </w:r>
          </w:p>
        </w:tc>
        <w:tc>
          <w:tcPr>
            <w:tcW w:w="135" w:type="dxa"/>
            <w:tcBorders/>
            <w:shd w:fill="CCEEFF" w:val="clear"/>
            <w:vAlign w:val="center"/>
          </w:tcPr>
          <w:p>
            <w:pPr>
              <w:pStyle w:val="TableContents"/>
              <w:spacing w:before="0" w:after="0"/>
              <w:ind w:left="0" w:right="0" w:hanging="0"/>
              <w:rPr/>
            </w:pPr>
            <w:r>
              <w:rPr/>
              <w:t> </w:t>
            </w:r>
          </w:p>
        </w:tc>
      </w:tr>
      <w:tr>
        <w:trPr/>
        <w:tc>
          <w:tcPr>
            <w:tcW w:w="1040"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2014</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283"/>
              <w:jc w:val="right"/>
              <w:rPr/>
            </w:pPr>
            <w:r>
              <w:rPr/>
              <w:t>5,710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9,429</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10,738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11,770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13,819</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14,901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15,491</w:t>
            </w:r>
          </w:p>
        </w:tc>
        <w:tc>
          <w:tcPr>
            <w:tcW w:w="135" w:type="dxa"/>
            <w:tcBorders/>
            <w:shd w:fill="FFFFFF" w:val="clear"/>
            <w:vAlign w:val="center"/>
          </w:tcPr>
          <w:p>
            <w:pPr>
              <w:pStyle w:val="TableContents"/>
              <w:spacing w:before="0" w:after="0"/>
              <w:ind w:left="0" w:right="0" w:hanging="0"/>
              <w:rPr/>
            </w:pPr>
            <w:r>
              <w:rPr/>
              <w:t> </w:t>
            </w:r>
          </w:p>
        </w:tc>
      </w:tr>
      <w:tr>
        <w:trPr/>
        <w:tc>
          <w:tcPr>
            <w:tcW w:w="1040"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2015</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12,295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16,181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18,266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19,984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21,067</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22,104</w:t>
            </w:r>
          </w:p>
        </w:tc>
        <w:tc>
          <w:tcPr>
            <w:tcW w:w="135" w:type="dxa"/>
            <w:tcBorders/>
            <w:shd w:fill="CCEEFF" w:val="clear"/>
            <w:vAlign w:val="center"/>
          </w:tcPr>
          <w:p>
            <w:pPr>
              <w:pStyle w:val="TableContents"/>
              <w:spacing w:before="0" w:after="0"/>
              <w:ind w:left="0" w:right="0" w:hanging="0"/>
              <w:rPr/>
            </w:pPr>
            <w:r>
              <w:rPr/>
              <w:t> </w:t>
            </w:r>
          </w:p>
        </w:tc>
      </w:tr>
      <w:tr>
        <w:trPr/>
        <w:tc>
          <w:tcPr>
            <w:tcW w:w="1040"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2016</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15,364</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19,001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21,106</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23,974</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25,234</w:t>
            </w:r>
          </w:p>
        </w:tc>
        <w:tc>
          <w:tcPr>
            <w:tcW w:w="135" w:type="dxa"/>
            <w:tcBorders/>
            <w:shd w:fill="FFFFFF" w:val="clear"/>
            <w:vAlign w:val="center"/>
          </w:tcPr>
          <w:p>
            <w:pPr>
              <w:pStyle w:val="TableContents"/>
              <w:spacing w:before="0" w:after="0"/>
              <w:ind w:left="0" w:right="0" w:hanging="0"/>
              <w:rPr/>
            </w:pPr>
            <w:r>
              <w:rPr/>
              <w:t> </w:t>
            </w:r>
          </w:p>
        </w:tc>
      </w:tr>
      <w:tr>
        <w:trPr/>
        <w:tc>
          <w:tcPr>
            <w:tcW w:w="1040"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2017</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16,704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24,820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28,693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31,393</w:t>
            </w:r>
          </w:p>
        </w:tc>
        <w:tc>
          <w:tcPr>
            <w:tcW w:w="135" w:type="dxa"/>
            <w:tcBorders/>
            <w:shd w:fill="CCEEFF" w:val="clear"/>
            <w:vAlign w:val="center"/>
          </w:tcPr>
          <w:p>
            <w:pPr>
              <w:pStyle w:val="TableContents"/>
              <w:spacing w:before="0" w:after="0"/>
              <w:ind w:left="0" w:right="0" w:hanging="0"/>
              <w:rPr/>
            </w:pPr>
            <w:r>
              <w:rPr/>
              <w:t> </w:t>
            </w:r>
          </w:p>
        </w:tc>
      </w:tr>
      <w:tr>
        <w:trPr/>
        <w:tc>
          <w:tcPr>
            <w:tcW w:w="1040"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2018</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32,383</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44,516</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50,553</w:t>
            </w:r>
          </w:p>
        </w:tc>
        <w:tc>
          <w:tcPr>
            <w:tcW w:w="135" w:type="dxa"/>
            <w:tcBorders/>
            <w:shd w:fill="FFFFFF" w:val="clear"/>
            <w:vAlign w:val="center"/>
          </w:tcPr>
          <w:p>
            <w:pPr>
              <w:pStyle w:val="TableContents"/>
              <w:spacing w:before="0" w:after="0"/>
              <w:ind w:left="0" w:right="0" w:hanging="0"/>
              <w:rPr/>
            </w:pPr>
            <w:r>
              <w:rPr/>
              <w:t> </w:t>
            </w:r>
          </w:p>
        </w:tc>
      </w:tr>
      <w:tr>
        <w:trPr/>
        <w:tc>
          <w:tcPr>
            <w:tcW w:w="1040"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2019</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40,933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54,897</w:t>
            </w:r>
          </w:p>
        </w:tc>
        <w:tc>
          <w:tcPr>
            <w:tcW w:w="135" w:type="dxa"/>
            <w:tcBorders/>
            <w:shd w:fill="CCEEFF" w:val="clear"/>
            <w:vAlign w:val="center"/>
          </w:tcPr>
          <w:p>
            <w:pPr>
              <w:pStyle w:val="TableContents"/>
              <w:spacing w:before="0" w:after="0"/>
              <w:ind w:left="0" w:right="0" w:hanging="0"/>
              <w:rPr/>
            </w:pPr>
            <w:r>
              <w:rPr/>
              <w:t> </w:t>
            </w:r>
          </w:p>
        </w:tc>
      </w:tr>
      <w:tr>
        <w:trPr/>
        <w:tc>
          <w:tcPr>
            <w:tcW w:w="1040"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2020</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39,045</w:t>
            </w:r>
          </w:p>
        </w:tc>
        <w:tc>
          <w:tcPr>
            <w:tcW w:w="135" w:type="dxa"/>
            <w:tcBorders/>
            <w:shd w:fill="FFFFFF" w:val="clear"/>
            <w:vAlign w:val="center"/>
          </w:tcPr>
          <w:p>
            <w:pPr>
              <w:pStyle w:val="TableContents"/>
              <w:spacing w:before="0" w:after="0"/>
              <w:ind w:left="0" w:right="0" w:hanging="0"/>
              <w:rPr/>
            </w:pPr>
            <w:r>
              <w:rPr/>
              <w:t> </w:t>
            </w:r>
          </w:p>
        </w:tc>
      </w:tr>
      <w:tr>
        <w:trPr/>
        <w:tc>
          <w:tcPr>
            <w:tcW w:w="1040" w:type="dxa"/>
            <w:tcBorders/>
            <w:shd w:fill="CCEEFF" w:val="clear"/>
            <w:vAlign w:val="center"/>
          </w:tcPr>
          <w:p>
            <w:pPr>
              <w:pStyle w:val="TableContents"/>
              <w:spacing w:before="0" w:after="0"/>
              <w:ind w:left="0" w:right="0" w:hanging="0"/>
              <w:rPr/>
            </w:pPr>
            <w:r>
              <w:rPr>
                <w:rStyle w:val="StrongEmphasis"/>
                <w:rFonts w:ascii="times new roman" w:hAnsi="times new roman"/>
                <w:sz w:val="20"/>
              </w:rPr>
              <w:t>Total</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880" w:type="dxa"/>
            <w:gridSpan w:val="2"/>
            <w:tcBorders/>
            <w:shd w:fill="CCEEFF" w:val="clear"/>
            <w:vAlign w:val="center"/>
          </w:tcPr>
          <w:p>
            <w:pPr>
              <w:pStyle w:val="TableContents"/>
              <w:spacing w:before="0" w:after="0"/>
              <w:ind w:left="0" w:right="0" w:hanging="0"/>
              <w:jc w:val="right"/>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283"/>
              <w:rPr/>
            </w:pPr>
            <w:r>
              <w:rPr/>
              <w:t>$</w:t>
            </w:r>
          </w:p>
        </w:tc>
        <w:tc>
          <w:tcPr>
            <w:tcW w:w="830" w:type="dxa"/>
            <w:tcBorders>
              <w:bottom w:val="single" w:sz="2" w:space="0" w:color="000000"/>
            </w:tcBorders>
            <w:shd w:fill="CCEEFF" w:val="clear"/>
            <w:tcMar>
              <w:bottom w:w="28" w:type="dxa"/>
            </w:tcMar>
            <w:vAlign w:val="center"/>
          </w:tcPr>
          <w:p>
            <w:pPr>
              <w:pStyle w:val="TableContents"/>
              <w:spacing w:before="0" w:after="283"/>
              <w:jc w:val="right"/>
              <w:rPr/>
            </w:pPr>
            <w:r>
              <w:rPr/>
              <w:t>268,291</w:t>
            </w:r>
          </w:p>
        </w:tc>
        <w:tc>
          <w:tcPr>
            <w:tcW w:w="135" w:type="dxa"/>
            <w:tcBorders/>
            <w:shd w:fill="CCEEFF" w:val="clear"/>
            <w:vAlign w:val="center"/>
          </w:tcPr>
          <w:p>
            <w:pPr>
              <w:pStyle w:val="TableContents"/>
              <w:spacing w:before="0" w:after="0"/>
              <w:ind w:left="0" w:right="0" w:hanging="0"/>
              <w:rPr/>
            </w:pPr>
            <w:r>
              <w:rPr/>
              <w:t> </w:t>
            </w:r>
          </w:p>
        </w:tc>
      </w:tr>
      <w:tr>
        <w:trPr/>
        <w:tc>
          <w:tcPr>
            <w:tcW w:w="104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0"/>
              <w:ind w:left="0" w:right="0" w:hanging="0"/>
              <w:rPr/>
            </w:pPr>
            <w:r>
              <w:rPr/>
              <w:t> </w:t>
            </w:r>
          </w:p>
        </w:tc>
        <w:tc>
          <w:tcPr>
            <w:tcW w:w="135" w:type="dxa"/>
            <w:tcBorders/>
            <w:shd w:fill="FFFFFF" w:val="clear"/>
            <w:vAlign w:val="center"/>
          </w:tcPr>
          <w:p>
            <w:pPr>
              <w:pStyle w:val="TableContents"/>
              <w:spacing w:before="0" w:after="0"/>
              <w:ind w:left="0" w:right="0" w:hanging="0"/>
              <w:rPr/>
            </w:pPr>
            <w:r>
              <w:rPr/>
              <w:t> </w:t>
            </w:r>
          </w:p>
        </w:tc>
      </w:tr>
      <w:tr>
        <w:trPr/>
        <w:tc>
          <w:tcPr>
            <w:tcW w:w="1040"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Net liability for unpaid loss and allocated loss adjustment expenses for the accident years presented</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830" w:type="dxa"/>
            <w:tcBorders/>
            <w:shd w:fill="CCEEFF" w:val="clear"/>
            <w:vAlign w:val="center"/>
          </w:tcPr>
          <w:p>
            <w:pPr>
              <w:pStyle w:val="TableContents"/>
              <w:spacing w:before="0" w:after="283"/>
              <w:jc w:val="right"/>
              <w:rPr/>
            </w:pPr>
            <w:r>
              <w:rPr/>
              <w:t>59,953</w:t>
            </w:r>
          </w:p>
        </w:tc>
        <w:tc>
          <w:tcPr>
            <w:tcW w:w="135" w:type="dxa"/>
            <w:tcBorders/>
            <w:shd w:fill="CCEEFF" w:val="clear"/>
            <w:vAlign w:val="center"/>
          </w:tcPr>
          <w:p>
            <w:pPr>
              <w:pStyle w:val="TableContents"/>
              <w:spacing w:before="0" w:after="0"/>
              <w:ind w:left="0" w:right="0" w:hanging="0"/>
              <w:rPr/>
            </w:pPr>
            <w:r>
              <w:rPr/>
              <w:t> </w:t>
            </w:r>
          </w:p>
        </w:tc>
      </w:tr>
      <w:tr>
        <w:trPr/>
        <w:tc>
          <w:tcPr>
            <w:tcW w:w="1040"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All outstanding liabilities before 2011, net of reinsurance</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94</w:t>
            </w:r>
          </w:p>
        </w:tc>
        <w:tc>
          <w:tcPr>
            <w:tcW w:w="135" w:type="dxa"/>
            <w:tcBorders/>
            <w:shd w:fill="FFFFFF" w:val="clear"/>
            <w:vAlign w:val="center"/>
          </w:tcPr>
          <w:p>
            <w:pPr>
              <w:pStyle w:val="TableContents"/>
              <w:spacing w:before="0" w:after="0"/>
              <w:ind w:left="0" w:right="0" w:hanging="0"/>
              <w:rPr/>
            </w:pPr>
            <w:r>
              <w:rPr/>
              <w:t> </w:t>
            </w:r>
          </w:p>
        </w:tc>
      </w:tr>
      <w:tr>
        <w:trPr/>
        <w:tc>
          <w:tcPr>
            <w:tcW w:w="1040"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Liabilities for loss and allocated loss adjustment expenses, net of reinsurance</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830" w:type="dxa"/>
            <w:tcBorders>
              <w:bottom w:val="double" w:sz="6" w:space="0" w:color="000000"/>
            </w:tcBorders>
            <w:shd w:fill="CCEEFF" w:val="clear"/>
            <w:tcMar>
              <w:bottom w:w="28" w:type="dxa"/>
            </w:tcMar>
            <w:vAlign w:val="center"/>
          </w:tcPr>
          <w:p>
            <w:pPr>
              <w:pStyle w:val="TableContents"/>
              <w:spacing w:before="0" w:after="283"/>
              <w:jc w:val="right"/>
              <w:rPr/>
            </w:pPr>
            <w:r>
              <w:rPr/>
              <w:t>60,047</w:t>
            </w:r>
          </w:p>
        </w:tc>
        <w:tc>
          <w:tcPr>
            <w:tcW w:w="135"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hanging="0"/>
        <w:jc w:val="both"/>
        <w:rPr/>
      </w:pPr>
      <w:r>
        <w:rPr>
          <w:rStyle w:val="Emphasis"/>
          <w:rFonts w:ascii="times new roman" w:hAnsi="times new roman"/>
          <w:sz w:val="20"/>
        </w:rPr>
        <w:t>(Components may not sum to totals due to rounding)</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Reported claim counts are measured on an occurrence or per event basis.  A single claim occurrence could result in more than one loss type or claimant; however, the Company counts claims at the occurrence level as a single claim regardless of the number of claimants or claim features involved.</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F-40</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2020 AND 2019</w:t>
      </w:r>
    </w:p>
    <w:p>
      <w:pPr>
        <w:pStyle w:val="TextBody"/>
        <w:spacing w:before="0" w:after="0"/>
        <w:ind w:left="0" w:right="0" w:hanging="0"/>
        <w:jc w:val="center"/>
        <w:rPr/>
      </w:pPr>
      <w:r>
        <w:rPr>
          <w:rStyle w:val="StrongEmphasis"/>
        </w:rPr>
        <w:t> </w:t>
      </w:r>
    </w:p>
    <w:p>
      <w:pPr>
        <w:pStyle w:val="TextBody"/>
        <w:spacing w:before="0" w:after="0"/>
        <w:ind w:left="0" w:right="0" w:hanging="0"/>
        <w:jc w:val="both"/>
        <w:rPr>
          <w:rFonts w:ascii="times new roman" w:hAnsi="times new roman"/>
          <w:sz w:val="20"/>
        </w:rPr>
      </w:pPr>
      <w:r>
        <w:rPr>
          <w:rFonts w:ascii="times new roman" w:hAnsi="times new roman"/>
          <w:sz w:val="20"/>
        </w:rPr>
        <w:t>The reconciliation of the net incurred and paid claims development tables to the liability for loss and LAE reserves in the consolidated balance sheet is as follows:</w:t>
      </w:r>
    </w:p>
    <w:p>
      <w:pPr>
        <w:pStyle w:val="TextBody"/>
        <w:spacing w:before="0" w:after="0"/>
        <w:ind w:left="0" w:right="0" w:hanging="0"/>
        <w:jc w:val="both"/>
        <w:rPr/>
      </w:pPr>
      <w:r>
        <w:rPr/>
        <w:t> </w:t>
      </w:r>
    </w:p>
    <w:p>
      <w:pPr>
        <w:pStyle w:val="TextBody"/>
        <w:spacing w:before="0" w:after="0"/>
        <w:ind w:left="0" w:right="0" w:hanging="0"/>
        <w:rPr/>
      </w:pPr>
      <w:r>
        <w:rPr/>
        <w:t> </w:t>
      </w:r>
    </w:p>
    <w:p>
      <w:pPr>
        <w:pStyle w:val="TextBody"/>
        <w:spacing w:before="0" w:after="0"/>
        <w:ind w:left="0" w:right="0" w:hanging="0"/>
        <w:rPr/>
      </w:pPr>
      <w:r>
        <w:rPr/>
        <w:t> </w:t>
      </w:r>
    </w:p>
    <w:tbl>
      <w:tblPr>
        <w:tblW w:w="8184" w:type="dxa"/>
        <w:jc w:val="left"/>
        <w:tblInd w:w="0" w:type="dxa"/>
        <w:tblCellMar>
          <w:top w:w="0" w:type="dxa"/>
          <w:left w:w="0" w:type="dxa"/>
          <w:bottom w:w="0" w:type="dxa"/>
          <w:right w:w="0" w:type="dxa"/>
        </w:tblCellMar>
      </w:tblPr>
      <w:tblGrid>
        <w:gridCol w:w="6290"/>
        <w:gridCol w:w="90"/>
        <w:gridCol w:w="321"/>
        <w:gridCol w:w="1348"/>
        <w:gridCol w:w="135"/>
      </w:tblGrid>
      <w:tr>
        <w:trPr/>
        <w:tc>
          <w:tcPr>
            <w:tcW w:w="8184" w:type="dxa"/>
            <w:gridSpan w:val="5"/>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Reconciliation of the Disclosure of Incurred and Paid Loss Development</w:t>
            </w:r>
          </w:p>
        </w:tc>
      </w:tr>
      <w:tr>
        <w:trPr/>
        <w:tc>
          <w:tcPr>
            <w:tcW w:w="8184" w:type="dxa"/>
            <w:gridSpan w:val="5"/>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to the Liability for Loss and LAE Reserves</w:t>
            </w:r>
          </w:p>
        </w:tc>
      </w:tr>
      <w:tr>
        <w:trPr/>
        <w:tc>
          <w:tcPr>
            <w:tcW w:w="62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669" w:type="dxa"/>
            <w:gridSpan w:val="2"/>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0"/>
              <w:ind w:left="0" w:right="0" w:hanging="0"/>
              <w:rPr/>
            </w:pPr>
            <w:r>
              <w:rPr/>
              <w:t> </w:t>
            </w:r>
          </w:p>
        </w:tc>
      </w:tr>
      <w:tr>
        <w:trPr/>
        <w:tc>
          <w:tcPr>
            <w:tcW w:w="62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669"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As of</w:t>
            </w:r>
          </w:p>
        </w:tc>
        <w:tc>
          <w:tcPr>
            <w:tcW w:w="135" w:type="dxa"/>
            <w:tcBorders/>
            <w:shd w:fill="auto" w:val="clear"/>
            <w:vAlign w:val="center"/>
          </w:tcPr>
          <w:p>
            <w:pPr>
              <w:pStyle w:val="TableContents"/>
              <w:spacing w:before="0" w:after="0"/>
              <w:ind w:left="0" w:right="0" w:hanging="0"/>
              <w:rPr/>
            </w:pPr>
            <w:r>
              <w:rPr/>
              <w:t> </w:t>
            </w:r>
          </w:p>
        </w:tc>
      </w:tr>
      <w:tr>
        <w:trPr/>
        <w:tc>
          <w:tcPr>
            <w:tcW w:w="6290" w:type="dxa"/>
            <w:tcBorders/>
            <w:shd w:fill="auto" w:val="clear"/>
            <w:vAlign w:val="center"/>
          </w:tcPr>
          <w:p>
            <w:pPr>
              <w:pStyle w:val="TableContents"/>
              <w:spacing w:before="0" w:after="0"/>
              <w:ind w:left="0" w:right="0" w:hanging="0"/>
              <w:rPr/>
            </w:pPr>
            <w:r>
              <w:rPr>
                <w:rStyle w:val="Emphasis"/>
                <w:rFonts w:ascii="times new roman" w:hAnsi="times new roman"/>
                <w:sz w:val="20"/>
              </w:rPr>
              <w:t>(in thousands)</w:t>
            </w:r>
          </w:p>
        </w:tc>
        <w:tc>
          <w:tcPr>
            <w:tcW w:w="90" w:type="dxa"/>
            <w:tcBorders/>
            <w:shd w:fill="auto" w:val="clear"/>
            <w:vAlign w:val="center"/>
          </w:tcPr>
          <w:p>
            <w:pPr>
              <w:pStyle w:val="TableContents"/>
              <w:spacing w:before="0" w:after="0"/>
              <w:ind w:left="0" w:right="0" w:hanging="0"/>
              <w:rPr/>
            </w:pPr>
            <w:r>
              <w:rPr/>
              <w:t> </w:t>
            </w:r>
          </w:p>
        </w:tc>
        <w:tc>
          <w:tcPr>
            <w:tcW w:w="166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2020</w:t>
            </w:r>
          </w:p>
        </w:tc>
        <w:tc>
          <w:tcPr>
            <w:tcW w:w="135" w:type="dxa"/>
            <w:tcBorders/>
            <w:shd w:fill="auto" w:val="clear"/>
            <w:vAlign w:val="center"/>
          </w:tcPr>
          <w:p>
            <w:pPr>
              <w:pStyle w:val="TableContents"/>
              <w:spacing w:before="0" w:after="0"/>
              <w:ind w:left="0" w:right="0" w:hanging="0"/>
              <w:rPr/>
            </w:pPr>
            <w:r>
              <w:rPr/>
              <w:t> </w:t>
            </w:r>
          </w:p>
        </w:tc>
      </w:tr>
      <w:tr>
        <w:trPr/>
        <w:tc>
          <w:tcPr>
            <w:tcW w:w="629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Liabilities for allocated loss and loss adjustment expenses, net of reinsurance</w:t>
            </w:r>
          </w:p>
        </w:tc>
        <w:tc>
          <w:tcPr>
            <w:tcW w:w="90" w:type="dxa"/>
            <w:tcBorders/>
            <w:shd w:fill="CCEEFF" w:val="clear"/>
            <w:vAlign w:val="center"/>
          </w:tcPr>
          <w:p>
            <w:pPr>
              <w:pStyle w:val="TableContents"/>
              <w:spacing w:before="0" w:after="0"/>
              <w:ind w:left="0" w:right="0" w:hanging="0"/>
              <w:rPr/>
            </w:pPr>
            <w:r>
              <w:rPr/>
              <w:t> </w:t>
            </w:r>
          </w:p>
        </w:tc>
        <w:tc>
          <w:tcPr>
            <w:tcW w:w="321" w:type="dxa"/>
            <w:tcBorders/>
            <w:shd w:fill="CCEEFF" w:val="clear"/>
            <w:vAlign w:val="center"/>
          </w:tcPr>
          <w:p>
            <w:pPr>
              <w:pStyle w:val="TableContents"/>
              <w:spacing w:before="0" w:after="283"/>
              <w:rPr/>
            </w:pPr>
            <w:r>
              <w:rPr/>
              <w:t>$</w:t>
            </w:r>
          </w:p>
        </w:tc>
        <w:tc>
          <w:tcPr>
            <w:tcW w:w="1348" w:type="dxa"/>
            <w:tcBorders/>
            <w:shd w:fill="CCEEFF" w:val="clear"/>
            <w:vAlign w:val="center"/>
          </w:tcPr>
          <w:p>
            <w:pPr>
              <w:pStyle w:val="TableContents"/>
              <w:spacing w:before="0" w:after="283"/>
              <w:jc w:val="right"/>
              <w:rPr/>
            </w:pPr>
            <w:r>
              <w:rPr/>
              <w:t>60,047</w:t>
            </w:r>
          </w:p>
        </w:tc>
        <w:tc>
          <w:tcPr>
            <w:tcW w:w="135" w:type="dxa"/>
            <w:tcBorders/>
            <w:shd w:fill="CCEEFF" w:val="clear"/>
            <w:vAlign w:val="center"/>
          </w:tcPr>
          <w:p>
            <w:pPr>
              <w:pStyle w:val="TableContents"/>
              <w:spacing w:before="0" w:after="0"/>
              <w:ind w:left="0" w:right="0" w:hanging="0"/>
              <w:rPr/>
            </w:pPr>
            <w:r>
              <w:rPr/>
              <w:t> </w:t>
            </w:r>
          </w:p>
        </w:tc>
      </w:tr>
      <w:tr>
        <w:trPr/>
        <w:tc>
          <w:tcPr>
            <w:tcW w:w="629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Total reinsurance recoverable on unpaid losses</w:t>
            </w:r>
          </w:p>
        </w:tc>
        <w:tc>
          <w:tcPr>
            <w:tcW w:w="90" w:type="dxa"/>
            <w:tcBorders/>
            <w:shd w:fill="FFFFFF" w:val="clear"/>
            <w:vAlign w:val="center"/>
          </w:tcPr>
          <w:p>
            <w:pPr>
              <w:pStyle w:val="TableContents"/>
              <w:spacing w:before="0" w:after="0"/>
              <w:ind w:left="0" w:right="0" w:hanging="0"/>
              <w:rPr/>
            </w:pPr>
            <w:r>
              <w:rPr/>
              <w:t> </w:t>
            </w:r>
          </w:p>
        </w:tc>
        <w:tc>
          <w:tcPr>
            <w:tcW w:w="321" w:type="dxa"/>
            <w:tcBorders/>
            <w:shd w:fill="FFFFFF" w:val="clear"/>
            <w:vAlign w:val="center"/>
          </w:tcPr>
          <w:p>
            <w:pPr>
              <w:pStyle w:val="TableContents"/>
              <w:spacing w:before="0" w:after="0"/>
              <w:ind w:left="0" w:right="0" w:hanging="0"/>
              <w:rPr/>
            </w:pPr>
            <w:r>
              <w:rPr/>
              <w:t> </w:t>
            </w:r>
          </w:p>
        </w:tc>
        <w:tc>
          <w:tcPr>
            <w:tcW w:w="1348" w:type="dxa"/>
            <w:tcBorders/>
            <w:shd w:fill="FFFFFF" w:val="clear"/>
            <w:vAlign w:val="center"/>
          </w:tcPr>
          <w:p>
            <w:pPr>
              <w:pStyle w:val="TableContents"/>
              <w:spacing w:before="0" w:after="283"/>
              <w:jc w:val="right"/>
              <w:rPr/>
            </w:pPr>
            <w:r>
              <w:rPr/>
              <w:t>20,154</w:t>
            </w:r>
          </w:p>
        </w:tc>
        <w:tc>
          <w:tcPr>
            <w:tcW w:w="135" w:type="dxa"/>
            <w:tcBorders/>
            <w:shd w:fill="FFFFFF" w:val="clear"/>
            <w:vAlign w:val="center"/>
          </w:tcPr>
          <w:p>
            <w:pPr>
              <w:pStyle w:val="TableContents"/>
              <w:spacing w:before="0" w:after="0"/>
              <w:ind w:left="0" w:right="0" w:hanging="0"/>
              <w:rPr/>
            </w:pPr>
            <w:r>
              <w:rPr/>
              <w:t> </w:t>
            </w:r>
          </w:p>
        </w:tc>
      </w:tr>
      <w:tr>
        <w:trPr/>
        <w:tc>
          <w:tcPr>
            <w:tcW w:w="629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Unallocated loss adjustment expenses</w:t>
            </w:r>
          </w:p>
        </w:tc>
        <w:tc>
          <w:tcPr>
            <w:tcW w:w="90" w:type="dxa"/>
            <w:tcBorders/>
            <w:shd w:fill="CCEEFF" w:val="clear"/>
            <w:vAlign w:val="center"/>
          </w:tcPr>
          <w:p>
            <w:pPr>
              <w:pStyle w:val="TableContents"/>
              <w:spacing w:before="0" w:after="0"/>
              <w:ind w:left="0" w:right="0" w:hanging="0"/>
              <w:rPr/>
            </w:pPr>
            <w:r>
              <w:rPr/>
              <w:t> </w:t>
            </w:r>
          </w:p>
        </w:tc>
        <w:tc>
          <w:tcPr>
            <w:tcW w:w="32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348" w:type="dxa"/>
            <w:tcBorders>
              <w:bottom w:val="single" w:sz="2" w:space="0" w:color="000000"/>
            </w:tcBorders>
            <w:shd w:fill="CCEEFF" w:val="clear"/>
            <w:tcMar>
              <w:bottom w:w="28" w:type="dxa"/>
            </w:tcMar>
            <w:vAlign w:val="center"/>
          </w:tcPr>
          <w:p>
            <w:pPr>
              <w:pStyle w:val="TableContents"/>
              <w:spacing w:before="0" w:after="283"/>
              <w:jc w:val="right"/>
              <w:rPr/>
            </w:pPr>
            <w:r>
              <w:rPr/>
              <w:t>2,600</w:t>
            </w:r>
          </w:p>
        </w:tc>
        <w:tc>
          <w:tcPr>
            <w:tcW w:w="135" w:type="dxa"/>
            <w:tcBorders/>
            <w:shd w:fill="CCEEFF" w:val="clear"/>
            <w:vAlign w:val="center"/>
          </w:tcPr>
          <w:p>
            <w:pPr>
              <w:pStyle w:val="TableContents"/>
              <w:spacing w:before="0" w:after="0"/>
              <w:ind w:left="0" w:right="0" w:hanging="0"/>
              <w:rPr/>
            </w:pPr>
            <w:r>
              <w:rPr/>
              <w:t> </w:t>
            </w:r>
          </w:p>
        </w:tc>
      </w:tr>
      <w:tr>
        <w:trPr/>
        <w:tc>
          <w:tcPr>
            <w:tcW w:w="629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Total gross liability for loss and LAE reserves</w:t>
            </w:r>
          </w:p>
        </w:tc>
        <w:tc>
          <w:tcPr>
            <w:tcW w:w="90" w:type="dxa"/>
            <w:tcBorders/>
            <w:shd w:fill="FFFFFF" w:val="clear"/>
            <w:vAlign w:val="center"/>
          </w:tcPr>
          <w:p>
            <w:pPr>
              <w:pStyle w:val="TableContents"/>
              <w:spacing w:before="0" w:after="0"/>
              <w:ind w:left="0" w:right="0" w:hanging="0"/>
              <w:rPr/>
            </w:pPr>
            <w:r>
              <w:rPr/>
              <w:t> </w:t>
            </w:r>
          </w:p>
        </w:tc>
        <w:tc>
          <w:tcPr>
            <w:tcW w:w="321" w:type="dxa"/>
            <w:tcBorders>
              <w:bottom w:val="double" w:sz="6" w:space="0" w:color="000000"/>
            </w:tcBorders>
            <w:shd w:fill="FFFFFF" w:val="clear"/>
            <w:tcMar>
              <w:bottom w:w="28" w:type="dxa"/>
            </w:tcMar>
            <w:vAlign w:val="center"/>
          </w:tcPr>
          <w:p>
            <w:pPr>
              <w:pStyle w:val="TableContents"/>
              <w:spacing w:before="0" w:after="283"/>
              <w:rPr/>
            </w:pPr>
            <w:r>
              <w:rPr/>
              <w:t>$</w:t>
            </w:r>
          </w:p>
        </w:tc>
        <w:tc>
          <w:tcPr>
            <w:tcW w:w="1348" w:type="dxa"/>
            <w:tcBorders>
              <w:bottom w:val="double" w:sz="6" w:space="0" w:color="000000"/>
            </w:tcBorders>
            <w:shd w:fill="FFFFFF" w:val="clear"/>
            <w:tcMar>
              <w:bottom w:w="28" w:type="dxa"/>
            </w:tcMar>
            <w:vAlign w:val="center"/>
          </w:tcPr>
          <w:p>
            <w:pPr>
              <w:pStyle w:val="TableContents"/>
              <w:spacing w:before="0" w:after="283"/>
              <w:jc w:val="right"/>
              <w:rPr/>
            </w:pPr>
            <w:r>
              <w:rPr/>
              <w:t>82,801</w:t>
            </w:r>
          </w:p>
        </w:tc>
        <w:tc>
          <w:tcPr>
            <w:tcW w:w="135" w:type="dxa"/>
            <w:tcBorders/>
            <w:shd w:fill="FFFF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is supplementary unaudited information about average historical claims duration as of December 31, 2020:</w:t>
      </w:r>
    </w:p>
    <w:p>
      <w:pPr>
        <w:pStyle w:val="TextBody"/>
        <w:spacing w:before="0" w:after="0"/>
        <w:ind w:left="0" w:right="0" w:hanging="0"/>
        <w:jc w:val="both"/>
        <w:rPr/>
      </w:pPr>
      <w:r>
        <w:rPr/>
        <w:t>  </w:t>
      </w:r>
    </w:p>
    <w:p>
      <w:pPr>
        <w:pStyle w:val="TextBody"/>
        <w:spacing w:before="0" w:after="0"/>
        <w:ind w:left="0" w:right="0" w:hanging="0"/>
        <w:rPr/>
      </w:pPr>
      <w:r>
        <w:rPr/>
        <w:t> </w:t>
      </w:r>
    </w:p>
    <w:p>
      <w:pPr>
        <w:pStyle w:val="TextBody"/>
        <w:spacing w:before="0" w:after="0"/>
        <w:ind w:left="0" w:right="0" w:hanging="0"/>
        <w:rPr/>
      </w:pPr>
      <w:r>
        <w:rPr/>
        <w:t> </w:t>
      </w:r>
    </w:p>
    <w:tbl>
      <w:tblPr>
        <w:tblW w:w="10205" w:type="dxa"/>
        <w:jc w:val="left"/>
        <w:tblInd w:w="0" w:type="dxa"/>
        <w:tblCellMar>
          <w:top w:w="0" w:type="dxa"/>
          <w:left w:w="0" w:type="dxa"/>
          <w:bottom w:w="28" w:type="dxa"/>
          <w:right w:w="0" w:type="dxa"/>
        </w:tblCellMar>
      </w:tblPr>
      <w:tblGrid>
        <w:gridCol w:w="1651"/>
        <w:gridCol w:w="94"/>
        <w:gridCol w:w="94"/>
        <w:gridCol w:w="493"/>
        <w:gridCol w:w="257"/>
        <w:gridCol w:w="94"/>
        <w:gridCol w:w="94"/>
        <w:gridCol w:w="493"/>
        <w:gridCol w:w="257"/>
        <w:gridCol w:w="94"/>
        <w:gridCol w:w="94"/>
        <w:gridCol w:w="493"/>
        <w:gridCol w:w="257"/>
        <w:gridCol w:w="94"/>
        <w:gridCol w:w="94"/>
        <w:gridCol w:w="367"/>
        <w:gridCol w:w="257"/>
        <w:gridCol w:w="94"/>
        <w:gridCol w:w="94"/>
        <w:gridCol w:w="367"/>
        <w:gridCol w:w="257"/>
        <w:gridCol w:w="94"/>
        <w:gridCol w:w="94"/>
        <w:gridCol w:w="367"/>
        <w:gridCol w:w="257"/>
        <w:gridCol w:w="94"/>
        <w:gridCol w:w="94"/>
        <w:gridCol w:w="367"/>
        <w:gridCol w:w="257"/>
        <w:gridCol w:w="94"/>
        <w:gridCol w:w="94"/>
        <w:gridCol w:w="367"/>
        <w:gridCol w:w="257"/>
        <w:gridCol w:w="94"/>
        <w:gridCol w:w="94"/>
        <w:gridCol w:w="367"/>
        <w:gridCol w:w="257"/>
        <w:gridCol w:w="94"/>
        <w:gridCol w:w="94"/>
        <w:gridCol w:w="367"/>
        <w:gridCol w:w="313"/>
      </w:tblGrid>
      <w:tr>
        <w:trPr/>
        <w:tc>
          <w:tcPr>
            <w:tcW w:w="9892" w:type="dxa"/>
            <w:gridSpan w:val="40"/>
            <w:tcBorders>
              <w:bottom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Average Annual Percentage Payout of Incurred Loss and Allocated Loss Adjustment Expenses by Age, Net of Reinsurance</w:t>
            </w:r>
          </w:p>
        </w:tc>
        <w:tc>
          <w:tcPr>
            <w:tcW w:w="313" w:type="dxa"/>
            <w:tcBorders/>
            <w:shd w:fill="auto" w:val="clear"/>
            <w:tcMar>
              <w:bottom w:w="0" w:type="dxa"/>
            </w:tcMar>
            <w:vAlign w:val="center"/>
          </w:tcPr>
          <w:p>
            <w:pPr>
              <w:pStyle w:val="TableContents"/>
              <w:spacing w:before="0" w:after="0"/>
              <w:ind w:left="0" w:right="0" w:hanging="0"/>
              <w:rPr/>
            </w:pPr>
            <w:r>
              <w:rPr/>
              <w:t> </w:t>
            </w:r>
          </w:p>
        </w:tc>
      </w:tr>
      <w:tr>
        <w:trPr/>
        <w:tc>
          <w:tcPr>
            <w:tcW w:w="1651"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Years</w:t>
            </w:r>
          </w:p>
        </w:tc>
        <w:tc>
          <w:tcPr>
            <w:tcW w:w="94" w:type="dxa"/>
            <w:tcBorders/>
            <w:shd w:fill="CCEEFF" w:val="clear"/>
            <w:tcMar>
              <w:bottom w:w="0" w:type="dxa"/>
            </w:tcMar>
            <w:vAlign w:val="center"/>
          </w:tcPr>
          <w:p>
            <w:pPr>
              <w:pStyle w:val="TableContents"/>
              <w:spacing w:before="0" w:after="0"/>
              <w:ind w:left="0" w:right="0" w:hanging="0"/>
              <w:rPr/>
            </w:pPr>
            <w:r>
              <w:rPr/>
              <w:t> </w:t>
            </w:r>
          </w:p>
        </w:tc>
        <w:tc>
          <w:tcPr>
            <w:tcW w:w="94" w:type="dxa"/>
            <w:tcBorders/>
            <w:shd w:fill="CCEEFF" w:val="clear"/>
            <w:tcMar>
              <w:bottom w:w="0" w:type="dxa"/>
            </w:tcMar>
            <w:vAlign w:val="center"/>
          </w:tcPr>
          <w:p>
            <w:pPr>
              <w:pStyle w:val="TableContents"/>
              <w:spacing w:before="0" w:after="0"/>
              <w:ind w:left="0" w:right="0" w:hanging="0"/>
              <w:rPr/>
            </w:pPr>
            <w:r>
              <w:rPr/>
              <w:t> </w:t>
            </w:r>
          </w:p>
        </w:tc>
        <w:tc>
          <w:tcPr>
            <w:tcW w:w="493" w:type="dxa"/>
            <w:tcBorders/>
            <w:shd w:fill="CCEEFF" w:val="clear"/>
            <w:tcMar>
              <w:bottom w:w="0" w:type="dxa"/>
            </w:tcMar>
            <w:vAlign w:val="center"/>
          </w:tcPr>
          <w:p>
            <w:pPr>
              <w:pStyle w:val="TableContents"/>
              <w:spacing w:before="0" w:after="283"/>
              <w:jc w:val="right"/>
              <w:rPr/>
            </w:pPr>
            <w:r>
              <w:rPr/>
              <w:t>1</w:t>
            </w:r>
          </w:p>
        </w:tc>
        <w:tc>
          <w:tcPr>
            <w:tcW w:w="257" w:type="dxa"/>
            <w:tcBorders/>
            <w:shd w:fill="CCEEFF" w:val="clear"/>
            <w:tcMar>
              <w:bottom w:w="0" w:type="dxa"/>
            </w:tcMar>
            <w:vAlign w:val="center"/>
          </w:tcPr>
          <w:p>
            <w:pPr>
              <w:pStyle w:val="TableContents"/>
              <w:spacing w:before="0" w:after="0"/>
              <w:ind w:left="0" w:right="0" w:hanging="0"/>
              <w:rPr/>
            </w:pPr>
            <w:r>
              <w:rPr/>
              <w:t> </w:t>
            </w:r>
          </w:p>
        </w:tc>
        <w:tc>
          <w:tcPr>
            <w:tcW w:w="94" w:type="dxa"/>
            <w:tcBorders/>
            <w:shd w:fill="CCEEFF" w:val="clear"/>
            <w:tcMar>
              <w:bottom w:w="0" w:type="dxa"/>
            </w:tcMar>
            <w:vAlign w:val="center"/>
          </w:tcPr>
          <w:p>
            <w:pPr>
              <w:pStyle w:val="TableContents"/>
              <w:spacing w:before="0" w:after="0"/>
              <w:ind w:left="0" w:right="0" w:hanging="0"/>
              <w:rPr/>
            </w:pPr>
            <w:r>
              <w:rPr/>
              <w:t> </w:t>
            </w:r>
          </w:p>
        </w:tc>
        <w:tc>
          <w:tcPr>
            <w:tcW w:w="94" w:type="dxa"/>
            <w:tcBorders/>
            <w:shd w:fill="CCEEFF" w:val="clear"/>
            <w:tcMar>
              <w:bottom w:w="0" w:type="dxa"/>
            </w:tcMar>
            <w:vAlign w:val="center"/>
          </w:tcPr>
          <w:p>
            <w:pPr>
              <w:pStyle w:val="TableContents"/>
              <w:spacing w:before="0" w:after="0"/>
              <w:ind w:left="0" w:right="0" w:hanging="0"/>
              <w:rPr/>
            </w:pPr>
            <w:r>
              <w:rPr/>
              <w:t> </w:t>
            </w:r>
          </w:p>
        </w:tc>
        <w:tc>
          <w:tcPr>
            <w:tcW w:w="493" w:type="dxa"/>
            <w:tcBorders/>
            <w:shd w:fill="CCEEFF" w:val="clear"/>
            <w:tcMar>
              <w:bottom w:w="0" w:type="dxa"/>
            </w:tcMar>
            <w:vAlign w:val="center"/>
          </w:tcPr>
          <w:p>
            <w:pPr>
              <w:pStyle w:val="TableContents"/>
              <w:spacing w:before="0" w:after="283"/>
              <w:jc w:val="right"/>
              <w:rPr/>
            </w:pPr>
            <w:r>
              <w:rPr/>
              <w:t>2</w:t>
            </w:r>
          </w:p>
        </w:tc>
        <w:tc>
          <w:tcPr>
            <w:tcW w:w="257" w:type="dxa"/>
            <w:tcBorders/>
            <w:shd w:fill="CCEEFF" w:val="clear"/>
            <w:tcMar>
              <w:bottom w:w="0" w:type="dxa"/>
            </w:tcMar>
            <w:vAlign w:val="center"/>
          </w:tcPr>
          <w:p>
            <w:pPr>
              <w:pStyle w:val="TableContents"/>
              <w:spacing w:before="0" w:after="0"/>
              <w:ind w:left="0" w:right="0" w:hanging="0"/>
              <w:rPr/>
            </w:pPr>
            <w:r>
              <w:rPr/>
              <w:t> </w:t>
            </w:r>
          </w:p>
        </w:tc>
        <w:tc>
          <w:tcPr>
            <w:tcW w:w="94" w:type="dxa"/>
            <w:tcBorders/>
            <w:shd w:fill="CCEEFF" w:val="clear"/>
            <w:tcMar>
              <w:bottom w:w="0" w:type="dxa"/>
            </w:tcMar>
            <w:vAlign w:val="center"/>
          </w:tcPr>
          <w:p>
            <w:pPr>
              <w:pStyle w:val="TableContents"/>
              <w:spacing w:before="0" w:after="0"/>
              <w:ind w:left="0" w:right="0" w:hanging="0"/>
              <w:rPr/>
            </w:pPr>
            <w:r>
              <w:rPr/>
              <w:t> </w:t>
            </w:r>
          </w:p>
        </w:tc>
        <w:tc>
          <w:tcPr>
            <w:tcW w:w="94" w:type="dxa"/>
            <w:tcBorders/>
            <w:shd w:fill="CCEEFF" w:val="clear"/>
            <w:tcMar>
              <w:bottom w:w="0" w:type="dxa"/>
            </w:tcMar>
            <w:vAlign w:val="center"/>
          </w:tcPr>
          <w:p>
            <w:pPr>
              <w:pStyle w:val="TableContents"/>
              <w:spacing w:before="0" w:after="0"/>
              <w:ind w:left="0" w:right="0" w:hanging="0"/>
              <w:rPr/>
            </w:pPr>
            <w:r>
              <w:rPr/>
              <w:t> </w:t>
            </w:r>
          </w:p>
        </w:tc>
        <w:tc>
          <w:tcPr>
            <w:tcW w:w="493" w:type="dxa"/>
            <w:tcBorders/>
            <w:shd w:fill="CCEEFF" w:val="clear"/>
            <w:tcMar>
              <w:bottom w:w="0" w:type="dxa"/>
            </w:tcMar>
            <w:vAlign w:val="center"/>
          </w:tcPr>
          <w:p>
            <w:pPr>
              <w:pStyle w:val="TableContents"/>
              <w:spacing w:before="0" w:after="283"/>
              <w:jc w:val="right"/>
              <w:rPr/>
            </w:pPr>
            <w:r>
              <w:rPr/>
              <w:t>3</w:t>
            </w:r>
          </w:p>
        </w:tc>
        <w:tc>
          <w:tcPr>
            <w:tcW w:w="257" w:type="dxa"/>
            <w:tcBorders/>
            <w:shd w:fill="CCEEFF" w:val="clear"/>
            <w:tcMar>
              <w:bottom w:w="0" w:type="dxa"/>
            </w:tcMar>
            <w:vAlign w:val="center"/>
          </w:tcPr>
          <w:p>
            <w:pPr>
              <w:pStyle w:val="TableContents"/>
              <w:spacing w:before="0" w:after="0"/>
              <w:ind w:left="0" w:right="0" w:hanging="0"/>
              <w:rPr/>
            </w:pPr>
            <w:r>
              <w:rPr/>
              <w:t> </w:t>
            </w:r>
          </w:p>
        </w:tc>
        <w:tc>
          <w:tcPr>
            <w:tcW w:w="94" w:type="dxa"/>
            <w:tcBorders/>
            <w:shd w:fill="CCEEFF" w:val="clear"/>
            <w:tcMar>
              <w:bottom w:w="0" w:type="dxa"/>
            </w:tcMar>
            <w:vAlign w:val="center"/>
          </w:tcPr>
          <w:p>
            <w:pPr>
              <w:pStyle w:val="TableContents"/>
              <w:spacing w:before="0" w:after="0"/>
              <w:ind w:left="0" w:right="0" w:hanging="0"/>
              <w:rPr/>
            </w:pPr>
            <w:r>
              <w:rPr/>
              <w:t> </w:t>
            </w:r>
          </w:p>
        </w:tc>
        <w:tc>
          <w:tcPr>
            <w:tcW w:w="94" w:type="dxa"/>
            <w:tcBorders/>
            <w:shd w:fill="CCEEFF" w:val="clear"/>
            <w:tcMar>
              <w:bottom w:w="0" w:type="dxa"/>
            </w:tcMar>
            <w:vAlign w:val="center"/>
          </w:tcPr>
          <w:p>
            <w:pPr>
              <w:pStyle w:val="TableContents"/>
              <w:spacing w:before="0" w:after="0"/>
              <w:ind w:left="0" w:right="0" w:hanging="0"/>
              <w:rPr/>
            </w:pPr>
            <w:r>
              <w:rPr/>
              <w:t> </w:t>
            </w:r>
          </w:p>
        </w:tc>
        <w:tc>
          <w:tcPr>
            <w:tcW w:w="367" w:type="dxa"/>
            <w:tcBorders/>
            <w:shd w:fill="CCEEFF" w:val="clear"/>
            <w:tcMar>
              <w:bottom w:w="0" w:type="dxa"/>
            </w:tcMar>
            <w:vAlign w:val="center"/>
          </w:tcPr>
          <w:p>
            <w:pPr>
              <w:pStyle w:val="TableContents"/>
              <w:spacing w:before="0" w:after="283"/>
              <w:jc w:val="right"/>
              <w:rPr/>
            </w:pPr>
            <w:r>
              <w:rPr/>
              <w:t>4</w:t>
            </w:r>
          </w:p>
        </w:tc>
        <w:tc>
          <w:tcPr>
            <w:tcW w:w="257" w:type="dxa"/>
            <w:tcBorders/>
            <w:shd w:fill="CCEEFF" w:val="clear"/>
            <w:tcMar>
              <w:bottom w:w="0" w:type="dxa"/>
            </w:tcMar>
            <w:vAlign w:val="center"/>
          </w:tcPr>
          <w:p>
            <w:pPr>
              <w:pStyle w:val="TableContents"/>
              <w:spacing w:before="0" w:after="0"/>
              <w:ind w:left="0" w:right="0" w:hanging="0"/>
              <w:rPr/>
            </w:pPr>
            <w:r>
              <w:rPr/>
              <w:t> </w:t>
            </w:r>
          </w:p>
        </w:tc>
        <w:tc>
          <w:tcPr>
            <w:tcW w:w="94" w:type="dxa"/>
            <w:tcBorders/>
            <w:shd w:fill="CCEEFF" w:val="clear"/>
            <w:tcMar>
              <w:bottom w:w="0" w:type="dxa"/>
            </w:tcMar>
            <w:vAlign w:val="center"/>
          </w:tcPr>
          <w:p>
            <w:pPr>
              <w:pStyle w:val="TableContents"/>
              <w:spacing w:before="0" w:after="0"/>
              <w:ind w:left="0" w:right="0" w:hanging="0"/>
              <w:rPr/>
            </w:pPr>
            <w:r>
              <w:rPr/>
              <w:t> </w:t>
            </w:r>
          </w:p>
        </w:tc>
        <w:tc>
          <w:tcPr>
            <w:tcW w:w="94" w:type="dxa"/>
            <w:tcBorders/>
            <w:shd w:fill="CCEEFF" w:val="clear"/>
            <w:tcMar>
              <w:bottom w:w="0" w:type="dxa"/>
            </w:tcMar>
            <w:vAlign w:val="center"/>
          </w:tcPr>
          <w:p>
            <w:pPr>
              <w:pStyle w:val="TableContents"/>
              <w:spacing w:before="0" w:after="0"/>
              <w:ind w:left="0" w:right="0" w:hanging="0"/>
              <w:rPr/>
            </w:pPr>
            <w:r>
              <w:rPr/>
              <w:t> </w:t>
            </w:r>
          </w:p>
        </w:tc>
        <w:tc>
          <w:tcPr>
            <w:tcW w:w="367" w:type="dxa"/>
            <w:tcBorders/>
            <w:shd w:fill="CCEEFF" w:val="clear"/>
            <w:tcMar>
              <w:bottom w:w="0" w:type="dxa"/>
            </w:tcMar>
            <w:vAlign w:val="center"/>
          </w:tcPr>
          <w:p>
            <w:pPr>
              <w:pStyle w:val="TableContents"/>
              <w:spacing w:before="0" w:after="283"/>
              <w:jc w:val="right"/>
              <w:rPr/>
            </w:pPr>
            <w:r>
              <w:rPr/>
              <w:t>5</w:t>
            </w:r>
          </w:p>
        </w:tc>
        <w:tc>
          <w:tcPr>
            <w:tcW w:w="257" w:type="dxa"/>
            <w:tcBorders/>
            <w:shd w:fill="CCEEFF" w:val="clear"/>
            <w:tcMar>
              <w:bottom w:w="0" w:type="dxa"/>
            </w:tcMar>
            <w:vAlign w:val="center"/>
          </w:tcPr>
          <w:p>
            <w:pPr>
              <w:pStyle w:val="TableContents"/>
              <w:spacing w:before="0" w:after="0"/>
              <w:ind w:left="0" w:right="0" w:hanging="0"/>
              <w:rPr/>
            </w:pPr>
            <w:r>
              <w:rPr/>
              <w:t> </w:t>
            </w:r>
          </w:p>
        </w:tc>
        <w:tc>
          <w:tcPr>
            <w:tcW w:w="94" w:type="dxa"/>
            <w:tcBorders/>
            <w:shd w:fill="CCEEFF" w:val="clear"/>
            <w:tcMar>
              <w:bottom w:w="0" w:type="dxa"/>
            </w:tcMar>
            <w:vAlign w:val="center"/>
          </w:tcPr>
          <w:p>
            <w:pPr>
              <w:pStyle w:val="TableContents"/>
              <w:spacing w:before="0" w:after="0"/>
              <w:ind w:left="0" w:right="0" w:hanging="0"/>
              <w:rPr/>
            </w:pPr>
            <w:r>
              <w:rPr/>
              <w:t> </w:t>
            </w:r>
          </w:p>
        </w:tc>
        <w:tc>
          <w:tcPr>
            <w:tcW w:w="94" w:type="dxa"/>
            <w:tcBorders/>
            <w:shd w:fill="CCEEFF" w:val="clear"/>
            <w:tcMar>
              <w:bottom w:w="0" w:type="dxa"/>
            </w:tcMar>
            <w:vAlign w:val="center"/>
          </w:tcPr>
          <w:p>
            <w:pPr>
              <w:pStyle w:val="TableContents"/>
              <w:spacing w:before="0" w:after="0"/>
              <w:ind w:left="0" w:right="0" w:hanging="0"/>
              <w:rPr/>
            </w:pPr>
            <w:r>
              <w:rPr/>
              <w:t> </w:t>
            </w:r>
          </w:p>
        </w:tc>
        <w:tc>
          <w:tcPr>
            <w:tcW w:w="367" w:type="dxa"/>
            <w:tcBorders/>
            <w:shd w:fill="CCEEFF" w:val="clear"/>
            <w:tcMar>
              <w:bottom w:w="0" w:type="dxa"/>
            </w:tcMar>
            <w:vAlign w:val="center"/>
          </w:tcPr>
          <w:p>
            <w:pPr>
              <w:pStyle w:val="TableContents"/>
              <w:spacing w:before="0" w:after="283"/>
              <w:jc w:val="right"/>
              <w:rPr/>
            </w:pPr>
            <w:r>
              <w:rPr/>
              <w:t>6</w:t>
            </w:r>
          </w:p>
        </w:tc>
        <w:tc>
          <w:tcPr>
            <w:tcW w:w="257" w:type="dxa"/>
            <w:tcBorders/>
            <w:shd w:fill="CCEEFF" w:val="clear"/>
            <w:tcMar>
              <w:bottom w:w="0" w:type="dxa"/>
            </w:tcMar>
            <w:vAlign w:val="center"/>
          </w:tcPr>
          <w:p>
            <w:pPr>
              <w:pStyle w:val="TableContents"/>
              <w:spacing w:before="0" w:after="0"/>
              <w:ind w:left="0" w:right="0" w:hanging="0"/>
              <w:rPr/>
            </w:pPr>
            <w:r>
              <w:rPr/>
              <w:t> </w:t>
            </w:r>
          </w:p>
        </w:tc>
        <w:tc>
          <w:tcPr>
            <w:tcW w:w="94" w:type="dxa"/>
            <w:tcBorders/>
            <w:shd w:fill="CCEEFF" w:val="clear"/>
            <w:tcMar>
              <w:bottom w:w="0" w:type="dxa"/>
            </w:tcMar>
            <w:vAlign w:val="center"/>
          </w:tcPr>
          <w:p>
            <w:pPr>
              <w:pStyle w:val="TableContents"/>
              <w:spacing w:before="0" w:after="0"/>
              <w:ind w:left="0" w:right="0" w:hanging="0"/>
              <w:rPr/>
            </w:pPr>
            <w:r>
              <w:rPr/>
              <w:t> </w:t>
            </w:r>
          </w:p>
        </w:tc>
        <w:tc>
          <w:tcPr>
            <w:tcW w:w="94" w:type="dxa"/>
            <w:tcBorders/>
            <w:shd w:fill="CCEEFF" w:val="clear"/>
            <w:tcMar>
              <w:bottom w:w="0" w:type="dxa"/>
            </w:tcMar>
            <w:vAlign w:val="center"/>
          </w:tcPr>
          <w:p>
            <w:pPr>
              <w:pStyle w:val="TableContents"/>
              <w:spacing w:before="0" w:after="0"/>
              <w:ind w:left="0" w:right="0" w:hanging="0"/>
              <w:rPr/>
            </w:pPr>
            <w:r>
              <w:rPr/>
              <w:t> </w:t>
            </w:r>
          </w:p>
        </w:tc>
        <w:tc>
          <w:tcPr>
            <w:tcW w:w="367" w:type="dxa"/>
            <w:tcBorders/>
            <w:shd w:fill="CCEEFF" w:val="clear"/>
            <w:tcMar>
              <w:bottom w:w="0" w:type="dxa"/>
            </w:tcMar>
            <w:vAlign w:val="center"/>
          </w:tcPr>
          <w:p>
            <w:pPr>
              <w:pStyle w:val="TableContents"/>
              <w:spacing w:before="0" w:after="283"/>
              <w:jc w:val="right"/>
              <w:rPr/>
            </w:pPr>
            <w:r>
              <w:rPr/>
              <w:t>7</w:t>
            </w:r>
          </w:p>
        </w:tc>
        <w:tc>
          <w:tcPr>
            <w:tcW w:w="257" w:type="dxa"/>
            <w:tcBorders/>
            <w:shd w:fill="CCEEFF" w:val="clear"/>
            <w:tcMar>
              <w:bottom w:w="0" w:type="dxa"/>
            </w:tcMar>
            <w:vAlign w:val="center"/>
          </w:tcPr>
          <w:p>
            <w:pPr>
              <w:pStyle w:val="TableContents"/>
              <w:spacing w:before="0" w:after="0"/>
              <w:ind w:left="0" w:right="0" w:hanging="0"/>
              <w:rPr/>
            </w:pPr>
            <w:r>
              <w:rPr/>
              <w:t> </w:t>
            </w:r>
          </w:p>
        </w:tc>
        <w:tc>
          <w:tcPr>
            <w:tcW w:w="94" w:type="dxa"/>
            <w:tcBorders/>
            <w:shd w:fill="CCEEFF" w:val="clear"/>
            <w:tcMar>
              <w:bottom w:w="0" w:type="dxa"/>
            </w:tcMar>
            <w:vAlign w:val="center"/>
          </w:tcPr>
          <w:p>
            <w:pPr>
              <w:pStyle w:val="TableContents"/>
              <w:spacing w:before="0" w:after="0"/>
              <w:ind w:left="0" w:right="0" w:hanging="0"/>
              <w:rPr/>
            </w:pPr>
            <w:r>
              <w:rPr/>
              <w:t> </w:t>
            </w:r>
          </w:p>
        </w:tc>
        <w:tc>
          <w:tcPr>
            <w:tcW w:w="94" w:type="dxa"/>
            <w:tcBorders/>
            <w:shd w:fill="CCEEFF" w:val="clear"/>
            <w:tcMar>
              <w:bottom w:w="0" w:type="dxa"/>
            </w:tcMar>
            <w:vAlign w:val="center"/>
          </w:tcPr>
          <w:p>
            <w:pPr>
              <w:pStyle w:val="TableContents"/>
              <w:spacing w:before="0" w:after="0"/>
              <w:ind w:left="0" w:right="0" w:hanging="0"/>
              <w:rPr/>
            </w:pPr>
            <w:r>
              <w:rPr/>
              <w:t> </w:t>
            </w:r>
          </w:p>
        </w:tc>
        <w:tc>
          <w:tcPr>
            <w:tcW w:w="367" w:type="dxa"/>
            <w:tcBorders/>
            <w:shd w:fill="CCEEFF" w:val="clear"/>
            <w:tcMar>
              <w:bottom w:w="0" w:type="dxa"/>
            </w:tcMar>
            <w:vAlign w:val="center"/>
          </w:tcPr>
          <w:p>
            <w:pPr>
              <w:pStyle w:val="TableContents"/>
              <w:spacing w:before="0" w:after="283"/>
              <w:jc w:val="right"/>
              <w:rPr/>
            </w:pPr>
            <w:r>
              <w:rPr/>
              <w:t>8</w:t>
            </w:r>
          </w:p>
        </w:tc>
        <w:tc>
          <w:tcPr>
            <w:tcW w:w="257" w:type="dxa"/>
            <w:tcBorders/>
            <w:shd w:fill="CCEEFF" w:val="clear"/>
            <w:tcMar>
              <w:bottom w:w="0" w:type="dxa"/>
            </w:tcMar>
            <w:vAlign w:val="center"/>
          </w:tcPr>
          <w:p>
            <w:pPr>
              <w:pStyle w:val="TableContents"/>
              <w:spacing w:before="0" w:after="0"/>
              <w:ind w:left="0" w:right="0" w:hanging="0"/>
              <w:rPr/>
            </w:pPr>
            <w:r>
              <w:rPr/>
              <w:t> </w:t>
            </w:r>
          </w:p>
        </w:tc>
        <w:tc>
          <w:tcPr>
            <w:tcW w:w="94" w:type="dxa"/>
            <w:tcBorders/>
            <w:shd w:fill="CCEEFF" w:val="clear"/>
            <w:tcMar>
              <w:bottom w:w="0" w:type="dxa"/>
            </w:tcMar>
            <w:vAlign w:val="center"/>
          </w:tcPr>
          <w:p>
            <w:pPr>
              <w:pStyle w:val="TableContents"/>
              <w:spacing w:before="0" w:after="0"/>
              <w:ind w:left="0" w:right="0" w:hanging="0"/>
              <w:rPr/>
            </w:pPr>
            <w:r>
              <w:rPr/>
              <w:t> </w:t>
            </w:r>
          </w:p>
        </w:tc>
        <w:tc>
          <w:tcPr>
            <w:tcW w:w="94" w:type="dxa"/>
            <w:tcBorders/>
            <w:shd w:fill="CCEEFF" w:val="clear"/>
            <w:tcMar>
              <w:bottom w:w="0" w:type="dxa"/>
            </w:tcMar>
            <w:vAlign w:val="center"/>
          </w:tcPr>
          <w:p>
            <w:pPr>
              <w:pStyle w:val="TableContents"/>
              <w:spacing w:before="0" w:after="0"/>
              <w:ind w:left="0" w:right="0" w:hanging="0"/>
              <w:rPr/>
            </w:pPr>
            <w:r>
              <w:rPr/>
              <w:t> </w:t>
            </w:r>
          </w:p>
        </w:tc>
        <w:tc>
          <w:tcPr>
            <w:tcW w:w="367" w:type="dxa"/>
            <w:tcBorders/>
            <w:shd w:fill="CCEEFF" w:val="clear"/>
            <w:tcMar>
              <w:bottom w:w="0" w:type="dxa"/>
            </w:tcMar>
            <w:vAlign w:val="center"/>
          </w:tcPr>
          <w:p>
            <w:pPr>
              <w:pStyle w:val="TableContents"/>
              <w:spacing w:before="0" w:after="283"/>
              <w:jc w:val="right"/>
              <w:rPr/>
            </w:pPr>
            <w:r>
              <w:rPr/>
              <w:t>9</w:t>
            </w:r>
          </w:p>
        </w:tc>
        <w:tc>
          <w:tcPr>
            <w:tcW w:w="257" w:type="dxa"/>
            <w:tcBorders/>
            <w:shd w:fill="CCEEFF" w:val="clear"/>
            <w:tcMar>
              <w:bottom w:w="0" w:type="dxa"/>
            </w:tcMar>
            <w:vAlign w:val="center"/>
          </w:tcPr>
          <w:p>
            <w:pPr>
              <w:pStyle w:val="TableContents"/>
              <w:spacing w:before="0" w:after="0"/>
              <w:ind w:left="0" w:right="0" w:hanging="0"/>
              <w:rPr/>
            </w:pPr>
            <w:r>
              <w:rPr/>
              <w:t> </w:t>
            </w:r>
          </w:p>
        </w:tc>
        <w:tc>
          <w:tcPr>
            <w:tcW w:w="94" w:type="dxa"/>
            <w:tcBorders/>
            <w:shd w:fill="CCEEFF" w:val="clear"/>
            <w:tcMar>
              <w:bottom w:w="0" w:type="dxa"/>
            </w:tcMar>
            <w:vAlign w:val="center"/>
          </w:tcPr>
          <w:p>
            <w:pPr>
              <w:pStyle w:val="TableContents"/>
              <w:spacing w:before="0" w:after="0"/>
              <w:ind w:left="0" w:right="0" w:hanging="0"/>
              <w:rPr/>
            </w:pPr>
            <w:r>
              <w:rPr/>
              <w:t> </w:t>
            </w:r>
          </w:p>
        </w:tc>
        <w:tc>
          <w:tcPr>
            <w:tcW w:w="94" w:type="dxa"/>
            <w:tcBorders/>
            <w:shd w:fill="CCEEFF" w:val="clear"/>
            <w:tcMar>
              <w:bottom w:w="0" w:type="dxa"/>
            </w:tcMar>
            <w:vAlign w:val="center"/>
          </w:tcPr>
          <w:p>
            <w:pPr>
              <w:pStyle w:val="TableContents"/>
              <w:spacing w:before="0" w:after="0"/>
              <w:ind w:left="0" w:right="0" w:hanging="0"/>
              <w:rPr/>
            </w:pPr>
            <w:r>
              <w:rPr/>
              <w:t> </w:t>
            </w:r>
          </w:p>
        </w:tc>
        <w:tc>
          <w:tcPr>
            <w:tcW w:w="367" w:type="dxa"/>
            <w:tcBorders/>
            <w:shd w:fill="CCEEFF" w:val="clear"/>
            <w:tcMar>
              <w:bottom w:w="0" w:type="dxa"/>
            </w:tcMar>
            <w:vAlign w:val="center"/>
          </w:tcPr>
          <w:p>
            <w:pPr>
              <w:pStyle w:val="TableContents"/>
              <w:spacing w:before="0" w:after="283"/>
              <w:jc w:val="right"/>
              <w:rPr/>
            </w:pPr>
            <w:r>
              <w:rPr/>
              <w:t>10</w:t>
            </w:r>
          </w:p>
        </w:tc>
        <w:tc>
          <w:tcPr>
            <w:tcW w:w="313" w:type="dxa"/>
            <w:tcBorders/>
            <w:shd w:fill="CCEEFF" w:val="clear"/>
            <w:tcMar>
              <w:bottom w:w="0" w:type="dxa"/>
            </w:tcMar>
            <w:vAlign w:val="center"/>
          </w:tcPr>
          <w:p>
            <w:pPr>
              <w:pStyle w:val="TableContents"/>
              <w:spacing w:before="0" w:after="0"/>
              <w:ind w:left="0" w:right="0" w:hanging="0"/>
              <w:rPr/>
            </w:pPr>
            <w:r>
              <w:rPr/>
              <w:t> </w:t>
            </w:r>
          </w:p>
        </w:tc>
      </w:tr>
      <w:tr>
        <w:trPr/>
        <w:tc>
          <w:tcPr>
            <w:tcW w:w="1651" w:type="dxa"/>
            <w:tcBorders/>
            <w:shd w:fill="FFFF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All Lines of Business</w:t>
            </w:r>
          </w:p>
        </w:tc>
        <w:tc>
          <w:tcPr>
            <w:tcW w:w="94" w:type="dxa"/>
            <w:tcBorders/>
            <w:shd w:fill="FFFFFF" w:val="clear"/>
            <w:tcMar>
              <w:bottom w:w="0" w:type="dxa"/>
            </w:tcMar>
            <w:vAlign w:val="center"/>
          </w:tcPr>
          <w:p>
            <w:pPr>
              <w:pStyle w:val="TableContents"/>
              <w:spacing w:before="0" w:after="0"/>
              <w:ind w:left="0" w:right="0" w:hanging="0"/>
              <w:rPr/>
            </w:pPr>
            <w:r>
              <w:rPr/>
              <w:t> </w:t>
            </w:r>
          </w:p>
        </w:tc>
        <w:tc>
          <w:tcPr>
            <w:tcW w:w="94" w:type="dxa"/>
            <w:tcBorders/>
            <w:shd w:fill="FFFFFF" w:val="clear"/>
            <w:tcMar>
              <w:bottom w:w="0" w:type="dxa"/>
            </w:tcMar>
            <w:vAlign w:val="center"/>
          </w:tcPr>
          <w:p>
            <w:pPr>
              <w:pStyle w:val="TableContents"/>
              <w:spacing w:before="0" w:after="0"/>
              <w:ind w:left="0" w:right="0" w:hanging="0"/>
              <w:rPr/>
            </w:pPr>
            <w:r>
              <w:rPr/>
              <w:t> </w:t>
            </w:r>
          </w:p>
        </w:tc>
        <w:tc>
          <w:tcPr>
            <w:tcW w:w="493" w:type="dxa"/>
            <w:tcBorders/>
            <w:shd w:fill="FFFFFF" w:val="clear"/>
            <w:tcMar>
              <w:bottom w:w="0" w:type="dxa"/>
            </w:tcMar>
            <w:vAlign w:val="center"/>
          </w:tcPr>
          <w:p>
            <w:pPr>
              <w:pStyle w:val="TableContents"/>
              <w:spacing w:before="0" w:after="283"/>
              <w:jc w:val="right"/>
              <w:rPr/>
            </w:pPr>
            <w:r>
              <w:rPr/>
              <w:t>47.2</w:t>
            </w:r>
          </w:p>
        </w:tc>
        <w:tc>
          <w:tcPr>
            <w:tcW w:w="257" w:type="dxa"/>
            <w:tcBorders/>
            <w:shd w:fill="FFFFFF" w:val="clear"/>
            <w:tcMar>
              <w:bottom w:w="0" w:type="dxa"/>
            </w:tcMar>
            <w:vAlign w:val="center"/>
          </w:tcPr>
          <w:p>
            <w:pPr>
              <w:pStyle w:val="TableContents"/>
              <w:spacing w:before="0" w:after="283"/>
              <w:rPr/>
            </w:pPr>
            <w:r>
              <w:rPr/>
              <w:t>%</w:t>
            </w:r>
          </w:p>
        </w:tc>
        <w:tc>
          <w:tcPr>
            <w:tcW w:w="94" w:type="dxa"/>
            <w:tcBorders/>
            <w:shd w:fill="FFFFFF" w:val="clear"/>
            <w:tcMar>
              <w:bottom w:w="0" w:type="dxa"/>
            </w:tcMar>
            <w:vAlign w:val="center"/>
          </w:tcPr>
          <w:p>
            <w:pPr>
              <w:pStyle w:val="TableContents"/>
              <w:spacing w:before="0" w:after="0"/>
              <w:ind w:left="0" w:right="0" w:hanging="0"/>
              <w:rPr/>
            </w:pPr>
            <w:r>
              <w:rPr/>
              <w:t> </w:t>
            </w:r>
          </w:p>
        </w:tc>
        <w:tc>
          <w:tcPr>
            <w:tcW w:w="94" w:type="dxa"/>
            <w:tcBorders/>
            <w:shd w:fill="FFFFFF" w:val="clear"/>
            <w:tcMar>
              <w:bottom w:w="0" w:type="dxa"/>
            </w:tcMar>
            <w:vAlign w:val="center"/>
          </w:tcPr>
          <w:p>
            <w:pPr>
              <w:pStyle w:val="TableContents"/>
              <w:spacing w:before="0" w:after="0"/>
              <w:ind w:left="0" w:right="0" w:hanging="0"/>
              <w:rPr/>
            </w:pPr>
            <w:r>
              <w:rPr/>
              <w:t> </w:t>
            </w:r>
          </w:p>
        </w:tc>
        <w:tc>
          <w:tcPr>
            <w:tcW w:w="493" w:type="dxa"/>
            <w:tcBorders/>
            <w:shd w:fill="FFFFFF" w:val="clear"/>
            <w:tcMar>
              <w:bottom w:w="0" w:type="dxa"/>
            </w:tcMar>
            <w:vAlign w:val="center"/>
          </w:tcPr>
          <w:p>
            <w:pPr>
              <w:pStyle w:val="TableContents"/>
              <w:spacing w:before="0" w:after="283"/>
              <w:jc w:val="right"/>
              <w:rPr/>
            </w:pPr>
            <w:r>
              <w:rPr/>
              <w:t>18.3</w:t>
            </w:r>
          </w:p>
        </w:tc>
        <w:tc>
          <w:tcPr>
            <w:tcW w:w="257" w:type="dxa"/>
            <w:tcBorders/>
            <w:shd w:fill="FFFFFF" w:val="clear"/>
            <w:tcMar>
              <w:bottom w:w="0" w:type="dxa"/>
            </w:tcMar>
            <w:vAlign w:val="center"/>
          </w:tcPr>
          <w:p>
            <w:pPr>
              <w:pStyle w:val="TableContents"/>
              <w:spacing w:before="0" w:after="283"/>
              <w:rPr/>
            </w:pPr>
            <w:r>
              <w:rPr/>
              <w:t>%</w:t>
            </w:r>
          </w:p>
        </w:tc>
        <w:tc>
          <w:tcPr>
            <w:tcW w:w="94" w:type="dxa"/>
            <w:tcBorders/>
            <w:shd w:fill="FFFFFF" w:val="clear"/>
            <w:tcMar>
              <w:bottom w:w="0" w:type="dxa"/>
            </w:tcMar>
            <w:vAlign w:val="center"/>
          </w:tcPr>
          <w:p>
            <w:pPr>
              <w:pStyle w:val="TableContents"/>
              <w:spacing w:before="0" w:after="0"/>
              <w:ind w:left="0" w:right="0" w:hanging="0"/>
              <w:rPr/>
            </w:pPr>
            <w:r>
              <w:rPr/>
              <w:t> </w:t>
            </w:r>
          </w:p>
        </w:tc>
        <w:tc>
          <w:tcPr>
            <w:tcW w:w="94" w:type="dxa"/>
            <w:tcBorders/>
            <w:shd w:fill="FFFFFF" w:val="clear"/>
            <w:tcMar>
              <w:bottom w:w="0" w:type="dxa"/>
            </w:tcMar>
            <w:vAlign w:val="center"/>
          </w:tcPr>
          <w:p>
            <w:pPr>
              <w:pStyle w:val="TableContents"/>
              <w:spacing w:before="0" w:after="0"/>
              <w:ind w:left="0" w:right="0" w:hanging="0"/>
              <w:rPr/>
            </w:pPr>
            <w:r>
              <w:rPr/>
              <w:t> </w:t>
            </w:r>
          </w:p>
        </w:tc>
        <w:tc>
          <w:tcPr>
            <w:tcW w:w="493" w:type="dxa"/>
            <w:tcBorders/>
            <w:shd w:fill="FFFFFF" w:val="clear"/>
            <w:tcMar>
              <w:bottom w:w="0" w:type="dxa"/>
            </w:tcMar>
            <w:vAlign w:val="center"/>
          </w:tcPr>
          <w:p>
            <w:pPr>
              <w:pStyle w:val="TableContents"/>
              <w:spacing w:before="0" w:after="283"/>
              <w:jc w:val="right"/>
              <w:rPr/>
            </w:pPr>
            <w:r>
              <w:rPr/>
              <w:t>10.3</w:t>
            </w:r>
          </w:p>
        </w:tc>
        <w:tc>
          <w:tcPr>
            <w:tcW w:w="257" w:type="dxa"/>
            <w:tcBorders/>
            <w:shd w:fill="FFFFFF" w:val="clear"/>
            <w:tcMar>
              <w:bottom w:w="0" w:type="dxa"/>
            </w:tcMar>
            <w:vAlign w:val="center"/>
          </w:tcPr>
          <w:p>
            <w:pPr>
              <w:pStyle w:val="TableContents"/>
              <w:spacing w:before="0" w:after="283"/>
              <w:rPr/>
            </w:pPr>
            <w:r>
              <w:rPr/>
              <w:t>%</w:t>
            </w:r>
          </w:p>
        </w:tc>
        <w:tc>
          <w:tcPr>
            <w:tcW w:w="94" w:type="dxa"/>
            <w:tcBorders/>
            <w:shd w:fill="FFFFFF" w:val="clear"/>
            <w:tcMar>
              <w:bottom w:w="0" w:type="dxa"/>
            </w:tcMar>
            <w:vAlign w:val="center"/>
          </w:tcPr>
          <w:p>
            <w:pPr>
              <w:pStyle w:val="TableContents"/>
              <w:spacing w:before="0" w:after="0"/>
              <w:ind w:left="0" w:right="0" w:hanging="0"/>
              <w:rPr/>
            </w:pPr>
            <w:r>
              <w:rPr/>
              <w:t> </w:t>
            </w:r>
          </w:p>
        </w:tc>
        <w:tc>
          <w:tcPr>
            <w:tcW w:w="94" w:type="dxa"/>
            <w:tcBorders/>
            <w:shd w:fill="FFFFFF" w:val="clear"/>
            <w:tcMar>
              <w:bottom w:w="0" w:type="dxa"/>
            </w:tcMar>
            <w:vAlign w:val="center"/>
          </w:tcPr>
          <w:p>
            <w:pPr>
              <w:pStyle w:val="TableContents"/>
              <w:spacing w:before="0" w:after="0"/>
              <w:ind w:left="0" w:right="0" w:hanging="0"/>
              <w:rPr/>
            </w:pPr>
            <w:r>
              <w:rPr/>
              <w:t> </w:t>
            </w:r>
          </w:p>
        </w:tc>
        <w:tc>
          <w:tcPr>
            <w:tcW w:w="367" w:type="dxa"/>
            <w:tcBorders/>
            <w:shd w:fill="FFFFFF" w:val="clear"/>
            <w:tcMar>
              <w:bottom w:w="0" w:type="dxa"/>
            </w:tcMar>
            <w:vAlign w:val="center"/>
          </w:tcPr>
          <w:p>
            <w:pPr>
              <w:pStyle w:val="TableContents"/>
              <w:spacing w:before="0" w:after="283"/>
              <w:jc w:val="right"/>
              <w:rPr/>
            </w:pPr>
            <w:r>
              <w:rPr/>
              <w:t>8.7</w:t>
            </w:r>
          </w:p>
        </w:tc>
        <w:tc>
          <w:tcPr>
            <w:tcW w:w="257" w:type="dxa"/>
            <w:tcBorders/>
            <w:shd w:fill="FFFFFF" w:val="clear"/>
            <w:tcMar>
              <w:bottom w:w="0" w:type="dxa"/>
            </w:tcMar>
            <w:vAlign w:val="center"/>
          </w:tcPr>
          <w:p>
            <w:pPr>
              <w:pStyle w:val="TableContents"/>
              <w:spacing w:before="0" w:after="283"/>
              <w:rPr/>
            </w:pPr>
            <w:r>
              <w:rPr/>
              <w:t>%</w:t>
            </w:r>
          </w:p>
        </w:tc>
        <w:tc>
          <w:tcPr>
            <w:tcW w:w="94" w:type="dxa"/>
            <w:tcBorders/>
            <w:shd w:fill="FFFFFF" w:val="clear"/>
            <w:tcMar>
              <w:bottom w:w="0" w:type="dxa"/>
            </w:tcMar>
            <w:vAlign w:val="center"/>
          </w:tcPr>
          <w:p>
            <w:pPr>
              <w:pStyle w:val="TableContents"/>
              <w:spacing w:before="0" w:after="0"/>
              <w:ind w:left="0" w:right="0" w:hanging="0"/>
              <w:rPr/>
            </w:pPr>
            <w:r>
              <w:rPr/>
              <w:t> </w:t>
            </w:r>
          </w:p>
        </w:tc>
        <w:tc>
          <w:tcPr>
            <w:tcW w:w="94" w:type="dxa"/>
            <w:tcBorders/>
            <w:shd w:fill="FFFFFF" w:val="clear"/>
            <w:tcMar>
              <w:bottom w:w="0" w:type="dxa"/>
            </w:tcMar>
            <w:vAlign w:val="center"/>
          </w:tcPr>
          <w:p>
            <w:pPr>
              <w:pStyle w:val="TableContents"/>
              <w:spacing w:before="0" w:after="0"/>
              <w:ind w:left="0" w:right="0" w:hanging="0"/>
              <w:rPr/>
            </w:pPr>
            <w:r>
              <w:rPr/>
              <w:t> </w:t>
            </w:r>
          </w:p>
        </w:tc>
        <w:tc>
          <w:tcPr>
            <w:tcW w:w="367" w:type="dxa"/>
            <w:tcBorders/>
            <w:shd w:fill="FFFFFF" w:val="clear"/>
            <w:tcMar>
              <w:bottom w:w="0" w:type="dxa"/>
            </w:tcMar>
            <w:vAlign w:val="center"/>
          </w:tcPr>
          <w:p>
            <w:pPr>
              <w:pStyle w:val="TableContents"/>
              <w:spacing w:before="0" w:after="283"/>
              <w:jc w:val="right"/>
              <w:rPr/>
            </w:pPr>
            <w:r>
              <w:rPr/>
              <w:t>8.2</w:t>
            </w:r>
          </w:p>
        </w:tc>
        <w:tc>
          <w:tcPr>
            <w:tcW w:w="257" w:type="dxa"/>
            <w:tcBorders/>
            <w:shd w:fill="FFFFFF" w:val="clear"/>
            <w:tcMar>
              <w:bottom w:w="0" w:type="dxa"/>
            </w:tcMar>
            <w:vAlign w:val="center"/>
          </w:tcPr>
          <w:p>
            <w:pPr>
              <w:pStyle w:val="TableContents"/>
              <w:spacing w:before="0" w:after="283"/>
              <w:rPr/>
            </w:pPr>
            <w:r>
              <w:rPr/>
              <w:t>%</w:t>
            </w:r>
          </w:p>
        </w:tc>
        <w:tc>
          <w:tcPr>
            <w:tcW w:w="94" w:type="dxa"/>
            <w:tcBorders/>
            <w:shd w:fill="FFFFFF" w:val="clear"/>
            <w:tcMar>
              <w:bottom w:w="0" w:type="dxa"/>
            </w:tcMar>
            <w:vAlign w:val="center"/>
          </w:tcPr>
          <w:p>
            <w:pPr>
              <w:pStyle w:val="TableContents"/>
              <w:spacing w:before="0" w:after="0"/>
              <w:ind w:left="0" w:right="0" w:hanging="0"/>
              <w:rPr/>
            </w:pPr>
            <w:r>
              <w:rPr/>
              <w:t> </w:t>
            </w:r>
          </w:p>
        </w:tc>
        <w:tc>
          <w:tcPr>
            <w:tcW w:w="94" w:type="dxa"/>
            <w:tcBorders/>
            <w:shd w:fill="FFFFFF" w:val="clear"/>
            <w:tcMar>
              <w:bottom w:w="0" w:type="dxa"/>
            </w:tcMar>
            <w:vAlign w:val="center"/>
          </w:tcPr>
          <w:p>
            <w:pPr>
              <w:pStyle w:val="TableContents"/>
              <w:spacing w:before="0" w:after="0"/>
              <w:ind w:left="0" w:right="0" w:hanging="0"/>
              <w:rPr/>
            </w:pPr>
            <w:r>
              <w:rPr/>
              <w:t> </w:t>
            </w:r>
          </w:p>
        </w:tc>
        <w:tc>
          <w:tcPr>
            <w:tcW w:w="367" w:type="dxa"/>
            <w:tcBorders/>
            <w:shd w:fill="FFFFFF" w:val="clear"/>
            <w:tcMar>
              <w:bottom w:w="0" w:type="dxa"/>
            </w:tcMar>
            <w:vAlign w:val="center"/>
          </w:tcPr>
          <w:p>
            <w:pPr>
              <w:pStyle w:val="TableContents"/>
              <w:spacing w:before="0" w:after="283"/>
              <w:jc w:val="right"/>
              <w:rPr/>
            </w:pPr>
            <w:r>
              <w:rPr/>
              <w:t>6.2</w:t>
            </w:r>
          </w:p>
        </w:tc>
        <w:tc>
          <w:tcPr>
            <w:tcW w:w="257" w:type="dxa"/>
            <w:tcBorders/>
            <w:shd w:fill="FFFFFF" w:val="clear"/>
            <w:tcMar>
              <w:bottom w:w="0" w:type="dxa"/>
            </w:tcMar>
            <w:vAlign w:val="center"/>
          </w:tcPr>
          <w:p>
            <w:pPr>
              <w:pStyle w:val="TableContents"/>
              <w:spacing w:before="0" w:after="283"/>
              <w:rPr/>
            </w:pPr>
            <w:r>
              <w:rPr/>
              <w:t>%</w:t>
            </w:r>
          </w:p>
        </w:tc>
        <w:tc>
          <w:tcPr>
            <w:tcW w:w="94" w:type="dxa"/>
            <w:tcBorders/>
            <w:shd w:fill="FFFFFF" w:val="clear"/>
            <w:tcMar>
              <w:bottom w:w="0" w:type="dxa"/>
            </w:tcMar>
            <w:vAlign w:val="center"/>
          </w:tcPr>
          <w:p>
            <w:pPr>
              <w:pStyle w:val="TableContents"/>
              <w:spacing w:before="0" w:after="0"/>
              <w:ind w:left="0" w:right="0" w:hanging="0"/>
              <w:rPr/>
            </w:pPr>
            <w:r>
              <w:rPr/>
              <w:t> </w:t>
            </w:r>
          </w:p>
        </w:tc>
        <w:tc>
          <w:tcPr>
            <w:tcW w:w="94" w:type="dxa"/>
            <w:tcBorders/>
            <w:shd w:fill="FFFFFF" w:val="clear"/>
            <w:tcMar>
              <w:bottom w:w="0" w:type="dxa"/>
            </w:tcMar>
            <w:vAlign w:val="center"/>
          </w:tcPr>
          <w:p>
            <w:pPr>
              <w:pStyle w:val="TableContents"/>
              <w:spacing w:before="0" w:after="0"/>
              <w:ind w:left="0" w:right="0" w:hanging="0"/>
              <w:rPr/>
            </w:pPr>
            <w:r>
              <w:rPr/>
              <w:t> </w:t>
            </w:r>
          </w:p>
        </w:tc>
        <w:tc>
          <w:tcPr>
            <w:tcW w:w="367" w:type="dxa"/>
            <w:tcBorders/>
            <w:shd w:fill="FFFFFF" w:val="clear"/>
            <w:tcMar>
              <w:bottom w:w="0" w:type="dxa"/>
            </w:tcMar>
            <w:vAlign w:val="center"/>
          </w:tcPr>
          <w:p>
            <w:pPr>
              <w:pStyle w:val="TableContents"/>
              <w:spacing w:before="0" w:after="283"/>
              <w:jc w:val="right"/>
              <w:rPr/>
            </w:pPr>
            <w:r>
              <w:rPr/>
              <w:t>3.1</w:t>
            </w:r>
          </w:p>
        </w:tc>
        <w:tc>
          <w:tcPr>
            <w:tcW w:w="257" w:type="dxa"/>
            <w:tcBorders/>
            <w:shd w:fill="FFFFFF" w:val="clear"/>
            <w:tcMar>
              <w:bottom w:w="0" w:type="dxa"/>
            </w:tcMar>
            <w:vAlign w:val="center"/>
          </w:tcPr>
          <w:p>
            <w:pPr>
              <w:pStyle w:val="TableContents"/>
              <w:spacing w:before="0" w:after="283"/>
              <w:rPr/>
            </w:pPr>
            <w:r>
              <w:rPr/>
              <w:t>%</w:t>
            </w:r>
          </w:p>
        </w:tc>
        <w:tc>
          <w:tcPr>
            <w:tcW w:w="94" w:type="dxa"/>
            <w:tcBorders/>
            <w:shd w:fill="FFFFFF" w:val="clear"/>
            <w:tcMar>
              <w:bottom w:w="0" w:type="dxa"/>
            </w:tcMar>
            <w:vAlign w:val="center"/>
          </w:tcPr>
          <w:p>
            <w:pPr>
              <w:pStyle w:val="TableContents"/>
              <w:spacing w:before="0" w:after="0"/>
              <w:ind w:left="0" w:right="0" w:hanging="0"/>
              <w:rPr/>
            </w:pPr>
            <w:r>
              <w:rPr/>
              <w:t> </w:t>
            </w:r>
          </w:p>
        </w:tc>
        <w:tc>
          <w:tcPr>
            <w:tcW w:w="94" w:type="dxa"/>
            <w:tcBorders/>
            <w:shd w:fill="FFFFFF" w:val="clear"/>
            <w:tcMar>
              <w:bottom w:w="0" w:type="dxa"/>
            </w:tcMar>
            <w:vAlign w:val="center"/>
          </w:tcPr>
          <w:p>
            <w:pPr>
              <w:pStyle w:val="TableContents"/>
              <w:spacing w:before="0" w:after="0"/>
              <w:ind w:left="0" w:right="0" w:hanging="0"/>
              <w:rPr/>
            </w:pPr>
            <w:r>
              <w:rPr/>
              <w:t> </w:t>
            </w:r>
          </w:p>
        </w:tc>
        <w:tc>
          <w:tcPr>
            <w:tcW w:w="367" w:type="dxa"/>
            <w:tcBorders/>
            <w:shd w:fill="FFFFFF" w:val="clear"/>
            <w:tcMar>
              <w:bottom w:w="0" w:type="dxa"/>
            </w:tcMar>
            <w:vAlign w:val="center"/>
          </w:tcPr>
          <w:p>
            <w:pPr>
              <w:pStyle w:val="TableContents"/>
              <w:spacing w:before="0" w:after="283"/>
              <w:jc w:val="right"/>
              <w:rPr/>
            </w:pPr>
            <w:r>
              <w:rPr/>
              <w:t>1.4</w:t>
            </w:r>
          </w:p>
        </w:tc>
        <w:tc>
          <w:tcPr>
            <w:tcW w:w="257" w:type="dxa"/>
            <w:tcBorders/>
            <w:shd w:fill="FFFFFF" w:val="clear"/>
            <w:tcMar>
              <w:bottom w:w="0" w:type="dxa"/>
            </w:tcMar>
            <w:vAlign w:val="center"/>
          </w:tcPr>
          <w:p>
            <w:pPr>
              <w:pStyle w:val="TableContents"/>
              <w:spacing w:before="0" w:after="283"/>
              <w:rPr/>
            </w:pPr>
            <w:r>
              <w:rPr/>
              <w:t>%</w:t>
            </w:r>
          </w:p>
        </w:tc>
        <w:tc>
          <w:tcPr>
            <w:tcW w:w="94" w:type="dxa"/>
            <w:tcBorders/>
            <w:shd w:fill="FFFFFF" w:val="clear"/>
            <w:tcMar>
              <w:bottom w:w="0" w:type="dxa"/>
            </w:tcMar>
            <w:vAlign w:val="center"/>
          </w:tcPr>
          <w:p>
            <w:pPr>
              <w:pStyle w:val="TableContents"/>
              <w:spacing w:before="0" w:after="0"/>
              <w:ind w:left="0" w:right="0" w:hanging="0"/>
              <w:rPr/>
            </w:pPr>
            <w:r>
              <w:rPr/>
              <w:t> </w:t>
            </w:r>
          </w:p>
        </w:tc>
        <w:tc>
          <w:tcPr>
            <w:tcW w:w="94" w:type="dxa"/>
            <w:tcBorders/>
            <w:shd w:fill="FFFFFF" w:val="clear"/>
            <w:tcMar>
              <w:bottom w:w="0" w:type="dxa"/>
            </w:tcMar>
            <w:vAlign w:val="center"/>
          </w:tcPr>
          <w:p>
            <w:pPr>
              <w:pStyle w:val="TableContents"/>
              <w:spacing w:before="0" w:after="0"/>
              <w:ind w:left="0" w:right="0" w:hanging="0"/>
              <w:rPr/>
            </w:pPr>
            <w:r>
              <w:rPr/>
              <w:t> </w:t>
            </w:r>
          </w:p>
        </w:tc>
        <w:tc>
          <w:tcPr>
            <w:tcW w:w="367" w:type="dxa"/>
            <w:tcBorders/>
            <w:shd w:fill="FFFFFF" w:val="clear"/>
            <w:tcMar>
              <w:bottom w:w="0" w:type="dxa"/>
            </w:tcMar>
            <w:vAlign w:val="center"/>
          </w:tcPr>
          <w:p>
            <w:pPr>
              <w:pStyle w:val="TableContents"/>
              <w:spacing w:before="0" w:after="283"/>
              <w:jc w:val="right"/>
              <w:rPr/>
            </w:pPr>
            <w:r>
              <w:rPr/>
              <w:t>0.5</w:t>
            </w:r>
          </w:p>
        </w:tc>
        <w:tc>
          <w:tcPr>
            <w:tcW w:w="257" w:type="dxa"/>
            <w:tcBorders/>
            <w:shd w:fill="FFFFFF" w:val="clear"/>
            <w:tcMar>
              <w:bottom w:w="0" w:type="dxa"/>
            </w:tcMar>
            <w:vAlign w:val="center"/>
          </w:tcPr>
          <w:p>
            <w:pPr>
              <w:pStyle w:val="TableContents"/>
              <w:spacing w:before="0" w:after="283"/>
              <w:rPr/>
            </w:pPr>
            <w:r>
              <w:rPr/>
              <w:t>%</w:t>
            </w:r>
          </w:p>
        </w:tc>
        <w:tc>
          <w:tcPr>
            <w:tcW w:w="94" w:type="dxa"/>
            <w:tcBorders/>
            <w:shd w:fill="FFFFFF" w:val="clear"/>
            <w:tcMar>
              <w:bottom w:w="0" w:type="dxa"/>
            </w:tcMar>
            <w:vAlign w:val="center"/>
          </w:tcPr>
          <w:p>
            <w:pPr>
              <w:pStyle w:val="TableContents"/>
              <w:spacing w:before="0" w:after="0"/>
              <w:ind w:left="0" w:right="0" w:hanging="0"/>
              <w:rPr/>
            </w:pPr>
            <w:r>
              <w:rPr/>
              <w:t> </w:t>
            </w:r>
          </w:p>
        </w:tc>
        <w:tc>
          <w:tcPr>
            <w:tcW w:w="94" w:type="dxa"/>
            <w:tcBorders/>
            <w:shd w:fill="FFFFFF" w:val="clear"/>
            <w:tcMar>
              <w:bottom w:w="0" w:type="dxa"/>
            </w:tcMar>
            <w:vAlign w:val="center"/>
          </w:tcPr>
          <w:p>
            <w:pPr>
              <w:pStyle w:val="TableContents"/>
              <w:spacing w:before="0" w:after="0"/>
              <w:ind w:left="0" w:right="0" w:hanging="0"/>
              <w:rPr/>
            </w:pPr>
            <w:r>
              <w:rPr/>
              <w:t> </w:t>
            </w:r>
          </w:p>
        </w:tc>
        <w:tc>
          <w:tcPr>
            <w:tcW w:w="367" w:type="dxa"/>
            <w:tcBorders/>
            <w:shd w:fill="FFFFFF" w:val="clear"/>
            <w:tcMar>
              <w:bottom w:w="0" w:type="dxa"/>
            </w:tcMar>
            <w:vAlign w:val="center"/>
          </w:tcPr>
          <w:p>
            <w:pPr>
              <w:pStyle w:val="TableContents"/>
              <w:spacing w:before="0" w:after="283"/>
              <w:jc w:val="right"/>
              <w:rPr/>
            </w:pPr>
            <w:r>
              <w:rPr/>
              <w:t>3.5</w:t>
            </w:r>
          </w:p>
        </w:tc>
        <w:tc>
          <w:tcPr>
            <w:tcW w:w="313" w:type="dxa"/>
            <w:tcBorders/>
            <w:shd w:fill="FFFFFF" w:val="clear"/>
            <w:tcMar>
              <w:bottom w:w="0" w:type="dxa"/>
            </w:tcMar>
            <w:vAlign w:val="center"/>
          </w:tcPr>
          <w:p>
            <w:pPr>
              <w:pStyle w:val="TableContents"/>
              <w:spacing w:before="0" w:after="283"/>
              <w:rPr/>
            </w:pPr>
            <w:r>
              <w:rPr/>
              <w:t>%</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percentages in the above table do not add up to 100 because the percentages represent averages across all accident years at each development stage.</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Note 12 – Stockholders’ Equity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Dividends Declared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Dividends declared and paid on Common Stock were $1,957,142 and $3,501,366 for the years ended December 31, 2020 and 2019, respectively. The Company announced on February 1, 2021 that its Board of Directors approved a quarterly dividend of $0.04 per share payable in cash on March 15, 2021 to stockholders of record as of February 26, 2021 (see Note 19 - Subsequent Events).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Stock Options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Effective August 12, 2014, the Company adopted the 2014 Equity Participation Plan (the “2014 Plan”) pursuant to which a maximum of 700,000 shares of Common Stock of the Company were initially authorized to be issued pursuant to the grant of incentive stock options, non-statutory stock options, stock appreciation rights, restricted stock and stock bonuses.  Incentive stock options granted under the 2014 Plan expire no later than ten years from the date of grant (except no later than five years for a grant to a 10% stockholder). Non-statutory stock options granted under the 2014 Plan expire no later than ten years from the date of grant.  The Board of Directors or the Compensation Committee determines the vesting provisions for stock awards granted under the 2014 Plan, subject to the provisions of the 2014 Plan.  On August 5, 2020, the Company’s stockholders approved amendments to the 2014 Plan, including an increase in the maximum number shares of Common Stock of the Company that are authorized to be issued pursuant to the 2014 Plan to 1,400,000.</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F-41</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2020 AND 2019</w:t>
      </w:r>
    </w:p>
    <w:p>
      <w:pPr>
        <w:pStyle w:val="TextBody"/>
        <w:spacing w:before="0" w:after="0"/>
        <w:ind w:left="0" w:right="0" w:hanging="0"/>
        <w:jc w:val="center"/>
        <w:rPr/>
      </w:pPr>
      <w:r>
        <w:rPr>
          <w:rStyle w:val="StrongEmphasis"/>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results of operations for the years ended December 31, 2020 and 2019 include stock-based compensation expense for stock options totaling approximately $68,000 and $30,000, respectively. Stock-based compensation expense related to stock options for the years ended December 31, 2020 and 2019 is net of estimated forfeitures of approximately 16% and 17%, respectively. Such amounts have been included in the consolidated statements of operations and comprehensive income within other operating expenses.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weighted average estimated fair value of stock options granted during the years ended December 31, 2020 and 2019 was $1.66 per share and $1.91 per share, respectively.  The fair value of stock options at the grant date was estimated using the Black-Scholes option-pricing model.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weighted average assumptions were used for grants during the following periods:</w:t>
      </w:r>
    </w:p>
    <w:p>
      <w:pPr>
        <w:pStyle w:val="TextBody"/>
        <w:spacing w:before="0" w:after="0"/>
        <w:ind w:left="0" w:right="0" w:hanging="0"/>
        <w:jc w:val="both"/>
        <w:rPr/>
      </w:pPr>
      <w:r>
        <w:rPr/>
        <w:t>  </w:t>
      </w:r>
    </w:p>
    <w:p>
      <w:pPr>
        <w:pStyle w:val="TextBody"/>
        <w:spacing w:before="0" w:after="0"/>
        <w:ind w:left="0" w:right="0" w:hanging="0"/>
        <w:rPr/>
      </w:pPr>
      <w:r>
        <w:rPr/>
        <w:t> </w:t>
      </w:r>
    </w:p>
    <w:p>
      <w:pPr>
        <w:pStyle w:val="TextBody"/>
        <w:spacing w:before="0" w:after="0"/>
        <w:ind w:left="0" w:right="0" w:hanging="0"/>
        <w:rPr/>
      </w:pPr>
      <w:r>
        <w:rPr/>
        <w:t> </w:t>
      </w:r>
    </w:p>
    <w:tbl>
      <w:tblPr>
        <w:tblW w:w="4614" w:type="dxa"/>
        <w:jc w:val="left"/>
        <w:tblInd w:w="0" w:type="dxa"/>
        <w:tblCellMar>
          <w:top w:w="0" w:type="dxa"/>
          <w:left w:w="0" w:type="dxa"/>
          <w:bottom w:w="0" w:type="dxa"/>
          <w:right w:w="0" w:type="dxa"/>
        </w:tblCellMar>
      </w:tblPr>
      <w:tblGrid>
        <w:gridCol w:w="1910"/>
        <w:gridCol w:w="90"/>
        <w:gridCol w:w="90"/>
        <w:gridCol w:w="1025"/>
        <w:gridCol w:w="245"/>
        <w:gridCol w:w="90"/>
        <w:gridCol w:w="115"/>
        <w:gridCol w:w="759"/>
        <w:gridCol w:w="290"/>
      </w:tblGrid>
      <w:tr>
        <w:trPr/>
        <w:tc>
          <w:tcPr>
            <w:tcW w:w="191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324" w:type="dxa"/>
            <w:gridSpan w:val="6"/>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Years ended </w:t>
            </w:r>
          </w:p>
        </w:tc>
        <w:tc>
          <w:tcPr>
            <w:tcW w:w="290" w:type="dxa"/>
            <w:tcBorders/>
            <w:shd w:fill="auto" w:val="clear"/>
            <w:vAlign w:val="center"/>
          </w:tcPr>
          <w:p>
            <w:pPr>
              <w:pStyle w:val="TableContents"/>
              <w:spacing w:before="0" w:after="0"/>
              <w:ind w:left="0" w:right="0" w:hanging="0"/>
              <w:rPr/>
            </w:pPr>
            <w:r>
              <w:rPr/>
              <w:t> </w:t>
            </w:r>
          </w:p>
        </w:tc>
      </w:tr>
      <w:tr>
        <w:trPr/>
        <w:tc>
          <w:tcPr>
            <w:tcW w:w="191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324"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December 31, </w:t>
            </w:r>
          </w:p>
        </w:tc>
        <w:tc>
          <w:tcPr>
            <w:tcW w:w="290" w:type="dxa"/>
            <w:tcBorders/>
            <w:shd w:fill="auto" w:val="clear"/>
            <w:vAlign w:val="center"/>
          </w:tcPr>
          <w:p>
            <w:pPr>
              <w:pStyle w:val="TableContents"/>
              <w:spacing w:before="0" w:after="0"/>
              <w:ind w:left="0" w:right="0" w:hanging="0"/>
              <w:rPr/>
            </w:pPr>
            <w:r>
              <w:rPr/>
              <w:t> </w:t>
            </w:r>
          </w:p>
        </w:tc>
      </w:tr>
      <w:tr>
        <w:trPr/>
        <w:tc>
          <w:tcPr>
            <w:tcW w:w="191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2020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7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2019 </w:t>
            </w:r>
          </w:p>
        </w:tc>
        <w:tc>
          <w:tcPr>
            <w:tcW w:w="290" w:type="dxa"/>
            <w:tcBorders/>
            <w:shd w:fill="auto" w:val="clear"/>
            <w:vAlign w:val="center"/>
          </w:tcPr>
          <w:p>
            <w:pPr>
              <w:pStyle w:val="TableContents"/>
              <w:spacing w:before="0" w:after="0"/>
              <w:ind w:left="0" w:right="0" w:hanging="0"/>
              <w:rPr/>
            </w:pPr>
            <w:r>
              <w:rPr/>
              <w:t> </w:t>
            </w:r>
          </w:p>
        </w:tc>
      </w:tr>
      <w:tr>
        <w:trPr/>
        <w:tc>
          <w:tcPr>
            <w:tcW w:w="191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15"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74" w:type="dxa"/>
            <w:gridSpan w:val="2"/>
            <w:tcBorders/>
            <w:shd w:fill="auto" w:val="clear"/>
            <w:vAlign w:val="center"/>
          </w:tcPr>
          <w:p>
            <w:pPr>
              <w:pStyle w:val="TableContents"/>
              <w:spacing w:before="0" w:after="0"/>
              <w:ind w:left="0" w:right="0" w:hanging="0"/>
              <w:rPr/>
            </w:pPr>
            <w:r>
              <w:rPr/>
              <w:t> </w:t>
            </w:r>
          </w:p>
        </w:tc>
        <w:tc>
          <w:tcPr>
            <w:tcW w:w="290" w:type="dxa"/>
            <w:tcBorders/>
            <w:shd w:fill="auto" w:val="clear"/>
            <w:vAlign w:val="center"/>
          </w:tcPr>
          <w:p>
            <w:pPr>
              <w:pStyle w:val="TableContents"/>
              <w:spacing w:before="0" w:after="0"/>
              <w:ind w:left="0" w:right="0" w:hanging="0"/>
              <w:rPr/>
            </w:pPr>
            <w:r>
              <w:rPr/>
              <w:t> </w:t>
            </w:r>
          </w:p>
        </w:tc>
      </w:tr>
      <w:tr>
        <w:trPr/>
        <w:tc>
          <w:tcPr>
            <w:tcW w:w="1910" w:type="dxa"/>
            <w:tcBorders/>
            <w:shd w:fill="CCEEFF"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Dividend Yield</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025" w:type="dxa"/>
            <w:tcBorders/>
            <w:shd w:fill="CCEEFF" w:val="clear"/>
            <w:vAlign w:val="center"/>
          </w:tcPr>
          <w:p>
            <w:pPr>
              <w:pStyle w:val="TableContents"/>
              <w:spacing w:before="0" w:after="283"/>
              <w:jc w:val="right"/>
              <w:rPr/>
            </w:pPr>
            <w:r>
              <w:rPr/>
              <w:t>3.14</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15" w:type="dxa"/>
            <w:tcBorders/>
            <w:shd w:fill="CCEEFF" w:val="clear"/>
            <w:vAlign w:val="center"/>
          </w:tcPr>
          <w:p>
            <w:pPr>
              <w:pStyle w:val="TableContents"/>
              <w:spacing w:before="0" w:after="0"/>
              <w:ind w:left="0" w:right="0" w:hanging="0"/>
              <w:rPr/>
            </w:pPr>
            <w:r>
              <w:rPr/>
              <w:t> </w:t>
            </w:r>
          </w:p>
        </w:tc>
        <w:tc>
          <w:tcPr>
            <w:tcW w:w="759" w:type="dxa"/>
            <w:tcBorders/>
            <w:shd w:fill="CCEEFF" w:val="clear"/>
            <w:vAlign w:val="center"/>
          </w:tcPr>
          <w:p>
            <w:pPr>
              <w:pStyle w:val="TableContents"/>
              <w:spacing w:before="0" w:after="283"/>
              <w:jc w:val="right"/>
              <w:rPr/>
            </w:pPr>
            <w:r>
              <w:rPr/>
              <w:t>2.87</w:t>
            </w:r>
          </w:p>
        </w:tc>
        <w:tc>
          <w:tcPr>
            <w:tcW w:w="290" w:type="dxa"/>
            <w:tcBorders/>
            <w:shd w:fill="CCEEFF" w:val="clear"/>
            <w:vAlign w:val="center"/>
          </w:tcPr>
          <w:p>
            <w:pPr>
              <w:pStyle w:val="TableContents"/>
              <w:spacing w:before="0" w:after="283"/>
              <w:rPr/>
            </w:pPr>
            <w:r>
              <w:rPr/>
              <w:t>%</w:t>
            </w:r>
          </w:p>
        </w:tc>
      </w:tr>
      <w:tr>
        <w:trPr/>
        <w:tc>
          <w:tcPr>
            <w:tcW w:w="1910" w:type="dxa"/>
            <w:tcBorders/>
            <w:shd w:fill="FFFFFF"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Volatility</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025" w:type="dxa"/>
            <w:tcBorders/>
            <w:shd w:fill="FFFFFF" w:val="clear"/>
            <w:vAlign w:val="center"/>
          </w:tcPr>
          <w:p>
            <w:pPr>
              <w:pStyle w:val="TableContents"/>
              <w:spacing w:before="0" w:after="283"/>
              <w:jc w:val="right"/>
              <w:rPr/>
            </w:pPr>
            <w:r>
              <w:rPr/>
              <w:t>37.69</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15" w:type="dxa"/>
            <w:tcBorders/>
            <w:shd w:fill="FFFFFF" w:val="clear"/>
            <w:vAlign w:val="center"/>
          </w:tcPr>
          <w:p>
            <w:pPr>
              <w:pStyle w:val="TableContents"/>
              <w:spacing w:before="0" w:after="0"/>
              <w:ind w:left="0" w:right="0" w:hanging="0"/>
              <w:rPr/>
            </w:pPr>
            <w:r>
              <w:rPr/>
              <w:t> </w:t>
            </w:r>
          </w:p>
        </w:tc>
        <w:tc>
          <w:tcPr>
            <w:tcW w:w="759" w:type="dxa"/>
            <w:tcBorders/>
            <w:shd w:fill="FFFFFF" w:val="clear"/>
            <w:vAlign w:val="center"/>
          </w:tcPr>
          <w:p>
            <w:pPr>
              <w:pStyle w:val="TableContents"/>
              <w:spacing w:before="0" w:after="283"/>
              <w:jc w:val="right"/>
              <w:rPr/>
            </w:pPr>
            <w:r>
              <w:rPr/>
              <w:t>36.11</w:t>
            </w:r>
          </w:p>
        </w:tc>
        <w:tc>
          <w:tcPr>
            <w:tcW w:w="290" w:type="dxa"/>
            <w:tcBorders/>
            <w:shd w:fill="FFFFFF" w:val="clear"/>
            <w:vAlign w:val="center"/>
          </w:tcPr>
          <w:p>
            <w:pPr>
              <w:pStyle w:val="TableContents"/>
              <w:spacing w:before="0" w:after="283"/>
              <w:rPr/>
            </w:pPr>
            <w:r>
              <w:rPr/>
              <w:t>%</w:t>
            </w:r>
          </w:p>
        </w:tc>
      </w:tr>
      <w:tr>
        <w:trPr/>
        <w:tc>
          <w:tcPr>
            <w:tcW w:w="1910" w:type="dxa"/>
            <w:tcBorders/>
            <w:shd w:fill="CCEEFF"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Risk-Free Interest Rate</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025" w:type="dxa"/>
            <w:tcBorders/>
            <w:shd w:fill="CCEEFF" w:val="clear"/>
            <w:vAlign w:val="center"/>
          </w:tcPr>
          <w:p>
            <w:pPr>
              <w:pStyle w:val="TableContents"/>
              <w:spacing w:before="0" w:after="283"/>
              <w:jc w:val="right"/>
              <w:rPr/>
            </w:pPr>
            <w:r>
              <w:rPr/>
              <w:t>1.40</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15" w:type="dxa"/>
            <w:tcBorders/>
            <w:shd w:fill="CCEEFF" w:val="clear"/>
            <w:vAlign w:val="center"/>
          </w:tcPr>
          <w:p>
            <w:pPr>
              <w:pStyle w:val="TableContents"/>
              <w:spacing w:before="0" w:after="0"/>
              <w:ind w:left="0" w:right="0" w:hanging="0"/>
              <w:rPr/>
            </w:pPr>
            <w:r>
              <w:rPr/>
              <w:t> </w:t>
            </w:r>
          </w:p>
        </w:tc>
        <w:tc>
          <w:tcPr>
            <w:tcW w:w="759" w:type="dxa"/>
            <w:tcBorders/>
            <w:shd w:fill="CCEEFF" w:val="clear"/>
            <w:vAlign w:val="center"/>
          </w:tcPr>
          <w:p>
            <w:pPr>
              <w:pStyle w:val="TableContents"/>
              <w:spacing w:before="0" w:after="283"/>
              <w:jc w:val="right"/>
              <w:rPr/>
            </w:pPr>
            <w:r>
              <w:rPr/>
              <w:t>1.61</w:t>
            </w:r>
          </w:p>
        </w:tc>
        <w:tc>
          <w:tcPr>
            <w:tcW w:w="290" w:type="dxa"/>
            <w:tcBorders/>
            <w:shd w:fill="CCEEFF" w:val="clear"/>
            <w:vAlign w:val="center"/>
          </w:tcPr>
          <w:p>
            <w:pPr>
              <w:pStyle w:val="TableContents"/>
              <w:spacing w:before="0" w:after="283"/>
              <w:rPr/>
            </w:pPr>
            <w:r>
              <w:rPr/>
              <w:t>%</w:t>
            </w:r>
          </w:p>
        </w:tc>
      </w:tr>
      <w:tr>
        <w:trPr/>
        <w:tc>
          <w:tcPr>
            <w:tcW w:w="1910" w:type="dxa"/>
            <w:tcBorders/>
            <w:shd w:fill="FFFFFF"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Expected Life</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025" w:type="dxa"/>
            <w:tcBorders/>
            <w:shd w:fill="FFFFFF" w:val="clear"/>
            <w:vAlign w:val="center"/>
          </w:tcPr>
          <w:p>
            <w:pPr>
              <w:pStyle w:val="TableContents"/>
              <w:spacing w:before="0" w:after="283"/>
              <w:jc w:val="right"/>
              <w:rPr/>
            </w:pPr>
            <w:r>
              <w:rPr/>
              <w:t>2.75 years</w:t>
            </w:r>
          </w:p>
        </w:tc>
        <w:tc>
          <w:tcPr>
            <w:tcW w:w="245" w:type="dxa"/>
            <w:tcBorders/>
            <w:shd w:fill="FFFFFF" w:val="clear"/>
            <w:vAlign w:val="center"/>
          </w:tcPr>
          <w:p>
            <w:pPr>
              <w:pStyle w:val="TableContents"/>
              <w:spacing w:before="0" w:after="283"/>
              <w:rPr>
                <w:sz w:val="4"/>
                <w:szCs w:val="4"/>
              </w:rPr>
            </w:pPr>
            <w:r>
              <w:rPr>
                <w:sz w:val="4"/>
                <w:szCs w:val="4"/>
              </w:rPr>
            </w:r>
          </w:p>
        </w:tc>
        <w:tc>
          <w:tcPr>
            <w:tcW w:w="90" w:type="dxa"/>
            <w:tcBorders/>
            <w:shd w:fill="FFFFFF" w:val="clear"/>
            <w:vAlign w:val="center"/>
          </w:tcPr>
          <w:p>
            <w:pPr>
              <w:pStyle w:val="TableContents"/>
              <w:spacing w:before="0" w:after="0"/>
              <w:ind w:left="0" w:right="0" w:hanging="0"/>
              <w:rPr/>
            </w:pPr>
            <w:r>
              <w:rPr/>
              <w:t> </w:t>
            </w:r>
          </w:p>
        </w:tc>
        <w:tc>
          <w:tcPr>
            <w:tcW w:w="874" w:type="dxa"/>
            <w:gridSpan w:val="2"/>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3.25 years</w:t>
            </w:r>
          </w:p>
        </w:tc>
        <w:tc>
          <w:tcPr>
            <w:tcW w:w="290" w:type="dxa"/>
            <w:tcBorders/>
            <w:shd w:fill="FFFF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Black-Scholes option 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the Company’s stock options.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A summary of stock option activity under the Company’s 2014 Plan for the year ended December 31, 2020 is as follows: </w:t>
      </w:r>
    </w:p>
    <w:p>
      <w:pPr>
        <w:pStyle w:val="TextBody"/>
        <w:spacing w:before="0" w:after="0"/>
        <w:ind w:left="0" w:right="0" w:hanging="0"/>
        <w:jc w:val="both"/>
        <w:rPr/>
      </w:pPr>
      <w:r>
        <w:rPr/>
        <w:t> </w:t>
      </w:r>
    </w:p>
    <w:p>
      <w:pPr>
        <w:pStyle w:val="TextBody"/>
        <w:spacing w:before="0" w:after="0"/>
        <w:ind w:left="0" w:right="0" w:hanging="0"/>
        <w:rPr/>
      </w:pPr>
      <w:r>
        <w:rPr/>
        <w:t> </w:t>
      </w:r>
    </w:p>
    <w:p>
      <w:pPr>
        <w:pStyle w:val="TextBody"/>
        <w:spacing w:before="0" w:after="0"/>
        <w:ind w:left="0" w:right="0" w:hanging="0"/>
        <w:rPr/>
      </w:pPr>
      <w:r>
        <w:rPr/>
        <w:t> </w:t>
      </w:r>
    </w:p>
    <w:tbl>
      <w:tblPr>
        <w:tblW w:w="10205" w:type="dxa"/>
        <w:jc w:val="left"/>
        <w:tblInd w:w="0" w:type="dxa"/>
        <w:tblCellMar>
          <w:top w:w="0" w:type="dxa"/>
          <w:left w:w="0" w:type="dxa"/>
          <w:bottom w:w="28" w:type="dxa"/>
          <w:right w:w="0" w:type="dxa"/>
        </w:tblCellMar>
      </w:tblPr>
      <w:tblGrid>
        <w:gridCol w:w="2523"/>
        <w:gridCol w:w="90"/>
        <w:gridCol w:w="111"/>
        <w:gridCol w:w="1032"/>
        <w:gridCol w:w="125"/>
        <w:gridCol w:w="90"/>
        <w:gridCol w:w="517"/>
        <w:gridCol w:w="1436"/>
        <w:gridCol w:w="90"/>
        <w:gridCol w:w="90"/>
        <w:gridCol w:w="357"/>
        <w:gridCol w:w="1870"/>
        <w:gridCol w:w="90"/>
        <w:gridCol w:w="90"/>
        <w:gridCol w:w="240"/>
        <w:gridCol w:w="1280"/>
        <w:gridCol w:w="174"/>
      </w:tblGrid>
      <w:tr>
        <w:trPr/>
        <w:tc>
          <w:tcPr>
            <w:tcW w:w="2523"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Stock Options</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143" w:type="dxa"/>
            <w:gridSpan w:val="2"/>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Number of Shares</w:t>
            </w:r>
          </w:p>
        </w:tc>
        <w:tc>
          <w:tcPr>
            <w:tcW w:w="1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953" w:type="dxa"/>
            <w:gridSpan w:val="2"/>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Weighted Average Exercise Price per Share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2227" w:type="dxa"/>
            <w:gridSpan w:val="2"/>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Weighted Average Remaining Contractual Term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520" w:type="dxa"/>
            <w:gridSpan w:val="2"/>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Aggregate Intrinsic Value </w:t>
            </w:r>
          </w:p>
        </w:tc>
        <w:tc>
          <w:tcPr>
            <w:tcW w:w="174" w:type="dxa"/>
            <w:tcBorders/>
            <w:shd w:fill="auto" w:val="clear"/>
            <w:tcMar>
              <w:bottom w:w="0" w:type="dxa"/>
            </w:tcMar>
            <w:vAlign w:val="center"/>
          </w:tcPr>
          <w:p>
            <w:pPr>
              <w:pStyle w:val="TableContents"/>
              <w:spacing w:before="0" w:after="0"/>
              <w:ind w:left="0" w:right="0" w:hanging="0"/>
              <w:rPr/>
            </w:pPr>
            <w:r>
              <w:rPr/>
              <w:t> </w:t>
            </w:r>
          </w:p>
        </w:tc>
      </w:tr>
      <w:tr>
        <w:trPr/>
        <w:tc>
          <w:tcPr>
            <w:tcW w:w="2523"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143" w:type="dxa"/>
            <w:gridSpan w:val="2"/>
            <w:tcBorders/>
            <w:shd w:fill="auto" w:val="clear"/>
            <w:tcMar>
              <w:bottom w:w="0" w:type="dxa"/>
            </w:tcMar>
            <w:vAlign w:val="center"/>
          </w:tcPr>
          <w:p>
            <w:pPr>
              <w:pStyle w:val="TableContents"/>
              <w:spacing w:before="0" w:after="0"/>
              <w:ind w:left="0" w:right="0" w:hanging="0"/>
              <w:rPr/>
            </w:pPr>
            <w:r>
              <w:rPr/>
              <w:t> </w:t>
            </w:r>
          </w:p>
        </w:tc>
        <w:tc>
          <w:tcPr>
            <w:tcW w:w="1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953" w:type="dxa"/>
            <w:gridSpan w:val="2"/>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2227" w:type="dxa"/>
            <w:gridSpan w:val="2"/>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520" w:type="dxa"/>
            <w:gridSpan w:val="2"/>
            <w:tcBorders/>
            <w:shd w:fill="auto" w:val="clear"/>
            <w:tcMar>
              <w:bottom w:w="0" w:type="dxa"/>
            </w:tcMar>
            <w:vAlign w:val="center"/>
          </w:tcPr>
          <w:p>
            <w:pPr>
              <w:pStyle w:val="TableContents"/>
              <w:spacing w:before="0" w:after="0"/>
              <w:ind w:left="0" w:right="0" w:hanging="0"/>
              <w:rPr/>
            </w:pPr>
            <w:r>
              <w:rPr/>
              <w:t> </w:t>
            </w:r>
          </w:p>
        </w:tc>
        <w:tc>
          <w:tcPr>
            <w:tcW w:w="174" w:type="dxa"/>
            <w:tcBorders/>
            <w:shd w:fill="auto" w:val="clear"/>
            <w:tcMar>
              <w:bottom w:w="0" w:type="dxa"/>
            </w:tcMar>
            <w:vAlign w:val="center"/>
          </w:tcPr>
          <w:p>
            <w:pPr>
              <w:pStyle w:val="TableContents"/>
              <w:spacing w:before="0" w:after="0"/>
              <w:ind w:left="0" w:right="0" w:hanging="0"/>
              <w:rPr/>
            </w:pPr>
            <w:r>
              <w:rPr/>
              <w:t> </w:t>
            </w:r>
          </w:p>
        </w:tc>
      </w:tr>
      <w:tr>
        <w:trPr/>
        <w:tc>
          <w:tcPr>
            <w:tcW w:w="2523" w:type="dxa"/>
            <w:tcBorders/>
            <w:shd w:fill="CCEEFF"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Outstanding at January 1, 2020</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11" w:type="dxa"/>
            <w:tcBorders/>
            <w:shd w:fill="CCEEFF" w:val="clear"/>
            <w:tcMar>
              <w:bottom w:w="0" w:type="dxa"/>
            </w:tcMar>
            <w:vAlign w:val="center"/>
          </w:tcPr>
          <w:p>
            <w:pPr>
              <w:pStyle w:val="TableContents"/>
              <w:spacing w:before="0" w:after="0"/>
              <w:ind w:left="0" w:right="0" w:hanging="0"/>
              <w:rPr/>
            </w:pPr>
            <w:r>
              <w:rPr/>
              <w:t> </w:t>
            </w:r>
          </w:p>
        </w:tc>
        <w:tc>
          <w:tcPr>
            <w:tcW w:w="1032" w:type="dxa"/>
            <w:tcBorders/>
            <w:shd w:fill="CCEEFF" w:val="clear"/>
            <w:tcMar>
              <w:bottom w:w="0" w:type="dxa"/>
            </w:tcMar>
            <w:vAlign w:val="center"/>
          </w:tcPr>
          <w:p>
            <w:pPr>
              <w:pStyle w:val="TableContents"/>
              <w:spacing w:before="0" w:after="283"/>
              <w:jc w:val="right"/>
              <w:rPr/>
            </w:pPr>
            <w:r>
              <w:rPr/>
              <w:t>82,000</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517" w:type="dxa"/>
            <w:tcBorders/>
            <w:shd w:fill="CCEEFF" w:val="clear"/>
            <w:tcMar>
              <w:bottom w:w="0" w:type="dxa"/>
            </w:tcMar>
            <w:vAlign w:val="center"/>
          </w:tcPr>
          <w:p>
            <w:pPr>
              <w:pStyle w:val="TableContents"/>
              <w:spacing w:before="0" w:after="283"/>
              <w:rPr/>
            </w:pPr>
            <w:r>
              <w:rPr/>
              <w:t>$</w:t>
            </w:r>
          </w:p>
        </w:tc>
        <w:tc>
          <w:tcPr>
            <w:tcW w:w="1436" w:type="dxa"/>
            <w:tcBorders/>
            <w:shd w:fill="CCEEFF" w:val="clear"/>
            <w:tcMar>
              <w:bottom w:w="0" w:type="dxa"/>
            </w:tcMar>
            <w:vAlign w:val="center"/>
          </w:tcPr>
          <w:p>
            <w:pPr>
              <w:pStyle w:val="TableContents"/>
              <w:spacing w:before="0" w:after="283"/>
              <w:jc w:val="right"/>
              <w:rPr/>
            </w:pPr>
            <w:r>
              <w:rPr/>
              <w:t>8.61</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357" w:type="dxa"/>
            <w:tcBorders/>
            <w:shd w:fill="CCEEFF" w:val="clear"/>
            <w:tcMar>
              <w:bottom w:w="0" w:type="dxa"/>
            </w:tcMar>
            <w:vAlign w:val="center"/>
          </w:tcPr>
          <w:p>
            <w:pPr>
              <w:pStyle w:val="TableContents"/>
              <w:spacing w:before="0" w:after="0"/>
              <w:ind w:left="0" w:right="0" w:hanging="0"/>
              <w:rPr/>
            </w:pPr>
            <w:r>
              <w:rPr/>
              <w:t> </w:t>
            </w:r>
          </w:p>
        </w:tc>
        <w:tc>
          <w:tcPr>
            <w:tcW w:w="1870" w:type="dxa"/>
            <w:tcBorders/>
            <w:shd w:fill="CCEEFF" w:val="clear"/>
            <w:tcMar>
              <w:bottom w:w="0" w:type="dxa"/>
            </w:tcMar>
            <w:vAlign w:val="center"/>
          </w:tcPr>
          <w:p>
            <w:pPr>
              <w:pStyle w:val="TableContents"/>
              <w:spacing w:before="0" w:after="283"/>
              <w:jc w:val="right"/>
              <w:rPr/>
            </w:pPr>
            <w:r>
              <w:rPr/>
              <w:t>3.38</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240" w:type="dxa"/>
            <w:tcBorders/>
            <w:shd w:fill="CCEEFF" w:val="clear"/>
            <w:tcMar>
              <w:bottom w:w="0" w:type="dxa"/>
            </w:tcMar>
            <w:vAlign w:val="center"/>
          </w:tcPr>
          <w:p>
            <w:pPr>
              <w:pStyle w:val="TableContents"/>
              <w:spacing w:before="0" w:after="283"/>
              <w:rPr/>
            </w:pPr>
            <w:r>
              <w:rPr/>
              <w:t>$</w:t>
            </w:r>
          </w:p>
        </w:tc>
        <w:tc>
          <w:tcPr>
            <w:tcW w:w="1280" w:type="dxa"/>
            <w:tcBorders/>
            <w:shd w:fill="CCEEFF" w:val="clear"/>
            <w:tcMar>
              <w:bottom w:w="0" w:type="dxa"/>
            </w:tcMar>
            <w:vAlign w:val="center"/>
          </w:tcPr>
          <w:p>
            <w:pPr>
              <w:pStyle w:val="TableContents"/>
              <w:spacing w:before="0" w:after="283"/>
              <w:jc w:val="right"/>
              <w:rPr/>
            </w:pPr>
            <w:r>
              <w:rPr/>
              <w:t>-</w:t>
            </w:r>
          </w:p>
        </w:tc>
        <w:tc>
          <w:tcPr>
            <w:tcW w:w="174" w:type="dxa"/>
            <w:tcBorders/>
            <w:shd w:fill="CCEEFF" w:val="clear"/>
            <w:tcMar>
              <w:bottom w:w="0" w:type="dxa"/>
            </w:tcMar>
            <w:vAlign w:val="center"/>
          </w:tcPr>
          <w:p>
            <w:pPr>
              <w:pStyle w:val="TableContents"/>
              <w:spacing w:before="0" w:after="0"/>
              <w:ind w:left="0" w:right="0" w:hanging="0"/>
              <w:rPr/>
            </w:pPr>
            <w:r>
              <w:rPr/>
              <w:t> </w:t>
            </w:r>
          </w:p>
        </w:tc>
      </w:tr>
      <w:tr>
        <w:trPr/>
        <w:tc>
          <w:tcPr>
            <w:tcW w:w="2523"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11" w:type="dxa"/>
            <w:tcBorders/>
            <w:shd w:fill="FFFFFF" w:val="clear"/>
            <w:tcMar>
              <w:bottom w:w="0" w:type="dxa"/>
            </w:tcMar>
            <w:vAlign w:val="center"/>
          </w:tcPr>
          <w:p>
            <w:pPr>
              <w:pStyle w:val="TableContents"/>
              <w:spacing w:before="0" w:after="0"/>
              <w:ind w:left="0" w:right="0" w:hanging="0"/>
              <w:rPr/>
            </w:pPr>
            <w:r>
              <w:rPr/>
              <w:t> </w:t>
            </w:r>
          </w:p>
        </w:tc>
        <w:tc>
          <w:tcPr>
            <w:tcW w:w="1032"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517" w:type="dxa"/>
            <w:tcBorders/>
            <w:shd w:fill="FFFFFF" w:val="clear"/>
            <w:tcMar>
              <w:bottom w:w="0" w:type="dxa"/>
            </w:tcMar>
            <w:vAlign w:val="center"/>
          </w:tcPr>
          <w:p>
            <w:pPr>
              <w:pStyle w:val="TableContents"/>
              <w:spacing w:before="0" w:after="0"/>
              <w:ind w:left="0" w:right="0" w:hanging="0"/>
              <w:rPr/>
            </w:pPr>
            <w:r>
              <w:rPr/>
              <w:t> </w:t>
            </w:r>
          </w:p>
        </w:tc>
        <w:tc>
          <w:tcPr>
            <w:tcW w:w="1436"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357" w:type="dxa"/>
            <w:tcBorders/>
            <w:shd w:fill="FFFFFF" w:val="clear"/>
            <w:tcMar>
              <w:bottom w:w="0" w:type="dxa"/>
            </w:tcMar>
            <w:vAlign w:val="center"/>
          </w:tcPr>
          <w:p>
            <w:pPr>
              <w:pStyle w:val="TableContents"/>
              <w:spacing w:before="0" w:after="0"/>
              <w:ind w:left="0" w:right="0" w:hanging="0"/>
              <w:rPr/>
            </w:pPr>
            <w:r>
              <w:rPr/>
              <w:t> </w:t>
            </w:r>
          </w:p>
        </w:tc>
        <w:tc>
          <w:tcPr>
            <w:tcW w:w="187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240" w:type="dxa"/>
            <w:tcBorders/>
            <w:shd w:fill="FFFFFF" w:val="clear"/>
            <w:tcMar>
              <w:bottom w:w="0" w:type="dxa"/>
            </w:tcMar>
            <w:vAlign w:val="center"/>
          </w:tcPr>
          <w:p>
            <w:pPr>
              <w:pStyle w:val="TableContents"/>
              <w:spacing w:before="0" w:after="0"/>
              <w:ind w:left="0" w:right="0" w:hanging="0"/>
              <w:rPr/>
            </w:pPr>
            <w:r>
              <w:rPr/>
              <w:t> </w:t>
            </w:r>
          </w:p>
        </w:tc>
        <w:tc>
          <w:tcPr>
            <w:tcW w:w="1280" w:type="dxa"/>
            <w:tcBorders/>
            <w:shd w:fill="FFFFFF" w:val="clear"/>
            <w:tcMar>
              <w:bottom w:w="0" w:type="dxa"/>
            </w:tcMar>
            <w:vAlign w:val="center"/>
          </w:tcPr>
          <w:p>
            <w:pPr>
              <w:pStyle w:val="TableContents"/>
              <w:spacing w:before="0" w:after="0"/>
              <w:ind w:left="0" w:right="0" w:hanging="0"/>
              <w:rPr/>
            </w:pPr>
            <w:r>
              <w:rPr/>
              <w:t> </w:t>
            </w:r>
          </w:p>
        </w:tc>
        <w:tc>
          <w:tcPr>
            <w:tcW w:w="174" w:type="dxa"/>
            <w:tcBorders/>
            <w:shd w:fill="FFFFFF" w:val="clear"/>
            <w:tcMar>
              <w:bottom w:w="0" w:type="dxa"/>
            </w:tcMar>
            <w:vAlign w:val="center"/>
          </w:tcPr>
          <w:p>
            <w:pPr>
              <w:pStyle w:val="TableContents"/>
              <w:spacing w:before="0" w:after="0"/>
              <w:ind w:left="0" w:right="0" w:hanging="0"/>
              <w:rPr/>
            </w:pPr>
            <w:r>
              <w:rPr/>
              <w:t> </w:t>
            </w:r>
          </w:p>
        </w:tc>
      </w:tr>
      <w:tr>
        <w:trPr/>
        <w:tc>
          <w:tcPr>
            <w:tcW w:w="2523" w:type="dxa"/>
            <w:tcBorders/>
            <w:shd w:fill="CCEEFF"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Granted</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11" w:type="dxa"/>
            <w:tcBorders/>
            <w:shd w:fill="CCEEFF" w:val="clear"/>
            <w:tcMar>
              <w:bottom w:w="0" w:type="dxa"/>
            </w:tcMar>
            <w:vAlign w:val="center"/>
          </w:tcPr>
          <w:p>
            <w:pPr>
              <w:pStyle w:val="TableContents"/>
              <w:spacing w:before="0" w:after="0"/>
              <w:ind w:left="0" w:right="0" w:hanging="0"/>
              <w:rPr/>
            </w:pPr>
            <w:r>
              <w:rPr/>
              <w:t> </w:t>
            </w:r>
          </w:p>
        </w:tc>
        <w:tc>
          <w:tcPr>
            <w:tcW w:w="1032" w:type="dxa"/>
            <w:tcBorders/>
            <w:shd w:fill="CCEEFF" w:val="clear"/>
            <w:tcMar>
              <w:bottom w:w="0" w:type="dxa"/>
            </w:tcMar>
            <w:vAlign w:val="center"/>
          </w:tcPr>
          <w:p>
            <w:pPr>
              <w:pStyle w:val="TableContents"/>
              <w:spacing w:before="0" w:after="283"/>
              <w:jc w:val="right"/>
              <w:rPr/>
            </w:pPr>
            <w:r>
              <w:rPr/>
              <w:t>74,523</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517" w:type="dxa"/>
            <w:tcBorders/>
            <w:shd w:fill="CCEEFF" w:val="clear"/>
            <w:tcMar>
              <w:bottom w:w="0" w:type="dxa"/>
            </w:tcMar>
            <w:vAlign w:val="center"/>
          </w:tcPr>
          <w:p>
            <w:pPr>
              <w:pStyle w:val="TableContents"/>
              <w:spacing w:before="0" w:after="283"/>
              <w:rPr/>
            </w:pPr>
            <w:r>
              <w:rPr/>
              <w:t>$</w:t>
            </w:r>
          </w:p>
        </w:tc>
        <w:tc>
          <w:tcPr>
            <w:tcW w:w="1436" w:type="dxa"/>
            <w:tcBorders/>
            <w:shd w:fill="CCEEFF" w:val="clear"/>
            <w:tcMar>
              <w:bottom w:w="0" w:type="dxa"/>
            </w:tcMar>
            <w:vAlign w:val="center"/>
          </w:tcPr>
          <w:p>
            <w:pPr>
              <w:pStyle w:val="TableContents"/>
              <w:spacing w:before="0" w:after="283"/>
              <w:jc w:val="right"/>
              <w:rPr/>
            </w:pPr>
            <w:r>
              <w:rPr/>
              <w:t>7.96</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357" w:type="dxa"/>
            <w:tcBorders/>
            <w:shd w:fill="CCEEFF" w:val="clear"/>
            <w:tcMar>
              <w:bottom w:w="0" w:type="dxa"/>
            </w:tcMar>
            <w:vAlign w:val="center"/>
          </w:tcPr>
          <w:p>
            <w:pPr>
              <w:pStyle w:val="TableContents"/>
              <w:spacing w:before="0" w:after="0"/>
              <w:ind w:left="0" w:right="0" w:hanging="0"/>
              <w:rPr/>
            </w:pPr>
            <w:r>
              <w:rPr/>
              <w:t> </w:t>
            </w:r>
          </w:p>
        </w:tc>
        <w:tc>
          <w:tcPr>
            <w:tcW w:w="1870" w:type="dxa"/>
            <w:tcBorders/>
            <w:shd w:fill="CCEEFF" w:val="clear"/>
            <w:tcMar>
              <w:bottom w:w="0" w:type="dxa"/>
            </w:tcMar>
            <w:vAlign w:val="center"/>
          </w:tcPr>
          <w:p>
            <w:pPr>
              <w:pStyle w:val="TableContents"/>
              <w:spacing w:before="0" w:after="283"/>
              <w:jc w:val="right"/>
              <w:rPr/>
            </w:pPr>
            <w:r>
              <w:rPr/>
              <w:t>4.08</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240" w:type="dxa"/>
            <w:tcBorders/>
            <w:shd w:fill="CCEEFF" w:val="clear"/>
            <w:tcMar>
              <w:bottom w:w="0" w:type="dxa"/>
            </w:tcMar>
            <w:vAlign w:val="center"/>
          </w:tcPr>
          <w:p>
            <w:pPr>
              <w:pStyle w:val="TableContents"/>
              <w:spacing w:before="0" w:after="283"/>
              <w:rPr/>
            </w:pPr>
            <w:r>
              <w:rPr/>
              <w:t>$</w:t>
            </w:r>
          </w:p>
        </w:tc>
        <w:tc>
          <w:tcPr>
            <w:tcW w:w="1280" w:type="dxa"/>
            <w:tcBorders/>
            <w:shd w:fill="CCEEFF" w:val="clear"/>
            <w:tcMar>
              <w:bottom w:w="0" w:type="dxa"/>
            </w:tcMar>
            <w:vAlign w:val="center"/>
          </w:tcPr>
          <w:p>
            <w:pPr>
              <w:pStyle w:val="TableContents"/>
              <w:spacing w:before="0" w:after="283"/>
              <w:jc w:val="right"/>
              <w:rPr/>
            </w:pPr>
            <w:r>
              <w:rPr/>
              <w:t>-</w:t>
            </w:r>
          </w:p>
        </w:tc>
        <w:tc>
          <w:tcPr>
            <w:tcW w:w="174" w:type="dxa"/>
            <w:tcBorders/>
            <w:shd w:fill="CCEEFF" w:val="clear"/>
            <w:tcMar>
              <w:bottom w:w="0" w:type="dxa"/>
            </w:tcMar>
            <w:vAlign w:val="center"/>
          </w:tcPr>
          <w:p>
            <w:pPr>
              <w:pStyle w:val="TableContents"/>
              <w:spacing w:before="0" w:after="0"/>
              <w:ind w:left="0" w:right="0" w:hanging="0"/>
              <w:rPr/>
            </w:pPr>
            <w:r>
              <w:rPr/>
              <w:t> </w:t>
            </w:r>
          </w:p>
        </w:tc>
      </w:tr>
      <w:tr>
        <w:trPr/>
        <w:tc>
          <w:tcPr>
            <w:tcW w:w="2523" w:type="dxa"/>
            <w:tcBorders/>
            <w:shd w:fill="FFFFFF"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Exercised</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11" w:type="dxa"/>
            <w:tcBorders/>
            <w:shd w:fill="FFFFFF" w:val="clear"/>
            <w:tcMar>
              <w:bottom w:w="0" w:type="dxa"/>
            </w:tcMar>
            <w:vAlign w:val="center"/>
          </w:tcPr>
          <w:p>
            <w:pPr>
              <w:pStyle w:val="TableContents"/>
              <w:spacing w:before="0" w:after="0"/>
              <w:ind w:left="0" w:right="0" w:hanging="0"/>
              <w:rPr/>
            </w:pPr>
            <w:r>
              <w:rPr/>
              <w:t> </w:t>
            </w:r>
          </w:p>
        </w:tc>
        <w:tc>
          <w:tcPr>
            <w:tcW w:w="1032" w:type="dxa"/>
            <w:tcBorders/>
            <w:shd w:fill="FFFFFF" w:val="clear"/>
            <w:tcMar>
              <w:bottom w:w="0" w:type="dxa"/>
            </w:tcMar>
            <w:vAlign w:val="center"/>
          </w:tcPr>
          <w:p>
            <w:pPr>
              <w:pStyle w:val="TableContents"/>
              <w:spacing w:before="0" w:after="283"/>
              <w:jc w:val="right"/>
              <w:rPr/>
            </w:pPr>
            <w:r>
              <w:rPr/>
              <w:t>-</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517" w:type="dxa"/>
            <w:tcBorders/>
            <w:shd w:fill="FFFFFF" w:val="clear"/>
            <w:tcMar>
              <w:bottom w:w="0" w:type="dxa"/>
            </w:tcMar>
            <w:vAlign w:val="center"/>
          </w:tcPr>
          <w:p>
            <w:pPr>
              <w:pStyle w:val="TableContents"/>
              <w:spacing w:before="0" w:after="283"/>
              <w:rPr/>
            </w:pPr>
            <w:r>
              <w:rPr/>
              <w:t>$</w:t>
            </w:r>
          </w:p>
        </w:tc>
        <w:tc>
          <w:tcPr>
            <w:tcW w:w="1436" w:type="dxa"/>
            <w:tcBorders/>
            <w:shd w:fill="FFFFFF" w:val="clear"/>
            <w:tcMar>
              <w:bottom w:w="0" w:type="dxa"/>
            </w:tcMar>
            <w:vAlign w:val="center"/>
          </w:tcPr>
          <w:p>
            <w:pPr>
              <w:pStyle w:val="TableContents"/>
              <w:spacing w:before="0" w:after="283"/>
              <w:jc w:val="right"/>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357" w:type="dxa"/>
            <w:tcBorders/>
            <w:shd w:fill="FFFFFF" w:val="clear"/>
            <w:tcMar>
              <w:bottom w:w="0" w:type="dxa"/>
            </w:tcMar>
            <w:vAlign w:val="center"/>
          </w:tcPr>
          <w:p>
            <w:pPr>
              <w:pStyle w:val="TableContents"/>
              <w:spacing w:before="0" w:after="0"/>
              <w:ind w:left="0" w:right="0" w:hanging="0"/>
              <w:rPr/>
            </w:pPr>
            <w:r>
              <w:rPr/>
              <w:t> </w:t>
            </w:r>
          </w:p>
        </w:tc>
        <w:tc>
          <w:tcPr>
            <w:tcW w:w="1870" w:type="dxa"/>
            <w:tcBorders/>
            <w:shd w:fill="FFFFFF" w:val="clear"/>
            <w:tcMar>
              <w:bottom w:w="0" w:type="dxa"/>
            </w:tcMar>
            <w:vAlign w:val="center"/>
          </w:tcPr>
          <w:p>
            <w:pPr>
              <w:pStyle w:val="TableContents"/>
              <w:spacing w:before="0" w:after="283"/>
              <w:jc w:val="right"/>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240" w:type="dxa"/>
            <w:tcBorders/>
            <w:shd w:fill="FFFFFF" w:val="clear"/>
            <w:tcMar>
              <w:bottom w:w="0" w:type="dxa"/>
            </w:tcMar>
            <w:vAlign w:val="center"/>
          </w:tcPr>
          <w:p>
            <w:pPr>
              <w:pStyle w:val="TableContents"/>
              <w:spacing w:before="0" w:after="283"/>
              <w:rPr/>
            </w:pPr>
            <w:r>
              <w:rPr/>
              <w:t>$</w:t>
            </w:r>
          </w:p>
        </w:tc>
        <w:tc>
          <w:tcPr>
            <w:tcW w:w="1280" w:type="dxa"/>
            <w:tcBorders/>
            <w:shd w:fill="FFFFFF" w:val="clear"/>
            <w:tcMar>
              <w:bottom w:w="0" w:type="dxa"/>
            </w:tcMar>
            <w:vAlign w:val="center"/>
          </w:tcPr>
          <w:p>
            <w:pPr>
              <w:pStyle w:val="TableContents"/>
              <w:spacing w:before="0" w:after="283"/>
              <w:jc w:val="right"/>
              <w:rPr/>
            </w:pPr>
            <w:r>
              <w:rPr/>
              <w:t>-</w:t>
            </w:r>
          </w:p>
        </w:tc>
        <w:tc>
          <w:tcPr>
            <w:tcW w:w="174" w:type="dxa"/>
            <w:tcBorders/>
            <w:shd w:fill="FFFFFF" w:val="clear"/>
            <w:tcMar>
              <w:bottom w:w="0" w:type="dxa"/>
            </w:tcMar>
            <w:vAlign w:val="center"/>
          </w:tcPr>
          <w:p>
            <w:pPr>
              <w:pStyle w:val="TableContents"/>
              <w:spacing w:before="0" w:after="0"/>
              <w:ind w:left="0" w:right="0" w:hanging="0"/>
              <w:rPr/>
            </w:pPr>
            <w:r>
              <w:rPr/>
              <w:t> </w:t>
            </w:r>
          </w:p>
        </w:tc>
      </w:tr>
      <w:tr>
        <w:trPr/>
        <w:tc>
          <w:tcPr>
            <w:tcW w:w="2523" w:type="dxa"/>
            <w:tcBorders/>
            <w:shd w:fill="CCEEFF"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Forfeited</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11" w:type="dxa"/>
            <w:tcBorders>
              <w:bottom w:val="single" w:sz="2" w:space="0" w:color="000000"/>
            </w:tcBorders>
            <w:shd w:fill="CCEEFF" w:val="clear"/>
            <w:vAlign w:val="center"/>
          </w:tcPr>
          <w:p>
            <w:pPr>
              <w:pStyle w:val="TableContents"/>
              <w:spacing w:before="0" w:after="0"/>
              <w:ind w:left="0" w:right="0" w:hanging="0"/>
              <w:rPr/>
            </w:pPr>
            <w:r>
              <w:rPr/>
              <w:t> </w:t>
            </w:r>
          </w:p>
        </w:tc>
        <w:tc>
          <w:tcPr>
            <w:tcW w:w="1032" w:type="dxa"/>
            <w:tcBorders>
              <w:bottom w:val="single" w:sz="2" w:space="0" w:color="000000"/>
            </w:tcBorders>
            <w:shd w:fill="CCEEFF" w:val="clear"/>
            <w:vAlign w:val="center"/>
          </w:tcPr>
          <w:p>
            <w:pPr>
              <w:pStyle w:val="TableContents"/>
              <w:spacing w:before="0" w:after="283"/>
              <w:jc w:val="right"/>
              <w:rPr/>
            </w:pPr>
            <w:r>
              <w:rPr/>
              <w:t>(36,557</w:t>
            </w:r>
          </w:p>
        </w:tc>
        <w:tc>
          <w:tcPr>
            <w:tcW w:w="125" w:type="dxa"/>
            <w:tcBorders/>
            <w:shd w:fill="CCEEFF" w:val="clear"/>
            <w:tcMar>
              <w:bottom w:w="0" w:type="dxa"/>
            </w:tcMar>
            <w:vAlign w:val="center"/>
          </w:tcPr>
          <w:p>
            <w:pPr>
              <w:pStyle w:val="TableContents"/>
              <w:spacing w:before="0" w:after="283"/>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517" w:type="dxa"/>
            <w:tcBorders/>
            <w:shd w:fill="CCEEFF" w:val="clear"/>
            <w:tcMar>
              <w:bottom w:w="0" w:type="dxa"/>
            </w:tcMar>
            <w:vAlign w:val="center"/>
          </w:tcPr>
          <w:p>
            <w:pPr>
              <w:pStyle w:val="TableContents"/>
              <w:spacing w:before="0" w:after="283"/>
              <w:rPr/>
            </w:pPr>
            <w:r>
              <w:rPr/>
              <w:t>$</w:t>
            </w:r>
          </w:p>
        </w:tc>
        <w:tc>
          <w:tcPr>
            <w:tcW w:w="1436" w:type="dxa"/>
            <w:tcBorders/>
            <w:shd w:fill="CCEEFF" w:val="clear"/>
            <w:tcMar>
              <w:bottom w:w="0" w:type="dxa"/>
            </w:tcMar>
            <w:vAlign w:val="center"/>
          </w:tcPr>
          <w:p>
            <w:pPr>
              <w:pStyle w:val="TableContents"/>
              <w:spacing w:before="0" w:after="283"/>
              <w:jc w:val="right"/>
              <w:rPr/>
            </w:pPr>
            <w:r>
              <w:rPr/>
              <w:t>8.43</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357" w:type="dxa"/>
            <w:tcBorders/>
            <w:shd w:fill="CCEEFF" w:val="clear"/>
            <w:tcMar>
              <w:bottom w:w="0" w:type="dxa"/>
            </w:tcMar>
            <w:vAlign w:val="center"/>
          </w:tcPr>
          <w:p>
            <w:pPr>
              <w:pStyle w:val="TableContents"/>
              <w:spacing w:before="0" w:after="0"/>
              <w:ind w:left="0" w:right="0" w:hanging="0"/>
              <w:rPr/>
            </w:pPr>
            <w:r>
              <w:rPr/>
              <w:t> </w:t>
            </w:r>
          </w:p>
        </w:tc>
        <w:tc>
          <w:tcPr>
            <w:tcW w:w="1870" w:type="dxa"/>
            <w:tcBorders/>
            <w:shd w:fill="CCEEFF" w:val="clear"/>
            <w:tcMar>
              <w:bottom w:w="0" w:type="dxa"/>
            </w:tcMar>
            <w:vAlign w:val="center"/>
          </w:tcPr>
          <w:p>
            <w:pPr>
              <w:pStyle w:val="TableContents"/>
              <w:spacing w:before="0" w:after="283"/>
              <w:jc w:val="right"/>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240" w:type="dxa"/>
            <w:tcBorders/>
            <w:shd w:fill="CCEEFF" w:val="clear"/>
            <w:tcMar>
              <w:bottom w:w="0" w:type="dxa"/>
            </w:tcMar>
            <w:vAlign w:val="center"/>
          </w:tcPr>
          <w:p>
            <w:pPr>
              <w:pStyle w:val="TableContents"/>
              <w:spacing w:before="0" w:after="283"/>
              <w:rPr/>
            </w:pPr>
            <w:r>
              <w:rPr/>
              <w:t>$</w:t>
            </w:r>
          </w:p>
        </w:tc>
        <w:tc>
          <w:tcPr>
            <w:tcW w:w="1280" w:type="dxa"/>
            <w:tcBorders/>
            <w:shd w:fill="CCEEFF" w:val="clear"/>
            <w:tcMar>
              <w:bottom w:w="0" w:type="dxa"/>
            </w:tcMar>
            <w:vAlign w:val="center"/>
          </w:tcPr>
          <w:p>
            <w:pPr>
              <w:pStyle w:val="TableContents"/>
              <w:spacing w:before="0" w:after="283"/>
              <w:jc w:val="right"/>
              <w:rPr/>
            </w:pPr>
            <w:r>
              <w:rPr/>
              <w:t>(308,340</w:t>
            </w:r>
          </w:p>
        </w:tc>
        <w:tc>
          <w:tcPr>
            <w:tcW w:w="174" w:type="dxa"/>
            <w:tcBorders/>
            <w:shd w:fill="CCEEFF" w:val="clear"/>
            <w:tcMar>
              <w:bottom w:w="0" w:type="dxa"/>
            </w:tcMar>
            <w:vAlign w:val="center"/>
          </w:tcPr>
          <w:p>
            <w:pPr>
              <w:pStyle w:val="TableContents"/>
              <w:spacing w:before="0" w:after="283"/>
              <w:rPr/>
            </w:pPr>
            <w:r>
              <w:rPr/>
              <w:t>)</w:t>
            </w:r>
          </w:p>
        </w:tc>
      </w:tr>
      <w:tr>
        <w:trPr/>
        <w:tc>
          <w:tcPr>
            <w:tcW w:w="2523"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11" w:type="dxa"/>
            <w:tcBorders/>
            <w:shd w:fill="FFFFFF" w:val="clear"/>
            <w:tcMar>
              <w:bottom w:w="0" w:type="dxa"/>
            </w:tcMar>
            <w:vAlign w:val="center"/>
          </w:tcPr>
          <w:p>
            <w:pPr>
              <w:pStyle w:val="TableContents"/>
              <w:spacing w:before="0" w:after="0"/>
              <w:ind w:left="0" w:right="0" w:hanging="0"/>
              <w:rPr/>
            </w:pPr>
            <w:r>
              <w:rPr/>
              <w:t> </w:t>
            </w:r>
          </w:p>
        </w:tc>
        <w:tc>
          <w:tcPr>
            <w:tcW w:w="1032"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517" w:type="dxa"/>
            <w:tcBorders/>
            <w:shd w:fill="FFFFFF" w:val="clear"/>
            <w:tcMar>
              <w:bottom w:w="0" w:type="dxa"/>
            </w:tcMar>
            <w:vAlign w:val="center"/>
          </w:tcPr>
          <w:p>
            <w:pPr>
              <w:pStyle w:val="TableContents"/>
              <w:spacing w:before="0" w:after="0"/>
              <w:ind w:left="0" w:right="0" w:hanging="0"/>
              <w:rPr/>
            </w:pPr>
            <w:r>
              <w:rPr/>
              <w:t> </w:t>
            </w:r>
          </w:p>
        </w:tc>
        <w:tc>
          <w:tcPr>
            <w:tcW w:w="1436"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357" w:type="dxa"/>
            <w:tcBorders/>
            <w:shd w:fill="FFFFFF" w:val="clear"/>
            <w:tcMar>
              <w:bottom w:w="0" w:type="dxa"/>
            </w:tcMar>
            <w:vAlign w:val="center"/>
          </w:tcPr>
          <w:p>
            <w:pPr>
              <w:pStyle w:val="TableContents"/>
              <w:spacing w:before="0" w:after="0"/>
              <w:ind w:left="0" w:right="0" w:hanging="0"/>
              <w:rPr/>
            </w:pPr>
            <w:r>
              <w:rPr/>
              <w:t> </w:t>
            </w:r>
          </w:p>
        </w:tc>
        <w:tc>
          <w:tcPr>
            <w:tcW w:w="187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240" w:type="dxa"/>
            <w:tcBorders/>
            <w:shd w:fill="FFFFFF" w:val="clear"/>
            <w:tcMar>
              <w:bottom w:w="0" w:type="dxa"/>
            </w:tcMar>
            <w:vAlign w:val="center"/>
          </w:tcPr>
          <w:p>
            <w:pPr>
              <w:pStyle w:val="TableContents"/>
              <w:spacing w:before="0" w:after="0"/>
              <w:ind w:left="0" w:right="0" w:hanging="0"/>
              <w:rPr/>
            </w:pPr>
            <w:r>
              <w:rPr/>
              <w:t> </w:t>
            </w:r>
          </w:p>
        </w:tc>
        <w:tc>
          <w:tcPr>
            <w:tcW w:w="1280" w:type="dxa"/>
            <w:tcBorders/>
            <w:shd w:fill="FFFFFF" w:val="clear"/>
            <w:tcMar>
              <w:bottom w:w="0" w:type="dxa"/>
            </w:tcMar>
            <w:vAlign w:val="center"/>
          </w:tcPr>
          <w:p>
            <w:pPr>
              <w:pStyle w:val="TableContents"/>
              <w:spacing w:before="0" w:after="0"/>
              <w:ind w:left="0" w:right="0" w:hanging="0"/>
              <w:rPr/>
            </w:pPr>
            <w:r>
              <w:rPr/>
              <w:t> </w:t>
            </w:r>
          </w:p>
        </w:tc>
        <w:tc>
          <w:tcPr>
            <w:tcW w:w="174" w:type="dxa"/>
            <w:tcBorders/>
            <w:shd w:fill="FFFFFF" w:val="clear"/>
            <w:tcMar>
              <w:bottom w:w="0" w:type="dxa"/>
            </w:tcMar>
            <w:vAlign w:val="center"/>
          </w:tcPr>
          <w:p>
            <w:pPr>
              <w:pStyle w:val="TableContents"/>
              <w:spacing w:before="0" w:after="0"/>
              <w:ind w:left="0" w:right="0" w:hanging="0"/>
              <w:rPr/>
            </w:pPr>
            <w:r>
              <w:rPr/>
              <w:t> </w:t>
            </w:r>
          </w:p>
        </w:tc>
      </w:tr>
      <w:tr>
        <w:trPr/>
        <w:tc>
          <w:tcPr>
            <w:tcW w:w="2523" w:type="dxa"/>
            <w:tcBorders/>
            <w:shd w:fill="CCEEFF" w:val="clear"/>
            <w:tcMar>
              <w:bottom w:w="0" w:type="dxa"/>
            </w:tcMar>
            <w:vAlign w:val="center"/>
          </w:tcPr>
          <w:p>
            <w:pPr>
              <w:pStyle w:val="TableContents"/>
              <w:spacing w:before="0" w:after="283"/>
              <w:rPr/>
            </w:pPr>
            <w:r>
              <w:rPr/>
              <w:t>Outstanding at December 31, 2020</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11" w:type="dxa"/>
            <w:tcBorders>
              <w:bottom w:val="double" w:sz="5" w:space="0" w:color="000000"/>
            </w:tcBorders>
            <w:shd w:fill="CCEEFF" w:val="clear"/>
            <w:vAlign w:val="center"/>
          </w:tcPr>
          <w:p>
            <w:pPr>
              <w:pStyle w:val="TableContents"/>
              <w:spacing w:before="0" w:after="0"/>
              <w:ind w:left="0" w:right="0" w:hanging="0"/>
              <w:rPr/>
            </w:pPr>
            <w:r>
              <w:rPr/>
              <w:t> </w:t>
            </w:r>
          </w:p>
        </w:tc>
        <w:tc>
          <w:tcPr>
            <w:tcW w:w="1032" w:type="dxa"/>
            <w:tcBorders>
              <w:bottom w:val="double" w:sz="5" w:space="0" w:color="000000"/>
            </w:tcBorders>
            <w:shd w:fill="CCEEFF" w:val="clear"/>
            <w:vAlign w:val="center"/>
          </w:tcPr>
          <w:p>
            <w:pPr>
              <w:pStyle w:val="TableContents"/>
              <w:spacing w:before="0" w:after="283"/>
              <w:jc w:val="right"/>
              <w:rPr/>
            </w:pPr>
            <w:r>
              <w:rPr/>
              <w:t>119,966</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517" w:type="dxa"/>
            <w:tcBorders>
              <w:bottom w:val="double" w:sz="5" w:space="0" w:color="000000"/>
            </w:tcBorders>
            <w:shd w:fill="CCEEFF" w:val="clear"/>
            <w:vAlign w:val="center"/>
          </w:tcPr>
          <w:p>
            <w:pPr>
              <w:pStyle w:val="TableContents"/>
              <w:spacing w:before="0" w:after="283"/>
              <w:rPr/>
            </w:pPr>
            <w:r>
              <w:rPr/>
              <w:t>$</w:t>
            </w:r>
          </w:p>
        </w:tc>
        <w:tc>
          <w:tcPr>
            <w:tcW w:w="1436" w:type="dxa"/>
            <w:tcBorders>
              <w:bottom w:val="double" w:sz="5" w:space="0" w:color="000000"/>
            </w:tcBorders>
            <w:shd w:fill="CCEEFF" w:val="clear"/>
            <w:vAlign w:val="center"/>
          </w:tcPr>
          <w:p>
            <w:pPr>
              <w:pStyle w:val="TableContents"/>
              <w:spacing w:before="0" w:after="283"/>
              <w:jc w:val="right"/>
              <w:rPr/>
            </w:pPr>
            <w:r>
              <w:rPr/>
              <w:t>8.26</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357" w:type="dxa"/>
            <w:tcBorders>
              <w:bottom w:val="double" w:sz="5" w:space="0" w:color="000000"/>
            </w:tcBorders>
            <w:shd w:fill="CCEEFF" w:val="clear"/>
            <w:vAlign w:val="center"/>
          </w:tcPr>
          <w:p>
            <w:pPr>
              <w:pStyle w:val="TableContents"/>
              <w:spacing w:before="0" w:after="0"/>
              <w:ind w:left="0" w:right="0" w:hanging="0"/>
              <w:rPr/>
            </w:pPr>
            <w:r>
              <w:rPr/>
              <w:t> </w:t>
            </w:r>
          </w:p>
        </w:tc>
        <w:tc>
          <w:tcPr>
            <w:tcW w:w="1870" w:type="dxa"/>
            <w:tcBorders>
              <w:bottom w:val="double" w:sz="5" w:space="0" w:color="000000"/>
            </w:tcBorders>
            <w:shd w:fill="CCEEFF" w:val="clear"/>
            <w:vAlign w:val="center"/>
          </w:tcPr>
          <w:p>
            <w:pPr>
              <w:pStyle w:val="TableContents"/>
              <w:spacing w:before="0" w:after="283"/>
              <w:jc w:val="right"/>
              <w:rPr/>
            </w:pPr>
            <w:r>
              <w:rPr/>
              <w:t>3.55</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240" w:type="dxa"/>
            <w:tcBorders>
              <w:bottom w:val="double" w:sz="5" w:space="0" w:color="000000"/>
            </w:tcBorders>
            <w:shd w:fill="CCEEFF" w:val="clear"/>
            <w:vAlign w:val="center"/>
          </w:tcPr>
          <w:p>
            <w:pPr>
              <w:pStyle w:val="TableContents"/>
              <w:spacing w:before="0" w:after="283"/>
              <w:rPr/>
            </w:pPr>
            <w:r>
              <w:rPr/>
              <w:t>$</w:t>
            </w:r>
          </w:p>
        </w:tc>
        <w:tc>
          <w:tcPr>
            <w:tcW w:w="1280" w:type="dxa"/>
            <w:tcBorders>
              <w:bottom w:val="double" w:sz="5" w:space="0" w:color="000000"/>
            </w:tcBorders>
            <w:shd w:fill="CCEEFF" w:val="clear"/>
            <w:vAlign w:val="center"/>
          </w:tcPr>
          <w:p>
            <w:pPr>
              <w:pStyle w:val="TableContents"/>
              <w:spacing w:before="0" w:after="283"/>
              <w:jc w:val="right"/>
              <w:rPr/>
            </w:pPr>
            <w:r>
              <w:rPr/>
              <w:t>-</w:t>
            </w:r>
          </w:p>
        </w:tc>
        <w:tc>
          <w:tcPr>
            <w:tcW w:w="174" w:type="dxa"/>
            <w:tcBorders/>
            <w:shd w:fill="CCEEFF" w:val="clear"/>
            <w:tcMar>
              <w:bottom w:w="0" w:type="dxa"/>
            </w:tcMar>
            <w:vAlign w:val="center"/>
          </w:tcPr>
          <w:p>
            <w:pPr>
              <w:pStyle w:val="TableContents"/>
              <w:spacing w:before="0" w:after="0"/>
              <w:ind w:left="0" w:right="0" w:hanging="0"/>
              <w:rPr/>
            </w:pPr>
            <w:r>
              <w:rPr/>
              <w:t> </w:t>
            </w:r>
          </w:p>
        </w:tc>
      </w:tr>
      <w:tr>
        <w:trPr/>
        <w:tc>
          <w:tcPr>
            <w:tcW w:w="2523"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11" w:type="dxa"/>
            <w:tcBorders/>
            <w:shd w:fill="FFFFFF" w:val="clear"/>
            <w:tcMar>
              <w:bottom w:w="0" w:type="dxa"/>
            </w:tcMar>
            <w:vAlign w:val="center"/>
          </w:tcPr>
          <w:p>
            <w:pPr>
              <w:pStyle w:val="TableContents"/>
              <w:spacing w:before="0" w:after="0"/>
              <w:ind w:left="0" w:right="0" w:hanging="0"/>
              <w:rPr/>
            </w:pPr>
            <w:r>
              <w:rPr/>
              <w:t> </w:t>
            </w:r>
          </w:p>
        </w:tc>
        <w:tc>
          <w:tcPr>
            <w:tcW w:w="1032"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517" w:type="dxa"/>
            <w:tcBorders/>
            <w:shd w:fill="FFFFFF" w:val="clear"/>
            <w:tcMar>
              <w:bottom w:w="0" w:type="dxa"/>
            </w:tcMar>
            <w:vAlign w:val="center"/>
          </w:tcPr>
          <w:p>
            <w:pPr>
              <w:pStyle w:val="TableContents"/>
              <w:spacing w:before="0" w:after="0"/>
              <w:ind w:left="0" w:right="0" w:hanging="0"/>
              <w:rPr/>
            </w:pPr>
            <w:r>
              <w:rPr/>
              <w:t> </w:t>
            </w:r>
          </w:p>
        </w:tc>
        <w:tc>
          <w:tcPr>
            <w:tcW w:w="1436"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357" w:type="dxa"/>
            <w:tcBorders/>
            <w:shd w:fill="FFFFFF" w:val="clear"/>
            <w:tcMar>
              <w:bottom w:w="0" w:type="dxa"/>
            </w:tcMar>
            <w:vAlign w:val="center"/>
          </w:tcPr>
          <w:p>
            <w:pPr>
              <w:pStyle w:val="TableContents"/>
              <w:spacing w:before="0" w:after="0"/>
              <w:ind w:left="0" w:right="0" w:hanging="0"/>
              <w:rPr/>
            </w:pPr>
            <w:r>
              <w:rPr/>
              <w:t> </w:t>
            </w:r>
          </w:p>
        </w:tc>
        <w:tc>
          <w:tcPr>
            <w:tcW w:w="187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240" w:type="dxa"/>
            <w:tcBorders/>
            <w:shd w:fill="FFFFFF" w:val="clear"/>
            <w:tcMar>
              <w:bottom w:w="0" w:type="dxa"/>
            </w:tcMar>
            <w:vAlign w:val="center"/>
          </w:tcPr>
          <w:p>
            <w:pPr>
              <w:pStyle w:val="TableContents"/>
              <w:spacing w:before="0" w:after="0"/>
              <w:ind w:left="0" w:right="0" w:hanging="0"/>
              <w:rPr/>
            </w:pPr>
            <w:r>
              <w:rPr/>
              <w:t> </w:t>
            </w:r>
          </w:p>
        </w:tc>
        <w:tc>
          <w:tcPr>
            <w:tcW w:w="1280" w:type="dxa"/>
            <w:tcBorders/>
            <w:shd w:fill="FFFFFF" w:val="clear"/>
            <w:tcMar>
              <w:bottom w:w="0" w:type="dxa"/>
            </w:tcMar>
            <w:vAlign w:val="center"/>
          </w:tcPr>
          <w:p>
            <w:pPr>
              <w:pStyle w:val="TableContents"/>
              <w:spacing w:before="0" w:after="0"/>
              <w:ind w:left="0" w:right="0" w:hanging="0"/>
              <w:rPr/>
            </w:pPr>
            <w:r>
              <w:rPr/>
              <w:t> </w:t>
            </w:r>
          </w:p>
        </w:tc>
        <w:tc>
          <w:tcPr>
            <w:tcW w:w="174" w:type="dxa"/>
            <w:tcBorders/>
            <w:shd w:fill="FFFFFF" w:val="clear"/>
            <w:tcMar>
              <w:bottom w:w="0" w:type="dxa"/>
            </w:tcMar>
            <w:vAlign w:val="center"/>
          </w:tcPr>
          <w:p>
            <w:pPr>
              <w:pStyle w:val="TableContents"/>
              <w:spacing w:before="0" w:after="0"/>
              <w:ind w:left="0" w:right="0" w:hanging="0"/>
              <w:rPr/>
            </w:pPr>
            <w:r>
              <w:rPr/>
              <w:t> </w:t>
            </w:r>
          </w:p>
        </w:tc>
      </w:tr>
      <w:tr>
        <w:trPr/>
        <w:tc>
          <w:tcPr>
            <w:tcW w:w="2523" w:type="dxa"/>
            <w:tcBorders/>
            <w:shd w:fill="CCEEFF" w:val="clear"/>
            <w:tcMar>
              <w:bottom w:w="0" w:type="dxa"/>
            </w:tcMar>
            <w:vAlign w:val="center"/>
          </w:tcPr>
          <w:p>
            <w:pPr>
              <w:pStyle w:val="TableContents"/>
              <w:spacing w:before="0" w:after="283"/>
              <w:rPr/>
            </w:pPr>
            <w:r>
              <w:rPr/>
              <w:t>Vested and Exercisable at December 31, 2020</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11" w:type="dxa"/>
            <w:tcBorders>
              <w:bottom w:val="double" w:sz="5" w:space="0" w:color="000000"/>
            </w:tcBorders>
            <w:shd w:fill="CCEEFF" w:val="clear"/>
            <w:vAlign w:val="center"/>
          </w:tcPr>
          <w:p>
            <w:pPr>
              <w:pStyle w:val="TableContents"/>
              <w:spacing w:before="0" w:after="0"/>
              <w:ind w:left="0" w:right="0" w:hanging="0"/>
              <w:rPr/>
            </w:pPr>
            <w:r>
              <w:rPr/>
              <w:t> </w:t>
            </w:r>
          </w:p>
        </w:tc>
        <w:tc>
          <w:tcPr>
            <w:tcW w:w="1032" w:type="dxa"/>
            <w:tcBorders>
              <w:bottom w:val="double" w:sz="5" w:space="0" w:color="000000"/>
            </w:tcBorders>
            <w:shd w:fill="CCEEFF" w:val="clear"/>
            <w:vAlign w:val="center"/>
          </w:tcPr>
          <w:p>
            <w:pPr>
              <w:pStyle w:val="TableContents"/>
              <w:spacing w:before="0" w:after="283"/>
              <w:jc w:val="right"/>
              <w:rPr/>
            </w:pPr>
            <w:r>
              <w:rPr/>
              <w:t>50,000</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517" w:type="dxa"/>
            <w:tcBorders>
              <w:bottom w:val="double" w:sz="5" w:space="0" w:color="000000"/>
            </w:tcBorders>
            <w:shd w:fill="CCEEFF" w:val="clear"/>
            <w:vAlign w:val="center"/>
          </w:tcPr>
          <w:p>
            <w:pPr>
              <w:pStyle w:val="TableContents"/>
              <w:spacing w:before="0" w:after="283"/>
              <w:rPr/>
            </w:pPr>
            <w:r>
              <w:rPr/>
              <w:t>$</w:t>
            </w:r>
          </w:p>
        </w:tc>
        <w:tc>
          <w:tcPr>
            <w:tcW w:w="1436" w:type="dxa"/>
            <w:tcBorders>
              <w:bottom w:val="double" w:sz="5" w:space="0" w:color="000000"/>
            </w:tcBorders>
            <w:shd w:fill="CCEEFF" w:val="clear"/>
            <w:vAlign w:val="center"/>
          </w:tcPr>
          <w:p>
            <w:pPr>
              <w:pStyle w:val="TableContents"/>
              <w:spacing w:before="0" w:after="283"/>
              <w:jc w:val="right"/>
              <w:rPr/>
            </w:pPr>
            <w:r>
              <w:rPr/>
              <w:t>8.45</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357" w:type="dxa"/>
            <w:tcBorders>
              <w:bottom w:val="double" w:sz="5" w:space="0" w:color="000000"/>
            </w:tcBorders>
            <w:shd w:fill="CCEEFF" w:val="clear"/>
            <w:vAlign w:val="center"/>
          </w:tcPr>
          <w:p>
            <w:pPr>
              <w:pStyle w:val="TableContents"/>
              <w:spacing w:before="0" w:after="0"/>
              <w:ind w:left="0" w:right="0" w:hanging="0"/>
              <w:rPr/>
            </w:pPr>
            <w:r>
              <w:rPr/>
              <w:t> </w:t>
            </w:r>
          </w:p>
        </w:tc>
        <w:tc>
          <w:tcPr>
            <w:tcW w:w="1870" w:type="dxa"/>
            <w:tcBorders>
              <w:bottom w:val="double" w:sz="5" w:space="0" w:color="000000"/>
            </w:tcBorders>
            <w:shd w:fill="CCEEFF" w:val="clear"/>
            <w:vAlign w:val="center"/>
          </w:tcPr>
          <w:p>
            <w:pPr>
              <w:pStyle w:val="TableContents"/>
              <w:spacing w:before="0" w:after="283"/>
              <w:jc w:val="right"/>
              <w:rPr/>
            </w:pPr>
            <w:r>
              <w:rPr/>
              <w:t>1.05</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240" w:type="dxa"/>
            <w:tcBorders>
              <w:bottom w:val="double" w:sz="5" w:space="0" w:color="000000"/>
            </w:tcBorders>
            <w:shd w:fill="CCEEFF" w:val="clear"/>
            <w:vAlign w:val="center"/>
          </w:tcPr>
          <w:p>
            <w:pPr>
              <w:pStyle w:val="TableContents"/>
              <w:spacing w:before="0" w:after="283"/>
              <w:rPr/>
            </w:pPr>
            <w:r>
              <w:rPr/>
              <w:t>$</w:t>
            </w:r>
          </w:p>
        </w:tc>
        <w:tc>
          <w:tcPr>
            <w:tcW w:w="1280" w:type="dxa"/>
            <w:tcBorders>
              <w:bottom w:val="double" w:sz="5" w:space="0" w:color="000000"/>
            </w:tcBorders>
            <w:shd w:fill="CCEEFF" w:val="clear"/>
            <w:vAlign w:val="center"/>
          </w:tcPr>
          <w:p>
            <w:pPr>
              <w:pStyle w:val="TableContents"/>
              <w:spacing w:before="0" w:after="283"/>
              <w:jc w:val="right"/>
              <w:rPr/>
            </w:pPr>
            <w:r>
              <w:rPr/>
              <w:t>-</w:t>
            </w:r>
          </w:p>
        </w:tc>
        <w:tc>
          <w:tcPr>
            <w:tcW w:w="174" w:type="dxa"/>
            <w:tcBorders/>
            <w:shd w:fill="CCEEFF" w:val="clear"/>
            <w:tcMar>
              <w:bottom w:w="0" w:type="dxa"/>
            </w:tcM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F-42</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2020 AND 2019</w:t>
      </w:r>
    </w:p>
    <w:p>
      <w:pPr>
        <w:pStyle w:val="TextBody"/>
        <w:spacing w:before="0" w:after="0"/>
        <w:ind w:left="0" w:right="0" w:hanging="0"/>
        <w:jc w:val="center"/>
        <w:rPr/>
      </w:pPr>
      <w:r>
        <w:rPr>
          <w:rStyle w:val="StrongEmphasis"/>
        </w:rPr>
        <w:t> </w:t>
      </w:r>
    </w:p>
    <w:p>
      <w:pPr>
        <w:pStyle w:val="TextBody"/>
        <w:spacing w:before="0" w:after="0"/>
        <w:ind w:left="0" w:right="0" w:hanging="0"/>
        <w:jc w:val="both"/>
        <w:rPr>
          <w:rFonts w:ascii="times new roman" w:hAnsi="times new roman"/>
          <w:sz w:val="20"/>
        </w:rPr>
      </w:pPr>
      <w:r>
        <w:rPr>
          <w:rFonts w:ascii="times new roman" w:hAnsi="times new roman"/>
          <w:sz w:val="20"/>
        </w:rPr>
        <w:t>The aggregate intrinsic value of options outstanding and options exercisable at December 31, 2020 is calculated as the difference between the exercise price of the underlying options and the market price of the Company’s Common Stock for the options that had exercise prices that were lower than the $6.65 closing price of the Company’s Common Stock on December 31, 2020. No options were exercised during the year ended December 31, 2020. The total intrinsic value of options forfeited during the year ended December 31, 2020 was $-0-, determined as of the date of forfeiture.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Participants in the 2014 Plan may exercise their outstanding vested options, in whole or in part, by having the Company reduce the number of shares otherwise issuable by a number of shares having a fair market value equal to the exercise price of the option being exercised (“Net Exercise”), or by exchanging a number of shares owned for a period of greater than one year having a fair market value equal to the exercise price of the option being exercised (“Share Exchange”). The Company received cash proceeds of $23,550 from the exercise of options for the purchase of 3,000 shares of common stock during the year ended December 31, 2019.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As of December 31, 2020, the estimated fair value of unamortized compensation cost related to unvested stock option awards was approximately $64,000. Unamortized compensation cost as of December 31, 2020 is expected to be recognized over a remaining weighted-average vesting period of 1.27 years.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December 31, 2020, there were 843,316 shares reserved for grants under the 2014 Plan.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Restricted Stock Awards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 summary of the restricted Common Stock activity under the Company’s 2014 Plan for the year ended December 31, 2020 is as follows:</w:t>
      </w:r>
    </w:p>
    <w:p>
      <w:pPr>
        <w:pStyle w:val="TextBody"/>
        <w:spacing w:before="0" w:after="0"/>
        <w:ind w:left="0" w:right="0" w:hanging="0"/>
        <w:jc w:val="both"/>
        <w:rPr/>
      </w:pPr>
      <w:r>
        <w:rPr/>
        <w:t>  </w:t>
      </w:r>
    </w:p>
    <w:p>
      <w:pPr>
        <w:pStyle w:val="TextBody"/>
        <w:spacing w:before="0" w:after="0"/>
        <w:ind w:left="0" w:right="0" w:hanging="0"/>
        <w:rPr/>
      </w:pPr>
      <w:r>
        <w:rPr/>
        <w:t> </w:t>
      </w:r>
    </w:p>
    <w:p>
      <w:pPr>
        <w:pStyle w:val="TextBody"/>
        <w:spacing w:before="0" w:after="0"/>
        <w:ind w:left="0" w:right="0" w:hanging="0"/>
        <w:rPr/>
      </w:pPr>
      <w:r>
        <w:rPr/>
        <w:t> </w:t>
      </w:r>
    </w:p>
    <w:tbl>
      <w:tblPr>
        <w:tblW w:w="10205" w:type="dxa"/>
        <w:jc w:val="left"/>
        <w:tblInd w:w="0" w:type="dxa"/>
        <w:tblCellMar>
          <w:top w:w="0" w:type="dxa"/>
          <w:left w:w="0" w:type="dxa"/>
          <w:bottom w:w="28" w:type="dxa"/>
          <w:right w:w="0" w:type="dxa"/>
        </w:tblCellMar>
      </w:tblPr>
      <w:tblGrid>
        <w:gridCol w:w="2524"/>
        <w:gridCol w:w="90"/>
        <w:gridCol w:w="90"/>
        <w:gridCol w:w="830"/>
        <w:gridCol w:w="125"/>
        <w:gridCol w:w="90"/>
        <w:gridCol w:w="943"/>
        <w:gridCol w:w="3288"/>
        <w:gridCol w:w="90"/>
        <w:gridCol w:w="90"/>
        <w:gridCol w:w="253"/>
        <w:gridCol w:w="1619"/>
        <w:gridCol w:w="173"/>
      </w:tblGrid>
      <w:tr>
        <w:trPr/>
        <w:tc>
          <w:tcPr>
            <w:tcW w:w="2524" w:type="dxa"/>
            <w:tcBorders>
              <w:bottom w:val="single" w:sz="2" w:space="0" w:color="000000"/>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Restricted Stock Awards</w:t>
            </w:r>
          </w:p>
        </w:tc>
        <w:tc>
          <w:tcPr>
            <w:tcW w:w="90" w:type="dxa"/>
            <w:tcBorders/>
            <w:shd w:fill="auto" w:val="clear"/>
            <w:tcMar>
              <w:bottom w:w="0" w:type="dxa"/>
            </w:tcMar>
            <w:vAlign w:val="center"/>
          </w:tcPr>
          <w:p>
            <w:pPr>
              <w:pStyle w:val="TableContents"/>
              <w:spacing w:before="0" w:after="0"/>
              <w:ind w:left="0" w:right="0" w:hanging="0"/>
              <w:rPr/>
            </w:pPr>
            <w:r>
              <w:rPr/>
              <w:t> </w:t>
            </w:r>
          </w:p>
        </w:tc>
        <w:tc>
          <w:tcPr>
            <w:tcW w:w="920" w:type="dxa"/>
            <w:gridSpan w:val="2"/>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Shares</w:t>
            </w:r>
          </w:p>
        </w:tc>
        <w:tc>
          <w:tcPr>
            <w:tcW w:w="1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4231" w:type="dxa"/>
            <w:gridSpan w:val="2"/>
            <w:tcBorders>
              <w:bottom w:val="single" w:sz="2" w:space="0" w:color="000000"/>
            </w:tcBorders>
            <w:shd w:fill="auto" w:val="clear"/>
            <w:vAlign w:val="center"/>
          </w:tcPr>
          <w:p>
            <w:pPr>
              <w:pStyle w:val="TableContents"/>
              <w:spacing w:before="0" w:after="0"/>
              <w:ind w:left="0" w:right="0" w:hanging="0"/>
              <w:jc w:val="center"/>
              <w:rPr/>
            </w:pPr>
            <w:r>
              <w:rPr/>
              <w:t> </w:t>
            </w:r>
            <w:r>
              <w:rPr>
                <w:rFonts w:ascii="times new roman" w:hAnsi="times new roman"/>
                <w:sz w:val="20"/>
              </w:rPr>
              <w:t xml:space="preserve">Weighted Average Grant Date Fair Value per Share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872" w:type="dxa"/>
            <w:gridSpan w:val="2"/>
            <w:tcBorders>
              <w:bottom w:val="single" w:sz="2" w:space="0" w:color="000000"/>
            </w:tcBorders>
            <w:shd w:fill="auto" w:val="clear"/>
            <w:vAlign w:val="center"/>
          </w:tcPr>
          <w:p>
            <w:pPr>
              <w:pStyle w:val="TableContents"/>
              <w:spacing w:before="0" w:after="0"/>
              <w:ind w:left="0" w:right="0" w:hanging="0"/>
              <w:jc w:val="center"/>
              <w:rPr/>
            </w:pPr>
            <w:r>
              <w:rPr/>
              <w:t> </w:t>
            </w:r>
            <w:r>
              <w:rPr>
                <w:rFonts w:ascii="times new roman" w:hAnsi="times new roman"/>
                <w:sz w:val="20"/>
              </w:rPr>
              <w:t xml:space="preserve">Aggregate Fair Value </w:t>
            </w:r>
          </w:p>
        </w:tc>
        <w:tc>
          <w:tcPr>
            <w:tcW w:w="173" w:type="dxa"/>
            <w:tcBorders/>
            <w:shd w:fill="auto" w:val="clear"/>
            <w:tcMar>
              <w:bottom w:w="0" w:type="dxa"/>
            </w:tcMar>
            <w:vAlign w:val="center"/>
          </w:tcPr>
          <w:p>
            <w:pPr>
              <w:pStyle w:val="TableContents"/>
              <w:spacing w:before="0" w:after="0"/>
              <w:ind w:left="0" w:right="0" w:hanging="0"/>
              <w:rPr/>
            </w:pPr>
            <w:r>
              <w:rPr/>
              <w:t> </w:t>
            </w:r>
          </w:p>
        </w:tc>
      </w:tr>
      <w:tr>
        <w:trPr/>
        <w:tc>
          <w:tcPr>
            <w:tcW w:w="2524"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920" w:type="dxa"/>
            <w:gridSpan w:val="2"/>
            <w:tcBorders/>
            <w:shd w:fill="auto" w:val="clear"/>
            <w:tcMar>
              <w:bottom w:w="0" w:type="dxa"/>
            </w:tcMar>
            <w:vAlign w:val="center"/>
          </w:tcPr>
          <w:p>
            <w:pPr>
              <w:pStyle w:val="TableContents"/>
              <w:spacing w:before="0" w:after="0"/>
              <w:ind w:left="0" w:right="0" w:hanging="0"/>
              <w:rPr/>
            </w:pPr>
            <w:r>
              <w:rPr/>
              <w:t> </w:t>
            </w:r>
          </w:p>
        </w:tc>
        <w:tc>
          <w:tcPr>
            <w:tcW w:w="1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4231" w:type="dxa"/>
            <w:gridSpan w:val="2"/>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872" w:type="dxa"/>
            <w:gridSpan w:val="2"/>
            <w:tcBorders/>
            <w:shd w:fill="auto" w:val="clear"/>
            <w:tcMar>
              <w:bottom w:w="0" w:type="dxa"/>
            </w:tcMar>
            <w:vAlign w:val="center"/>
          </w:tcPr>
          <w:p>
            <w:pPr>
              <w:pStyle w:val="TableContents"/>
              <w:spacing w:before="0" w:after="0"/>
              <w:ind w:left="0" w:right="0" w:hanging="0"/>
              <w:rPr/>
            </w:pPr>
            <w:r>
              <w:rPr/>
              <w:t> </w:t>
            </w:r>
          </w:p>
        </w:tc>
        <w:tc>
          <w:tcPr>
            <w:tcW w:w="173" w:type="dxa"/>
            <w:tcBorders/>
            <w:shd w:fill="auto" w:val="clear"/>
            <w:tcMar>
              <w:bottom w:w="0" w:type="dxa"/>
            </w:tcMar>
            <w:vAlign w:val="center"/>
          </w:tcPr>
          <w:p>
            <w:pPr>
              <w:pStyle w:val="TableContents"/>
              <w:spacing w:before="0" w:after="0"/>
              <w:ind w:left="0" w:right="0" w:hanging="0"/>
              <w:rPr/>
            </w:pPr>
            <w:r>
              <w:rPr/>
              <w:t> </w:t>
            </w:r>
          </w:p>
        </w:tc>
      </w:tr>
      <w:tr>
        <w:trPr/>
        <w:tc>
          <w:tcPr>
            <w:tcW w:w="2524" w:type="dxa"/>
            <w:tcBorders/>
            <w:shd w:fill="CCEEFF"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Balance at January 1, 2020</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830" w:type="dxa"/>
            <w:tcBorders/>
            <w:shd w:fill="CCEEFF" w:val="clear"/>
            <w:tcMar>
              <w:bottom w:w="0" w:type="dxa"/>
            </w:tcMar>
            <w:vAlign w:val="center"/>
          </w:tcPr>
          <w:p>
            <w:pPr>
              <w:pStyle w:val="TableContents"/>
              <w:spacing w:before="0" w:after="283"/>
              <w:jc w:val="right"/>
              <w:rPr/>
            </w:pPr>
            <w:r>
              <w:rPr/>
              <w:t>213,929</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43" w:type="dxa"/>
            <w:tcBorders/>
            <w:shd w:fill="CCEEFF" w:val="clear"/>
            <w:tcMar>
              <w:bottom w:w="0" w:type="dxa"/>
            </w:tcMar>
            <w:vAlign w:val="center"/>
          </w:tcPr>
          <w:p>
            <w:pPr>
              <w:pStyle w:val="TableContents"/>
              <w:spacing w:before="0" w:after="283"/>
              <w:rPr/>
            </w:pPr>
            <w:r>
              <w:rPr/>
              <w:t>$</w:t>
            </w:r>
          </w:p>
        </w:tc>
        <w:tc>
          <w:tcPr>
            <w:tcW w:w="3288" w:type="dxa"/>
            <w:tcBorders/>
            <w:shd w:fill="CCEEFF" w:val="clear"/>
            <w:tcMar>
              <w:bottom w:w="0" w:type="dxa"/>
            </w:tcMar>
            <w:vAlign w:val="center"/>
          </w:tcPr>
          <w:p>
            <w:pPr>
              <w:pStyle w:val="TableContents"/>
              <w:spacing w:before="0" w:after="283"/>
              <w:jc w:val="right"/>
              <w:rPr/>
            </w:pPr>
            <w:r>
              <w:rPr/>
              <w:t>16.51</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253" w:type="dxa"/>
            <w:tcBorders/>
            <w:shd w:fill="CCEEFF" w:val="clear"/>
            <w:tcMar>
              <w:bottom w:w="0" w:type="dxa"/>
            </w:tcMar>
            <w:vAlign w:val="center"/>
          </w:tcPr>
          <w:p>
            <w:pPr>
              <w:pStyle w:val="TableContents"/>
              <w:spacing w:before="0" w:after="283"/>
              <w:rPr/>
            </w:pPr>
            <w:r>
              <w:rPr/>
              <w:t>$</w:t>
            </w:r>
          </w:p>
        </w:tc>
        <w:tc>
          <w:tcPr>
            <w:tcW w:w="1619" w:type="dxa"/>
            <w:tcBorders/>
            <w:shd w:fill="CCEEFF" w:val="clear"/>
            <w:tcMar>
              <w:bottom w:w="0" w:type="dxa"/>
            </w:tcMar>
            <w:vAlign w:val="center"/>
          </w:tcPr>
          <w:p>
            <w:pPr>
              <w:pStyle w:val="TableContents"/>
              <w:spacing w:before="0" w:after="283"/>
              <w:jc w:val="right"/>
              <w:rPr/>
            </w:pPr>
            <w:r>
              <w:rPr/>
              <w:t>3,554,174</w:t>
            </w:r>
          </w:p>
        </w:tc>
        <w:tc>
          <w:tcPr>
            <w:tcW w:w="173" w:type="dxa"/>
            <w:tcBorders/>
            <w:shd w:fill="CCEEFF" w:val="clear"/>
            <w:tcMar>
              <w:bottom w:w="0" w:type="dxa"/>
            </w:tcMar>
            <w:vAlign w:val="center"/>
          </w:tcPr>
          <w:p>
            <w:pPr>
              <w:pStyle w:val="TableContents"/>
              <w:spacing w:before="0" w:after="0"/>
              <w:ind w:left="0" w:right="0" w:hanging="0"/>
              <w:rPr/>
            </w:pPr>
            <w:r>
              <w:rPr/>
              <w:t> </w:t>
            </w:r>
          </w:p>
        </w:tc>
      </w:tr>
      <w:tr>
        <w:trPr/>
        <w:tc>
          <w:tcPr>
            <w:tcW w:w="2524"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83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43" w:type="dxa"/>
            <w:tcBorders/>
            <w:shd w:fill="FFFFFF" w:val="clear"/>
            <w:tcMar>
              <w:bottom w:w="0" w:type="dxa"/>
            </w:tcMar>
            <w:vAlign w:val="center"/>
          </w:tcPr>
          <w:p>
            <w:pPr>
              <w:pStyle w:val="TableContents"/>
              <w:spacing w:before="0" w:after="0"/>
              <w:ind w:left="0" w:right="0" w:hanging="0"/>
              <w:rPr/>
            </w:pPr>
            <w:r>
              <w:rPr/>
              <w:t> </w:t>
            </w:r>
          </w:p>
        </w:tc>
        <w:tc>
          <w:tcPr>
            <w:tcW w:w="3288"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253" w:type="dxa"/>
            <w:tcBorders/>
            <w:shd w:fill="FFFFFF" w:val="clear"/>
            <w:tcMar>
              <w:bottom w:w="0" w:type="dxa"/>
            </w:tcMar>
            <w:vAlign w:val="center"/>
          </w:tcPr>
          <w:p>
            <w:pPr>
              <w:pStyle w:val="TableContents"/>
              <w:spacing w:before="0" w:after="0"/>
              <w:ind w:left="0" w:right="0" w:hanging="0"/>
              <w:rPr/>
            </w:pPr>
            <w:r>
              <w:rPr/>
              <w:t> </w:t>
            </w:r>
          </w:p>
        </w:tc>
        <w:tc>
          <w:tcPr>
            <w:tcW w:w="1619" w:type="dxa"/>
            <w:tcBorders/>
            <w:shd w:fill="FFFFFF" w:val="clear"/>
            <w:tcMar>
              <w:bottom w:w="0" w:type="dxa"/>
            </w:tcMar>
            <w:vAlign w:val="center"/>
          </w:tcPr>
          <w:p>
            <w:pPr>
              <w:pStyle w:val="TableContents"/>
              <w:spacing w:before="0" w:after="0"/>
              <w:ind w:left="0" w:right="0" w:hanging="0"/>
              <w:rPr/>
            </w:pPr>
            <w:r>
              <w:rPr/>
              <w:t> </w:t>
            </w:r>
          </w:p>
        </w:tc>
        <w:tc>
          <w:tcPr>
            <w:tcW w:w="173" w:type="dxa"/>
            <w:tcBorders/>
            <w:shd w:fill="FFFFFF" w:val="clear"/>
            <w:tcMar>
              <w:bottom w:w="0" w:type="dxa"/>
            </w:tcMar>
            <w:vAlign w:val="center"/>
          </w:tcPr>
          <w:p>
            <w:pPr>
              <w:pStyle w:val="TableContents"/>
              <w:spacing w:before="0" w:after="0"/>
              <w:ind w:left="0" w:right="0" w:hanging="0"/>
              <w:rPr/>
            </w:pPr>
            <w:r>
              <w:rPr/>
              <w:t> </w:t>
            </w:r>
          </w:p>
        </w:tc>
      </w:tr>
      <w:tr>
        <w:trPr/>
        <w:tc>
          <w:tcPr>
            <w:tcW w:w="2524" w:type="dxa"/>
            <w:tcBorders/>
            <w:shd w:fill="CCEEFF"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Granted</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830" w:type="dxa"/>
            <w:tcBorders/>
            <w:shd w:fill="CCEEFF" w:val="clear"/>
            <w:tcMar>
              <w:bottom w:w="0" w:type="dxa"/>
            </w:tcMar>
            <w:vAlign w:val="center"/>
          </w:tcPr>
          <w:p>
            <w:pPr>
              <w:pStyle w:val="TableContents"/>
              <w:spacing w:before="0" w:after="283"/>
              <w:jc w:val="right"/>
              <w:rPr/>
            </w:pPr>
            <w:r>
              <w:rPr/>
              <w:t>242,974</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43" w:type="dxa"/>
            <w:tcBorders/>
            <w:shd w:fill="CCEEFF" w:val="clear"/>
            <w:tcMar>
              <w:bottom w:w="0" w:type="dxa"/>
            </w:tcMar>
            <w:vAlign w:val="center"/>
          </w:tcPr>
          <w:p>
            <w:pPr>
              <w:pStyle w:val="TableContents"/>
              <w:spacing w:before="0" w:after="283"/>
              <w:rPr/>
            </w:pPr>
            <w:r>
              <w:rPr/>
              <w:t>$</w:t>
            </w:r>
          </w:p>
        </w:tc>
        <w:tc>
          <w:tcPr>
            <w:tcW w:w="3288" w:type="dxa"/>
            <w:tcBorders/>
            <w:shd w:fill="CCEEFF" w:val="clear"/>
            <w:tcMar>
              <w:bottom w:w="0" w:type="dxa"/>
            </w:tcMar>
            <w:vAlign w:val="center"/>
          </w:tcPr>
          <w:p>
            <w:pPr>
              <w:pStyle w:val="TableContents"/>
              <w:spacing w:before="0" w:after="283"/>
              <w:jc w:val="right"/>
              <w:rPr/>
            </w:pPr>
            <w:r>
              <w:rPr/>
              <w:t>7.66</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253" w:type="dxa"/>
            <w:tcBorders/>
            <w:shd w:fill="CCEEFF" w:val="clear"/>
            <w:tcMar>
              <w:bottom w:w="0" w:type="dxa"/>
            </w:tcMar>
            <w:vAlign w:val="center"/>
          </w:tcPr>
          <w:p>
            <w:pPr>
              <w:pStyle w:val="TableContents"/>
              <w:spacing w:before="0" w:after="283"/>
              <w:rPr/>
            </w:pPr>
            <w:r>
              <w:rPr/>
              <w:t>$</w:t>
            </w:r>
          </w:p>
        </w:tc>
        <w:tc>
          <w:tcPr>
            <w:tcW w:w="1619" w:type="dxa"/>
            <w:tcBorders/>
            <w:shd w:fill="CCEEFF" w:val="clear"/>
            <w:tcMar>
              <w:bottom w:w="0" w:type="dxa"/>
            </w:tcMar>
            <w:vAlign w:val="center"/>
          </w:tcPr>
          <w:p>
            <w:pPr>
              <w:pStyle w:val="TableContents"/>
              <w:spacing w:before="0" w:after="283"/>
              <w:jc w:val="right"/>
              <w:rPr/>
            </w:pPr>
            <w:r>
              <w:rPr/>
              <w:t>1,860,525</w:t>
            </w:r>
          </w:p>
        </w:tc>
        <w:tc>
          <w:tcPr>
            <w:tcW w:w="173" w:type="dxa"/>
            <w:tcBorders/>
            <w:shd w:fill="CCEEFF" w:val="clear"/>
            <w:tcMar>
              <w:bottom w:w="0" w:type="dxa"/>
            </w:tcMar>
            <w:vAlign w:val="center"/>
          </w:tcPr>
          <w:p>
            <w:pPr>
              <w:pStyle w:val="TableContents"/>
              <w:spacing w:before="0" w:after="0"/>
              <w:ind w:left="0" w:right="0" w:hanging="0"/>
              <w:rPr/>
            </w:pPr>
            <w:r>
              <w:rPr/>
              <w:t> </w:t>
            </w:r>
          </w:p>
        </w:tc>
      </w:tr>
      <w:tr>
        <w:trPr/>
        <w:tc>
          <w:tcPr>
            <w:tcW w:w="2524" w:type="dxa"/>
            <w:tcBorders/>
            <w:shd w:fill="FFFFFF"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Vested</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830" w:type="dxa"/>
            <w:tcBorders/>
            <w:shd w:fill="FFFFFF" w:val="clear"/>
            <w:tcMar>
              <w:bottom w:w="0" w:type="dxa"/>
            </w:tcMar>
            <w:vAlign w:val="center"/>
          </w:tcPr>
          <w:p>
            <w:pPr>
              <w:pStyle w:val="TableContents"/>
              <w:spacing w:before="0" w:after="283"/>
              <w:jc w:val="right"/>
              <w:rPr/>
            </w:pPr>
            <w:r>
              <w:rPr/>
              <w:t>(66,673</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43" w:type="dxa"/>
            <w:tcBorders/>
            <w:shd w:fill="FFFFFF" w:val="clear"/>
            <w:tcMar>
              <w:bottom w:w="0" w:type="dxa"/>
            </w:tcMar>
            <w:vAlign w:val="center"/>
          </w:tcPr>
          <w:p>
            <w:pPr>
              <w:pStyle w:val="TableContents"/>
              <w:spacing w:before="0" w:after="283"/>
              <w:rPr/>
            </w:pPr>
            <w:r>
              <w:rPr/>
              <w:t>$</w:t>
            </w:r>
          </w:p>
        </w:tc>
        <w:tc>
          <w:tcPr>
            <w:tcW w:w="3288" w:type="dxa"/>
            <w:tcBorders/>
            <w:shd w:fill="FFFFFF" w:val="clear"/>
            <w:tcMar>
              <w:bottom w:w="0" w:type="dxa"/>
            </w:tcMar>
            <w:vAlign w:val="center"/>
          </w:tcPr>
          <w:p>
            <w:pPr>
              <w:pStyle w:val="TableContents"/>
              <w:spacing w:before="0" w:after="283"/>
              <w:jc w:val="right"/>
              <w:rPr/>
            </w:pPr>
            <w:r>
              <w:rPr/>
              <w:t>16.97</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253" w:type="dxa"/>
            <w:tcBorders/>
            <w:shd w:fill="FFFFFF" w:val="clear"/>
            <w:tcMar>
              <w:bottom w:w="0" w:type="dxa"/>
            </w:tcMar>
            <w:vAlign w:val="center"/>
          </w:tcPr>
          <w:p>
            <w:pPr>
              <w:pStyle w:val="TableContents"/>
              <w:spacing w:before="0" w:after="283"/>
              <w:rPr/>
            </w:pPr>
            <w:r>
              <w:rPr/>
              <w:t>$</w:t>
            </w:r>
          </w:p>
        </w:tc>
        <w:tc>
          <w:tcPr>
            <w:tcW w:w="1619" w:type="dxa"/>
            <w:tcBorders/>
            <w:shd w:fill="FFFFFF" w:val="clear"/>
            <w:tcMar>
              <w:bottom w:w="0" w:type="dxa"/>
            </w:tcMar>
            <w:vAlign w:val="center"/>
          </w:tcPr>
          <w:p>
            <w:pPr>
              <w:pStyle w:val="TableContents"/>
              <w:spacing w:before="0" w:after="283"/>
              <w:jc w:val="right"/>
              <w:rPr/>
            </w:pPr>
            <w:r>
              <w:rPr/>
              <w:t>(1,331,254</w:t>
            </w:r>
          </w:p>
        </w:tc>
        <w:tc>
          <w:tcPr>
            <w:tcW w:w="173" w:type="dxa"/>
            <w:tcBorders/>
            <w:shd w:fill="FFFFFF" w:val="clear"/>
            <w:tcMar>
              <w:bottom w:w="0" w:type="dxa"/>
            </w:tcMar>
            <w:vAlign w:val="center"/>
          </w:tcPr>
          <w:p>
            <w:pPr>
              <w:pStyle w:val="TableContents"/>
              <w:spacing w:before="0" w:after="283"/>
              <w:rPr/>
            </w:pPr>
            <w:r>
              <w:rPr/>
              <w:t>)</w:t>
            </w:r>
          </w:p>
        </w:tc>
      </w:tr>
      <w:tr>
        <w:trPr/>
        <w:tc>
          <w:tcPr>
            <w:tcW w:w="2524" w:type="dxa"/>
            <w:tcBorders/>
            <w:shd w:fill="CCEEFF"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Forfeited</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CCEEFF" w:val="clear"/>
            <w:vAlign w:val="center"/>
          </w:tcPr>
          <w:p>
            <w:pPr>
              <w:pStyle w:val="TableContents"/>
              <w:spacing w:before="0" w:after="0"/>
              <w:ind w:left="0" w:right="0" w:hanging="0"/>
              <w:rPr/>
            </w:pPr>
            <w:r>
              <w:rPr/>
              <w:t> </w:t>
            </w:r>
          </w:p>
        </w:tc>
        <w:tc>
          <w:tcPr>
            <w:tcW w:w="830" w:type="dxa"/>
            <w:tcBorders>
              <w:bottom w:val="single" w:sz="2" w:space="0" w:color="000000"/>
            </w:tcBorders>
            <w:shd w:fill="CCEEFF" w:val="clear"/>
            <w:vAlign w:val="center"/>
          </w:tcPr>
          <w:p>
            <w:pPr>
              <w:pStyle w:val="TableContents"/>
              <w:spacing w:before="0" w:after="283"/>
              <w:jc w:val="right"/>
              <w:rPr/>
            </w:pPr>
            <w:r>
              <w:rPr/>
              <w:t>(19,266</w:t>
            </w:r>
          </w:p>
        </w:tc>
        <w:tc>
          <w:tcPr>
            <w:tcW w:w="125" w:type="dxa"/>
            <w:tcBorders/>
            <w:shd w:fill="CCEEFF" w:val="clear"/>
            <w:tcMar>
              <w:bottom w:w="0" w:type="dxa"/>
            </w:tcMar>
            <w:vAlign w:val="center"/>
          </w:tcPr>
          <w:p>
            <w:pPr>
              <w:pStyle w:val="TableContents"/>
              <w:spacing w:before="0" w:after="283"/>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43" w:type="dxa"/>
            <w:tcBorders/>
            <w:shd w:fill="CCEEFF" w:val="clear"/>
            <w:tcMar>
              <w:bottom w:w="0" w:type="dxa"/>
            </w:tcMar>
            <w:vAlign w:val="center"/>
          </w:tcPr>
          <w:p>
            <w:pPr>
              <w:pStyle w:val="TableContents"/>
              <w:spacing w:before="0" w:after="283"/>
              <w:rPr/>
            </w:pPr>
            <w:r>
              <w:rPr/>
              <w:t>$</w:t>
            </w:r>
          </w:p>
        </w:tc>
        <w:tc>
          <w:tcPr>
            <w:tcW w:w="3288" w:type="dxa"/>
            <w:tcBorders/>
            <w:shd w:fill="CCEEFF" w:val="clear"/>
            <w:tcMar>
              <w:bottom w:w="0" w:type="dxa"/>
            </w:tcMar>
            <w:vAlign w:val="center"/>
          </w:tcPr>
          <w:p>
            <w:pPr>
              <w:pStyle w:val="TableContents"/>
              <w:spacing w:before="0" w:after="283"/>
              <w:jc w:val="right"/>
              <w:rPr/>
            </w:pPr>
            <w:r>
              <w:rPr/>
              <w:t>15.18</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253" w:type="dxa"/>
            <w:tcBorders/>
            <w:shd w:fill="CCEEFF" w:val="clear"/>
            <w:tcMar>
              <w:bottom w:w="0" w:type="dxa"/>
            </w:tcMar>
            <w:vAlign w:val="center"/>
          </w:tcPr>
          <w:p>
            <w:pPr>
              <w:pStyle w:val="TableContents"/>
              <w:spacing w:before="0" w:after="283"/>
              <w:rPr/>
            </w:pPr>
            <w:r>
              <w:rPr/>
              <w:t>$</w:t>
            </w:r>
          </w:p>
        </w:tc>
        <w:tc>
          <w:tcPr>
            <w:tcW w:w="1619" w:type="dxa"/>
            <w:tcBorders/>
            <w:shd w:fill="CCEEFF" w:val="clear"/>
            <w:tcMar>
              <w:bottom w:w="0" w:type="dxa"/>
            </w:tcMar>
            <w:vAlign w:val="center"/>
          </w:tcPr>
          <w:p>
            <w:pPr>
              <w:pStyle w:val="TableContents"/>
              <w:spacing w:before="0" w:after="283"/>
              <w:jc w:val="right"/>
              <w:rPr/>
            </w:pPr>
            <w:r>
              <w:rPr/>
              <w:t>(292,455</w:t>
            </w:r>
          </w:p>
        </w:tc>
        <w:tc>
          <w:tcPr>
            <w:tcW w:w="173" w:type="dxa"/>
            <w:tcBorders/>
            <w:shd w:fill="CCEEFF" w:val="clear"/>
            <w:tcMar>
              <w:bottom w:w="0" w:type="dxa"/>
            </w:tcMar>
            <w:vAlign w:val="center"/>
          </w:tcPr>
          <w:p>
            <w:pPr>
              <w:pStyle w:val="TableContents"/>
              <w:spacing w:before="0" w:after="283"/>
              <w:rPr/>
            </w:pPr>
            <w:r>
              <w:rPr/>
              <w:t>)</w:t>
            </w:r>
          </w:p>
        </w:tc>
      </w:tr>
      <w:tr>
        <w:trPr/>
        <w:tc>
          <w:tcPr>
            <w:tcW w:w="2524"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83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43" w:type="dxa"/>
            <w:tcBorders/>
            <w:shd w:fill="FFFFFF" w:val="clear"/>
            <w:tcMar>
              <w:bottom w:w="0" w:type="dxa"/>
            </w:tcMar>
            <w:vAlign w:val="center"/>
          </w:tcPr>
          <w:p>
            <w:pPr>
              <w:pStyle w:val="TableContents"/>
              <w:spacing w:before="0" w:after="0"/>
              <w:ind w:left="0" w:right="0" w:hanging="0"/>
              <w:rPr/>
            </w:pPr>
            <w:r>
              <w:rPr/>
              <w:t> </w:t>
            </w:r>
          </w:p>
        </w:tc>
        <w:tc>
          <w:tcPr>
            <w:tcW w:w="3288"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253" w:type="dxa"/>
            <w:tcBorders/>
            <w:shd w:fill="FFFFFF" w:val="clear"/>
            <w:tcMar>
              <w:bottom w:w="0" w:type="dxa"/>
            </w:tcMar>
            <w:vAlign w:val="center"/>
          </w:tcPr>
          <w:p>
            <w:pPr>
              <w:pStyle w:val="TableContents"/>
              <w:spacing w:before="0" w:after="0"/>
              <w:ind w:left="0" w:right="0" w:hanging="0"/>
              <w:rPr/>
            </w:pPr>
            <w:r>
              <w:rPr/>
              <w:t> </w:t>
            </w:r>
          </w:p>
        </w:tc>
        <w:tc>
          <w:tcPr>
            <w:tcW w:w="1619" w:type="dxa"/>
            <w:tcBorders/>
            <w:shd w:fill="FFFFFF" w:val="clear"/>
            <w:tcMar>
              <w:bottom w:w="0" w:type="dxa"/>
            </w:tcMar>
            <w:vAlign w:val="center"/>
          </w:tcPr>
          <w:p>
            <w:pPr>
              <w:pStyle w:val="TableContents"/>
              <w:spacing w:before="0" w:after="0"/>
              <w:ind w:left="0" w:right="0" w:hanging="0"/>
              <w:rPr/>
            </w:pPr>
            <w:r>
              <w:rPr/>
              <w:t> </w:t>
            </w:r>
          </w:p>
        </w:tc>
        <w:tc>
          <w:tcPr>
            <w:tcW w:w="173" w:type="dxa"/>
            <w:tcBorders/>
            <w:shd w:fill="FFFFFF" w:val="clear"/>
            <w:tcMar>
              <w:bottom w:w="0" w:type="dxa"/>
            </w:tcMar>
            <w:vAlign w:val="center"/>
          </w:tcPr>
          <w:p>
            <w:pPr>
              <w:pStyle w:val="TableContents"/>
              <w:spacing w:before="0" w:after="0"/>
              <w:ind w:left="0" w:right="0" w:hanging="0"/>
              <w:rPr/>
            </w:pPr>
            <w:r>
              <w:rPr/>
              <w:t> </w:t>
            </w:r>
          </w:p>
        </w:tc>
      </w:tr>
      <w:tr>
        <w:trPr/>
        <w:tc>
          <w:tcPr>
            <w:tcW w:w="2524"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Balance at December 31, 2020</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CCEEFF" w:val="clear"/>
            <w:vAlign w:val="center"/>
          </w:tcPr>
          <w:p>
            <w:pPr>
              <w:pStyle w:val="TableContents"/>
              <w:spacing w:before="0" w:after="0"/>
              <w:ind w:left="0" w:right="0" w:hanging="0"/>
              <w:rPr/>
            </w:pPr>
            <w:r>
              <w:rPr/>
              <w:t> </w:t>
            </w:r>
          </w:p>
        </w:tc>
        <w:tc>
          <w:tcPr>
            <w:tcW w:w="830" w:type="dxa"/>
            <w:tcBorders>
              <w:bottom w:val="double" w:sz="6" w:space="0" w:color="000000"/>
            </w:tcBorders>
            <w:shd w:fill="CCEEFF" w:val="clear"/>
            <w:vAlign w:val="center"/>
          </w:tcPr>
          <w:p>
            <w:pPr>
              <w:pStyle w:val="TableContents"/>
              <w:spacing w:before="0" w:after="283"/>
              <w:jc w:val="right"/>
              <w:rPr/>
            </w:pPr>
            <w:r>
              <w:rPr/>
              <w:t>370,964</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43" w:type="dxa"/>
            <w:tcBorders>
              <w:bottom w:val="double" w:sz="6" w:space="0" w:color="000000"/>
            </w:tcBorders>
            <w:shd w:fill="CCEEFF" w:val="clear"/>
            <w:vAlign w:val="center"/>
          </w:tcPr>
          <w:p>
            <w:pPr>
              <w:pStyle w:val="TableContents"/>
              <w:spacing w:before="0" w:after="283"/>
              <w:rPr/>
            </w:pPr>
            <w:r>
              <w:rPr/>
              <w:t>$</w:t>
            </w:r>
          </w:p>
        </w:tc>
        <w:tc>
          <w:tcPr>
            <w:tcW w:w="3288" w:type="dxa"/>
            <w:tcBorders>
              <w:bottom w:val="double" w:sz="6" w:space="0" w:color="000000"/>
            </w:tcBorders>
            <w:shd w:fill="CCEEFF" w:val="clear"/>
            <w:vAlign w:val="center"/>
          </w:tcPr>
          <w:p>
            <w:pPr>
              <w:pStyle w:val="TableContents"/>
              <w:spacing w:before="0" w:after="283"/>
              <w:jc w:val="right"/>
              <w:rPr/>
            </w:pPr>
            <w:r>
              <w:rPr/>
              <w:t>9.96</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253" w:type="dxa"/>
            <w:tcBorders>
              <w:bottom w:val="double" w:sz="6" w:space="0" w:color="000000"/>
            </w:tcBorders>
            <w:shd w:fill="CCEEFF" w:val="clear"/>
            <w:vAlign w:val="center"/>
          </w:tcPr>
          <w:p>
            <w:pPr>
              <w:pStyle w:val="TableContents"/>
              <w:spacing w:before="0" w:after="283"/>
              <w:rPr/>
            </w:pPr>
            <w:r>
              <w:rPr/>
              <w:t>$</w:t>
            </w:r>
          </w:p>
        </w:tc>
        <w:tc>
          <w:tcPr>
            <w:tcW w:w="1619" w:type="dxa"/>
            <w:tcBorders>
              <w:bottom w:val="double" w:sz="6" w:space="0" w:color="000000"/>
            </w:tcBorders>
            <w:shd w:fill="CCEEFF" w:val="clear"/>
            <w:vAlign w:val="center"/>
          </w:tcPr>
          <w:p>
            <w:pPr>
              <w:pStyle w:val="TableContents"/>
              <w:spacing w:before="0" w:after="283"/>
              <w:jc w:val="right"/>
              <w:rPr/>
            </w:pPr>
            <w:r>
              <w:rPr/>
              <w:t>3,990,999</w:t>
            </w:r>
          </w:p>
        </w:tc>
        <w:tc>
          <w:tcPr>
            <w:tcW w:w="173" w:type="dxa"/>
            <w:tcBorders/>
            <w:shd w:fill="CCEEFF" w:val="clear"/>
            <w:tcMar>
              <w:bottom w:w="0" w:type="dxa"/>
            </w:tcM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Fair value was calculated using the closing price of the Company’s Common Stock on the grant date. For the years ended December 31, 2020 and 2019, stock-based compensation for these grants was approximately $1,703,000 and $1,472,000, respectively, which is included in other operating expenses on the accompanying consolidated statements of operations and comprehensive income. These amounts reflect the Company’s accounting expense and do not correspond to the actual value that will be recognized by the directors, executives and employees.</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F-43</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2020 AND 2019</w:t>
      </w:r>
    </w:p>
    <w:p>
      <w:pPr>
        <w:pStyle w:val="TextBody"/>
        <w:spacing w:before="0" w:after="0"/>
        <w:ind w:left="0" w:right="0" w:hanging="0"/>
        <w:jc w:val="center"/>
        <w:rPr/>
      </w:pPr>
      <w:r>
        <w:rPr/>
        <w:t> </w:t>
      </w:r>
    </w:p>
    <w:p>
      <w:pPr>
        <w:pStyle w:val="TextBody"/>
        <w:spacing w:before="0" w:after="0"/>
        <w:ind w:left="0" w:right="0" w:hanging="0"/>
        <w:jc w:val="both"/>
        <w:rPr/>
      </w:pPr>
      <w:r>
        <w:rPr>
          <w:rStyle w:val="StrongEmphasis"/>
          <w:rFonts w:ascii="times new roman" w:hAnsi="times new roman"/>
          <w:sz w:val="20"/>
        </w:rPr>
        <w:t>Note 13 - Statutory Financial Information and Accounting Policies</w:t>
      </w:r>
      <w:r>
        <w:rPr>
          <w:rFonts w:ascii="times new roman" w:hAnsi="times new roman"/>
          <w:sz w:val="20"/>
        </w:rPr>
        <w:t xml:space="preserve">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For regulatory purposes, KICO prepares its statutory basis financial based on statutory accounting principles prescribed or permitted by the New York State Department of Financial Services (the “DFS”). The DFS requires insurance companies domiciled in New York State to prepare their statutory financial statements in accordance with Statements of Statutory Accounting Principles as promulgated by the National Association of Insurance Commissioners (the “NAIC”), subject to any deviations prescribed or permitted by the DFS. These statutory accounting practices differ substantially from GAAP used by most business entities. The more significant variances from GAAP are as follows:</w:t>
      </w:r>
    </w:p>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292"/>
        <w:gridCol w:w="9913"/>
      </w:tblGrid>
      <w:tr>
        <w:trPr/>
        <w:tc>
          <w:tcPr>
            <w:tcW w:w="292" w:type="dxa"/>
            <w:tcBorders/>
            <w:shd w:fill="auto" w:val="clear"/>
            <w:vAlign w:val="center"/>
          </w:tcPr>
          <w:p>
            <w:pPr>
              <w:pStyle w:val="TableContents"/>
              <w:spacing w:before="0" w:after="0"/>
              <w:ind w:left="0" w:right="0" w:hanging="0"/>
              <w:jc w:val="both"/>
              <w:rPr/>
            </w:pPr>
            <w:r>
              <w:rPr/>
              <w:t xml:space="preserve">•   </w:t>
            </w:r>
          </w:p>
        </w:tc>
        <w:tc>
          <w:tcPr>
            <w:tcW w:w="9913"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Policy acquisition costs are charged to operations in the year such costs are incurred, rather than being deferred and amortized as premiums are earned over the terms of the policies.</w:t>
            </w:r>
          </w:p>
        </w:tc>
      </w:tr>
      <w:tr>
        <w:trPr/>
        <w:tc>
          <w:tcPr>
            <w:tcW w:w="292" w:type="dxa"/>
            <w:tcBorders/>
            <w:shd w:fill="auto" w:val="clear"/>
            <w:vAlign w:val="center"/>
          </w:tcPr>
          <w:p>
            <w:pPr>
              <w:pStyle w:val="TableContents"/>
              <w:spacing w:before="0" w:after="0"/>
              <w:ind w:left="0" w:right="0" w:hanging="0"/>
              <w:jc w:val="both"/>
              <w:rPr/>
            </w:pPr>
            <w:r>
              <w:rPr/>
              <w:t> </w:t>
            </w:r>
          </w:p>
        </w:tc>
        <w:tc>
          <w:tcPr>
            <w:tcW w:w="9913" w:type="dxa"/>
            <w:tcBorders/>
            <w:shd w:fill="auto" w:val="clear"/>
            <w:vAlign w:val="center"/>
          </w:tcPr>
          <w:p>
            <w:pPr>
              <w:pStyle w:val="TableContents"/>
              <w:spacing w:before="0" w:after="0"/>
              <w:ind w:left="0" w:right="0" w:hanging="0"/>
              <w:jc w:val="both"/>
              <w:rPr/>
            </w:pPr>
            <w:r>
              <w:rPr/>
              <w:t> </w:t>
            </w:r>
          </w:p>
        </w:tc>
      </w:tr>
      <w:tr>
        <w:trPr/>
        <w:tc>
          <w:tcPr>
            <w:tcW w:w="292" w:type="dxa"/>
            <w:tcBorders/>
            <w:shd w:fill="auto" w:val="clear"/>
            <w:vAlign w:val="center"/>
          </w:tcPr>
          <w:p>
            <w:pPr>
              <w:pStyle w:val="TableContents"/>
              <w:spacing w:before="0" w:after="0"/>
              <w:ind w:left="0" w:right="0" w:hanging="0"/>
              <w:jc w:val="both"/>
              <w:rPr/>
            </w:pPr>
            <w:r>
              <w:rPr/>
              <w:t xml:space="preserve">•   </w:t>
            </w:r>
          </w:p>
        </w:tc>
        <w:tc>
          <w:tcPr>
            <w:tcW w:w="9913"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Ceding commission revenues are earned when ceded premiums are written except for ceding commission revenues in excess of anticipated acquisition costs, which are deferred and amortized as ceded premiums are earned. GAAP requires that all ceding commission revenues be earned as the underlying ceded premiums are earned over the term of the reinsurance agreements. </w:t>
            </w:r>
          </w:p>
        </w:tc>
      </w:tr>
      <w:tr>
        <w:trPr/>
        <w:tc>
          <w:tcPr>
            <w:tcW w:w="292" w:type="dxa"/>
            <w:tcBorders/>
            <w:shd w:fill="auto" w:val="clear"/>
            <w:vAlign w:val="center"/>
          </w:tcPr>
          <w:p>
            <w:pPr>
              <w:pStyle w:val="TableContents"/>
              <w:spacing w:before="0" w:after="0"/>
              <w:ind w:left="0" w:right="0" w:hanging="0"/>
              <w:jc w:val="both"/>
              <w:rPr/>
            </w:pPr>
            <w:r>
              <w:rPr/>
              <w:t> </w:t>
            </w:r>
          </w:p>
        </w:tc>
        <w:tc>
          <w:tcPr>
            <w:tcW w:w="9913" w:type="dxa"/>
            <w:tcBorders/>
            <w:shd w:fill="auto" w:val="clear"/>
            <w:vAlign w:val="center"/>
          </w:tcPr>
          <w:p>
            <w:pPr>
              <w:pStyle w:val="TableContents"/>
              <w:spacing w:before="0" w:after="0"/>
              <w:ind w:left="0" w:right="0" w:hanging="0"/>
              <w:jc w:val="both"/>
              <w:rPr/>
            </w:pPr>
            <w:r>
              <w:rPr/>
              <w:t> </w:t>
            </w:r>
          </w:p>
        </w:tc>
      </w:tr>
      <w:tr>
        <w:trPr/>
        <w:tc>
          <w:tcPr>
            <w:tcW w:w="292" w:type="dxa"/>
            <w:tcBorders/>
            <w:shd w:fill="auto" w:val="clear"/>
            <w:vAlign w:val="center"/>
          </w:tcPr>
          <w:p>
            <w:pPr>
              <w:pStyle w:val="TableContents"/>
              <w:spacing w:before="0" w:after="0"/>
              <w:ind w:left="0" w:right="0" w:hanging="0"/>
              <w:jc w:val="both"/>
              <w:rPr/>
            </w:pPr>
            <w:r>
              <w:rPr/>
              <w:t xml:space="preserve">•   </w:t>
            </w:r>
          </w:p>
        </w:tc>
        <w:tc>
          <w:tcPr>
            <w:tcW w:w="9913"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Certain assets including certain receivables, a portion of the net deferred tax asset, prepaid expenses and furniture and equipment are not admitted. </w:t>
            </w:r>
          </w:p>
        </w:tc>
      </w:tr>
      <w:tr>
        <w:trPr/>
        <w:tc>
          <w:tcPr>
            <w:tcW w:w="292" w:type="dxa"/>
            <w:tcBorders/>
            <w:shd w:fill="auto" w:val="clear"/>
            <w:vAlign w:val="center"/>
          </w:tcPr>
          <w:p>
            <w:pPr>
              <w:pStyle w:val="TableContents"/>
              <w:spacing w:before="0" w:after="0"/>
              <w:ind w:left="0" w:right="0" w:hanging="0"/>
              <w:jc w:val="both"/>
              <w:rPr/>
            </w:pPr>
            <w:r>
              <w:rPr/>
              <w:t> </w:t>
            </w:r>
          </w:p>
        </w:tc>
        <w:tc>
          <w:tcPr>
            <w:tcW w:w="9913" w:type="dxa"/>
            <w:tcBorders/>
            <w:shd w:fill="auto" w:val="clear"/>
            <w:vAlign w:val="center"/>
          </w:tcPr>
          <w:p>
            <w:pPr>
              <w:pStyle w:val="TableContents"/>
              <w:spacing w:before="0" w:after="0"/>
              <w:ind w:left="0" w:right="0" w:hanging="0"/>
              <w:jc w:val="both"/>
              <w:rPr/>
            </w:pPr>
            <w:r>
              <w:rPr/>
              <w:t> </w:t>
            </w:r>
          </w:p>
        </w:tc>
      </w:tr>
      <w:tr>
        <w:trPr/>
        <w:tc>
          <w:tcPr>
            <w:tcW w:w="292" w:type="dxa"/>
            <w:tcBorders/>
            <w:shd w:fill="auto" w:val="clear"/>
            <w:vAlign w:val="center"/>
          </w:tcPr>
          <w:p>
            <w:pPr>
              <w:pStyle w:val="TableContents"/>
              <w:spacing w:before="0" w:after="0"/>
              <w:ind w:left="0" w:right="0" w:hanging="0"/>
              <w:jc w:val="both"/>
              <w:rPr/>
            </w:pPr>
            <w:r>
              <w:rPr/>
              <w:t xml:space="preserve">•   </w:t>
            </w:r>
          </w:p>
        </w:tc>
        <w:tc>
          <w:tcPr>
            <w:tcW w:w="9913"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Investments in fixed-maturity securities are valued at NAIC value for statutory financial purposes, which is primarily amortized cost. GAAP requires certain investments in fixed-maturity securities classified as available-for-sale, to be reported at fair value. </w:t>
            </w:r>
          </w:p>
        </w:tc>
      </w:tr>
      <w:tr>
        <w:trPr/>
        <w:tc>
          <w:tcPr>
            <w:tcW w:w="292" w:type="dxa"/>
            <w:tcBorders/>
            <w:shd w:fill="auto" w:val="clear"/>
            <w:vAlign w:val="center"/>
          </w:tcPr>
          <w:p>
            <w:pPr>
              <w:pStyle w:val="TableContents"/>
              <w:spacing w:before="0" w:after="0"/>
              <w:ind w:left="0" w:right="0" w:hanging="0"/>
              <w:jc w:val="both"/>
              <w:rPr/>
            </w:pPr>
            <w:r>
              <w:rPr/>
              <w:t> </w:t>
            </w:r>
          </w:p>
        </w:tc>
        <w:tc>
          <w:tcPr>
            <w:tcW w:w="9913" w:type="dxa"/>
            <w:tcBorders/>
            <w:shd w:fill="auto" w:val="clear"/>
            <w:vAlign w:val="center"/>
          </w:tcPr>
          <w:p>
            <w:pPr>
              <w:pStyle w:val="TableContents"/>
              <w:spacing w:before="0" w:after="0"/>
              <w:ind w:left="0" w:right="0" w:hanging="0"/>
              <w:jc w:val="both"/>
              <w:rPr/>
            </w:pPr>
            <w:r>
              <w:rPr/>
              <w:t> </w:t>
            </w:r>
          </w:p>
        </w:tc>
      </w:tr>
      <w:tr>
        <w:trPr/>
        <w:tc>
          <w:tcPr>
            <w:tcW w:w="292" w:type="dxa"/>
            <w:tcBorders/>
            <w:shd w:fill="auto" w:val="clear"/>
            <w:vAlign w:val="center"/>
          </w:tcPr>
          <w:p>
            <w:pPr>
              <w:pStyle w:val="TableContents"/>
              <w:spacing w:before="0" w:after="0"/>
              <w:ind w:left="0" w:right="0" w:hanging="0"/>
              <w:jc w:val="both"/>
              <w:rPr/>
            </w:pPr>
            <w:r>
              <w:rPr/>
              <w:t xml:space="preserve">•   </w:t>
            </w:r>
          </w:p>
        </w:tc>
        <w:tc>
          <w:tcPr>
            <w:tcW w:w="9913"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Certain amounts related to ceded reinsurance are reported on a net basis within the statutory basis financial statements. GAAP requires these amounts to be shown gross.</w:t>
            </w:r>
          </w:p>
          <w:p>
            <w:pPr>
              <w:pStyle w:val="TableContents"/>
              <w:spacing w:before="0" w:after="0"/>
              <w:ind w:left="0" w:right="0" w:hanging="0"/>
              <w:jc w:val="both"/>
              <w:rPr/>
            </w:pPr>
            <w:r>
              <w:rPr/>
              <w:t> </w:t>
            </w:r>
          </w:p>
        </w:tc>
      </w:tr>
      <w:tr>
        <w:trPr/>
        <w:tc>
          <w:tcPr>
            <w:tcW w:w="292" w:type="dxa"/>
            <w:tcBorders/>
            <w:shd w:fill="auto" w:val="clear"/>
            <w:vAlign w:val="center"/>
          </w:tcPr>
          <w:p>
            <w:pPr>
              <w:pStyle w:val="TableContents"/>
              <w:spacing w:before="0" w:after="0"/>
              <w:ind w:left="0" w:right="0" w:hanging="0"/>
              <w:jc w:val="both"/>
              <w:rPr/>
            </w:pPr>
            <w:r>
              <w:rPr/>
              <w:t>•</w:t>
            </w:r>
          </w:p>
        </w:tc>
        <w:tc>
          <w:tcPr>
            <w:tcW w:w="9913"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For SAP purposes, changes in deferred income taxes relating to temporary differences between net income for financial reporting purposes and taxable income are recognized as a separate component of gains and losses in surplus rather than included in income tax expense or benefit as required under GAAP.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State insurance laws restrict the ability of KICO to declare dividends. These restrictions are related to surplus and net investment income. Dividends are restricted to the lesser of 10% of surplus or 100% of investment income (on a statutory accounting basis) for the trailing 36 months, net of dividends paid by KICO during such period. State insurance regulators require insurance companies to maintain specified levels of statutory capital and surplus. Generally, dividends may only be paid out of unassigned surplus, and the amount of an insurer’s unassigned surplus following payment of any dividends must be reasonable in relation to the insurer’s outstanding liabilities and adequate to meet its financial needs. For the years ended December 31, 2020 and 2019, KICO paid dividends to Kingstone of $6,000,000 and $7,000,000, respectively. On February 18, 2021, KICO’s Board of Directors approved a cash dividend of $1,000,000 to Kingstone, which was paid on February 25, 2021. For the years ended December 31, 2020 and 2019, KICO recorded statutory basis net loss of $1,724,180 and $4,519,183, respectively. At December 31, 2020 and 2019, KICO reported statutory basis surplus as regards policyholders of $85,595,339 and $93,844,197, respectively, as filed with the DFS.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Statutory Surplus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 December 2019, the Company made a surplus contribution of $3,256,335 to KICO. See Note 9 – Debt for further detail regarding this contribution.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F-44</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2020 AND 2019</w:t>
      </w:r>
    </w:p>
    <w:p>
      <w:pPr>
        <w:pStyle w:val="TextBody"/>
        <w:spacing w:before="0" w:after="0"/>
        <w:ind w:left="0" w:right="0" w:hanging="0"/>
        <w:jc w:val="center"/>
        <w:rPr/>
      </w:pPr>
      <w:r>
        <w:rPr/>
        <w:t> </w:t>
      </w:r>
    </w:p>
    <w:p>
      <w:pPr>
        <w:pStyle w:val="TextBody"/>
        <w:spacing w:before="0" w:after="0"/>
        <w:ind w:left="0" w:right="0" w:hanging="0"/>
        <w:jc w:val="both"/>
        <w:rPr/>
      </w:pPr>
      <w:r>
        <w:rPr>
          <w:rStyle w:val="StrongEmphasis"/>
          <w:rFonts w:ascii="times new roman" w:hAnsi="times new roman"/>
          <w:sz w:val="20"/>
        </w:rPr>
        <w:t>Note 14 - Risk Based Capital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State insurance departments impose risk-based capital (“RBC”) requirements on insurance enterprises. The RBC Model serves as a benchmark for the regulation of insurance companies by state insurance regulators.  RBC provides for targeted surplus levels based on formulas, which specify various weighting factors that are applied to financial balances or various levels of activity based on the perceived degree of risk, and are set forth in the RBC requirements. Such formulas focus on four general types of risk: (a) the risk with respect to the company’s assets (asset or default risk); (b) the risk of default on amounts due from reinsurers, policyholders, or other creditors (credit risk); (c) the risk of underestimating liabilities from business already written or inadequately pricing business to be written in the coming year (underwriting risk); and, (d) the risk associated with items such as excessive premium growth, contingent liabilities, and other items not reflected on the balance sheet (off-balance sheet risk). The amount determined under such formulas is called the authorized control level RBC (“ACL”).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RBC guidelines define specific capital levels based on a company’s ACL that are determined by the ratio of the company’s total adjusted capital (“TAC”) to its ACL. TAC is equal to statutory capital, plus or minus certain other specified adjustments. The Company’s TAC was above the ACL for each of the last two years and is in compliance with RBC requirements as of December 31, 2020 and 2019.</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Note 15 – Income Taxes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Company files a consolidated U.S. federal income tax return that includes all wholly owned subsidiaries. State tax returns are filed on a consolidated or separate return basis depending on applicable laws. The Company records adjustments related to prior years’ taxes during the period when they are identified, generally when the tax returns are filed.  The effect of these adjustments on the current and prior periods (during which the differences originated) is evaluated based upon quantitative and qualitative factors and are considered in relation to the consolidated financial statements taken as a whole for the respective periods.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provision for income taxes is comprised of the following:</w:t>
      </w:r>
    </w:p>
    <w:p>
      <w:pPr>
        <w:pStyle w:val="TextBody"/>
        <w:spacing w:before="0" w:after="0"/>
        <w:ind w:left="0" w:right="0" w:hanging="0"/>
        <w:jc w:val="both"/>
        <w:rPr/>
      </w:pPr>
      <w:r>
        <w:rPr/>
        <w:t xml:space="preserve">  </w:t>
      </w:r>
    </w:p>
    <w:p>
      <w:pPr>
        <w:pStyle w:val="TextBody"/>
        <w:spacing w:before="0" w:after="0"/>
        <w:ind w:left="0" w:right="0" w:hanging="0"/>
        <w:rPr/>
      </w:pPr>
      <w:r>
        <w:rPr/>
        <w:t> </w:t>
      </w:r>
    </w:p>
    <w:p>
      <w:pPr>
        <w:pStyle w:val="TextBody"/>
        <w:spacing w:before="0" w:after="0"/>
        <w:ind w:left="0" w:right="0" w:hanging="0"/>
        <w:rPr/>
      </w:pPr>
      <w:r>
        <w:rPr/>
        <w:t> </w:t>
      </w:r>
    </w:p>
    <w:tbl>
      <w:tblPr>
        <w:tblW w:w="7490" w:type="dxa"/>
        <w:jc w:val="left"/>
        <w:tblInd w:w="0" w:type="dxa"/>
        <w:tblCellMar>
          <w:top w:w="0" w:type="dxa"/>
          <w:left w:w="0" w:type="dxa"/>
          <w:bottom w:w="28" w:type="dxa"/>
          <w:right w:w="0" w:type="dxa"/>
        </w:tblCellMar>
      </w:tblPr>
      <w:tblGrid>
        <w:gridCol w:w="4505"/>
        <w:gridCol w:w="90"/>
        <w:gridCol w:w="170"/>
        <w:gridCol w:w="1085"/>
        <w:gridCol w:w="125"/>
        <w:gridCol w:w="90"/>
        <w:gridCol w:w="170"/>
        <w:gridCol w:w="1085"/>
        <w:gridCol w:w="170"/>
      </w:tblGrid>
      <w:tr>
        <w:trPr/>
        <w:tc>
          <w:tcPr>
            <w:tcW w:w="4505" w:type="dxa"/>
            <w:tcBorders>
              <w:bottom w:val="single" w:sz="2" w:space="0" w:color="000000"/>
            </w:tcBorders>
            <w:shd w:fill="auto" w:val="clear"/>
            <w:vAlign w:val="center"/>
          </w:tcPr>
          <w:p>
            <w:pPr>
              <w:pStyle w:val="TableContents"/>
              <w:spacing w:before="0" w:after="0"/>
              <w:ind w:left="0" w:right="0" w:hanging="0"/>
              <w:rPr/>
            </w:pPr>
            <w:r>
              <w:rPr>
                <w:rStyle w:val="Emphasis"/>
                <w:rFonts w:ascii="times new roman" w:hAnsi="times new roman"/>
                <w:sz w:val="20"/>
              </w:rPr>
              <w:t>Years ended December 31,</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255"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2020</w:t>
            </w:r>
          </w:p>
        </w:tc>
        <w:tc>
          <w:tcPr>
            <w:tcW w:w="125" w:type="dxa"/>
            <w:tcBorders/>
            <w:shd w:fill="auto" w:val="clear"/>
            <w:tcMar>
              <w:bottom w:w="0" w:type="dxa"/>
            </w:tcMar>
            <w:vAlign w:val="center"/>
          </w:tcPr>
          <w:p>
            <w:pPr>
              <w:pStyle w:val="TableContents"/>
              <w:spacing w:before="0" w:after="0"/>
              <w:ind w:left="0" w:right="0" w:hanging="0"/>
              <w:rPr/>
            </w:pPr>
            <w:r>
              <w:rPr>
                <w:rStyle w:val="StrongEmphasis"/>
              </w:rPr>
              <w:t> </w:t>
            </w:r>
          </w:p>
        </w:tc>
        <w:tc>
          <w:tcPr>
            <w:tcW w:w="90" w:type="dxa"/>
            <w:tcBorders/>
            <w:shd w:fill="auto" w:val="clear"/>
            <w:tcMar>
              <w:bottom w:w="0" w:type="dxa"/>
            </w:tcMar>
            <w:vAlign w:val="center"/>
          </w:tcPr>
          <w:p>
            <w:pPr>
              <w:pStyle w:val="TableContents"/>
              <w:spacing w:before="0" w:after="0"/>
              <w:ind w:left="0" w:right="0" w:hanging="0"/>
              <w:rPr/>
            </w:pPr>
            <w:r>
              <w:rPr>
                <w:rStyle w:val="StrongEmphasis"/>
              </w:rPr>
              <w:t> </w:t>
            </w:r>
          </w:p>
        </w:tc>
        <w:tc>
          <w:tcPr>
            <w:tcW w:w="1255"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2019</w:t>
            </w:r>
          </w:p>
        </w:tc>
        <w:tc>
          <w:tcPr>
            <w:tcW w:w="170" w:type="dxa"/>
            <w:tcBorders/>
            <w:shd w:fill="auto" w:val="clear"/>
            <w:tcMar>
              <w:bottom w:w="0" w:type="dxa"/>
            </w:tcMar>
            <w:vAlign w:val="center"/>
          </w:tcPr>
          <w:p>
            <w:pPr>
              <w:pStyle w:val="TableContents"/>
              <w:spacing w:before="0" w:after="0"/>
              <w:ind w:left="0" w:right="0" w:hanging="0"/>
              <w:rPr/>
            </w:pPr>
            <w:r>
              <w:rPr/>
              <w:t> </w:t>
            </w:r>
          </w:p>
        </w:tc>
      </w:tr>
      <w:tr>
        <w:trPr/>
        <w:tc>
          <w:tcPr>
            <w:tcW w:w="450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255" w:type="dxa"/>
            <w:gridSpan w:val="2"/>
            <w:tcBorders/>
            <w:shd w:fill="auto" w:val="clear"/>
            <w:tcMar>
              <w:bottom w:w="0" w:type="dxa"/>
            </w:tcMar>
            <w:vAlign w:val="center"/>
          </w:tcPr>
          <w:p>
            <w:pPr>
              <w:pStyle w:val="TableContents"/>
              <w:spacing w:before="0" w:after="0"/>
              <w:ind w:left="0" w:right="0" w:hanging="0"/>
              <w:rPr/>
            </w:pPr>
            <w:r>
              <w:rPr/>
              <w:t> </w:t>
            </w:r>
          </w:p>
        </w:tc>
        <w:tc>
          <w:tcPr>
            <w:tcW w:w="1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255" w:type="dxa"/>
            <w:gridSpan w:val="2"/>
            <w:tcBorders/>
            <w:shd w:fill="auto" w:val="clear"/>
            <w:tcMar>
              <w:bottom w:w="0" w:type="dxa"/>
            </w:tcMar>
            <w:vAlign w:val="center"/>
          </w:tcPr>
          <w:p>
            <w:pPr>
              <w:pStyle w:val="TableContents"/>
              <w:spacing w:before="0" w:after="0"/>
              <w:ind w:left="0" w:right="0" w:hanging="0"/>
              <w:rPr/>
            </w:pPr>
            <w:r>
              <w:rPr/>
              <w:t> </w:t>
            </w:r>
          </w:p>
        </w:tc>
        <w:tc>
          <w:tcPr>
            <w:tcW w:w="170" w:type="dxa"/>
            <w:tcBorders/>
            <w:shd w:fill="auto" w:val="clear"/>
            <w:tcMar>
              <w:bottom w:w="0" w:type="dxa"/>
            </w:tcMar>
            <w:vAlign w:val="center"/>
          </w:tcPr>
          <w:p>
            <w:pPr>
              <w:pStyle w:val="TableContents"/>
              <w:spacing w:before="0" w:after="0"/>
              <w:ind w:left="0" w:right="0" w:hanging="0"/>
              <w:rPr/>
            </w:pPr>
            <w:r>
              <w:rPr/>
              <w:t> </w:t>
            </w:r>
          </w:p>
        </w:tc>
      </w:tr>
      <w:tr>
        <w:trPr/>
        <w:tc>
          <w:tcPr>
            <w:tcW w:w="4505"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Current federal income tax expense (benefit)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283"/>
              <w:rPr/>
            </w:pPr>
            <w:r>
              <w:rPr/>
              <w:t>$</w:t>
            </w:r>
          </w:p>
        </w:tc>
        <w:tc>
          <w:tcPr>
            <w:tcW w:w="1085" w:type="dxa"/>
            <w:tcBorders/>
            <w:shd w:fill="CCEEFF" w:val="clear"/>
            <w:tcMar>
              <w:bottom w:w="0" w:type="dxa"/>
            </w:tcMar>
            <w:vAlign w:val="center"/>
          </w:tcPr>
          <w:p>
            <w:pPr>
              <w:pStyle w:val="TableContents"/>
              <w:spacing w:before="0" w:after="283"/>
              <w:jc w:val="right"/>
              <w:rPr/>
            </w:pPr>
            <w:r>
              <w:rPr/>
              <w:t>(5,366,759</w:t>
            </w:r>
          </w:p>
        </w:tc>
        <w:tc>
          <w:tcPr>
            <w:tcW w:w="125" w:type="dxa"/>
            <w:tcBorders/>
            <w:shd w:fill="CCEEFF" w:val="clear"/>
            <w:tcMar>
              <w:bottom w:w="0" w:type="dxa"/>
            </w:tcMar>
            <w:vAlign w:val="center"/>
          </w:tcPr>
          <w:p>
            <w:pPr>
              <w:pStyle w:val="TableContents"/>
              <w:spacing w:before="0" w:after="283"/>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283"/>
              <w:rPr/>
            </w:pPr>
            <w:r>
              <w:rPr/>
              <w:t>$</w:t>
            </w:r>
          </w:p>
        </w:tc>
        <w:tc>
          <w:tcPr>
            <w:tcW w:w="1085" w:type="dxa"/>
            <w:tcBorders/>
            <w:shd w:fill="CCEEFF" w:val="clear"/>
            <w:tcMar>
              <w:bottom w:w="0" w:type="dxa"/>
            </w:tcMar>
            <w:vAlign w:val="center"/>
          </w:tcPr>
          <w:p>
            <w:pPr>
              <w:pStyle w:val="TableContents"/>
              <w:spacing w:before="0" w:after="283"/>
              <w:jc w:val="right"/>
              <w:rPr/>
            </w:pPr>
            <w:r>
              <w:rPr/>
              <w:t>174,779</w:t>
            </w:r>
          </w:p>
        </w:tc>
        <w:tc>
          <w:tcPr>
            <w:tcW w:w="170" w:type="dxa"/>
            <w:tcBorders/>
            <w:shd w:fill="CCEEFF" w:val="clear"/>
            <w:tcMar>
              <w:bottom w:w="0" w:type="dxa"/>
            </w:tcMar>
            <w:vAlign w:val="center"/>
          </w:tcPr>
          <w:p>
            <w:pPr>
              <w:pStyle w:val="TableContents"/>
              <w:spacing w:before="0" w:after="0"/>
              <w:ind w:left="0" w:right="0" w:hanging="0"/>
              <w:rPr/>
            </w:pPr>
            <w:r>
              <w:rPr/>
              <w:t> </w:t>
            </w:r>
          </w:p>
        </w:tc>
      </w:tr>
      <w:tr>
        <w:trPr/>
        <w:tc>
          <w:tcPr>
            <w:tcW w:w="4505" w:type="dxa"/>
            <w:tcBorders/>
            <w:shd w:fill="FFFF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Current state income tax expense (benefit)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1085" w:type="dxa"/>
            <w:tcBorders/>
            <w:shd w:fill="FFFFFF" w:val="clear"/>
            <w:tcMar>
              <w:bottom w:w="0" w:type="dxa"/>
            </w:tcMar>
            <w:vAlign w:val="center"/>
          </w:tcPr>
          <w:p>
            <w:pPr>
              <w:pStyle w:val="TableContents"/>
              <w:spacing w:before="0" w:after="283"/>
              <w:jc w:val="right"/>
              <w:rPr/>
            </w:pPr>
            <w:r>
              <w:rPr/>
              <w:t>(2,736</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1085" w:type="dxa"/>
            <w:tcBorders/>
            <w:shd w:fill="FFFFFF" w:val="clear"/>
            <w:tcMar>
              <w:bottom w:w="0" w:type="dxa"/>
            </w:tcMar>
            <w:vAlign w:val="center"/>
          </w:tcPr>
          <w:p>
            <w:pPr>
              <w:pStyle w:val="TableContents"/>
              <w:spacing w:before="0" w:after="283"/>
              <w:jc w:val="right"/>
              <w:rPr/>
            </w:pPr>
            <w:r>
              <w:rPr/>
              <w:t>238</w:t>
            </w:r>
          </w:p>
        </w:tc>
        <w:tc>
          <w:tcPr>
            <w:tcW w:w="170" w:type="dxa"/>
            <w:tcBorders/>
            <w:shd w:fill="FFFFFF" w:val="clear"/>
            <w:tcMar>
              <w:bottom w:w="0" w:type="dxa"/>
            </w:tcMar>
            <w:vAlign w:val="center"/>
          </w:tcPr>
          <w:p>
            <w:pPr>
              <w:pStyle w:val="TableContents"/>
              <w:spacing w:before="0" w:after="0"/>
              <w:ind w:left="0" w:right="0" w:hanging="0"/>
              <w:rPr/>
            </w:pPr>
            <w:r>
              <w:rPr/>
              <w:t> </w:t>
            </w:r>
          </w:p>
        </w:tc>
      </w:tr>
      <w:tr>
        <w:trPr/>
        <w:tc>
          <w:tcPr>
            <w:tcW w:w="4505"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Deferred federal and state income tax expense (benefit)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bottom w:val="single" w:sz="2" w:space="0" w:color="000000"/>
            </w:tcBorders>
            <w:shd w:fill="CCEEFF" w:val="clear"/>
            <w:vAlign w:val="center"/>
          </w:tcPr>
          <w:p>
            <w:pPr>
              <w:pStyle w:val="TableContents"/>
              <w:spacing w:before="0" w:after="0"/>
              <w:ind w:left="0" w:right="0" w:hanging="0"/>
              <w:rPr/>
            </w:pPr>
            <w:r>
              <w:rPr/>
              <w:t> </w:t>
            </w:r>
          </w:p>
        </w:tc>
        <w:tc>
          <w:tcPr>
            <w:tcW w:w="1085" w:type="dxa"/>
            <w:tcBorders>
              <w:bottom w:val="single" w:sz="2" w:space="0" w:color="000000"/>
            </w:tcBorders>
            <w:shd w:fill="CCEEFF" w:val="clear"/>
            <w:vAlign w:val="center"/>
          </w:tcPr>
          <w:p>
            <w:pPr>
              <w:pStyle w:val="TableContents"/>
              <w:spacing w:before="0" w:after="283"/>
              <w:jc w:val="right"/>
              <w:rPr/>
            </w:pPr>
            <w:r>
              <w:rPr/>
              <w:t>3,109,295</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bottom w:val="single" w:sz="2" w:space="0" w:color="000000"/>
            </w:tcBorders>
            <w:shd w:fill="CCEEFF" w:val="clear"/>
            <w:vAlign w:val="center"/>
          </w:tcPr>
          <w:p>
            <w:pPr>
              <w:pStyle w:val="TableContents"/>
              <w:spacing w:before="0" w:after="0"/>
              <w:ind w:left="0" w:right="0" w:hanging="0"/>
              <w:rPr/>
            </w:pPr>
            <w:r>
              <w:rPr/>
              <w:t> </w:t>
            </w:r>
          </w:p>
        </w:tc>
        <w:tc>
          <w:tcPr>
            <w:tcW w:w="1085" w:type="dxa"/>
            <w:tcBorders>
              <w:bottom w:val="single" w:sz="2" w:space="0" w:color="000000"/>
            </w:tcBorders>
            <w:shd w:fill="CCEEFF" w:val="clear"/>
            <w:vAlign w:val="center"/>
          </w:tcPr>
          <w:p>
            <w:pPr>
              <w:pStyle w:val="TableContents"/>
              <w:spacing w:before="0" w:after="283"/>
              <w:jc w:val="right"/>
              <w:rPr/>
            </w:pPr>
            <w:r>
              <w:rPr/>
              <w:t>(1,991,208</w:t>
            </w:r>
          </w:p>
        </w:tc>
        <w:tc>
          <w:tcPr>
            <w:tcW w:w="170" w:type="dxa"/>
            <w:tcBorders/>
            <w:shd w:fill="CCEEFF" w:val="clear"/>
            <w:tcMar>
              <w:bottom w:w="0" w:type="dxa"/>
            </w:tcMar>
            <w:vAlign w:val="center"/>
          </w:tcPr>
          <w:p>
            <w:pPr>
              <w:pStyle w:val="TableContents"/>
              <w:spacing w:before="0" w:after="283"/>
              <w:rPr/>
            </w:pPr>
            <w:r>
              <w:rPr/>
              <w:t>)</w:t>
            </w:r>
          </w:p>
        </w:tc>
      </w:tr>
      <w:tr>
        <w:trPr/>
        <w:tc>
          <w:tcPr>
            <w:tcW w:w="450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10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1085"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r>
      <w:tr>
        <w:trPr/>
        <w:tc>
          <w:tcPr>
            <w:tcW w:w="4505"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Income tax benefit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bottom w:val="double" w:sz="6" w:space="0" w:color="000000"/>
            </w:tcBorders>
            <w:shd w:fill="CCEEFF" w:val="clear"/>
            <w:vAlign w:val="center"/>
          </w:tcPr>
          <w:p>
            <w:pPr>
              <w:pStyle w:val="TableContents"/>
              <w:spacing w:before="0" w:after="283"/>
              <w:rPr/>
            </w:pPr>
            <w:r>
              <w:rPr/>
              <w:t>$</w:t>
            </w:r>
          </w:p>
        </w:tc>
        <w:tc>
          <w:tcPr>
            <w:tcW w:w="1085" w:type="dxa"/>
            <w:tcBorders>
              <w:bottom w:val="double" w:sz="6" w:space="0" w:color="000000"/>
            </w:tcBorders>
            <w:shd w:fill="CCEEFF" w:val="clear"/>
            <w:vAlign w:val="center"/>
          </w:tcPr>
          <w:p>
            <w:pPr>
              <w:pStyle w:val="TableContents"/>
              <w:spacing w:before="0" w:after="283"/>
              <w:jc w:val="right"/>
              <w:rPr/>
            </w:pPr>
            <w:r>
              <w:rPr/>
              <w:t>(2,260,200</w:t>
            </w:r>
          </w:p>
        </w:tc>
        <w:tc>
          <w:tcPr>
            <w:tcW w:w="125" w:type="dxa"/>
            <w:tcBorders/>
            <w:shd w:fill="CCEEFF" w:val="clear"/>
            <w:tcMar>
              <w:bottom w:w="0" w:type="dxa"/>
            </w:tcMar>
            <w:vAlign w:val="center"/>
          </w:tcPr>
          <w:p>
            <w:pPr>
              <w:pStyle w:val="TableContents"/>
              <w:spacing w:before="0" w:after="283"/>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bottom w:val="double" w:sz="6" w:space="0" w:color="000000"/>
            </w:tcBorders>
            <w:shd w:fill="CCEEFF" w:val="clear"/>
            <w:vAlign w:val="center"/>
          </w:tcPr>
          <w:p>
            <w:pPr>
              <w:pStyle w:val="TableContents"/>
              <w:spacing w:before="0" w:after="283"/>
              <w:rPr/>
            </w:pPr>
            <w:r>
              <w:rPr/>
              <w:t>$</w:t>
            </w:r>
          </w:p>
        </w:tc>
        <w:tc>
          <w:tcPr>
            <w:tcW w:w="1085" w:type="dxa"/>
            <w:tcBorders>
              <w:bottom w:val="double" w:sz="6" w:space="0" w:color="000000"/>
            </w:tcBorders>
            <w:shd w:fill="CCEEFF" w:val="clear"/>
            <w:vAlign w:val="center"/>
          </w:tcPr>
          <w:p>
            <w:pPr>
              <w:pStyle w:val="TableContents"/>
              <w:spacing w:before="0" w:after="283"/>
              <w:jc w:val="right"/>
              <w:rPr/>
            </w:pPr>
            <w:r>
              <w:rPr/>
              <w:t>(1,816,191</w:t>
            </w:r>
          </w:p>
        </w:tc>
        <w:tc>
          <w:tcPr>
            <w:tcW w:w="170" w:type="dxa"/>
            <w:tcBorders/>
            <w:shd w:fill="CCEEFF" w:val="clear"/>
            <w:tcMar>
              <w:bottom w:w="0" w:type="dxa"/>
            </w:tcMar>
            <w:vAlign w:val="center"/>
          </w:tcPr>
          <w:p>
            <w:pPr>
              <w:pStyle w:val="TableContents"/>
              <w:spacing w:before="0" w:after="283"/>
              <w:rPr/>
            </w:pPr>
            <w:r>
              <w:rPr/>
              <w:t>)</w:t>
            </w:r>
          </w:p>
        </w:tc>
      </w:tr>
    </w:tbl>
    <w:p>
      <w:pPr>
        <w:pStyle w:val="TextBody"/>
        <w:spacing w:before="0" w:after="0"/>
        <w:ind w:left="0" w:right="0" w:hanging="0"/>
        <w:jc w:val="both"/>
        <w:rPr/>
      </w:pPr>
      <w:r>
        <w:rPr/>
        <w:t xml:space="preserve">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F-45</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2020 AND 2019</w:t>
      </w:r>
    </w:p>
    <w:p>
      <w:pPr>
        <w:pStyle w:val="TextBody"/>
        <w:spacing w:before="0" w:after="0"/>
        <w:ind w:left="0" w:right="0" w:hanging="0"/>
        <w:jc w:val="center"/>
        <w:rPr/>
      </w:pPr>
      <w:r>
        <w:rPr>
          <w:rStyle w:val="StrongEmphasis"/>
        </w:rPr>
        <w:t> </w:t>
      </w:r>
    </w:p>
    <w:p>
      <w:pPr>
        <w:pStyle w:val="TextBody"/>
        <w:spacing w:before="0" w:after="0"/>
        <w:ind w:left="0" w:right="0" w:hanging="0"/>
        <w:jc w:val="both"/>
        <w:rPr>
          <w:rFonts w:ascii="times new roman" w:hAnsi="times new roman"/>
          <w:sz w:val="20"/>
        </w:rPr>
      </w:pPr>
      <w:r>
        <w:rPr>
          <w:rFonts w:ascii="times new roman" w:hAnsi="times new roman"/>
          <w:sz w:val="20"/>
        </w:rPr>
        <w:t>A reconciliation of the federal statutory rate to the Company’s effective tax rate is as follows:</w:t>
      </w:r>
    </w:p>
    <w:p>
      <w:pPr>
        <w:pStyle w:val="TextBody"/>
        <w:spacing w:before="0" w:after="0"/>
        <w:ind w:left="0" w:right="0" w:hanging="0"/>
        <w:jc w:val="both"/>
        <w:rPr/>
      </w:pPr>
      <w:r>
        <w:rPr/>
        <w:t>  </w:t>
      </w:r>
    </w:p>
    <w:p>
      <w:pPr>
        <w:pStyle w:val="TextBody"/>
        <w:spacing w:before="0" w:after="0"/>
        <w:ind w:left="0" w:right="0" w:hanging="0"/>
        <w:rPr/>
      </w:pPr>
      <w:r>
        <w:rPr/>
        <w:t> </w:t>
      </w:r>
    </w:p>
    <w:p>
      <w:pPr>
        <w:pStyle w:val="TextBody"/>
        <w:spacing w:before="0" w:after="0"/>
        <w:ind w:left="0" w:right="0" w:hanging="0"/>
        <w:rPr/>
      </w:pPr>
      <w:r>
        <w:rPr/>
        <w:t> </w:t>
      </w:r>
    </w:p>
    <w:tbl>
      <w:tblPr>
        <w:tblW w:w="10000" w:type="dxa"/>
        <w:jc w:val="left"/>
        <w:tblInd w:w="0" w:type="dxa"/>
        <w:tblCellMar>
          <w:top w:w="0" w:type="dxa"/>
          <w:left w:w="0" w:type="dxa"/>
          <w:bottom w:w="28" w:type="dxa"/>
          <w:right w:w="0" w:type="dxa"/>
        </w:tblCellMar>
      </w:tblPr>
      <w:tblGrid>
        <w:gridCol w:w="5105"/>
        <w:gridCol w:w="90"/>
        <w:gridCol w:w="170"/>
        <w:gridCol w:w="1085"/>
        <w:gridCol w:w="125"/>
        <w:gridCol w:w="90"/>
        <w:gridCol w:w="90"/>
        <w:gridCol w:w="590"/>
        <w:gridCol w:w="245"/>
        <w:gridCol w:w="90"/>
        <w:gridCol w:w="170"/>
        <w:gridCol w:w="1085"/>
        <w:gridCol w:w="125"/>
        <w:gridCol w:w="90"/>
        <w:gridCol w:w="90"/>
        <w:gridCol w:w="470"/>
        <w:gridCol w:w="290"/>
      </w:tblGrid>
      <w:tr>
        <w:trPr/>
        <w:tc>
          <w:tcPr>
            <w:tcW w:w="5105" w:type="dxa"/>
            <w:tcBorders>
              <w:bottom w:val="single" w:sz="2" w:space="0" w:color="000000"/>
            </w:tcBorders>
            <w:shd w:fill="auto" w:val="clear"/>
            <w:vAlign w:val="center"/>
          </w:tcPr>
          <w:p>
            <w:pPr>
              <w:pStyle w:val="TableContents"/>
              <w:spacing w:before="0" w:after="0"/>
              <w:ind w:left="0" w:right="0" w:hanging="0"/>
              <w:rPr/>
            </w:pPr>
            <w:r>
              <w:rPr>
                <w:rStyle w:val="Emphasis"/>
                <w:rFonts w:ascii="times new roman" w:hAnsi="times new roman"/>
                <w:sz w:val="20"/>
              </w:rPr>
              <w:t xml:space="preserve">Years ended December 31,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2150" w:type="dxa"/>
            <w:gridSpan w:val="6"/>
            <w:tcBorders>
              <w:bottom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2020 </w:t>
            </w:r>
          </w:p>
        </w:tc>
        <w:tc>
          <w:tcPr>
            <w:tcW w:w="24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2030" w:type="dxa"/>
            <w:gridSpan w:val="6"/>
            <w:tcBorders>
              <w:bottom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2019 </w:t>
            </w:r>
          </w:p>
        </w:tc>
        <w:tc>
          <w:tcPr>
            <w:tcW w:w="290" w:type="dxa"/>
            <w:tcBorders/>
            <w:shd w:fill="auto" w:val="clear"/>
            <w:tcMar>
              <w:bottom w:w="0" w:type="dxa"/>
            </w:tcMar>
            <w:vAlign w:val="center"/>
          </w:tcPr>
          <w:p>
            <w:pPr>
              <w:pStyle w:val="TableContents"/>
              <w:spacing w:before="0" w:after="0"/>
              <w:ind w:left="0" w:right="0" w:hanging="0"/>
              <w:rPr/>
            </w:pPr>
            <w:r>
              <w:rPr/>
              <w:t> </w:t>
            </w:r>
          </w:p>
        </w:tc>
      </w:tr>
      <w:tr>
        <w:trPr/>
        <w:tc>
          <w:tcPr>
            <w:tcW w:w="5105"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Computed expected tax (benefit) expense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283"/>
              <w:rPr/>
            </w:pPr>
            <w:r>
              <w:rPr/>
              <w:t>$</w:t>
            </w:r>
          </w:p>
        </w:tc>
        <w:tc>
          <w:tcPr>
            <w:tcW w:w="1085" w:type="dxa"/>
            <w:tcBorders/>
            <w:shd w:fill="CCEEFF" w:val="clear"/>
            <w:tcMar>
              <w:bottom w:w="0" w:type="dxa"/>
            </w:tcMar>
            <w:vAlign w:val="center"/>
          </w:tcPr>
          <w:p>
            <w:pPr>
              <w:pStyle w:val="TableContents"/>
              <w:spacing w:before="0" w:after="283"/>
              <w:jc w:val="right"/>
              <w:rPr/>
            </w:pPr>
            <w:r>
              <w:rPr/>
              <w:t>(270,440</w:t>
            </w:r>
          </w:p>
        </w:tc>
        <w:tc>
          <w:tcPr>
            <w:tcW w:w="125" w:type="dxa"/>
            <w:tcBorders/>
            <w:shd w:fill="CCEEFF" w:val="clear"/>
            <w:tcMar>
              <w:bottom w:w="0" w:type="dxa"/>
            </w:tcMar>
            <w:vAlign w:val="center"/>
          </w:tcPr>
          <w:p>
            <w:pPr>
              <w:pStyle w:val="TableContents"/>
              <w:spacing w:before="0" w:after="283"/>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590" w:type="dxa"/>
            <w:tcBorders/>
            <w:shd w:fill="CCEEFF" w:val="clear"/>
            <w:tcMar>
              <w:bottom w:w="0" w:type="dxa"/>
            </w:tcMar>
            <w:vAlign w:val="center"/>
          </w:tcPr>
          <w:p>
            <w:pPr>
              <w:pStyle w:val="TableContents"/>
              <w:spacing w:before="0" w:after="283"/>
              <w:jc w:val="right"/>
              <w:rPr/>
            </w:pPr>
            <w:r>
              <w:rPr/>
              <w:t>21.0</w:t>
            </w:r>
          </w:p>
        </w:tc>
        <w:tc>
          <w:tcPr>
            <w:tcW w:w="245" w:type="dxa"/>
            <w:tcBorders/>
            <w:shd w:fill="CCEEFF" w:val="clear"/>
            <w:tcMar>
              <w:bottom w:w="0" w:type="dxa"/>
            </w:tcMar>
            <w:vAlign w:val="center"/>
          </w:tcPr>
          <w:p>
            <w:pPr>
              <w:pStyle w:val="TableContents"/>
              <w:spacing w:before="0" w:after="283"/>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283"/>
              <w:rPr/>
            </w:pPr>
            <w:r>
              <w:rPr/>
              <w:t>$</w:t>
            </w:r>
          </w:p>
        </w:tc>
        <w:tc>
          <w:tcPr>
            <w:tcW w:w="1085" w:type="dxa"/>
            <w:tcBorders/>
            <w:shd w:fill="CCEEFF" w:val="clear"/>
            <w:tcMar>
              <w:bottom w:w="0" w:type="dxa"/>
            </w:tcMar>
            <w:vAlign w:val="center"/>
          </w:tcPr>
          <w:p>
            <w:pPr>
              <w:pStyle w:val="TableContents"/>
              <w:spacing w:before="0" w:after="283"/>
              <w:jc w:val="right"/>
              <w:rPr/>
            </w:pPr>
            <w:r>
              <w:rPr/>
              <w:t>(1,634,334</w:t>
            </w:r>
          </w:p>
        </w:tc>
        <w:tc>
          <w:tcPr>
            <w:tcW w:w="125" w:type="dxa"/>
            <w:tcBorders/>
            <w:shd w:fill="CCEEFF" w:val="clear"/>
            <w:tcMar>
              <w:bottom w:w="0" w:type="dxa"/>
            </w:tcMar>
            <w:vAlign w:val="center"/>
          </w:tcPr>
          <w:p>
            <w:pPr>
              <w:pStyle w:val="TableContents"/>
              <w:spacing w:before="0" w:after="283"/>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470" w:type="dxa"/>
            <w:tcBorders/>
            <w:shd w:fill="CCEEFF" w:val="clear"/>
            <w:tcMar>
              <w:bottom w:w="0" w:type="dxa"/>
            </w:tcMar>
            <w:vAlign w:val="center"/>
          </w:tcPr>
          <w:p>
            <w:pPr>
              <w:pStyle w:val="TableContents"/>
              <w:spacing w:before="0" w:after="283"/>
              <w:jc w:val="right"/>
              <w:rPr/>
            </w:pPr>
            <w:r>
              <w:rPr/>
              <w:t>21.0</w:t>
            </w:r>
          </w:p>
        </w:tc>
        <w:tc>
          <w:tcPr>
            <w:tcW w:w="290" w:type="dxa"/>
            <w:tcBorders/>
            <w:shd w:fill="CCEEFF" w:val="clear"/>
            <w:tcMar>
              <w:bottom w:w="0" w:type="dxa"/>
            </w:tcMar>
            <w:vAlign w:val="center"/>
          </w:tcPr>
          <w:p>
            <w:pPr>
              <w:pStyle w:val="TableContents"/>
              <w:spacing w:before="0" w:after="283"/>
              <w:rPr/>
            </w:pPr>
            <w:r>
              <w:rPr/>
              <w:t>%</w:t>
            </w:r>
          </w:p>
        </w:tc>
      </w:tr>
      <w:tr>
        <w:trPr/>
        <w:tc>
          <w:tcPr>
            <w:tcW w:w="5105" w:type="dxa"/>
            <w:tcBorders/>
            <w:shd w:fill="FFFF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State taxes, net of federal benefit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1085" w:type="dxa"/>
            <w:tcBorders/>
            <w:shd w:fill="FFFFFF" w:val="clear"/>
            <w:tcMar>
              <w:bottom w:w="0" w:type="dxa"/>
            </w:tcMar>
            <w:vAlign w:val="center"/>
          </w:tcPr>
          <w:p>
            <w:pPr>
              <w:pStyle w:val="TableContents"/>
              <w:spacing w:before="0" w:after="283"/>
              <w:jc w:val="right"/>
              <w:rPr/>
            </w:pPr>
            <w:r>
              <w:rPr/>
              <w:t>(233,752</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590" w:type="dxa"/>
            <w:tcBorders/>
            <w:shd w:fill="FFFFFF" w:val="clear"/>
            <w:tcMar>
              <w:bottom w:w="0" w:type="dxa"/>
            </w:tcMar>
            <w:vAlign w:val="center"/>
          </w:tcPr>
          <w:p>
            <w:pPr>
              <w:pStyle w:val="TableContents"/>
              <w:spacing w:before="0" w:after="283"/>
              <w:jc w:val="right"/>
              <w:rPr/>
            </w:pPr>
            <w:r>
              <w:rPr/>
              <w:t>18.2</w:t>
            </w:r>
          </w:p>
        </w:tc>
        <w:tc>
          <w:tcPr>
            <w:tcW w:w="24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1085" w:type="dxa"/>
            <w:tcBorders/>
            <w:shd w:fill="FFFFFF" w:val="clear"/>
            <w:tcMar>
              <w:bottom w:w="0" w:type="dxa"/>
            </w:tcMar>
            <w:vAlign w:val="center"/>
          </w:tcPr>
          <w:p>
            <w:pPr>
              <w:pStyle w:val="TableContents"/>
              <w:spacing w:before="0" w:after="283"/>
              <w:jc w:val="right"/>
              <w:rPr/>
            </w:pPr>
            <w:r>
              <w:rPr/>
              <w:t>(247,909</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470" w:type="dxa"/>
            <w:tcBorders/>
            <w:shd w:fill="FFFFFF" w:val="clear"/>
            <w:tcMar>
              <w:bottom w:w="0" w:type="dxa"/>
            </w:tcMar>
            <w:vAlign w:val="center"/>
          </w:tcPr>
          <w:p>
            <w:pPr>
              <w:pStyle w:val="TableContents"/>
              <w:spacing w:before="0" w:after="283"/>
              <w:jc w:val="right"/>
              <w:rPr/>
            </w:pPr>
            <w:r>
              <w:rPr/>
              <w:t>3.2</w:t>
            </w:r>
          </w:p>
        </w:tc>
        <w:tc>
          <w:tcPr>
            <w:tcW w:w="290" w:type="dxa"/>
            <w:tcBorders/>
            <w:shd w:fill="FFFFFF" w:val="clear"/>
            <w:tcMar>
              <w:bottom w:w="0" w:type="dxa"/>
            </w:tcMar>
            <w:vAlign w:val="center"/>
          </w:tcPr>
          <w:p>
            <w:pPr>
              <w:pStyle w:val="TableContents"/>
              <w:spacing w:before="0" w:after="0"/>
              <w:ind w:left="0" w:right="0" w:hanging="0"/>
              <w:rPr/>
            </w:pPr>
            <w:r>
              <w:rPr/>
              <w:t> </w:t>
            </w:r>
          </w:p>
        </w:tc>
      </w:tr>
      <w:tr>
        <w:trPr/>
        <w:tc>
          <w:tcPr>
            <w:tcW w:w="5105"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State valuation allowance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0"/>
              <w:ind w:left="0" w:right="0" w:hanging="0"/>
              <w:rPr/>
            </w:pPr>
            <w:r>
              <w:rPr/>
              <w:t> </w:t>
            </w:r>
          </w:p>
        </w:tc>
        <w:tc>
          <w:tcPr>
            <w:tcW w:w="1085" w:type="dxa"/>
            <w:tcBorders/>
            <w:shd w:fill="CCEEFF" w:val="clear"/>
            <w:tcMar>
              <w:bottom w:w="0" w:type="dxa"/>
            </w:tcMar>
            <w:vAlign w:val="center"/>
          </w:tcPr>
          <w:p>
            <w:pPr>
              <w:pStyle w:val="TableContents"/>
              <w:spacing w:before="0" w:after="283"/>
              <w:jc w:val="right"/>
              <w:rPr/>
            </w:pPr>
            <w:r>
              <w:rPr/>
              <w:t>292,087</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590" w:type="dxa"/>
            <w:tcBorders/>
            <w:shd w:fill="CCEEFF" w:val="clear"/>
            <w:tcMar>
              <w:bottom w:w="0" w:type="dxa"/>
            </w:tcMar>
            <w:vAlign w:val="center"/>
          </w:tcPr>
          <w:p>
            <w:pPr>
              <w:pStyle w:val="TableContents"/>
              <w:spacing w:before="0" w:after="283"/>
              <w:jc w:val="right"/>
              <w:rPr/>
            </w:pPr>
            <w:r>
              <w:rPr/>
              <w:t>(22.7</w:t>
            </w:r>
          </w:p>
        </w:tc>
        <w:tc>
          <w:tcPr>
            <w:tcW w:w="245" w:type="dxa"/>
            <w:tcBorders/>
            <w:shd w:fill="CCEEFF" w:val="clear"/>
            <w:tcMar>
              <w:bottom w:w="0" w:type="dxa"/>
            </w:tcMar>
            <w:vAlign w:val="center"/>
          </w:tcPr>
          <w:p>
            <w:pPr>
              <w:pStyle w:val="TableContents"/>
              <w:spacing w:before="0" w:after="283"/>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0"/>
              <w:ind w:left="0" w:right="0" w:hanging="0"/>
              <w:rPr/>
            </w:pPr>
            <w:r>
              <w:rPr/>
              <w:t> </w:t>
            </w:r>
          </w:p>
        </w:tc>
        <w:tc>
          <w:tcPr>
            <w:tcW w:w="1085" w:type="dxa"/>
            <w:tcBorders/>
            <w:shd w:fill="CCEEFF" w:val="clear"/>
            <w:tcMar>
              <w:bottom w:w="0" w:type="dxa"/>
            </w:tcMar>
            <w:vAlign w:val="center"/>
          </w:tcPr>
          <w:p>
            <w:pPr>
              <w:pStyle w:val="TableContents"/>
              <w:spacing w:before="0" w:after="283"/>
              <w:jc w:val="right"/>
              <w:rPr/>
            </w:pPr>
            <w:r>
              <w:rPr/>
              <w:t>261,573</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470" w:type="dxa"/>
            <w:tcBorders/>
            <w:shd w:fill="CCEEFF" w:val="clear"/>
            <w:tcMar>
              <w:bottom w:w="0" w:type="dxa"/>
            </w:tcMar>
            <w:vAlign w:val="center"/>
          </w:tcPr>
          <w:p>
            <w:pPr>
              <w:pStyle w:val="TableContents"/>
              <w:spacing w:before="0" w:after="283"/>
              <w:jc w:val="right"/>
              <w:rPr/>
            </w:pPr>
            <w:r>
              <w:rPr/>
              <w:t>(3.4</w:t>
            </w:r>
          </w:p>
        </w:tc>
        <w:tc>
          <w:tcPr>
            <w:tcW w:w="290" w:type="dxa"/>
            <w:tcBorders/>
            <w:shd w:fill="CCEEFF" w:val="clear"/>
            <w:tcMar>
              <w:bottom w:w="0" w:type="dxa"/>
            </w:tcMar>
            <w:vAlign w:val="center"/>
          </w:tcPr>
          <w:p>
            <w:pPr>
              <w:pStyle w:val="TableContents"/>
              <w:spacing w:before="0" w:after="283"/>
              <w:rPr/>
            </w:pPr>
            <w:r>
              <w:rPr/>
              <w:t>)</w:t>
            </w:r>
          </w:p>
        </w:tc>
      </w:tr>
      <w:tr>
        <w:trPr/>
        <w:tc>
          <w:tcPr>
            <w:tcW w:w="5105" w:type="dxa"/>
            <w:tcBorders/>
            <w:shd w:fill="FFFF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Benefit of higher tax brackets in NOL carryback - current year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1085" w:type="dxa"/>
            <w:tcBorders/>
            <w:shd w:fill="FFFFFF" w:val="clear"/>
            <w:tcMar>
              <w:bottom w:w="0" w:type="dxa"/>
            </w:tcMar>
            <w:vAlign w:val="center"/>
          </w:tcPr>
          <w:p>
            <w:pPr>
              <w:pStyle w:val="TableContents"/>
              <w:spacing w:before="0" w:after="283"/>
              <w:jc w:val="right"/>
              <w:rPr/>
            </w:pPr>
            <w:r>
              <w:rPr/>
              <w:t>(754,829</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590" w:type="dxa"/>
            <w:tcBorders/>
            <w:shd w:fill="FFFFFF" w:val="clear"/>
            <w:tcMar>
              <w:bottom w:w="0" w:type="dxa"/>
            </w:tcMar>
            <w:vAlign w:val="center"/>
          </w:tcPr>
          <w:p>
            <w:pPr>
              <w:pStyle w:val="TableContents"/>
              <w:spacing w:before="0" w:after="283"/>
              <w:jc w:val="right"/>
              <w:rPr/>
            </w:pPr>
            <w:r>
              <w:rPr/>
              <w:t>58.6</w:t>
            </w:r>
          </w:p>
        </w:tc>
        <w:tc>
          <w:tcPr>
            <w:tcW w:w="24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1085" w:type="dxa"/>
            <w:tcBorders/>
            <w:shd w:fill="FFFFFF" w:val="clear"/>
            <w:tcMar>
              <w:bottom w:w="0" w:type="dxa"/>
            </w:tcMar>
            <w:vAlign w:val="center"/>
          </w:tcPr>
          <w:p>
            <w:pPr>
              <w:pStyle w:val="TableContents"/>
              <w:spacing w:before="0" w:after="283"/>
              <w:jc w:val="right"/>
              <w:rPr/>
            </w:pPr>
            <w:r>
              <w:rPr/>
              <w:t>-</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470" w:type="dxa"/>
            <w:tcBorders/>
            <w:shd w:fill="FFFFFF" w:val="clear"/>
            <w:tcMar>
              <w:bottom w:w="0" w:type="dxa"/>
            </w:tcMar>
            <w:vAlign w:val="center"/>
          </w:tcPr>
          <w:p>
            <w:pPr>
              <w:pStyle w:val="TableContents"/>
              <w:spacing w:before="0" w:after="283"/>
              <w:jc w:val="right"/>
              <w:rPr/>
            </w:pPr>
            <w:r>
              <w:rPr/>
              <w:t>-</w:t>
            </w:r>
          </w:p>
        </w:tc>
        <w:tc>
          <w:tcPr>
            <w:tcW w:w="290" w:type="dxa"/>
            <w:tcBorders/>
            <w:shd w:fill="FFFFFF" w:val="clear"/>
            <w:tcMar>
              <w:bottom w:w="0" w:type="dxa"/>
            </w:tcMar>
            <w:vAlign w:val="center"/>
          </w:tcPr>
          <w:p>
            <w:pPr>
              <w:pStyle w:val="TableContents"/>
              <w:spacing w:before="0" w:after="0"/>
              <w:ind w:left="0" w:right="0" w:hanging="0"/>
              <w:rPr/>
            </w:pPr>
            <w:r>
              <w:rPr/>
              <w:t> </w:t>
            </w:r>
          </w:p>
        </w:tc>
      </w:tr>
      <w:tr>
        <w:trPr/>
        <w:tc>
          <w:tcPr>
            <w:tcW w:w="5105"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Benefit of higher tax brackets in NOL carryback - prior year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0"/>
              <w:ind w:left="0" w:right="0" w:hanging="0"/>
              <w:rPr/>
            </w:pPr>
            <w:r>
              <w:rPr/>
              <w:t> </w:t>
            </w:r>
          </w:p>
        </w:tc>
        <w:tc>
          <w:tcPr>
            <w:tcW w:w="1085" w:type="dxa"/>
            <w:tcBorders/>
            <w:shd w:fill="CCEEFF" w:val="clear"/>
            <w:tcMar>
              <w:bottom w:w="0" w:type="dxa"/>
            </w:tcMar>
            <w:vAlign w:val="center"/>
          </w:tcPr>
          <w:p>
            <w:pPr>
              <w:pStyle w:val="TableContents"/>
              <w:spacing w:before="0" w:after="283"/>
              <w:jc w:val="right"/>
              <w:rPr/>
            </w:pPr>
            <w:r>
              <w:rPr/>
              <w:t>(1,274,465</w:t>
            </w:r>
          </w:p>
        </w:tc>
        <w:tc>
          <w:tcPr>
            <w:tcW w:w="125" w:type="dxa"/>
            <w:tcBorders/>
            <w:shd w:fill="CCEEFF" w:val="clear"/>
            <w:tcMar>
              <w:bottom w:w="0" w:type="dxa"/>
            </w:tcMar>
            <w:vAlign w:val="center"/>
          </w:tcPr>
          <w:p>
            <w:pPr>
              <w:pStyle w:val="TableContents"/>
              <w:spacing w:before="0" w:after="283"/>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590" w:type="dxa"/>
            <w:tcBorders/>
            <w:shd w:fill="CCEEFF" w:val="clear"/>
            <w:tcMar>
              <w:bottom w:w="0" w:type="dxa"/>
            </w:tcMar>
            <w:vAlign w:val="center"/>
          </w:tcPr>
          <w:p>
            <w:pPr>
              <w:pStyle w:val="TableContents"/>
              <w:spacing w:before="0" w:after="283"/>
              <w:jc w:val="right"/>
              <w:rPr/>
            </w:pPr>
            <w:r>
              <w:rPr/>
              <w:t>99.0</w:t>
            </w:r>
          </w:p>
        </w:tc>
        <w:tc>
          <w:tcPr>
            <w:tcW w:w="24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0"/>
              <w:ind w:left="0" w:right="0" w:hanging="0"/>
              <w:rPr/>
            </w:pPr>
            <w:r>
              <w:rPr/>
              <w:t> </w:t>
            </w:r>
          </w:p>
        </w:tc>
        <w:tc>
          <w:tcPr>
            <w:tcW w:w="1085" w:type="dxa"/>
            <w:tcBorders/>
            <w:shd w:fill="CCEEFF" w:val="clear"/>
            <w:tcMar>
              <w:bottom w:w="0" w:type="dxa"/>
            </w:tcMar>
            <w:vAlign w:val="center"/>
          </w:tcPr>
          <w:p>
            <w:pPr>
              <w:pStyle w:val="TableContents"/>
              <w:spacing w:before="0" w:after="283"/>
              <w:jc w:val="right"/>
              <w:rPr/>
            </w:pPr>
            <w:r>
              <w:rPr/>
              <w:t>-</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470" w:type="dxa"/>
            <w:tcBorders/>
            <w:shd w:fill="CCEEFF" w:val="clear"/>
            <w:tcMar>
              <w:bottom w:w="0" w:type="dxa"/>
            </w:tcMar>
            <w:vAlign w:val="center"/>
          </w:tcPr>
          <w:p>
            <w:pPr>
              <w:pStyle w:val="TableContents"/>
              <w:spacing w:before="0" w:after="283"/>
              <w:jc w:val="right"/>
              <w:rPr/>
            </w:pPr>
            <w:r>
              <w:rPr/>
              <w:t>-</w:t>
            </w:r>
          </w:p>
        </w:tc>
        <w:tc>
          <w:tcPr>
            <w:tcW w:w="290" w:type="dxa"/>
            <w:tcBorders/>
            <w:shd w:fill="CCEEFF" w:val="clear"/>
            <w:tcMar>
              <w:bottom w:w="0" w:type="dxa"/>
            </w:tcMar>
            <w:vAlign w:val="center"/>
          </w:tcPr>
          <w:p>
            <w:pPr>
              <w:pStyle w:val="TableContents"/>
              <w:spacing w:before="0" w:after="0"/>
              <w:ind w:left="0" w:right="0" w:hanging="0"/>
              <w:rPr/>
            </w:pPr>
            <w:r>
              <w:rPr/>
              <w:t> </w:t>
            </w:r>
          </w:p>
        </w:tc>
      </w:tr>
      <w:tr>
        <w:trPr/>
        <w:tc>
          <w:tcPr>
            <w:tcW w:w="5105" w:type="dxa"/>
            <w:tcBorders/>
            <w:shd w:fill="FFFF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Permanent differences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10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590" w:type="dxa"/>
            <w:tcBorders/>
            <w:shd w:fill="FFFFFF" w:val="clear"/>
            <w:tcMar>
              <w:bottom w:w="0" w:type="dxa"/>
            </w:tcMar>
            <w:vAlign w:val="center"/>
          </w:tcPr>
          <w:p>
            <w:pPr>
              <w:pStyle w:val="TableContents"/>
              <w:spacing w:before="0" w:after="0"/>
              <w:ind w:left="0" w:right="0" w:hanging="0"/>
              <w:rPr/>
            </w:pPr>
            <w:r>
              <w:rPr/>
              <w:t> </w:t>
            </w:r>
          </w:p>
        </w:tc>
        <w:tc>
          <w:tcPr>
            <w:tcW w:w="24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10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470" w:type="dxa"/>
            <w:tcBorders/>
            <w:shd w:fill="FFFFFF" w:val="clear"/>
            <w:tcMar>
              <w:bottom w:w="0" w:type="dxa"/>
            </w:tcMar>
            <w:vAlign w:val="center"/>
          </w:tcPr>
          <w:p>
            <w:pPr>
              <w:pStyle w:val="TableContents"/>
              <w:spacing w:before="0" w:after="0"/>
              <w:ind w:left="0" w:right="0" w:hanging="0"/>
              <w:rPr/>
            </w:pPr>
            <w:r>
              <w:rPr/>
              <w:t> </w:t>
            </w:r>
          </w:p>
        </w:tc>
        <w:tc>
          <w:tcPr>
            <w:tcW w:w="290" w:type="dxa"/>
            <w:tcBorders/>
            <w:shd w:fill="FFFFFF" w:val="clear"/>
            <w:tcMar>
              <w:bottom w:w="0" w:type="dxa"/>
            </w:tcMar>
            <w:vAlign w:val="center"/>
          </w:tcPr>
          <w:p>
            <w:pPr>
              <w:pStyle w:val="TableContents"/>
              <w:spacing w:before="0" w:after="0"/>
              <w:ind w:left="0" w:right="0" w:hanging="0"/>
              <w:rPr/>
            </w:pPr>
            <w:r>
              <w:rPr/>
              <w:t> </w:t>
            </w:r>
          </w:p>
        </w:tc>
      </w:tr>
      <w:tr>
        <w:trPr/>
        <w:tc>
          <w:tcPr>
            <w:tcW w:w="5105" w:type="dxa"/>
            <w:tcBorders/>
            <w:shd w:fill="CCEEFF" w:val="clear"/>
            <w:tcMar>
              <w:bottom w:w="0" w:type="dxa"/>
            </w:tcMar>
            <w:vAlign w:val="center"/>
          </w:tcPr>
          <w:p>
            <w:pPr>
              <w:pStyle w:val="TableContents"/>
              <w:spacing w:before="0" w:after="0"/>
              <w:ind w:left="0" w:right="0" w:firstLine="180"/>
              <w:rPr>
                <w:rFonts w:ascii="times new roman" w:hAnsi="times new roman"/>
                <w:sz w:val="20"/>
              </w:rPr>
            </w:pPr>
            <w:r>
              <w:rPr>
                <w:rFonts w:ascii="times new roman" w:hAnsi="times new roman"/>
                <w:sz w:val="20"/>
              </w:rPr>
              <w:t xml:space="preserve">Dividends received deduction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0"/>
              <w:ind w:left="0" w:right="0" w:hanging="0"/>
              <w:rPr/>
            </w:pPr>
            <w:r>
              <w:rPr/>
              <w:t> </w:t>
            </w:r>
          </w:p>
        </w:tc>
        <w:tc>
          <w:tcPr>
            <w:tcW w:w="1085" w:type="dxa"/>
            <w:tcBorders/>
            <w:shd w:fill="CCEEFF" w:val="clear"/>
            <w:tcMar>
              <w:bottom w:w="0" w:type="dxa"/>
            </w:tcMar>
            <w:vAlign w:val="center"/>
          </w:tcPr>
          <w:p>
            <w:pPr>
              <w:pStyle w:val="TableContents"/>
              <w:spacing w:before="0" w:after="283"/>
              <w:jc w:val="right"/>
              <w:rPr/>
            </w:pPr>
            <w:r>
              <w:rPr/>
              <w:t>(118,113</w:t>
            </w:r>
          </w:p>
        </w:tc>
        <w:tc>
          <w:tcPr>
            <w:tcW w:w="125" w:type="dxa"/>
            <w:tcBorders/>
            <w:shd w:fill="CCEEFF" w:val="clear"/>
            <w:tcMar>
              <w:bottom w:w="0" w:type="dxa"/>
            </w:tcMar>
            <w:vAlign w:val="center"/>
          </w:tcPr>
          <w:p>
            <w:pPr>
              <w:pStyle w:val="TableContents"/>
              <w:spacing w:before="0" w:after="283"/>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590" w:type="dxa"/>
            <w:tcBorders/>
            <w:shd w:fill="CCEEFF" w:val="clear"/>
            <w:tcMar>
              <w:bottom w:w="0" w:type="dxa"/>
            </w:tcMar>
            <w:vAlign w:val="center"/>
          </w:tcPr>
          <w:p>
            <w:pPr>
              <w:pStyle w:val="TableContents"/>
              <w:spacing w:before="0" w:after="283"/>
              <w:jc w:val="right"/>
              <w:rPr/>
            </w:pPr>
            <w:r>
              <w:rPr/>
              <w:t>9.2</w:t>
            </w:r>
          </w:p>
        </w:tc>
        <w:tc>
          <w:tcPr>
            <w:tcW w:w="24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0"/>
              <w:ind w:left="0" w:right="0" w:hanging="0"/>
              <w:rPr/>
            </w:pPr>
            <w:r>
              <w:rPr/>
              <w:t> </w:t>
            </w:r>
          </w:p>
        </w:tc>
        <w:tc>
          <w:tcPr>
            <w:tcW w:w="1085" w:type="dxa"/>
            <w:tcBorders/>
            <w:shd w:fill="CCEEFF" w:val="clear"/>
            <w:tcMar>
              <w:bottom w:w="0" w:type="dxa"/>
            </w:tcMar>
            <w:vAlign w:val="center"/>
          </w:tcPr>
          <w:p>
            <w:pPr>
              <w:pStyle w:val="TableContents"/>
              <w:spacing w:before="0" w:after="283"/>
              <w:jc w:val="right"/>
              <w:rPr/>
            </w:pPr>
            <w:r>
              <w:rPr/>
              <w:t>(97,631</w:t>
            </w:r>
          </w:p>
        </w:tc>
        <w:tc>
          <w:tcPr>
            <w:tcW w:w="125" w:type="dxa"/>
            <w:tcBorders/>
            <w:shd w:fill="CCEEFF" w:val="clear"/>
            <w:tcMar>
              <w:bottom w:w="0" w:type="dxa"/>
            </w:tcMar>
            <w:vAlign w:val="center"/>
          </w:tcPr>
          <w:p>
            <w:pPr>
              <w:pStyle w:val="TableContents"/>
              <w:spacing w:before="0" w:after="283"/>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470" w:type="dxa"/>
            <w:tcBorders/>
            <w:shd w:fill="CCEEFF" w:val="clear"/>
            <w:tcMar>
              <w:bottom w:w="0" w:type="dxa"/>
            </w:tcMar>
            <w:vAlign w:val="center"/>
          </w:tcPr>
          <w:p>
            <w:pPr>
              <w:pStyle w:val="TableContents"/>
              <w:spacing w:before="0" w:after="283"/>
              <w:jc w:val="right"/>
              <w:rPr/>
            </w:pPr>
            <w:r>
              <w:rPr/>
              <w:t>1.3</w:t>
            </w:r>
          </w:p>
        </w:tc>
        <w:tc>
          <w:tcPr>
            <w:tcW w:w="290" w:type="dxa"/>
            <w:tcBorders/>
            <w:shd w:fill="CCEEFF" w:val="clear"/>
            <w:tcMar>
              <w:bottom w:w="0" w:type="dxa"/>
            </w:tcMar>
            <w:vAlign w:val="center"/>
          </w:tcPr>
          <w:p>
            <w:pPr>
              <w:pStyle w:val="TableContents"/>
              <w:spacing w:before="0" w:after="0"/>
              <w:ind w:left="0" w:right="0" w:hanging="0"/>
              <w:rPr/>
            </w:pPr>
            <w:r>
              <w:rPr/>
              <w:t> </w:t>
            </w:r>
          </w:p>
        </w:tc>
      </w:tr>
      <w:tr>
        <w:trPr/>
        <w:tc>
          <w:tcPr>
            <w:tcW w:w="5105" w:type="dxa"/>
            <w:tcBorders/>
            <w:shd w:fill="FFFFFF" w:val="clear"/>
            <w:tcMar>
              <w:bottom w:w="0" w:type="dxa"/>
            </w:tcMar>
            <w:vAlign w:val="center"/>
          </w:tcPr>
          <w:p>
            <w:pPr>
              <w:pStyle w:val="TableContents"/>
              <w:spacing w:before="0" w:after="0"/>
              <w:ind w:left="0" w:right="0" w:firstLine="180"/>
              <w:rPr>
                <w:rFonts w:ascii="times new roman" w:hAnsi="times new roman"/>
                <w:sz w:val="20"/>
              </w:rPr>
            </w:pPr>
            <w:r>
              <w:rPr>
                <w:rFonts w:ascii="times new roman" w:hAnsi="times new roman"/>
                <w:sz w:val="20"/>
              </w:rPr>
              <w:t xml:space="preserve">Non-taxable investment income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1085" w:type="dxa"/>
            <w:tcBorders/>
            <w:shd w:fill="FFFFFF" w:val="clear"/>
            <w:tcMar>
              <w:bottom w:w="0" w:type="dxa"/>
            </w:tcMar>
            <w:vAlign w:val="center"/>
          </w:tcPr>
          <w:p>
            <w:pPr>
              <w:pStyle w:val="TableContents"/>
              <w:spacing w:before="0" w:after="283"/>
              <w:jc w:val="right"/>
              <w:rPr/>
            </w:pPr>
            <w:r>
              <w:rPr/>
              <w:t>(55,752</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590" w:type="dxa"/>
            <w:tcBorders/>
            <w:shd w:fill="FFFFFF" w:val="clear"/>
            <w:tcMar>
              <w:bottom w:w="0" w:type="dxa"/>
            </w:tcMar>
            <w:vAlign w:val="center"/>
          </w:tcPr>
          <w:p>
            <w:pPr>
              <w:pStyle w:val="TableContents"/>
              <w:spacing w:before="0" w:after="283"/>
              <w:jc w:val="right"/>
              <w:rPr/>
            </w:pPr>
            <w:r>
              <w:rPr/>
              <w:t>4.3</w:t>
            </w:r>
          </w:p>
        </w:tc>
        <w:tc>
          <w:tcPr>
            <w:tcW w:w="24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1085" w:type="dxa"/>
            <w:tcBorders/>
            <w:shd w:fill="FFFFFF" w:val="clear"/>
            <w:tcMar>
              <w:bottom w:w="0" w:type="dxa"/>
            </w:tcMar>
            <w:vAlign w:val="center"/>
          </w:tcPr>
          <w:p>
            <w:pPr>
              <w:pStyle w:val="TableContents"/>
              <w:spacing w:before="0" w:after="283"/>
              <w:jc w:val="right"/>
              <w:rPr/>
            </w:pPr>
            <w:r>
              <w:rPr/>
              <w:t>(39,901</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470" w:type="dxa"/>
            <w:tcBorders/>
            <w:shd w:fill="FFFFFF" w:val="clear"/>
            <w:tcMar>
              <w:bottom w:w="0" w:type="dxa"/>
            </w:tcMar>
            <w:vAlign w:val="center"/>
          </w:tcPr>
          <w:p>
            <w:pPr>
              <w:pStyle w:val="TableContents"/>
              <w:spacing w:before="0" w:after="283"/>
              <w:jc w:val="right"/>
              <w:rPr/>
            </w:pPr>
            <w:r>
              <w:rPr/>
              <w:t>0.5</w:t>
            </w:r>
          </w:p>
        </w:tc>
        <w:tc>
          <w:tcPr>
            <w:tcW w:w="290" w:type="dxa"/>
            <w:tcBorders/>
            <w:shd w:fill="FFFFFF" w:val="clear"/>
            <w:tcMar>
              <w:bottom w:w="0" w:type="dxa"/>
            </w:tcMar>
            <w:vAlign w:val="center"/>
          </w:tcPr>
          <w:p>
            <w:pPr>
              <w:pStyle w:val="TableContents"/>
              <w:spacing w:before="0" w:after="0"/>
              <w:ind w:left="0" w:right="0" w:hanging="0"/>
              <w:rPr/>
            </w:pPr>
            <w:r>
              <w:rPr/>
              <w:t> </w:t>
            </w:r>
          </w:p>
        </w:tc>
      </w:tr>
      <w:tr>
        <w:trPr/>
        <w:tc>
          <w:tcPr>
            <w:tcW w:w="5105" w:type="dxa"/>
            <w:tcBorders/>
            <w:shd w:fill="CCEEFF" w:val="clear"/>
            <w:tcMar>
              <w:bottom w:w="0" w:type="dxa"/>
            </w:tcMar>
            <w:vAlign w:val="center"/>
          </w:tcPr>
          <w:p>
            <w:pPr>
              <w:pStyle w:val="TableContents"/>
              <w:spacing w:before="0" w:after="0"/>
              <w:ind w:left="0" w:right="0" w:firstLine="180"/>
              <w:rPr>
                <w:rFonts w:ascii="times new roman" w:hAnsi="times new roman"/>
                <w:sz w:val="20"/>
              </w:rPr>
            </w:pPr>
            <w:r>
              <w:rPr>
                <w:rFonts w:ascii="times new roman" w:hAnsi="times new roman"/>
                <w:sz w:val="20"/>
              </w:rPr>
              <w:t xml:space="preserve">Excess benefit from stock-based compensation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0"/>
              <w:ind w:left="0" w:right="0" w:hanging="0"/>
              <w:rPr/>
            </w:pPr>
            <w:r>
              <w:rPr/>
              <w:t> </w:t>
            </w:r>
          </w:p>
        </w:tc>
        <w:tc>
          <w:tcPr>
            <w:tcW w:w="1085" w:type="dxa"/>
            <w:tcBorders/>
            <w:shd w:fill="CCEEFF" w:val="clear"/>
            <w:tcMar>
              <w:bottom w:w="0" w:type="dxa"/>
            </w:tcMar>
            <w:vAlign w:val="center"/>
          </w:tcPr>
          <w:p>
            <w:pPr>
              <w:pStyle w:val="TableContents"/>
              <w:spacing w:before="0" w:after="283"/>
              <w:jc w:val="right"/>
              <w:rPr/>
            </w:pPr>
            <w:r>
              <w:rPr/>
              <w:t>-</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590" w:type="dxa"/>
            <w:tcBorders/>
            <w:shd w:fill="CCEEFF" w:val="clear"/>
            <w:tcMar>
              <w:bottom w:w="0" w:type="dxa"/>
            </w:tcMar>
            <w:vAlign w:val="center"/>
          </w:tcPr>
          <w:p>
            <w:pPr>
              <w:pStyle w:val="TableContents"/>
              <w:spacing w:before="0" w:after="283"/>
              <w:jc w:val="right"/>
              <w:rPr/>
            </w:pPr>
            <w:r>
              <w:rPr/>
              <w:t>-</w:t>
            </w:r>
          </w:p>
        </w:tc>
        <w:tc>
          <w:tcPr>
            <w:tcW w:w="24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0"/>
              <w:ind w:left="0" w:right="0" w:hanging="0"/>
              <w:rPr/>
            </w:pPr>
            <w:r>
              <w:rPr/>
              <w:t> </w:t>
            </w:r>
          </w:p>
        </w:tc>
        <w:tc>
          <w:tcPr>
            <w:tcW w:w="1085" w:type="dxa"/>
            <w:tcBorders/>
            <w:shd w:fill="CCEEFF" w:val="clear"/>
            <w:tcMar>
              <w:bottom w:w="0" w:type="dxa"/>
            </w:tcMar>
            <w:vAlign w:val="center"/>
          </w:tcPr>
          <w:p>
            <w:pPr>
              <w:pStyle w:val="TableContents"/>
              <w:spacing w:before="0" w:after="283"/>
              <w:jc w:val="right"/>
              <w:rPr/>
            </w:pPr>
            <w:r>
              <w:rPr/>
              <w:t>184</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470" w:type="dxa"/>
            <w:tcBorders/>
            <w:shd w:fill="CCEEFF" w:val="clear"/>
            <w:tcMar>
              <w:bottom w:w="0" w:type="dxa"/>
            </w:tcMar>
            <w:vAlign w:val="center"/>
          </w:tcPr>
          <w:p>
            <w:pPr>
              <w:pStyle w:val="TableContents"/>
              <w:spacing w:before="0" w:after="283"/>
              <w:jc w:val="right"/>
              <w:rPr/>
            </w:pPr>
            <w:r>
              <w:rPr/>
              <w:t>-</w:t>
            </w:r>
          </w:p>
        </w:tc>
        <w:tc>
          <w:tcPr>
            <w:tcW w:w="290" w:type="dxa"/>
            <w:tcBorders/>
            <w:shd w:fill="CCEEFF" w:val="clear"/>
            <w:tcMar>
              <w:bottom w:w="0" w:type="dxa"/>
            </w:tcMar>
            <w:vAlign w:val="center"/>
          </w:tcPr>
          <w:p>
            <w:pPr>
              <w:pStyle w:val="TableContents"/>
              <w:spacing w:before="0" w:after="0"/>
              <w:ind w:left="0" w:right="0" w:hanging="0"/>
              <w:rPr/>
            </w:pPr>
            <w:r>
              <w:rPr/>
              <w:t> </w:t>
            </w:r>
          </w:p>
        </w:tc>
      </w:tr>
      <w:tr>
        <w:trPr/>
        <w:tc>
          <w:tcPr>
            <w:tcW w:w="5105" w:type="dxa"/>
            <w:tcBorders/>
            <w:shd w:fill="FFFFFF" w:val="clear"/>
            <w:tcMar>
              <w:bottom w:w="0" w:type="dxa"/>
            </w:tcMar>
            <w:vAlign w:val="center"/>
          </w:tcPr>
          <w:p>
            <w:pPr>
              <w:pStyle w:val="TableContents"/>
              <w:spacing w:before="0" w:after="0"/>
              <w:ind w:left="0" w:right="0" w:firstLine="180"/>
              <w:rPr>
                <w:rFonts w:ascii="times new roman" w:hAnsi="times new roman"/>
                <w:sz w:val="20"/>
              </w:rPr>
            </w:pPr>
            <w:r>
              <w:rPr>
                <w:rFonts w:ascii="times new roman" w:hAnsi="times new roman"/>
                <w:sz w:val="20"/>
              </w:rPr>
              <w:t xml:space="preserve">Stock-based compensation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1085" w:type="dxa"/>
            <w:tcBorders/>
            <w:shd w:fill="FFFFFF" w:val="clear"/>
            <w:tcMar>
              <w:bottom w:w="0" w:type="dxa"/>
            </w:tcMar>
            <w:vAlign w:val="center"/>
          </w:tcPr>
          <w:p>
            <w:pPr>
              <w:pStyle w:val="TableContents"/>
              <w:spacing w:before="0" w:after="283"/>
              <w:jc w:val="right"/>
              <w:rPr/>
            </w:pPr>
            <w:r>
              <w:rPr/>
              <w:t>125,923</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590" w:type="dxa"/>
            <w:tcBorders/>
            <w:shd w:fill="FFFFFF" w:val="clear"/>
            <w:tcMar>
              <w:bottom w:w="0" w:type="dxa"/>
            </w:tcMar>
            <w:vAlign w:val="center"/>
          </w:tcPr>
          <w:p>
            <w:pPr>
              <w:pStyle w:val="TableContents"/>
              <w:spacing w:before="0" w:after="283"/>
              <w:jc w:val="right"/>
              <w:rPr/>
            </w:pPr>
            <w:r>
              <w:rPr/>
              <w:t>(9.8</w:t>
            </w:r>
          </w:p>
        </w:tc>
        <w:tc>
          <w:tcPr>
            <w:tcW w:w="24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1085" w:type="dxa"/>
            <w:tcBorders/>
            <w:shd w:fill="FFFFFF" w:val="clear"/>
            <w:tcMar>
              <w:bottom w:w="0" w:type="dxa"/>
            </w:tcMar>
            <w:vAlign w:val="center"/>
          </w:tcPr>
          <w:p>
            <w:pPr>
              <w:pStyle w:val="TableContents"/>
              <w:spacing w:before="0" w:after="283"/>
              <w:jc w:val="right"/>
              <w:rPr/>
            </w:pPr>
            <w:r>
              <w:rPr/>
              <w:t>80,453</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470" w:type="dxa"/>
            <w:tcBorders/>
            <w:shd w:fill="FFFFFF" w:val="clear"/>
            <w:tcMar>
              <w:bottom w:w="0" w:type="dxa"/>
            </w:tcMar>
            <w:vAlign w:val="center"/>
          </w:tcPr>
          <w:p>
            <w:pPr>
              <w:pStyle w:val="TableContents"/>
              <w:spacing w:before="0" w:after="283"/>
              <w:jc w:val="right"/>
              <w:rPr/>
            </w:pPr>
            <w:r>
              <w:rPr/>
              <w:t>(1.0</w:t>
            </w:r>
          </w:p>
        </w:tc>
        <w:tc>
          <w:tcPr>
            <w:tcW w:w="290" w:type="dxa"/>
            <w:tcBorders/>
            <w:shd w:fill="FFFFFF" w:val="clear"/>
            <w:tcMar>
              <w:bottom w:w="0" w:type="dxa"/>
            </w:tcMar>
            <w:vAlign w:val="center"/>
          </w:tcPr>
          <w:p>
            <w:pPr>
              <w:pStyle w:val="TableContents"/>
              <w:spacing w:before="0" w:after="283"/>
              <w:rPr/>
            </w:pPr>
            <w:r>
              <w:rPr/>
              <w:t>)</w:t>
            </w:r>
          </w:p>
        </w:tc>
      </w:tr>
      <w:tr>
        <w:trPr/>
        <w:tc>
          <w:tcPr>
            <w:tcW w:w="5105" w:type="dxa"/>
            <w:tcBorders/>
            <w:shd w:fill="CCEEFF" w:val="clear"/>
            <w:tcMar>
              <w:bottom w:w="0" w:type="dxa"/>
            </w:tcMar>
            <w:vAlign w:val="center"/>
          </w:tcPr>
          <w:p>
            <w:pPr>
              <w:pStyle w:val="TableContents"/>
              <w:spacing w:before="0" w:after="0"/>
              <w:ind w:left="0" w:right="0" w:firstLine="180"/>
              <w:rPr>
                <w:rFonts w:ascii="times new roman" w:hAnsi="times new roman"/>
                <w:sz w:val="20"/>
              </w:rPr>
            </w:pPr>
            <w:r>
              <w:rPr>
                <w:rFonts w:ascii="times new roman" w:hAnsi="times new roman"/>
                <w:sz w:val="20"/>
              </w:rPr>
              <w:t xml:space="preserve">Other permanent differences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0"/>
              <w:ind w:left="0" w:right="0" w:hanging="0"/>
              <w:rPr/>
            </w:pPr>
            <w:r>
              <w:rPr/>
              <w:t> </w:t>
            </w:r>
          </w:p>
        </w:tc>
        <w:tc>
          <w:tcPr>
            <w:tcW w:w="1085" w:type="dxa"/>
            <w:tcBorders/>
            <w:shd w:fill="CCEEFF" w:val="clear"/>
            <w:tcMar>
              <w:bottom w:w="0" w:type="dxa"/>
            </w:tcMar>
            <w:vAlign w:val="center"/>
          </w:tcPr>
          <w:p>
            <w:pPr>
              <w:pStyle w:val="TableContents"/>
              <w:spacing w:before="0" w:after="283"/>
              <w:jc w:val="right"/>
              <w:rPr/>
            </w:pPr>
            <w:r>
              <w:rPr/>
              <w:t>46,108</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590" w:type="dxa"/>
            <w:tcBorders/>
            <w:shd w:fill="CCEEFF" w:val="clear"/>
            <w:tcMar>
              <w:bottom w:w="0" w:type="dxa"/>
            </w:tcMar>
            <w:vAlign w:val="center"/>
          </w:tcPr>
          <w:p>
            <w:pPr>
              <w:pStyle w:val="TableContents"/>
              <w:spacing w:before="0" w:after="283"/>
              <w:jc w:val="right"/>
              <w:rPr/>
            </w:pPr>
            <w:r>
              <w:rPr/>
              <w:t>(3.6</w:t>
            </w:r>
          </w:p>
        </w:tc>
        <w:tc>
          <w:tcPr>
            <w:tcW w:w="245" w:type="dxa"/>
            <w:tcBorders/>
            <w:shd w:fill="CCEEFF" w:val="clear"/>
            <w:tcMar>
              <w:bottom w:w="0" w:type="dxa"/>
            </w:tcMar>
            <w:vAlign w:val="center"/>
          </w:tcPr>
          <w:p>
            <w:pPr>
              <w:pStyle w:val="TableContents"/>
              <w:spacing w:before="0" w:after="283"/>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0"/>
              <w:ind w:left="0" w:right="0" w:hanging="0"/>
              <w:rPr/>
            </w:pPr>
            <w:r>
              <w:rPr/>
              <w:t> </w:t>
            </w:r>
          </w:p>
        </w:tc>
        <w:tc>
          <w:tcPr>
            <w:tcW w:w="1085" w:type="dxa"/>
            <w:tcBorders/>
            <w:shd w:fill="CCEEFF" w:val="clear"/>
            <w:tcMar>
              <w:bottom w:w="0" w:type="dxa"/>
            </w:tcMar>
            <w:vAlign w:val="center"/>
          </w:tcPr>
          <w:p>
            <w:pPr>
              <w:pStyle w:val="TableContents"/>
              <w:spacing w:before="0" w:after="283"/>
              <w:jc w:val="right"/>
              <w:rPr/>
            </w:pPr>
            <w:r>
              <w:rPr/>
              <w:t>(15,961</w:t>
            </w:r>
          </w:p>
        </w:tc>
        <w:tc>
          <w:tcPr>
            <w:tcW w:w="125" w:type="dxa"/>
            <w:tcBorders/>
            <w:shd w:fill="CCEEFF" w:val="clear"/>
            <w:tcMar>
              <w:bottom w:w="0" w:type="dxa"/>
            </w:tcMar>
            <w:vAlign w:val="center"/>
          </w:tcPr>
          <w:p>
            <w:pPr>
              <w:pStyle w:val="TableContents"/>
              <w:spacing w:before="0" w:after="283"/>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470" w:type="dxa"/>
            <w:tcBorders/>
            <w:shd w:fill="CCEEFF" w:val="clear"/>
            <w:tcMar>
              <w:bottom w:w="0" w:type="dxa"/>
            </w:tcMar>
            <w:vAlign w:val="center"/>
          </w:tcPr>
          <w:p>
            <w:pPr>
              <w:pStyle w:val="TableContents"/>
              <w:spacing w:before="0" w:after="283"/>
              <w:jc w:val="right"/>
              <w:rPr/>
            </w:pPr>
            <w:r>
              <w:rPr/>
              <w:t>0.2</w:t>
            </w:r>
          </w:p>
        </w:tc>
        <w:tc>
          <w:tcPr>
            <w:tcW w:w="290" w:type="dxa"/>
            <w:tcBorders/>
            <w:shd w:fill="CCEEFF" w:val="clear"/>
            <w:tcMar>
              <w:bottom w:w="0" w:type="dxa"/>
            </w:tcMar>
            <w:vAlign w:val="center"/>
          </w:tcPr>
          <w:p>
            <w:pPr>
              <w:pStyle w:val="TableContents"/>
              <w:spacing w:before="0" w:after="0"/>
              <w:ind w:left="0" w:right="0" w:hanging="0"/>
              <w:rPr/>
            </w:pPr>
            <w:r>
              <w:rPr/>
              <w:t> </w:t>
            </w:r>
          </w:p>
        </w:tc>
      </w:tr>
      <w:tr>
        <w:trPr/>
        <w:tc>
          <w:tcPr>
            <w:tcW w:w="5105" w:type="dxa"/>
            <w:tcBorders/>
            <w:shd w:fill="FFFF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Prior year tax matters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1085" w:type="dxa"/>
            <w:tcBorders/>
            <w:shd w:fill="FFFFFF" w:val="clear"/>
            <w:tcMar>
              <w:bottom w:w="0" w:type="dxa"/>
            </w:tcMar>
            <w:vAlign w:val="center"/>
          </w:tcPr>
          <w:p>
            <w:pPr>
              <w:pStyle w:val="TableContents"/>
              <w:spacing w:before="0" w:after="283"/>
              <w:jc w:val="right"/>
              <w:rPr/>
            </w:pPr>
            <w:r>
              <w:rPr/>
              <w:t>(77,625</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590" w:type="dxa"/>
            <w:tcBorders/>
            <w:shd w:fill="FFFFFF" w:val="clear"/>
            <w:tcMar>
              <w:bottom w:w="0" w:type="dxa"/>
            </w:tcMar>
            <w:vAlign w:val="center"/>
          </w:tcPr>
          <w:p>
            <w:pPr>
              <w:pStyle w:val="TableContents"/>
              <w:spacing w:before="0" w:after="283"/>
              <w:jc w:val="right"/>
              <w:rPr/>
            </w:pPr>
            <w:r>
              <w:rPr/>
              <w:t>6.0</w:t>
            </w:r>
          </w:p>
        </w:tc>
        <w:tc>
          <w:tcPr>
            <w:tcW w:w="24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1085" w:type="dxa"/>
            <w:tcBorders/>
            <w:shd w:fill="FFFFFF" w:val="clear"/>
            <w:tcMar>
              <w:bottom w:w="0" w:type="dxa"/>
            </w:tcMar>
            <w:vAlign w:val="center"/>
          </w:tcPr>
          <w:p>
            <w:pPr>
              <w:pStyle w:val="TableContents"/>
              <w:spacing w:before="0" w:after="283"/>
              <w:jc w:val="right"/>
              <w:rPr/>
            </w:pPr>
            <w:r>
              <w:rPr/>
              <w:t>(91,748</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470" w:type="dxa"/>
            <w:tcBorders/>
            <w:shd w:fill="FFFFFF" w:val="clear"/>
            <w:tcMar>
              <w:bottom w:w="0" w:type="dxa"/>
            </w:tcMar>
            <w:vAlign w:val="center"/>
          </w:tcPr>
          <w:p>
            <w:pPr>
              <w:pStyle w:val="TableContents"/>
              <w:spacing w:before="0" w:after="283"/>
              <w:jc w:val="right"/>
              <w:rPr/>
            </w:pPr>
            <w:r>
              <w:rPr/>
              <w:t>1.2</w:t>
            </w:r>
          </w:p>
        </w:tc>
        <w:tc>
          <w:tcPr>
            <w:tcW w:w="290" w:type="dxa"/>
            <w:tcBorders/>
            <w:shd w:fill="FFFFFF" w:val="clear"/>
            <w:tcMar>
              <w:bottom w:w="0" w:type="dxa"/>
            </w:tcMar>
            <w:vAlign w:val="center"/>
          </w:tcPr>
          <w:p>
            <w:pPr>
              <w:pStyle w:val="TableContents"/>
              <w:spacing w:before="0" w:after="0"/>
              <w:ind w:left="0" w:right="0" w:hanging="0"/>
              <w:rPr/>
            </w:pPr>
            <w:r>
              <w:rPr/>
              <w:t> </w:t>
            </w:r>
          </w:p>
        </w:tc>
      </w:tr>
      <w:tr>
        <w:trPr/>
        <w:tc>
          <w:tcPr>
            <w:tcW w:w="5105"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Other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bottom w:val="single" w:sz="2" w:space="0" w:color="000000"/>
            </w:tcBorders>
            <w:shd w:fill="CCEEFF" w:val="clear"/>
            <w:vAlign w:val="center"/>
          </w:tcPr>
          <w:p>
            <w:pPr>
              <w:pStyle w:val="TableContents"/>
              <w:spacing w:before="0" w:after="0"/>
              <w:ind w:left="0" w:right="0" w:hanging="0"/>
              <w:rPr/>
            </w:pPr>
            <w:r>
              <w:rPr/>
              <w:t> </w:t>
            </w:r>
          </w:p>
        </w:tc>
        <w:tc>
          <w:tcPr>
            <w:tcW w:w="1085" w:type="dxa"/>
            <w:tcBorders>
              <w:bottom w:val="single" w:sz="2" w:space="0" w:color="000000"/>
            </w:tcBorders>
            <w:shd w:fill="CCEEFF" w:val="clear"/>
            <w:vAlign w:val="center"/>
          </w:tcPr>
          <w:p>
            <w:pPr>
              <w:pStyle w:val="TableContents"/>
              <w:spacing w:before="0" w:after="283"/>
              <w:jc w:val="right"/>
              <w:rPr/>
            </w:pPr>
            <w:r>
              <w:rPr/>
              <w:t>60,658</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CCEEFF" w:val="clear"/>
            <w:vAlign w:val="center"/>
          </w:tcPr>
          <w:p>
            <w:pPr>
              <w:pStyle w:val="TableContents"/>
              <w:spacing w:before="0" w:after="0"/>
              <w:ind w:left="0" w:right="0" w:hanging="0"/>
              <w:rPr/>
            </w:pPr>
            <w:r>
              <w:rPr/>
              <w:t> </w:t>
            </w:r>
          </w:p>
        </w:tc>
        <w:tc>
          <w:tcPr>
            <w:tcW w:w="590" w:type="dxa"/>
            <w:tcBorders>
              <w:bottom w:val="single" w:sz="2" w:space="0" w:color="000000"/>
            </w:tcBorders>
            <w:shd w:fill="CCEEFF" w:val="clear"/>
            <w:vAlign w:val="center"/>
          </w:tcPr>
          <w:p>
            <w:pPr>
              <w:pStyle w:val="TableContents"/>
              <w:spacing w:before="0" w:after="283"/>
              <w:jc w:val="right"/>
              <w:rPr/>
            </w:pPr>
            <w:r>
              <w:rPr/>
              <w:t>(4.7</w:t>
            </w:r>
          </w:p>
        </w:tc>
        <w:tc>
          <w:tcPr>
            <w:tcW w:w="245" w:type="dxa"/>
            <w:tcBorders/>
            <w:shd w:fill="CCEEFF" w:val="clear"/>
            <w:tcMar>
              <w:bottom w:w="0" w:type="dxa"/>
            </w:tcMar>
            <w:vAlign w:val="center"/>
          </w:tcPr>
          <w:p>
            <w:pPr>
              <w:pStyle w:val="TableContents"/>
              <w:spacing w:before="0" w:after="283"/>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bottom w:val="single" w:sz="2" w:space="0" w:color="000000"/>
            </w:tcBorders>
            <w:shd w:fill="CCEEFF" w:val="clear"/>
            <w:vAlign w:val="center"/>
          </w:tcPr>
          <w:p>
            <w:pPr>
              <w:pStyle w:val="TableContents"/>
              <w:spacing w:before="0" w:after="0"/>
              <w:ind w:left="0" w:right="0" w:hanging="0"/>
              <w:rPr/>
            </w:pPr>
            <w:r>
              <w:rPr/>
              <w:t> </w:t>
            </w:r>
          </w:p>
        </w:tc>
        <w:tc>
          <w:tcPr>
            <w:tcW w:w="1085" w:type="dxa"/>
            <w:tcBorders>
              <w:bottom w:val="single" w:sz="2" w:space="0" w:color="000000"/>
            </w:tcBorders>
            <w:shd w:fill="CCEEFF" w:val="clear"/>
            <w:vAlign w:val="center"/>
          </w:tcPr>
          <w:p>
            <w:pPr>
              <w:pStyle w:val="TableContents"/>
              <w:spacing w:before="0" w:after="283"/>
              <w:jc w:val="right"/>
              <w:rPr/>
            </w:pPr>
            <w:r>
              <w:rPr/>
              <w:t>(30,917</w:t>
            </w:r>
          </w:p>
        </w:tc>
        <w:tc>
          <w:tcPr>
            <w:tcW w:w="125" w:type="dxa"/>
            <w:tcBorders/>
            <w:shd w:fill="CCEEFF" w:val="clear"/>
            <w:tcMar>
              <w:bottom w:w="0" w:type="dxa"/>
            </w:tcMar>
            <w:vAlign w:val="center"/>
          </w:tcPr>
          <w:p>
            <w:pPr>
              <w:pStyle w:val="TableContents"/>
              <w:spacing w:before="0" w:after="283"/>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CCEEFF" w:val="clear"/>
            <w:vAlign w:val="center"/>
          </w:tcPr>
          <w:p>
            <w:pPr>
              <w:pStyle w:val="TableContents"/>
              <w:spacing w:before="0" w:after="0"/>
              <w:ind w:left="0" w:right="0" w:hanging="0"/>
              <w:rPr/>
            </w:pPr>
            <w:r>
              <w:rPr/>
              <w:t> </w:t>
            </w:r>
          </w:p>
        </w:tc>
        <w:tc>
          <w:tcPr>
            <w:tcW w:w="470" w:type="dxa"/>
            <w:tcBorders>
              <w:bottom w:val="single" w:sz="2" w:space="0" w:color="000000"/>
            </w:tcBorders>
            <w:shd w:fill="CCEEFF" w:val="clear"/>
            <w:vAlign w:val="center"/>
          </w:tcPr>
          <w:p>
            <w:pPr>
              <w:pStyle w:val="TableContents"/>
              <w:spacing w:before="0" w:after="283"/>
              <w:jc w:val="right"/>
              <w:rPr/>
            </w:pPr>
            <w:r>
              <w:rPr/>
              <w:t>0.3</w:t>
            </w:r>
          </w:p>
        </w:tc>
        <w:tc>
          <w:tcPr>
            <w:tcW w:w="290" w:type="dxa"/>
            <w:tcBorders/>
            <w:shd w:fill="CCEEFF" w:val="clear"/>
            <w:tcMar>
              <w:bottom w:w="0" w:type="dxa"/>
            </w:tcMar>
            <w:vAlign w:val="center"/>
          </w:tcPr>
          <w:p>
            <w:pPr>
              <w:pStyle w:val="TableContents"/>
              <w:spacing w:before="0" w:after="0"/>
              <w:ind w:left="0" w:right="0" w:hanging="0"/>
              <w:rPr/>
            </w:pPr>
            <w:r>
              <w:rPr/>
              <w:t> </w:t>
            </w:r>
          </w:p>
        </w:tc>
      </w:tr>
      <w:tr>
        <w:trPr/>
        <w:tc>
          <w:tcPr>
            <w:tcW w:w="5105" w:type="dxa"/>
            <w:tcBorders/>
            <w:shd w:fill="FFFF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Income tax benefit, as reported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bottom w:val="double" w:sz="6" w:space="0" w:color="000000"/>
            </w:tcBorders>
            <w:shd w:fill="FFFFFF" w:val="clear"/>
            <w:vAlign w:val="center"/>
          </w:tcPr>
          <w:p>
            <w:pPr>
              <w:pStyle w:val="TableContents"/>
              <w:spacing w:before="0" w:after="283"/>
              <w:rPr/>
            </w:pPr>
            <w:r>
              <w:rPr/>
              <w:t>$</w:t>
            </w:r>
          </w:p>
        </w:tc>
        <w:tc>
          <w:tcPr>
            <w:tcW w:w="1085" w:type="dxa"/>
            <w:tcBorders>
              <w:bottom w:val="double" w:sz="6" w:space="0" w:color="000000"/>
            </w:tcBorders>
            <w:shd w:fill="FFFFFF" w:val="clear"/>
            <w:vAlign w:val="center"/>
          </w:tcPr>
          <w:p>
            <w:pPr>
              <w:pStyle w:val="TableContents"/>
              <w:spacing w:before="0" w:after="283"/>
              <w:jc w:val="right"/>
              <w:rPr/>
            </w:pPr>
            <w:r>
              <w:rPr/>
              <w:t>(2,260,200</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590" w:type="dxa"/>
            <w:tcBorders>
              <w:bottom w:val="double" w:sz="6" w:space="0" w:color="000000"/>
            </w:tcBorders>
            <w:shd w:fill="FFFFFF" w:val="clear"/>
            <w:vAlign w:val="center"/>
          </w:tcPr>
          <w:p>
            <w:pPr>
              <w:pStyle w:val="TableContents"/>
              <w:spacing w:before="0" w:after="283"/>
              <w:jc w:val="right"/>
              <w:rPr/>
            </w:pPr>
            <w:r>
              <w:rPr/>
              <w:t>175.5</w:t>
            </w:r>
          </w:p>
        </w:tc>
        <w:tc>
          <w:tcPr>
            <w:tcW w:w="24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bottom w:val="double" w:sz="6" w:space="0" w:color="000000"/>
            </w:tcBorders>
            <w:shd w:fill="FFFFFF" w:val="clear"/>
            <w:vAlign w:val="center"/>
          </w:tcPr>
          <w:p>
            <w:pPr>
              <w:pStyle w:val="TableContents"/>
              <w:spacing w:before="0" w:after="283"/>
              <w:rPr/>
            </w:pPr>
            <w:r>
              <w:rPr/>
              <w:t>$</w:t>
            </w:r>
          </w:p>
        </w:tc>
        <w:tc>
          <w:tcPr>
            <w:tcW w:w="1085" w:type="dxa"/>
            <w:tcBorders>
              <w:bottom w:val="double" w:sz="6" w:space="0" w:color="000000"/>
            </w:tcBorders>
            <w:shd w:fill="FFFFFF" w:val="clear"/>
            <w:vAlign w:val="center"/>
          </w:tcPr>
          <w:p>
            <w:pPr>
              <w:pStyle w:val="TableContents"/>
              <w:spacing w:before="0" w:after="283"/>
              <w:jc w:val="right"/>
              <w:rPr/>
            </w:pPr>
            <w:r>
              <w:rPr/>
              <w:t>(1,816,191</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470" w:type="dxa"/>
            <w:tcBorders>
              <w:bottom w:val="double" w:sz="6" w:space="0" w:color="000000"/>
            </w:tcBorders>
            <w:shd w:fill="FFFFFF" w:val="clear"/>
            <w:vAlign w:val="center"/>
          </w:tcPr>
          <w:p>
            <w:pPr>
              <w:pStyle w:val="TableContents"/>
              <w:spacing w:before="0" w:after="283"/>
              <w:jc w:val="right"/>
              <w:rPr/>
            </w:pPr>
            <w:r>
              <w:rPr/>
              <w:t>23.3</w:t>
            </w:r>
          </w:p>
        </w:tc>
        <w:tc>
          <w:tcPr>
            <w:tcW w:w="290" w:type="dxa"/>
            <w:tcBorders/>
            <w:shd w:fill="FFFFFF" w:val="clear"/>
            <w:tcMar>
              <w:bottom w:w="0" w:type="dxa"/>
            </w:tcMar>
            <w:vAlign w:val="center"/>
          </w:tcPr>
          <w:p>
            <w:pPr>
              <w:pStyle w:val="TableContents"/>
              <w:spacing w:before="0" w:after="283"/>
              <w:rPr/>
            </w:pPr>
            <w:r>
              <w:rPr/>
              <w:t>%</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Deferred tax assets and liabilities are determined using the enacted tax rates applicable to the period the temporary differences are expected to be recovered. Accordingly, the current period income tax provision can be affected by the enactment of new tax rates. The net deferred income taxes on the balance sheets reflect temporary differences between the carrying amounts of the assets and liabilities for financial reporting purposes and income tax purposes, tax effected at various rates depending on whether the temporary differences are subject to federal taxes, state taxes, or both.</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Significant components of the Company’s deferred tax assets and liabilities are as follows:</w:t>
      </w:r>
    </w:p>
    <w:p>
      <w:pPr>
        <w:pStyle w:val="TextBody"/>
        <w:spacing w:before="0" w:after="0"/>
        <w:ind w:left="0" w:right="0" w:hanging="0"/>
        <w:jc w:val="both"/>
        <w:rPr/>
      </w:pPr>
      <w:r>
        <w:rPr/>
        <w:t> </w:t>
      </w:r>
      <w:r>
        <w:rPr>
          <w:rStyle w:val="StrongEmphasis"/>
        </w:rPr>
        <w:t> </w:t>
      </w:r>
    </w:p>
    <w:p>
      <w:pPr>
        <w:pStyle w:val="TextBody"/>
        <w:spacing w:before="0" w:after="0"/>
        <w:ind w:left="0" w:right="0" w:hanging="0"/>
        <w:rPr/>
      </w:pPr>
      <w:r>
        <w:rPr/>
        <w:t> </w:t>
      </w:r>
    </w:p>
    <w:p>
      <w:pPr>
        <w:pStyle w:val="TextBody"/>
        <w:spacing w:before="0" w:after="0"/>
        <w:ind w:left="0" w:right="0" w:hanging="0"/>
        <w:rPr/>
      </w:pPr>
      <w:r>
        <w:rPr/>
        <w:t> </w:t>
      </w:r>
    </w:p>
    <w:tbl>
      <w:tblPr>
        <w:tblW w:w="6633" w:type="dxa"/>
        <w:jc w:val="left"/>
        <w:tblInd w:w="0" w:type="dxa"/>
        <w:tblCellMar>
          <w:top w:w="0" w:type="dxa"/>
          <w:left w:w="0" w:type="dxa"/>
          <w:bottom w:w="0" w:type="dxa"/>
          <w:right w:w="0" w:type="dxa"/>
        </w:tblCellMar>
      </w:tblPr>
      <w:tblGrid>
        <w:gridCol w:w="3575"/>
        <w:gridCol w:w="90"/>
        <w:gridCol w:w="177"/>
        <w:gridCol w:w="1132"/>
        <w:gridCol w:w="125"/>
        <w:gridCol w:w="90"/>
        <w:gridCol w:w="188"/>
        <w:gridCol w:w="1121"/>
        <w:gridCol w:w="135"/>
      </w:tblGrid>
      <w:tr>
        <w:trPr/>
        <w:tc>
          <w:tcPr>
            <w:tcW w:w="357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9"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December 31,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9"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December 31, </w:t>
            </w:r>
          </w:p>
        </w:tc>
        <w:tc>
          <w:tcPr>
            <w:tcW w:w="135" w:type="dxa"/>
            <w:tcBorders/>
            <w:shd w:fill="auto" w:val="clear"/>
            <w:vAlign w:val="center"/>
          </w:tcPr>
          <w:p>
            <w:pPr>
              <w:pStyle w:val="TableContents"/>
              <w:spacing w:before="0" w:after="0"/>
              <w:ind w:left="0" w:right="0" w:hanging="0"/>
              <w:rPr/>
            </w:pPr>
            <w:r>
              <w:rPr/>
              <w:t> </w:t>
            </w:r>
          </w:p>
        </w:tc>
      </w:tr>
      <w:tr>
        <w:trPr/>
        <w:tc>
          <w:tcPr>
            <w:tcW w:w="357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2020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2019 </w:t>
            </w:r>
          </w:p>
        </w:tc>
        <w:tc>
          <w:tcPr>
            <w:tcW w:w="135" w:type="dxa"/>
            <w:tcBorders/>
            <w:shd w:fill="auto" w:val="clear"/>
            <w:vAlign w:val="center"/>
          </w:tcPr>
          <w:p>
            <w:pPr>
              <w:pStyle w:val="TableContents"/>
              <w:spacing w:before="0" w:after="0"/>
              <w:ind w:left="0" w:right="0" w:hanging="0"/>
              <w:rPr/>
            </w:pPr>
            <w:r>
              <w:rPr/>
              <w:t> </w:t>
            </w:r>
          </w:p>
        </w:tc>
      </w:tr>
      <w:tr>
        <w:trPr/>
        <w:tc>
          <w:tcPr>
            <w:tcW w:w="357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9"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9" w:type="dxa"/>
            <w:gridSpan w:val="2"/>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357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Deferred tax asset: </w:t>
            </w:r>
          </w:p>
        </w:tc>
        <w:tc>
          <w:tcPr>
            <w:tcW w:w="90" w:type="dxa"/>
            <w:tcBorders/>
            <w:shd w:fill="auto" w:val="clear"/>
            <w:vAlign w:val="center"/>
          </w:tcPr>
          <w:p>
            <w:pPr>
              <w:pStyle w:val="TableContents"/>
              <w:spacing w:before="0" w:after="0"/>
              <w:ind w:left="0" w:right="0" w:hanging="0"/>
              <w:rPr/>
            </w:pPr>
            <w:r>
              <w:rPr/>
              <w:t> </w:t>
            </w:r>
          </w:p>
        </w:tc>
        <w:tc>
          <w:tcPr>
            <w:tcW w:w="1309"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9" w:type="dxa"/>
            <w:gridSpan w:val="2"/>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3575" w:type="dxa"/>
            <w:tcBorders/>
            <w:shd w:fill="CCEE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 xml:space="preserve">Net operating loss carryovers (1) </w:t>
            </w:r>
          </w:p>
        </w:tc>
        <w:tc>
          <w:tcPr>
            <w:tcW w:w="90" w:type="dxa"/>
            <w:tcBorders/>
            <w:shd w:fill="CCEEFF" w:val="clear"/>
            <w:vAlign w:val="center"/>
          </w:tcPr>
          <w:p>
            <w:pPr>
              <w:pStyle w:val="TableContents"/>
              <w:spacing w:before="0" w:after="0"/>
              <w:ind w:left="0" w:right="0" w:hanging="0"/>
              <w:rPr/>
            </w:pPr>
            <w:r>
              <w:rPr/>
              <w:t> </w:t>
            </w:r>
          </w:p>
        </w:tc>
        <w:tc>
          <w:tcPr>
            <w:tcW w:w="177" w:type="dxa"/>
            <w:tcBorders/>
            <w:shd w:fill="CCEEFF" w:val="clear"/>
            <w:vAlign w:val="center"/>
          </w:tcPr>
          <w:p>
            <w:pPr>
              <w:pStyle w:val="TableContents"/>
              <w:spacing w:before="0" w:after="283"/>
              <w:rPr/>
            </w:pPr>
            <w:r>
              <w:rPr/>
              <w:t>$</w:t>
            </w:r>
          </w:p>
        </w:tc>
        <w:tc>
          <w:tcPr>
            <w:tcW w:w="1132"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8" w:type="dxa"/>
            <w:tcBorders/>
            <w:shd w:fill="CCEEFF" w:val="clear"/>
            <w:vAlign w:val="center"/>
          </w:tcPr>
          <w:p>
            <w:pPr>
              <w:pStyle w:val="TableContents"/>
              <w:spacing w:before="0" w:after="283"/>
              <w:rPr/>
            </w:pPr>
            <w:r>
              <w:rPr/>
              <w:t>$</w:t>
            </w:r>
          </w:p>
        </w:tc>
        <w:tc>
          <w:tcPr>
            <w:tcW w:w="1121" w:type="dxa"/>
            <w:tcBorders/>
            <w:shd w:fill="CCEEFF" w:val="clear"/>
            <w:vAlign w:val="center"/>
          </w:tcPr>
          <w:p>
            <w:pPr>
              <w:pStyle w:val="TableContents"/>
              <w:spacing w:before="0" w:after="283"/>
              <w:jc w:val="right"/>
              <w:rPr/>
            </w:pPr>
            <w:r>
              <w:rPr/>
              <w:t>1,586,247</w:t>
            </w:r>
          </w:p>
        </w:tc>
        <w:tc>
          <w:tcPr>
            <w:tcW w:w="135" w:type="dxa"/>
            <w:tcBorders/>
            <w:shd w:fill="CCEEFF" w:val="clear"/>
            <w:vAlign w:val="center"/>
          </w:tcPr>
          <w:p>
            <w:pPr>
              <w:pStyle w:val="TableContents"/>
              <w:spacing w:before="0" w:after="0"/>
              <w:ind w:left="0" w:right="0" w:hanging="0"/>
              <w:rPr/>
            </w:pPr>
            <w:r>
              <w:rPr/>
              <w:t> </w:t>
            </w:r>
          </w:p>
        </w:tc>
      </w:tr>
      <w:tr>
        <w:trPr/>
        <w:tc>
          <w:tcPr>
            <w:tcW w:w="3575" w:type="dxa"/>
            <w:tcBorders/>
            <w:shd w:fill="FFFF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 xml:space="preserve">Claims reserve discount </w:t>
            </w:r>
          </w:p>
        </w:tc>
        <w:tc>
          <w:tcPr>
            <w:tcW w:w="90" w:type="dxa"/>
            <w:tcBorders/>
            <w:shd w:fill="FFFFFF" w:val="clear"/>
            <w:vAlign w:val="center"/>
          </w:tcPr>
          <w:p>
            <w:pPr>
              <w:pStyle w:val="TableContents"/>
              <w:spacing w:before="0" w:after="0"/>
              <w:ind w:left="0" w:right="0" w:hanging="0"/>
              <w:rPr/>
            </w:pPr>
            <w:r>
              <w:rPr/>
              <w:t> </w:t>
            </w:r>
          </w:p>
        </w:tc>
        <w:tc>
          <w:tcPr>
            <w:tcW w:w="177" w:type="dxa"/>
            <w:tcBorders/>
            <w:shd w:fill="FFFFFF" w:val="clear"/>
            <w:vAlign w:val="center"/>
          </w:tcPr>
          <w:p>
            <w:pPr>
              <w:pStyle w:val="TableContents"/>
              <w:spacing w:before="0" w:after="0"/>
              <w:ind w:left="0" w:right="0" w:hanging="0"/>
              <w:rPr/>
            </w:pPr>
            <w:r>
              <w:rPr/>
              <w:t> </w:t>
            </w:r>
          </w:p>
        </w:tc>
        <w:tc>
          <w:tcPr>
            <w:tcW w:w="1132" w:type="dxa"/>
            <w:tcBorders/>
            <w:shd w:fill="FFFFFF" w:val="clear"/>
            <w:vAlign w:val="center"/>
          </w:tcPr>
          <w:p>
            <w:pPr>
              <w:pStyle w:val="TableContents"/>
              <w:spacing w:before="0" w:after="283"/>
              <w:jc w:val="right"/>
              <w:rPr/>
            </w:pPr>
            <w:r>
              <w:rPr/>
              <w:t>838,030</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8" w:type="dxa"/>
            <w:tcBorders/>
            <w:shd w:fill="FFFFFF" w:val="clear"/>
            <w:vAlign w:val="center"/>
          </w:tcPr>
          <w:p>
            <w:pPr>
              <w:pStyle w:val="TableContents"/>
              <w:spacing w:before="0" w:after="0"/>
              <w:ind w:left="0" w:right="0" w:hanging="0"/>
              <w:rPr/>
            </w:pPr>
            <w:r>
              <w:rPr/>
              <w:t> </w:t>
            </w:r>
          </w:p>
        </w:tc>
        <w:tc>
          <w:tcPr>
            <w:tcW w:w="1121" w:type="dxa"/>
            <w:tcBorders/>
            <w:shd w:fill="FFFFFF" w:val="clear"/>
            <w:vAlign w:val="center"/>
          </w:tcPr>
          <w:p>
            <w:pPr>
              <w:pStyle w:val="TableContents"/>
              <w:spacing w:before="0" w:after="283"/>
              <w:jc w:val="right"/>
              <w:rPr/>
            </w:pPr>
            <w:r>
              <w:rPr/>
              <w:t>839,959</w:t>
            </w:r>
          </w:p>
        </w:tc>
        <w:tc>
          <w:tcPr>
            <w:tcW w:w="135" w:type="dxa"/>
            <w:tcBorders/>
            <w:shd w:fill="FFFFFF" w:val="clear"/>
            <w:vAlign w:val="center"/>
          </w:tcPr>
          <w:p>
            <w:pPr>
              <w:pStyle w:val="TableContents"/>
              <w:spacing w:before="0" w:after="0"/>
              <w:ind w:left="0" w:right="0" w:hanging="0"/>
              <w:rPr/>
            </w:pPr>
            <w:r>
              <w:rPr/>
              <w:t> </w:t>
            </w:r>
          </w:p>
        </w:tc>
      </w:tr>
      <w:tr>
        <w:trPr/>
        <w:tc>
          <w:tcPr>
            <w:tcW w:w="3575" w:type="dxa"/>
            <w:tcBorders/>
            <w:shd w:fill="CCEE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 xml:space="preserve">Unearned premium </w:t>
            </w:r>
          </w:p>
        </w:tc>
        <w:tc>
          <w:tcPr>
            <w:tcW w:w="90" w:type="dxa"/>
            <w:tcBorders/>
            <w:shd w:fill="CCEEFF" w:val="clear"/>
            <w:vAlign w:val="center"/>
          </w:tcPr>
          <w:p>
            <w:pPr>
              <w:pStyle w:val="TableContents"/>
              <w:spacing w:before="0" w:after="0"/>
              <w:ind w:left="0" w:right="0" w:hanging="0"/>
              <w:rPr/>
            </w:pPr>
            <w:r>
              <w:rPr/>
              <w:t> </w:t>
            </w:r>
          </w:p>
        </w:tc>
        <w:tc>
          <w:tcPr>
            <w:tcW w:w="177" w:type="dxa"/>
            <w:tcBorders/>
            <w:shd w:fill="CCEEFF" w:val="clear"/>
            <w:vAlign w:val="center"/>
          </w:tcPr>
          <w:p>
            <w:pPr>
              <w:pStyle w:val="TableContents"/>
              <w:spacing w:before="0" w:after="0"/>
              <w:ind w:left="0" w:right="0" w:hanging="0"/>
              <w:rPr/>
            </w:pPr>
            <w:r>
              <w:rPr/>
              <w:t> </w:t>
            </w:r>
          </w:p>
        </w:tc>
        <w:tc>
          <w:tcPr>
            <w:tcW w:w="1132" w:type="dxa"/>
            <w:tcBorders/>
            <w:shd w:fill="CCEEFF" w:val="clear"/>
            <w:vAlign w:val="center"/>
          </w:tcPr>
          <w:p>
            <w:pPr>
              <w:pStyle w:val="TableContents"/>
              <w:spacing w:before="0" w:after="283"/>
              <w:jc w:val="right"/>
              <w:rPr/>
            </w:pPr>
            <w:r>
              <w:rPr/>
              <w:t>3,880,275</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8" w:type="dxa"/>
            <w:tcBorders/>
            <w:shd w:fill="CCEEFF" w:val="clear"/>
            <w:vAlign w:val="center"/>
          </w:tcPr>
          <w:p>
            <w:pPr>
              <w:pStyle w:val="TableContents"/>
              <w:spacing w:before="0" w:after="0"/>
              <w:ind w:left="0" w:right="0" w:hanging="0"/>
              <w:rPr/>
            </w:pPr>
            <w:r>
              <w:rPr/>
              <w:t> </w:t>
            </w:r>
          </w:p>
        </w:tc>
        <w:tc>
          <w:tcPr>
            <w:tcW w:w="1121" w:type="dxa"/>
            <w:tcBorders/>
            <w:shd w:fill="CCEEFF" w:val="clear"/>
            <w:vAlign w:val="center"/>
          </w:tcPr>
          <w:p>
            <w:pPr>
              <w:pStyle w:val="TableContents"/>
              <w:spacing w:before="0" w:after="283"/>
              <w:jc w:val="right"/>
              <w:rPr/>
            </w:pPr>
            <w:r>
              <w:rPr/>
              <w:t>3,105,344</w:t>
            </w:r>
          </w:p>
        </w:tc>
        <w:tc>
          <w:tcPr>
            <w:tcW w:w="135" w:type="dxa"/>
            <w:tcBorders/>
            <w:shd w:fill="CCEEFF" w:val="clear"/>
            <w:vAlign w:val="center"/>
          </w:tcPr>
          <w:p>
            <w:pPr>
              <w:pStyle w:val="TableContents"/>
              <w:spacing w:before="0" w:after="0"/>
              <w:ind w:left="0" w:right="0" w:hanging="0"/>
              <w:rPr/>
            </w:pPr>
            <w:r>
              <w:rPr/>
              <w:t> </w:t>
            </w:r>
          </w:p>
        </w:tc>
      </w:tr>
      <w:tr>
        <w:trPr/>
        <w:tc>
          <w:tcPr>
            <w:tcW w:w="3575" w:type="dxa"/>
            <w:tcBorders/>
            <w:shd w:fill="FFFF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 xml:space="preserve">Deferred ceding commission revenue </w:t>
            </w:r>
          </w:p>
        </w:tc>
        <w:tc>
          <w:tcPr>
            <w:tcW w:w="90" w:type="dxa"/>
            <w:tcBorders/>
            <w:shd w:fill="FFFFFF" w:val="clear"/>
            <w:vAlign w:val="center"/>
          </w:tcPr>
          <w:p>
            <w:pPr>
              <w:pStyle w:val="TableContents"/>
              <w:spacing w:before="0" w:after="0"/>
              <w:ind w:left="0" w:right="0" w:hanging="0"/>
              <w:rPr/>
            </w:pPr>
            <w:r>
              <w:rPr/>
              <w:t> </w:t>
            </w:r>
          </w:p>
        </w:tc>
        <w:tc>
          <w:tcPr>
            <w:tcW w:w="177" w:type="dxa"/>
            <w:tcBorders/>
            <w:shd w:fill="FFFFFF" w:val="clear"/>
            <w:vAlign w:val="center"/>
          </w:tcPr>
          <w:p>
            <w:pPr>
              <w:pStyle w:val="TableContents"/>
              <w:spacing w:before="0" w:after="0"/>
              <w:ind w:left="0" w:right="0" w:hanging="0"/>
              <w:rPr/>
            </w:pPr>
            <w:r>
              <w:rPr/>
              <w:t> </w:t>
            </w:r>
          </w:p>
        </w:tc>
        <w:tc>
          <w:tcPr>
            <w:tcW w:w="1132" w:type="dxa"/>
            <w:tcBorders/>
            <w:shd w:fill="FFFFFF" w:val="clear"/>
            <w:vAlign w:val="center"/>
          </w:tcPr>
          <w:p>
            <w:pPr>
              <w:pStyle w:val="TableContents"/>
              <w:spacing w:before="0" w:after="283"/>
              <w:jc w:val="right"/>
              <w:rPr/>
            </w:pPr>
            <w:r>
              <w:rPr/>
              <w:t>19,639</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8" w:type="dxa"/>
            <w:tcBorders/>
            <w:shd w:fill="FFFFFF" w:val="clear"/>
            <w:vAlign w:val="center"/>
          </w:tcPr>
          <w:p>
            <w:pPr>
              <w:pStyle w:val="TableContents"/>
              <w:spacing w:before="0" w:after="0"/>
              <w:ind w:left="0" w:right="0" w:hanging="0"/>
              <w:rPr/>
            </w:pPr>
            <w:r>
              <w:rPr/>
              <w:t> </w:t>
            </w:r>
          </w:p>
        </w:tc>
        <w:tc>
          <w:tcPr>
            <w:tcW w:w="1121" w:type="dxa"/>
            <w:tcBorders/>
            <w:shd w:fill="FFFFFF" w:val="clear"/>
            <w:vAlign w:val="center"/>
          </w:tcPr>
          <w:p>
            <w:pPr>
              <w:pStyle w:val="TableContents"/>
              <w:spacing w:before="0" w:after="283"/>
              <w:jc w:val="right"/>
              <w:rPr/>
            </w:pPr>
            <w:r>
              <w:rPr/>
              <w:t>1,624,434</w:t>
            </w:r>
          </w:p>
        </w:tc>
        <w:tc>
          <w:tcPr>
            <w:tcW w:w="135" w:type="dxa"/>
            <w:tcBorders/>
            <w:shd w:fill="FFFFFF" w:val="clear"/>
            <w:vAlign w:val="center"/>
          </w:tcPr>
          <w:p>
            <w:pPr>
              <w:pStyle w:val="TableContents"/>
              <w:spacing w:before="0" w:after="0"/>
              <w:ind w:left="0" w:right="0" w:hanging="0"/>
              <w:rPr/>
            </w:pPr>
            <w:r>
              <w:rPr/>
              <w:t> </w:t>
            </w:r>
          </w:p>
        </w:tc>
      </w:tr>
      <w:tr>
        <w:trPr/>
        <w:tc>
          <w:tcPr>
            <w:tcW w:w="3575" w:type="dxa"/>
            <w:tcBorders/>
            <w:shd w:fill="CCEE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 xml:space="preserve">Other </w:t>
            </w:r>
          </w:p>
        </w:tc>
        <w:tc>
          <w:tcPr>
            <w:tcW w:w="90" w:type="dxa"/>
            <w:tcBorders/>
            <w:shd w:fill="CCEEFF" w:val="clear"/>
            <w:vAlign w:val="center"/>
          </w:tcPr>
          <w:p>
            <w:pPr>
              <w:pStyle w:val="TableContents"/>
              <w:spacing w:before="0" w:after="0"/>
              <w:ind w:left="0" w:right="0" w:hanging="0"/>
              <w:rPr/>
            </w:pPr>
            <w:r>
              <w:rPr/>
              <w:t> </w:t>
            </w:r>
          </w:p>
        </w:tc>
        <w:tc>
          <w:tcPr>
            <w:tcW w:w="17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2" w:type="dxa"/>
            <w:tcBorders>
              <w:bottom w:val="single" w:sz="2" w:space="0" w:color="000000"/>
            </w:tcBorders>
            <w:shd w:fill="CCEEFF" w:val="clear"/>
            <w:tcMar>
              <w:bottom w:w="28" w:type="dxa"/>
            </w:tcMar>
            <w:vAlign w:val="center"/>
          </w:tcPr>
          <w:p>
            <w:pPr>
              <w:pStyle w:val="TableContents"/>
              <w:spacing w:before="0" w:after="283"/>
              <w:jc w:val="right"/>
              <w:rPr/>
            </w:pPr>
            <w:r>
              <w:rPr/>
              <w:t>648,691</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21" w:type="dxa"/>
            <w:tcBorders>
              <w:bottom w:val="single" w:sz="2" w:space="0" w:color="000000"/>
            </w:tcBorders>
            <w:shd w:fill="CCEEFF" w:val="clear"/>
            <w:tcMar>
              <w:bottom w:w="28" w:type="dxa"/>
            </w:tcMar>
            <w:vAlign w:val="center"/>
          </w:tcPr>
          <w:p>
            <w:pPr>
              <w:pStyle w:val="TableContents"/>
              <w:spacing w:before="0" w:after="283"/>
              <w:jc w:val="right"/>
              <w:rPr/>
            </w:pPr>
            <w:r>
              <w:rPr/>
              <w:t>462,019</w:t>
            </w:r>
          </w:p>
        </w:tc>
        <w:tc>
          <w:tcPr>
            <w:tcW w:w="135" w:type="dxa"/>
            <w:tcBorders/>
            <w:shd w:fill="CCEEFF" w:val="clear"/>
            <w:vAlign w:val="center"/>
          </w:tcPr>
          <w:p>
            <w:pPr>
              <w:pStyle w:val="TableContents"/>
              <w:spacing w:before="0" w:after="0"/>
              <w:ind w:left="0" w:right="0" w:hanging="0"/>
              <w:rPr/>
            </w:pPr>
            <w:r>
              <w:rPr/>
              <w:t> </w:t>
            </w:r>
          </w:p>
        </w:tc>
      </w:tr>
      <w:tr>
        <w:trPr/>
        <w:tc>
          <w:tcPr>
            <w:tcW w:w="357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Total deferred tax assets </w:t>
            </w:r>
          </w:p>
        </w:tc>
        <w:tc>
          <w:tcPr>
            <w:tcW w:w="90" w:type="dxa"/>
            <w:tcBorders/>
            <w:shd w:fill="FFFFFF" w:val="clear"/>
            <w:vAlign w:val="center"/>
          </w:tcPr>
          <w:p>
            <w:pPr>
              <w:pStyle w:val="TableContents"/>
              <w:spacing w:before="0" w:after="0"/>
              <w:ind w:left="0" w:right="0" w:hanging="0"/>
              <w:rPr/>
            </w:pPr>
            <w:r>
              <w:rPr/>
              <w:t> </w:t>
            </w:r>
          </w:p>
        </w:tc>
        <w:tc>
          <w:tcPr>
            <w:tcW w:w="177"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2" w:type="dxa"/>
            <w:tcBorders>
              <w:bottom w:val="single" w:sz="2" w:space="0" w:color="000000"/>
            </w:tcBorders>
            <w:shd w:fill="FFFFFF" w:val="clear"/>
            <w:tcMar>
              <w:bottom w:w="28" w:type="dxa"/>
            </w:tcMar>
            <w:vAlign w:val="center"/>
          </w:tcPr>
          <w:p>
            <w:pPr>
              <w:pStyle w:val="TableContents"/>
              <w:spacing w:before="0" w:after="283"/>
              <w:jc w:val="right"/>
              <w:rPr/>
            </w:pPr>
            <w:r>
              <w:rPr/>
              <w:t>5,386,635</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8"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21" w:type="dxa"/>
            <w:tcBorders>
              <w:bottom w:val="single" w:sz="2" w:space="0" w:color="000000"/>
            </w:tcBorders>
            <w:shd w:fill="FFFFFF" w:val="clear"/>
            <w:tcMar>
              <w:bottom w:w="28" w:type="dxa"/>
            </w:tcMar>
            <w:vAlign w:val="center"/>
          </w:tcPr>
          <w:p>
            <w:pPr>
              <w:pStyle w:val="TableContents"/>
              <w:spacing w:before="0" w:after="283"/>
              <w:jc w:val="right"/>
              <w:rPr/>
            </w:pPr>
            <w:r>
              <w:rPr/>
              <w:t>7,618,003</w:t>
            </w:r>
          </w:p>
        </w:tc>
        <w:tc>
          <w:tcPr>
            <w:tcW w:w="135" w:type="dxa"/>
            <w:tcBorders/>
            <w:shd w:fill="FFFFFF" w:val="clear"/>
            <w:vAlign w:val="center"/>
          </w:tcPr>
          <w:p>
            <w:pPr>
              <w:pStyle w:val="TableContents"/>
              <w:spacing w:before="0" w:after="0"/>
              <w:ind w:left="0" w:right="0" w:hanging="0"/>
              <w:rPr/>
            </w:pPr>
            <w:r>
              <w:rPr/>
              <w:t> </w:t>
            </w:r>
          </w:p>
        </w:tc>
      </w:tr>
      <w:tr>
        <w:trPr/>
        <w:tc>
          <w:tcPr>
            <w:tcW w:w="357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7" w:type="dxa"/>
            <w:tcBorders/>
            <w:shd w:fill="CCEEFF" w:val="clear"/>
            <w:vAlign w:val="center"/>
          </w:tcPr>
          <w:p>
            <w:pPr>
              <w:pStyle w:val="TableContents"/>
              <w:spacing w:before="0" w:after="0"/>
              <w:ind w:left="0" w:right="0" w:hanging="0"/>
              <w:rPr/>
            </w:pPr>
            <w:r>
              <w:rPr/>
              <w:t> </w:t>
            </w:r>
          </w:p>
        </w:tc>
        <w:tc>
          <w:tcPr>
            <w:tcW w:w="1132"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8" w:type="dxa"/>
            <w:tcBorders/>
            <w:shd w:fill="CCEEFF" w:val="clear"/>
            <w:vAlign w:val="center"/>
          </w:tcPr>
          <w:p>
            <w:pPr>
              <w:pStyle w:val="TableContents"/>
              <w:spacing w:before="0" w:after="0"/>
              <w:ind w:left="0" w:right="0" w:hanging="0"/>
              <w:rPr/>
            </w:pPr>
            <w:r>
              <w:rPr/>
              <w:t> </w:t>
            </w:r>
          </w:p>
        </w:tc>
        <w:tc>
          <w:tcPr>
            <w:tcW w:w="1121" w:type="dxa"/>
            <w:tcBorders/>
            <w:shd w:fill="CCEEFF" w:val="clear"/>
            <w:vAlign w:val="center"/>
          </w:tcPr>
          <w:p>
            <w:pPr>
              <w:pStyle w:val="TableContents"/>
              <w:spacing w:before="0" w:after="0"/>
              <w:ind w:left="0" w:right="0" w:hanging="0"/>
              <w:rPr/>
            </w:pPr>
            <w:r>
              <w:rPr/>
              <w:t> </w:t>
            </w:r>
          </w:p>
        </w:tc>
        <w:tc>
          <w:tcPr>
            <w:tcW w:w="135" w:type="dxa"/>
            <w:tcBorders/>
            <w:shd w:fill="CCEEFF" w:val="clear"/>
            <w:vAlign w:val="center"/>
          </w:tcPr>
          <w:p>
            <w:pPr>
              <w:pStyle w:val="TableContents"/>
              <w:spacing w:before="0" w:after="0"/>
              <w:ind w:left="0" w:right="0" w:hanging="0"/>
              <w:rPr/>
            </w:pPr>
            <w:r>
              <w:rPr/>
              <w:t> </w:t>
            </w:r>
          </w:p>
        </w:tc>
      </w:tr>
      <w:tr>
        <w:trPr/>
        <w:tc>
          <w:tcPr>
            <w:tcW w:w="357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Deferred tax liability: </w:t>
            </w:r>
          </w:p>
        </w:tc>
        <w:tc>
          <w:tcPr>
            <w:tcW w:w="90" w:type="dxa"/>
            <w:tcBorders/>
            <w:shd w:fill="FFFFFF" w:val="clear"/>
            <w:vAlign w:val="center"/>
          </w:tcPr>
          <w:p>
            <w:pPr>
              <w:pStyle w:val="TableContents"/>
              <w:spacing w:before="0" w:after="0"/>
              <w:ind w:left="0" w:right="0" w:hanging="0"/>
              <w:rPr/>
            </w:pPr>
            <w:r>
              <w:rPr/>
              <w:t> </w:t>
            </w:r>
          </w:p>
        </w:tc>
        <w:tc>
          <w:tcPr>
            <w:tcW w:w="177" w:type="dxa"/>
            <w:tcBorders/>
            <w:shd w:fill="FFFFFF" w:val="clear"/>
            <w:vAlign w:val="center"/>
          </w:tcPr>
          <w:p>
            <w:pPr>
              <w:pStyle w:val="TableContents"/>
              <w:spacing w:before="0" w:after="0"/>
              <w:ind w:left="0" w:right="0" w:hanging="0"/>
              <w:rPr/>
            </w:pPr>
            <w:r>
              <w:rPr/>
              <w:t> </w:t>
            </w:r>
          </w:p>
        </w:tc>
        <w:tc>
          <w:tcPr>
            <w:tcW w:w="1132"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8" w:type="dxa"/>
            <w:tcBorders/>
            <w:shd w:fill="FFFFFF" w:val="clear"/>
            <w:vAlign w:val="center"/>
          </w:tcPr>
          <w:p>
            <w:pPr>
              <w:pStyle w:val="TableContents"/>
              <w:spacing w:before="0" w:after="0"/>
              <w:ind w:left="0" w:right="0" w:hanging="0"/>
              <w:rPr/>
            </w:pPr>
            <w:r>
              <w:rPr/>
              <w:t> </w:t>
            </w:r>
          </w:p>
        </w:tc>
        <w:tc>
          <w:tcPr>
            <w:tcW w:w="1121" w:type="dxa"/>
            <w:tcBorders/>
            <w:shd w:fill="FFFFFF" w:val="clear"/>
            <w:vAlign w:val="center"/>
          </w:tcPr>
          <w:p>
            <w:pPr>
              <w:pStyle w:val="TableContents"/>
              <w:spacing w:before="0" w:after="0"/>
              <w:ind w:left="0" w:right="0" w:hanging="0"/>
              <w:rPr/>
            </w:pPr>
            <w:r>
              <w:rPr/>
              <w:t> </w:t>
            </w:r>
          </w:p>
        </w:tc>
        <w:tc>
          <w:tcPr>
            <w:tcW w:w="135" w:type="dxa"/>
            <w:tcBorders/>
            <w:shd w:fill="FFFFFF" w:val="clear"/>
            <w:vAlign w:val="center"/>
          </w:tcPr>
          <w:p>
            <w:pPr>
              <w:pStyle w:val="TableContents"/>
              <w:spacing w:before="0" w:after="0"/>
              <w:ind w:left="0" w:right="0" w:hanging="0"/>
              <w:rPr/>
            </w:pPr>
            <w:r>
              <w:rPr/>
              <w:t> </w:t>
            </w:r>
          </w:p>
        </w:tc>
      </w:tr>
      <w:tr>
        <w:trPr/>
        <w:tc>
          <w:tcPr>
            <w:tcW w:w="3575" w:type="dxa"/>
            <w:tcBorders/>
            <w:shd w:fill="CCEE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 xml:space="preserve">Investment in KICO (2) </w:t>
            </w:r>
          </w:p>
        </w:tc>
        <w:tc>
          <w:tcPr>
            <w:tcW w:w="90" w:type="dxa"/>
            <w:tcBorders/>
            <w:shd w:fill="CCEEFF" w:val="clear"/>
            <w:vAlign w:val="center"/>
          </w:tcPr>
          <w:p>
            <w:pPr>
              <w:pStyle w:val="TableContents"/>
              <w:spacing w:before="0" w:after="0"/>
              <w:ind w:left="0" w:right="0" w:hanging="0"/>
              <w:rPr/>
            </w:pPr>
            <w:r>
              <w:rPr/>
              <w:t> </w:t>
            </w:r>
          </w:p>
        </w:tc>
        <w:tc>
          <w:tcPr>
            <w:tcW w:w="177" w:type="dxa"/>
            <w:tcBorders/>
            <w:shd w:fill="CCEEFF" w:val="clear"/>
            <w:vAlign w:val="center"/>
          </w:tcPr>
          <w:p>
            <w:pPr>
              <w:pStyle w:val="TableContents"/>
              <w:spacing w:before="0" w:after="0"/>
              <w:ind w:left="0" w:right="0" w:hanging="0"/>
              <w:rPr/>
            </w:pPr>
            <w:r>
              <w:rPr/>
              <w:t> </w:t>
            </w:r>
          </w:p>
        </w:tc>
        <w:tc>
          <w:tcPr>
            <w:tcW w:w="1132" w:type="dxa"/>
            <w:tcBorders/>
            <w:shd w:fill="CCEEFF" w:val="clear"/>
            <w:vAlign w:val="center"/>
          </w:tcPr>
          <w:p>
            <w:pPr>
              <w:pStyle w:val="TableContents"/>
              <w:spacing w:before="0" w:after="283"/>
              <w:jc w:val="right"/>
              <w:rPr/>
            </w:pPr>
            <w:r>
              <w:rPr/>
              <w:t>759,543</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8" w:type="dxa"/>
            <w:tcBorders/>
            <w:shd w:fill="CCEEFF" w:val="clear"/>
            <w:vAlign w:val="center"/>
          </w:tcPr>
          <w:p>
            <w:pPr>
              <w:pStyle w:val="TableContents"/>
              <w:spacing w:before="0" w:after="0"/>
              <w:ind w:left="0" w:right="0" w:hanging="0"/>
              <w:rPr/>
            </w:pPr>
            <w:r>
              <w:rPr/>
              <w:t> </w:t>
            </w:r>
          </w:p>
        </w:tc>
        <w:tc>
          <w:tcPr>
            <w:tcW w:w="1121" w:type="dxa"/>
            <w:tcBorders/>
            <w:shd w:fill="CCEEFF" w:val="clear"/>
            <w:vAlign w:val="center"/>
          </w:tcPr>
          <w:p>
            <w:pPr>
              <w:pStyle w:val="TableContents"/>
              <w:spacing w:before="0" w:after="283"/>
              <w:jc w:val="right"/>
              <w:rPr/>
            </w:pPr>
            <w:r>
              <w:rPr/>
              <w:t>759,543</w:t>
            </w:r>
          </w:p>
        </w:tc>
        <w:tc>
          <w:tcPr>
            <w:tcW w:w="135" w:type="dxa"/>
            <w:tcBorders/>
            <w:shd w:fill="CCEEFF" w:val="clear"/>
            <w:vAlign w:val="center"/>
          </w:tcPr>
          <w:p>
            <w:pPr>
              <w:pStyle w:val="TableContents"/>
              <w:spacing w:before="0" w:after="0"/>
              <w:ind w:left="0" w:right="0" w:hanging="0"/>
              <w:rPr/>
            </w:pPr>
            <w:r>
              <w:rPr/>
              <w:t> </w:t>
            </w:r>
          </w:p>
        </w:tc>
      </w:tr>
      <w:tr>
        <w:trPr/>
        <w:tc>
          <w:tcPr>
            <w:tcW w:w="3575" w:type="dxa"/>
            <w:tcBorders/>
            <w:shd w:fill="FFFF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 xml:space="preserve">Deferred acquisition costs </w:t>
            </w:r>
          </w:p>
        </w:tc>
        <w:tc>
          <w:tcPr>
            <w:tcW w:w="90" w:type="dxa"/>
            <w:tcBorders/>
            <w:shd w:fill="FFFFFF" w:val="clear"/>
            <w:vAlign w:val="center"/>
          </w:tcPr>
          <w:p>
            <w:pPr>
              <w:pStyle w:val="TableContents"/>
              <w:spacing w:before="0" w:after="0"/>
              <w:ind w:left="0" w:right="0" w:hanging="0"/>
              <w:rPr/>
            </w:pPr>
            <w:r>
              <w:rPr/>
              <w:t> </w:t>
            </w:r>
          </w:p>
        </w:tc>
        <w:tc>
          <w:tcPr>
            <w:tcW w:w="177" w:type="dxa"/>
            <w:tcBorders/>
            <w:shd w:fill="FFFFFF" w:val="clear"/>
            <w:vAlign w:val="center"/>
          </w:tcPr>
          <w:p>
            <w:pPr>
              <w:pStyle w:val="TableContents"/>
              <w:spacing w:before="0" w:after="0"/>
              <w:ind w:left="0" w:right="0" w:hanging="0"/>
              <w:rPr/>
            </w:pPr>
            <w:r>
              <w:rPr/>
              <w:t> </w:t>
            </w:r>
          </w:p>
        </w:tc>
        <w:tc>
          <w:tcPr>
            <w:tcW w:w="1132" w:type="dxa"/>
            <w:tcBorders/>
            <w:shd w:fill="FFFFFF" w:val="clear"/>
            <w:vAlign w:val="center"/>
          </w:tcPr>
          <w:p>
            <w:pPr>
              <w:pStyle w:val="TableContents"/>
              <w:spacing w:before="0" w:after="283"/>
              <w:jc w:val="right"/>
              <w:rPr/>
            </w:pPr>
            <w:r>
              <w:rPr/>
              <w:t>4,229,928</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8" w:type="dxa"/>
            <w:tcBorders/>
            <w:shd w:fill="FFFFFF" w:val="clear"/>
            <w:vAlign w:val="center"/>
          </w:tcPr>
          <w:p>
            <w:pPr>
              <w:pStyle w:val="TableContents"/>
              <w:spacing w:before="0" w:after="0"/>
              <w:ind w:left="0" w:right="0" w:hanging="0"/>
              <w:rPr/>
            </w:pPr>
            <w:r>
              <w:rPr/>
              <w:t> </w:t>
            </w:r>
          </w:p>
        </w:tc>
        <w:tc>
          <w:tcPr>
            <w:tcW w:w="1121" w:type="dxa"/>
            <w:tcBorders/>
            <w:shd w:fill="FFFFFF" w:val="clear"/>
            <w:vAlign w:val="center"/>
          </w:tcPr>
          <w:p>
            <w:pPr>
              <w:pStyle w:val="TableContents"/>
              <w:spacing w:before="0" w:after="283"/>
              <w:jc w:val="right"/>
              <w:rPr/>
            </w:pPr>
            <w:r>
              <w:rPr/>
              <w:t>4,333,219</w:t>
            </w:r>
          </w:p>
        </w:tc>
        <w:tc>
          <w:tcPr>
            <w:tcW w:w="135" w:type="dxa"/>
            <w:tcBorders/>
            <w:shd w:fill="FFFFFF" w:val="clear"/>
            <w:vAlign w:val="center"/>
          </w:tcPr>
          <w:p>
            <w:pPr>
              <w:pStyle w:val="TableContents"/>
              <w:spacing w:before="0" w:after="0"/>
              <w:ind w:left="0" w:right="0" w:hanging="0"/>
              <w:rPr/>
            </w:pPr>
            <w:r>
              <w:rPr/>
              <w:t> </w:t>
            </w:r>
          </w:p>
        </w:tc>
      </w:tr>
      <w:tr>
        <w:trPr/>
        <w:tc>
          <w:tcPr>
            <w:tcW w:w="3575" w:type="dxa"/>
            <w:tcBorders/>
            <w:shd w:fill="CCEE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 xml:space="preserve">Intangibles </w:t>
            </w:r>
          </w:p>
        </w:tc>
        <w:tc>
          <w:tcPr>
            <w:tcW w:w="90" w:type="dxa"/>
            <w:tcBorders/>
            <w:shd w:fill="CCEEFF" w:val="clear"/>
            <w:vAlign w:val="center"/>
          </w:tcPr>
          <w:p>
            <w:pPr>
              <w:pStyle w:val="TableContents"/>
              <w:spacing w:before="0" w:after="0"/>
              <w:ind w:left="0" w:right="0" w:hanging="0"/>
              <w:rPr/>
            </w:pPr>
            <w:r>
              <w:rPr/>
              <w:t> </w:t>
            </w:r>
          </w:p>
        </w:tc>
        <w:tc>
          <w:tcPr>
            <w:tcW w:w="177" w:type="dxa"/>
            <w:tcBorders/>
            <w:shd w:fill="CCEEFF" w:val="clear"/>
            <w:vAlign w:val="center"/>
          </w:tcPr>
          <w:p>
            <w:pPr>
              <w:pStyle w:val="TableContents"/>
              <w:spacing w:before="0" w:after="0"/>
              <w:ind w:left="0" w:right="0" w:hanging="0"/>
              <w:rPr/>
            </w:pPr>
            <w:r>
              <w:rPr/>
              <w:t> </w:t>
            </w:r>
          </w:p>
        </w:tc>
        <w:tc>
          <w:tcPr>
            <w:tcW w:w="1132" w:type="dxa"/>
            <w:tcBorders/>
            <w:shd w:fill="CCEEFF" w:val="clear"/>
            <w:vAlign w:val="center"/>
          </w:tcPr>
          <w:p>
            <w:pPr>
              <w:pStyle w:val="TableContents"/>
              <w:spacing w:before="0" w:after="283"/>
              <w:jc w:val="right"/>
              <w:rPr/>
            </w:pPr>
            <w:r>
              <w:rPr/>
              <w:t>105,000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8" w:type="dxa"/>
            <w:tcBorders/>
            <w:shd w:fill="CCEEFF" w:val="clear"/>
            <w:vAlign w:val="center"/>
          </w:tcPr>
          <w:p>
            <w:pPr>
              <w:pStyle w:val="TableContents"/>
              <w:spacing w:before="0" w:after="0"/>
              <w:ind w:left="0" w:right="0" w:hanging="0"/>
              <w:rPr/>
            </w:pPr>
            <w:r>
              <w:rPr/>
              <w:t> </w:t>
            </w:r>
          </w:p>
        </w:tc>
        <w:tc>
          <w:tcPr>
            <w:tcW w:w="1121" w:type="dxa"/>
            <w:tcBorders/>
            <w:shd w:fill="CCEEFF" w:val="clear"/>
            <w:vAlign w:val="center"/>
          </w:tcPr>
          <w:p>
            <w:pPr>
              <w:pStyle w:val="TableContents"/>
              <w:spacing w:before="0" w:after="283"/>
              <w:jc w:val="right"/>
              <w:rPr/>
            </w:pPr>
            <w:r>
              <w:rPr/>
              <w:t>105,000</w:t>
            </w:r>
          </w:p>
        </w:tc>
        <w:tc>
          <w:tcPr>
            <w:tcW w:w="135" w:type="dxa"/>
            <w:tcBorders/>
            <w:shd w:fill="CCEEFF" w:val="clear"/>
            <w:vAlign w:val="center"/>
          </w:tcPr>
          <w:p>
            <w:pPr>
              <w:pStyle w:val="TableContents"/>
              <w:spacing w:before="0" w:after="0"/>
              <w:ind w:left="0" w:right="0" w:hanging="0"/>
              <w:rPr/>
            </w:pPr>
            <w:r>
              <w:rPr/>
              <w:t> </w:t>
            </w:r>
          </w:p>
        </w:tc>
      </w:tr>
      <w:tr>
        <w:trPr/>
        <w:tc>
          <w:tcPr>
            <w:tcW w:w="3575" w:type="dxa"/>
            <w:tcBorders/>
            <w:shd w:fill="FFFF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 xml:space="preserve">Depreciation and amortization </w:t>
            </w:r>
          </w:p>
        </w:tc>
        <w:tc>
          <w:tcPr>
            <w:tcW w:w="90" w:type="dxa"/>
            <w:tcBorders/>
            <w:shd w:fill="FFFFFF" w:val="clear"/>
            <w:vAlign w:val="center"/>
          </w:tcPr>
          <w:p>
            <w:pPr>
              <w:pStyle w:val="TableContents"/>
              <w:spacing w:before="0" w:after="0"/>
              <w:ind w:left="0" w:right="0" w:hanging="0"/>
              <w:rPr/>
            </w:pPr>
            <w:r>
              <w:rPr/>
              <w:t> </w:t>
            </w:r>
          </w:p>
        </w:tc>
        <w:tc>
          <w:tcPr>
            <w:tcW w:w="177" w:type="dxa"/>
            <w:tcBorders/>
            <w:shd w:fill="FFFFFF" w:val="clear"/>
            <w:vAlign w:val="center"/>
          </w:tcPr>
          <w:p>
            <w:pPr>
              <w:pStyle w:val="TableContents"/>
              <w:spacing w:before="0" w:after="0"/>
              <w:ind w:left="0" w:right="0" w:hanging="0"/>
              <w:rPr/>
            </w:pPr>
            <w:r>
              <w:rPr/>
              <w:t> </w:t>
            </w:r>
          </w:p>
        </w:tc>
        <w:tc>
          <w:tcPr>
            <w:tcW w:w="1132" w:type="dxa"/>
            <w:tcBorders/>
            <w:shd w:fill="FFFFFF" w:val="clear"/>
            <w:vAlign w:val="center"/>
          </w:tcPr>
          <w:p>
            <w:pPr>
              <w:pStyle w:val="TableContents"/>
              <w:spacing w:before="0" w:after="283"/>
              <w:jc w:val="right"/>
              <w:rPr/>
            </w:pPr>
            <w:r>
              <w:rPr/>
              <w:t>954,446</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8" w:type="dxa"/>
            <w:tcBorders/>
            <w:shd w:fill="FFFFFF" w:val="clear"/>
            <w:vAlign w:val="center"/>
          </w:tcPr>
          <w:p>
            <w:pPr>
              <w:pStyle w:val="TableContents"/>
              <w:spacing w:before="0" w:after="0"/>
              <w:ind w:left="0" w:right="0" w:hanging="0"/>
              <w:rPr/>
            </w:pPr>
            <w:r>
              <w:rPr/>
              <w:t> </w:t>
            </w:r>
          </w:p>
        </w:tc>
        <w:tc>
          <w:tcPr>
            <w:tcW w:w="1121" w:type="dxa"/>
            <w:tcBorders/>
            <w:shd w:fill="FFFFFF" w:val="clear"/>
            <w:vAlign w:val="center"/>
          </w:tcPr>
          <w:p>
            <w:pPr>
              <w:pStyle w:val="TableContents"/>
              <w:spacing w:before="0" w:after="283"/>
              <w:jc w:val="right"/>
              <w:rPr/>
            </w:pPr>
            <w:r>
              <w:rPr/>
              <w:t>312,298</w:t>
            </w:r>
          </w:p>
        </w:tc>
        <w:tc>
          <w:tcPr>
            <w:tcW w:w="135" w:type="dxa"/>
            <w:tcBorders/>
            <w:shd w:fill="FFFFFF" w:val="clear"/>
            <w:vAlign w:val="center"/>
          </w:tcPr>
          <w:p>
            <w:pPr>
              <w:pStyle w:val="TableContents"/>
              <w:spacing w:before="0" w:after="0"/>
              <w:ind w:left="0" w:right="0" w:hanging="0"/>
              <w:rPr/>
            </w:pPr>
            <w:r>
              <w:rPr/>
              <w:t> </w:t>
            </w:r>
          </w:p>
        </w:tc>
      </w:tr>
      <w:tr>
        <w:trPr/>
        <w:tc>
          <w:tcPr>
            <w:tcW w:w="3575" w:type="dxa"/>
            <w:tcBorders/>
            <w:shd w:fill="CCEE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Net unrealized gains (losses) of securities</w:t>
            </w:r>
          </w:p>
        </w:tc>
        <w:tc>
          <w:tcPr>
            <w:tcW w:w="90" w:type="dxa"/>
            <w:tcBorders/>
            <w:shd w:fill="CCEEFF" w:val="clear"/>
            <w:vAlign w:val="center"/>
          </w:tcPr>
          <w:p>
            <w:pPr>
              <w:pStyle w:val="TableContents"/>
              <w:spacing w:before="0" w:after="0"/>
              <w:ind w:left="0" w:right="0" w:hanging="0"/>
              <w:rPr/>
            </w:pPr>
            <w:r>
              <w:rPr/>
              <w:t> </w:t>
            </w:r>
          </w:p>
        </w:tc>
        <w:tc>
          <w:tcPr>
            <w:tcW w:w="17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2" w:type="dxa"/>
            <w:tcBorders>
              <w:bottom w:val="single" w:sz="2" w:space="0" w:color="000000"/>
            </w:tcBorders>
            <w:shd w:fill="CCEEFF" w:val="clear"/>
            <w:tcMar>
              <w:bottom w:w="28" w:type="dxa"/>
            </w:tcMar>
            <w:vAlign w:val="center"/>
          </w:tcPr>
          <w:p>
            <w:pPr>
              <w:pStyle w:val="TableContents"/>
              <w:spacing w:before="0" w:after="283"/>
              <w:jc w:val="right"/>
              <w:rPr/>
            </w:pPr>
            <w:r>
              <w:rPr/>
              <w:t>3,494,631</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21" w:type="dxa"/>
            <w:tcBorders>
              <w:bottom w:val="single" w:sz="2" w:space="0" w:color="000000"/>
            </w:tcBorders>
            <w:shd w:fill="CCEEFF" w:val="clear"/>
            <w:tcMar>
              <w:bottom w:w="28" w:type="dxa"/>
            </w:tcMar>
            <w:vAlign w:val="center"/>
          </w:tcPr>
          <w:p>
            <w:pPr>
              <w:pStyle w:val="TableContents"/>
              <w:spacing w:before="0" w:after="283"/>
              <w:jc w:val="right"/>
              <w:rPr/>
            </w:pPr>
            <w:r>
              <w:rPr/>
              <w:t>1,796,891</w:t>
            </w:r>
          </w:p>
        </w:tc>
        <w:tc>
          <w:tcPr>
            <w:tcW w:w="135" w:type="dxa"/>
            <w:tcBorders/>
            <w:shd w:fill="CCEEFF" w:val="clear"/>
            <w:vAlign w:val="center"/>
          </w:tcPr>
          <w:p>
            <w:pPr>
              <w:pStyle w:val="TableContents"/>
              <w:spacing w:before="0" w:after="0"/>
              <w:ind w:left="0" w:right="0" w:hanging="0"/>
              <w:rPr/>
            </w:pPr>
            <w:r>
              <w:rPr/>
              <w:t> </w:t>
            </w:r>
          </w:p>
        </w:tc>
      </w:tr>
      <w:tr>
        <w:trPr/>
        <w:tc>
          <w:tcPr>
            <w:tcW w:w="357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Total deferred tax liabilities </w:t>
            </w:r>
          </w:p>
        </w:tc>
        <w:tc>
          <w:tcPr>
            <w:tcW w:w="90" w:type="dxa"/>
            <w:tcBorders/>
            <w:shd w:fill="FFFFFF" w:val="clear"/>
            <w:vAlign w:val="center"/>
          </w:tcPr>
          <w:p>
            <w:pPr>
              <w:pStyle w:val="TableContents"/>
              <w:spacing w:before="0" w:after="0"/>
              <w:ind w:left="0" w:right="0" w:hanging="0"/>
              <w:rPr/>
            </w:pPr>
            <w:r>
              <w:rPr/>
              <w:t> </w:t>
            </w:r>
          </w:p>
        </w:tc>
        <w:tc>
          <w:tcPr>
            <w:tcW w:w="177"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2" w:type="dxa"/>
            <w:tcBorders>
              <w:bottom w:val="single" w:sz="2" w:space="0" w:color="000000"/>
            </w:tcBorders>
            <w:shd w:fill="FFFFFF" w:val="clear"/>
            <w:tcMar>
              <w:bottom w:w="28" w:type="dxa"/>
            </w:tcMar>
            <w:vAlign w:val="center"/>
          </w:tcPr>
          <w:p>
            <w:pPr>
              <w:pStyle w:val="TableContents"/>
              <w:spacing w:before="0" w:after="283"/>
              <w:jc w:val="right"/>
              <w:rPr/>
            </w:pPr>
            <w:r>
              <w:rPr/>
              <w:t>9,543,548</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8"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21" w:type="dxa"/>
            <w:tcBorders>
              <w:bottom w:val="single" w:sz="2" w:space="0" w:color="000000"/>
            </w:tcBorders>
            <w:shd w:fill="FFFFFF" w:val="clear"/>
            <w:tcMar>
              <w:bottom w:w="28" w:type="dxa"/>
            </w:tcMar>
            <w:vAlign w:val="center"/>
          </w:tcPr>
          <w:p>
            <w:pPr>
              <w:pStyle w:val="TableContents"/>
              <w:spacing w:before="0" w:after="283"/>
              <w:jc w:val="right"/>
              <w:rPr/>
            </w:pPr>
            <w:r>
              <w:rPr/>
              <w:t>7,306,951</w:t>
            </w:r>
          </w:p>
        </w:tc>
        <w:tc>
          <w:tcPr>
            <w:tcW w:w="135" w:type="dxa"/>
            <w:tcBorders/>
            <w:shd w:fill="FFFFFF" w:val="clear"/>
            <w:vAlign w:val="center"/>
          </w:tcPr>
          <w:p>
            <w:pPr>
              <w:pStyle w:val="TableContents"/>
              <w:spacing w:before="0" w:after="0"/>
              <w:ind w:left="0" w:right="0" w:hanging="0"/>
              <w:rPr/>
            </w:pPr>
            <w:r>
              <w:rPr/>
              <w:t> </w:t>
            </w:r>
          </w:p>
        </w:tc>
      </w:tr>
      <w:tr>
        <w:trPr/>
        <w:tc>
          <w:tcPr>
            <w:tcW w:w="357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7" w:type="dxa"/>
            <w:tcBorders/>
            <w:shd w:fill="CCEEFF" w:val="clear"/>
            <w:vAlign w:val="center"/>
          </w:tcPr>
          <w:p>
            <w:pPr>
              <w:pStyle w:val="TableContents"/>
              <w:spacing w:before="0" w:after="0"/>
              <w:ind w:left="0" w:right="0" w:hanging="0"/>
              <w:rPr/>
            </w:pPr>
            <w:r>
              <w:rPr/>
              <w:t> </w:t>
            </w:r>
          </w:p>
        </w:tc>
        <w:tc>
          <w:tcPr>
            <w:tcW w:w="1132"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8" w:type="dxa"/>
            <w:tcBorders/>
            <w:shd w:fill="CCEEFF" w:val="clear"/>
            <w:vAlign w:val="center"/>
          </w:tcPr>
          <w:p>
            <w:pPr>
              <w:pStyle w:val="TableContents"/>
              <w:spacing w:before="0" w:after="0"/>
              <w:ind w:left="0" w:right="0" w:hanging="0"/>
              <w:rPr/>
            </w:pPr>
            <w:r>
              <w:rPr/>
              <w:t> </w:t>
            </w:r>
          </w:p>
        </w:tc>
        <w:tc>
          <w:tcPr>
            <w:tcW w:w="1121" w:type="dxa"/>
            <w:tcBorders/>
            <w:shd w:fill="CCEEFF" w:val="clear"/>
            <w:vAlign w:val="center"/>
          </w:tcPr>
          <w:p>
            <w:pPr>
              <w:pStyle w:val="TableContents"/>
              <w:spacing w:before="0" w:after="0"/>
              <w:ind w:left="0" w:right="0" w:hanging="0"/>
              <w:rPr/>
            </w:pPr>
            <w:r>
              <w:rPr/>
              <w:t> </w:t>
            </w:r>
          </w:p>
        </w:tc>
        <w:tc>
          <w:tcPr>
            <w:tcW w:w="135" w:type="dxa"/>
            <w:tcBorders/>
            <w:shd w:fill="CCEEFF" w:val="clear"/>
            <w:vAlign w:val="center"/>
          </w:tcPr>
          <w:p>
            <w:pPr>
              <w:pStyle w:val="TableContents"/>
              <w:spacing w:before="0" w:after="0"/>
              <w:ind w:left="0" w:right="0" w:hanging="0"/>
              <w:rPr/>
            </w:pPr>
            <w:r>
              <w:rPr/>
              <w:t> </w:t>
            </w:r>
          </w:p>
        </w:tc>
      </w:tr>
      <w:tr>
        <w:trPr/>
        <w:tc>
          <w:tcPr>
            <w:tcW w:w="357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Net deferred income tax (liability) asset </w:t>
            </w:r>
          </w:p>
        </w:tc>
        <w:tc>
          <w:tcPr>
            <w:tcW w:w="90" w:type="dxa"/>
            <w:tcBorders/>
            <w:shd w:fill="FFFFFF" w:val="clear"/>
            <w:vAlign w:val="center"/>
          </w:tcPr>
          <w:p>
            <w:pPr>
              <w:pStyle w:val="TableContents"/>
              <w:spacing w:before="0" w:after="0"/>
              <w:ind w:left="0" w:right="0" w:hanging="0"/>
              <w:rPr/>
            </w:pPr>
            <w:r>
              <w:rPr/>
              <w:t> </w:t>
            </w:r>
          </w:p>
        </w:tc>
        <w:tc>
          <w:tcPr>
            <w:tcW w:w="177" w:type="dxa"/>
            <w:tcBorders>
              <w:bottom w:val="double" w:sz="6" w:space="0" w:color="000000"/>
            </w:tcBorders>
            <w:shd w:fill="FFFFFF" w:val="clear"/>
            <w:tcMar>
              <w:bottom w:w="28" w:type="dxa"/>
            </w:tcMar>
            <w:vAlign w:val="center"/>
          </w:tcPr>
          <w:p>
            <w:pPr>
              <w:pStyle w:val="TableContents"/>
              <w:spacing w:before="0" w:after="283"/>
              <w:rPr/>
            </w:pPr>
            <w:r>
              <w:rPr/>
              <w:t>$</w:t>
            </w:r>
          </w:p>
        </w:tc>
        <w:tc>
          <w:tcPr>
            <w:tcW w:w="1132" w:type="dxa"/>
            <w:tcBorders>
              <w:bottom w:val="double" w:sz="6" w:space="0" w:color="000000"/>
            </w:tcBorders>
            <w:shd w:fill="FFFFFF" w:val="clear"/>
            <w:tcMar>
              <w:bottom w:w="28" w:type="dxa"/>
            </w:tcMar>
            <w:vAlign w:val="center"/>
          </w:tcPr>
          <w:p>
            <w:pPr>
              <w:pStyle w:val="TableContents"/>
              <w:spacing w:before="0" w:after="283"/>
              <w:jc w:val="right"/>
              <w:rPr/>
            </w:pPr>
            <w:r>
              <w:rPr/>
              <w:t>(4,156,913</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88" w:type="dxa"/>
            <w:tcBorders>
              <w:bottom w:val="double" w:sz="6" w:space="0" w:color="000000"/>
            </w:tcBorders>
            <w:shd w:fill="FFFFFF" w:val="clear"/>
            <w:tcMar>
              <w:bottom w:w="28" w:type="dxa"/>
            </w:tcMar>
            <w:vAlign w:val="center"/>
          </w:tcPr>
          <w:p>
            <w:pPr>
              <w:pStyle w:val="TableContents"/>
              <w:spacing w:before="0" w:after="283"/>
              <w:rPr/>
            </w:pPr>
            <w:r>
              <w:rPr/>
              <w:t>$</w:t>
            </w:r>
          </w:p>
        </w:tc>
        <w:tc>
          <w:tcPr>
            <w:tcW w:w="1121" w:type="dxa"/>
            <w:tcBorders>
              <w:bottom w:val="double" w:sz="6" w:space="0" w:color="000000"/>
            </w:tcBorders>
            <w:shd w:fill="FFFFFF" w:val="clear"/>
            <w:tcMar>
              <w:bottom w:w="28" w:type="dxa"/>
            </w:tcMar>
            <w:vAlign w:val="center"/>
          </w:tcPr>
          <w:p>
            <w:pPr>
              <w:pStyle w:val="TableContents"/>
              <w:spacing w:before="0" w:after="283"/>
              <w:jc w:val="right"/>
              <w:rPr/>
            </w:pPr>
            <w:r>
              <w:rPr/>
              <w:t>311,052</w:t>
            </w:r>
          </w:p>
        </w:tc>
        <w:tc>
          <w:tcPr>
            <w:tcW w:w="135" w:type="dxa"/>
            <w:tcBorders/>
            <w:shd w:fill="FFFF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F-46</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2020 AND 2019</w:t>
      </w:r>
    </w:p>
    <w:p>
      <w:pPr>
        <w:pStyle w:val="TextBody"/>
        <w:spacing w:before="0" w:after="0"/>
        <w:ind w:left="0" w:right="0" w:hanging="0"/>
        <w:jc w:val="center"/>
        <w:rPr/>
      </w:pPr>
      <w:r>
        <w:rPr>
          <w:rStyle w:val="StrongEmphasis"/>
        </w:rPr>
        <w:t> </w:t>
      </w:r>
    </w:p>
    <w:p>
      <w:pPr>
        <w:pStyle w:val="TextBody"/>
        <w:spacing w:before="0" w:after="0"/>
        <w:ind w:left="0" w:right="0" w:hanging="0"/>
        <w:jc w:val="both"/>
        <w:rPr>
          <w:rFonts w:ascii="times new roman" w:hAnsi="times new roman"/>
          <w:sz w:val="20"/>
        </w:rPr>
      </w:pPr>
      <w:r>
        <w:rPr>
          <w:rFonts w:ascii="times new roman" w:hAnsi="times new roman"/>
          <w:sz w:val="20"/>
        </w:rPr>
        <w:t>(1)</w:t>
      </w:r>
      <w:r>
        <w:rPr>
          <w:rFonts w:ascii="times new roman" w:hAnsi="times new roman"/>
          <w:caps w:val="false"/>
          <w:smallCaps w:val="false"/>
          <w:sz w:val="20"/>
        </w:rPr>
        <w:t xml:space="preserve">   </w:t>
      </w:r>
      <w:r>
        <w:rPr>
          <w:rFonts w:ascii="times new roman" w:hAnsi="times new roman"/>
          <w:sz w:val="20"/>
        </w:rPr>
        <w:t>The deferred tax assets from net operating loss carryovers are as follows:</w:t>
      </w:r>
    </w:p>
    <w:p>
      <w:pPr>
        <w:pStyle w:val="TextBody"/>
        <w:spacing w:before="0" w:after="0"/>
        <w:ind w:left="0" w:right="0" w:hanging="0"/>
        <w:jc w:val="both"/>
        <w:rPr/>
      </w:pPr>
      <w:r>
        <w:rPr/>
        <w:t> </w:t>
      </w:r>
    </w:p>
    <w:p>
      <w:pPr>
        <w:pStyle w:val="TextBody"/>
        <w:spacing w:before="0" w:after="0"/>
        <w:ind w:left="0" w:right="0" w:hanging="0"/>
        <w:rPr/>
      </w:pPr>
      <w:r>
        <w:rPr/>
        <w:t> </w:t>
      </w:r>
    </w:p>
    <w:p>
      <w:pPr>
        <w:pStyle w:val="TextBody"/>
        <w:spacing w:before="0" w:after="0"/>
        <w:ind w:left="0" w:right="0" w:hanging="0"/>
        <w:rPr/>
      </w:pPr>
      <w:r>
        <w:rPr/>
        <w:t> </w:t>
      </w:r>
    </w:p>
    <w:tbl>
      <w:tblPr>
        <w:tblW w:w="9673" w:type="dxa"/>
        <w:jc w:val="left"/>
        <w:tblInd w:w="0" w:type="dxa"/>
        <w:tblCellMar>
          <w:top w:w="0" w:type="dxa"/>
          <w:left w:w="0" w:type="dxa"/>
          <w:bottom w:w="0" w:type="dxa"/>
          <w:right w:w="0" w:type="dxa"/>
        </w:tblCellMar>
      </w:tblPr>
      <w:tblGrid>
        <w:gridCol w:w="4775"/>
        <w:gridCol w:w="90"/>
        <w:gridCol w:w="177"/>
        <w:gridCol w:w="1132"/>
        <w:gridCol w:w="125"/>
        <w:gridCol w:w="90"/>
        <w:gridCol w:w="177"/>
        <w:gridCol w:w="1132"/>
        <w:gridCol w:w="125"/>
        <w:gridCol w:w="90"/>
        <w:gridCol w:w="1625"/>
        <w:gridCol w:w="135"/>
      </w:tblGrid>
      <w:tr>
        <w:trPr/>
        <w:tc>
          <w:tcPr>
            <w:tcW w:w="477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9"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December 31,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9"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December 31,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62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pPr>
            <w:r>
              <w:rPr/>
              <w:t> </w:t>
            </w:r>
          </w:p>
        </w:tc>
      </w:tr>
      <w:tr>
        <w:trPr/>
        <w:tc>
          <w:tcPr>
            <w:tcW w:w="4775"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Type of NOL </w:t>
            </w:r>
          </w:p>
        </w:tc>
        <w:tc>
          <w:tcPr>
            <w:tcW w:w="90" w:type="dxa"/>
            <w:tcBorders/>
            <w:shd w:fill="auto" w:val="clear"/>
            <w:vAlign w:val="center"/>
          </w:tcPr>
          <w:p>
            <w:pPr>
              <w:pStyle w:val="TableContents"/>
              <w:spacing w:before="0" w:after="0"/>
              <w:ind w:left="0" w:right="0" w:hanging="0"/>
              <w:rPr/>
            </w:pPr>
            <w:r>
              <w:rPr/>
              <w:t> </w:t>
            </w:r>
          </w:p>
        </w:tc>
        <w:tc>
          <w:tcPr>
            <w:tcW w:w="130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2020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2019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625"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Expiration</w:t>
            </w:r>
          </w:p>
        </w:tc>
        <w:tc>
          <w:tcPr>
            <w:tcW w:w="135" w:type="dxa"/>
            <w:tcBorders/>
            <w:shd w:fill="auto" w:val="clear"/>
            <w:vAlign w:val="center"/>
          </w:tcPr>
          <w:p>
            <w:pPr>
              <w:pStyle w:val="TableContents"/>
              <w:spacing w:before="0" w:after="283"/>
              <w:rPr/>
            </w:pPr>
            <w:r>
              <w:rPr/>
              <w:t> </w:t>
            </w:r>
          </w:p>
        </w:tc>
      </w:tr>
      <w:tr>
        <w:trPr/>
        <w:tc>
          <w:tcPr>
            <w:tcW w:w="477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9"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9"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625" w:type="dxa"/>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283"/>
              <w:rPr/>
            </w:pPr>
            <w:r>
              <w:rPr/>
              <w:t> </w:t>
            </w:r>
          </w:p>
        </w:tc>
      </w:tr>
      <w:tr>
        <w:trPr/>
        <w:tc>
          <w:tcPr>
            <w:tcW w:w="477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Federal only, current year (A) </w:t>
            </w:r>
          </w:p>
        </w:tc>
        <w:tc>
          <w:tcPr>
            <w:tcW w:w="90" w:type="dxa"/>
            <w:tcBorders/>
            <w:shd w:fill="CCEEFF" w:val="clear"/>
            <w:vAlign w:val="center"/>
          </w:tcPr>
          <w:p>
            <w:pPr>
              <w:pStyle w:val="TableContents"/>
              <w:spacing w:before="0" w:after="0"/>
              <w:ind w:left="0" w:right="0" w:hanging="0"/>
              <w:rPr/>
            </w:pPr>
            <w:r>
              <w:rPr/>
              <w:t> </w:t>
            </w:r>
          </w:p>
        </w:tc>
        <w:tc>
          <w:tcPr>
            <w:tcW w:w="177" w:type="dxa"/>
            <w:tcBorders/>
            <w:shd w:fill="CCEEFF" w:val="clear"/>
            <w:vAlign w:val="center"/>
          </w:tcPr>
          <w:p>
            <w:pPr>
              <w:pStyle w:val="TableContents"/>
              <w:spacing w:before="0" w:after="0"/>
              <w:ind w:left="0" w:right="0" w:hanging="0"/>
              <w:rPr/>
            </w:pPr>
            <w:r>
              <w:rPr/>
              <w:t> </w:t>
            </w:r>
          </w:p>
        </w:tc>
        <w:tc>
          <w:tcPr>
            <w:tcW w:w="1132" w:type="dxa"/>
            <w:tcBorders/>
            <w:shd w:fill="CCEEFF" w:val="clear"/>
            <w:vAlign w:val="center"/>
          </w:tcPr>
          <w:p>
            <w:pPr>
              <w:pStyle w:val="TableContents"/>
              <w:spacing w:before="0" w:after="283"/>
              <w:jc w:val="right"/>
              <w:rPr/>
            </w:pPr>
            <w:r>
              <w:rPr/>
              <w:t>1,200,056</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7" w:type="dxa"/>
            <w:tcBorders/>
            <w:shd w:fill="CCEEFF" w:val="clear"/>
            <w:vAlign w:val="center"/>
          </w:tcPr>
          <w:p>
            <w:pPr>
              <w:pStyle w:val="TableContents"/>
              <w:spacing w:before="0" w:after="0"/>
              <w:ind w:left="0" w:right="0" w:hanging="0"/>
              <w:rPr/>
            </w:pPr>
            <w:r>
              <w:rPr/>
              <w:t> </w:t>
            </w:r>
          </w:p>
        </w:tc>
        <w:tc>
          <w:tcPr>
            <w:tcW w:w="1132" w:type="dxa"/>
            <w:tcBorders/>
            <w:shd w:fill="CCEEFF" w:val="clear"/>
            <w:vAlign w:val="center"/>
          </w:tcPr>
          <w:p>
            <w:pPr>
              <w:pStyle w:val="TableContents"/>
              <w:spacing w:before="0" w:after="283"/>
              <w:jc w:val="right"/>
              <w:rPr/>
            </w:pPr>
            <w:r>
              <w:rPr/>
              <w:t>1,517,866</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625" w:type="dxa"/>
            <w:tcBorders/>
            <w:shd w:fill="CCEEFF" w:val="clear"/>
            <w:vAlign w:val="center"/>
          </w:tcPr>
          <w:p>
            <w:pPr>
              <w:pStyle w:val="TableContents"/>
              <w:spacing w:before="0" w:after="0"/>
              <w:ind w:left="0" w:right="0" w:hanging="0"/>
              <w:rPr/>
            </w:pPr>
            <w:r>
              <w:rPr/>
              <w:t> </w:t>
            </w:r>
          </w:p>
        </w:tc>
        <w:tc>
          <w:tcPr>
            <w:tcW w:w="135" w:type="dxa"/>
            <w:tcBorders/>
            <w:shd w:fill="CCEEFF" w:val="clear"/>
            <w:vAlign w:val="center"/>
          </w:tcPr>
          <w:p>
            <w:pPr>
              <w:pStyle w:val="TableContents"/>
              <w:spacing w:before="0" w:after="283"/>
              <w:rPr/>
            </w:pPr>
            <w:r>
              <w:rPr/>
              <w:t> </w:t>
            </w:r>
          </w:p>
        </w:tc>
      </w:tr>
      <w:tr>
        <w:trPr/>
        <w:tc>
          <w:tcPr>
            <w:tcW w:w="477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NOL carried back </w:t>
            </w:r>
          </w:p>
        </w:tc>
        <w:tc>
          <w:tcPr>
            <w:tcW w:w="90" w:type="dxa"/>
            <w:tcBorders/>
            <w:shd w:fill="FFFFFF" w:val="clear"/>
            <w:vAlign w:val="center"/>
          </w:tcPr>
          <w:p>
            <w:pPr>
              <w:pStyle w:val="TableContents"/>
              <w:spacing w:before="0" w:after="0"/>
              <w:ind w:left="0" w:right="0" w:hanging="0"/>
              <w:rPr/>
            </w:pPr>
            <w:r>
              <w:rPr/>
              <w:t> </w:t>
            </w:r>
          </w:p>
        </w:tc>
        <w:tc>
          <w:tcPr>
            <w:tcW w:w="177"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2" w:type="dxa"/>
            <w:tcBorders>
              <w:bottom w:val="single" w:sz="2" w:space="0" w:color="000000"/>
            </w:tcBorders>
            <w:shd w:fill="FFFFFF" w:val="clear"/>
            <w:tcMar>
              <w:bottom w:w="28" w:type="dxa"/>
            </w:tcMar>
            <w:vAlign w:val="center"/>
          </w:tcPr>
          <w:p>
            <w:pPr>
              <w:pStyle w:val="TableContents"/>
              <w:spacing w:before="0" w:after="283"/>
              <w:jc w:val="right"/>
              <w:rPr/>
            </w:pPr>
            <w:r>
              <w:rPr/>
              <w:t>(1,200,056</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7"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2" w:type="dxa"/>
            <w:tcBorders>
              <w:bottom w:val="single" w:sz="2" w:space="0" w:color="000000"/>
            </w:tcBorders>
            <w:shd w:fill="FFFFFF" w:val="clear"/>
            <w:tcMar>
              <w:bottom w:w="28" w:type="dxa"/>
            </w:tcMar>
            <w:vAlign w:val="center"/>
          </w:tcPr>
          <w:p>
            <w:pPr>
              <w:pStyle w:val="TableContents"/>
              <w:spacing w:before="0" w:after="283"/>
              <w:jc w:val="right"/>
              <w:rPr/>
            </w:pPr>
            <w:r>
              <w:rPr/>
              <w:t>(1,517,866</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625" w:type="dxa"/>
            <w:tcBorders/>
            <w:shd w:fill="FFFFFF" w:val="clear"/>
            <w:vAlign w:val="center"/>
          </w:tcPr>
          <w:p>
            <w:pPr>
              <w:pStyle w:val="TableContents"/>
              <w:spacing w:before="0" w:after="0"/>
              <w:ind w:left="0" w:right="0" w:hanging="0"/>
              <w:rPr/>
            </w:pPr>
            <w:r>
              <w:rPr/>
              <w:t> </w:t>
            </w:r>
          </w:p>
        </w:tc>
        <w:tc>
          <w:tcPr>
            <w:tcW w:w="135" w:type="dxa"/>
            <w:tcBorders/>
            <w:shd w:fill="FFFFFF" w:val="clear"/>
            <w:vAlign w:val="center"/>
          </w:tcPr>
          <w:p>
            <w:pPr>
              <w:pStyle w:val="TableContents"/>
              <w:spacing w:before="0" w:after="283"/>
              <w:rPr/>
            </w:pPr>
            <w:r>
              <w:rPr/>
              <w:t> </w:t>
            </w:r>
          </w:p>
        </w:tc>
      </w:tr>
      <w:tr>
        <w:trPr/>
        <w:tc>
          <w:tcPr>
            <w:tcW w:w="477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Federal only, current year </w:t>
            </w:r>
          </w:p>
        </w:tc>
        <w:tc>
          <w:tcPr>
            <w:tcW w:w="90" w:type="dxa"/>
            <w:tcBorders/>
            <w:shd w:fill="CCEEFF" w:val="clear"/>
            <w:vAlign w:val="center"/>
          </w:tcPr>
          <w:p>
            <w:pPr>
              <w:pStyle w:val="TableContents"/>
              <w:spacing w:before="0" w:after="0"/>
              <w:ind w:left="0" w:right="0" w:hanging="0"/>
              <w:rPr/>
            </w:pPr>
            <w:r>
              <w:rPr/>
              <w:t> </w:t>
            </w:r>
          </w:p>
        </w:tc>
        <w:tc>
          <w:tcPr>
            <w:tcW w:w="177" w:type="dxa"/>
            <w:tcBorders>
              <w:bottom w:val="single" w:sz="2" w:space="0" w:color="000000"/>
            </w:tcBorders>
            <w:shd w:fill="CCEEFF" w:val="clear"/>
            <w:tcMar>
              <w:bottom w:w="28" w:type="dxa"/>
            </w:tcMar>
            <w:vAlign w:val="center"/>
          </w:tcPr>
          <w:p>
            <w:pPr>
              <w:pStyle w:val="TableContents"/>
              <w:spacing w:before="0" w:after="283"/>
              <w:rPr/>
            </w:pPr>
            <w:r>
              <w:rPr/>
              <w:t>$</w:t>
            </w:r>
          </w:p>
        </w:tc>
        <w:tc>
          <w:tcPr>
            <w:tcW w:w="1132"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7" w:type="dxa"/>
            <w:tcBorders>
              <w:bottom w:val="single" w:sz="2" w:space="0" w:color="000000"/>
            </w:tcBorders>
            <w:shd w:fill="CCEEFF" w:val="clear"/>
            <w:tcMar>
              <w:bottom w:w="28" w:type="dxa"/>
            </w:tcMar>
            <w:vAlign w:val="center"/>
          </w:tcPr>
          <w:p>
            <w:pPr>
              <w:pStyle w:val="TableContents"/>
              <w:spacing w:before="0" w:after="283"/>
              <w:rPr/>
            </w:pPr>
            <w:r>
              <w:rPr/>
              <w:t>$</w:t>
            </w:r>
          </w:p>
        </w:tc>
        <w:tc>
          <w:tcPr>
            <w:tcW w:w="1132"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625" w:type="dxa"/>
            <w:tcBorders/>
            <w:shd w:fill="CCEEFF" w:val="clear"/>
            <w:vAlign w:val="center"/>
          </w:tcPr>
          <w:p>
            <w:pPr>
              <w:pStyle w:val="TableContents"/>
              <w:spacing w:before="0" w:after="0"/>
              <w:ind w:left="0" w:right="0" w:hanging="0"/>
              <w:rPr/>
            </w:pPr>
            <w:r>
              <w:rPr/>
              <w:t> </w:t>
            </w:r>
          </w:p>
        </w:tc>
        <w:tc>
          <w:tcPr>
            <w:tcW w:w="135" w:type="dxa"/>
            <w:tcBorders/>
            <w:shd w:fill="CCEEFF" w:val="clear"/>
            <w:vAlign w:val="center"/>
          </w:tcPr>
          <w:p>
            <w:pPr>
              <w:pStyle w:val="TableContents"/>
              <w:spacing w:before="0" w:after="283"/>
              <w:rPr/>
            </w:pPr>
            <w:r>
              <w:rPr/>
              <w:t> </w:t>
            </w:r>
          </w:p>
        </w:tc>
      </w:tr>
      <w:tr>
        <w:trPr/>
        <w:tc>
          <w:tcPr>
            <w:tcW w:w="477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7" w:type="dxa"/>
            <w:tcBorders/>
            <w:shd w:fill="FFFFFF" w:val="clear"/>
            <w:vAlign w:val="center"/>
          </w:tcPr>
          <w:p>
            <w:pPr>
              <w:pStyle w:val="TableContents"/>
              <w:spacing w:before="0" w:after="0"/>
              <w:ind w:left="0" w:right="0" w:hanging="0"/>
              <w:rPr/>
            </w:pPr>
            <w:r>
              <w:rPr/>
              <w:t> </w:t>
            </w:r>
          </w:p>
        </w:tc>
        <w:tc>
          <w:tcPr>
            <w:tcW w:w="1132"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7" w:type="dxa"/>
            <w:tcBorders/>
            <w:shd w:fill="FFFFFF" w:val="clear"/>
            <w:vAlign w:val="center"/>
          </w:tcPr>
          <w:p>
            <w:pPr>
              <w:pStyle w:val="TableContents"/>
              <w:spacing w:before="0" w:after="0"/>
              <w:ind w:left="0" w:right="0" w:hanging="0"/>
              <w:rPr/>
            </w:pPr>
            <w:r>
              <w:rPr/>
              <w:t> </w:t>
            </w:r>
          </w:p>
        </w:tc>
        <w:tc>
          <w:tcPr>
            <w:tcW w:w="1132"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625" w:type="dxa"/>
            <w:tcBorders/>
            <w:shd w:fill="FFFFFF" w:val="clear"/>
            <w:vAlign w:val="center"/>
          </w:tcPr>
          <w:p>
            <w:pPr>
              <w:pStyle w:val="TableContents"/>
              <w:spacing w:before="0" w:after="0"/>
              <w:ind w:left="0" w:right="0" w:hanging="0"/>
              <w:rPr/>
            </w:pPr>
            <w:r>
              <w:rPr/>
              <w:t> </w:t>
            </w:r>
          </w:p>
        </w:tc>
        <w:tc>
          <w:tcPr>
            <w:tcW w:w="135" w:type="dxa"/>
            <w:tcBorders/>
            <w:shd w:fill="FFFFFF" w:val="clear"/>
            <w:vAlign w:val="center"/>
          </w:tcPr>
          <w:p>
            <w:pPr>
              <w:pStyle w:val="TableContents"/>
              <w:spacing w:before="0" w:after="283"/>
              <w:rPr/>
            </w:pPr>
            <w:r>
              <w:rPr/>
              <w:t> </w:t>
            </w:r>
          </w:p>
        </w:tc>
      </w:tr>
      <w:tr>
        <w:trPr/>
        <w:tc>
          <w:tcPr>
            <w:tcW w:w="477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State only (B) </w:t>
            </w:r>
          </w:p>
        </w:tc>
        <w:tc>
          <w:tcPr>
            <w:tcW w:w="90" w:type="dxa"/>
            <w:tcBorders/>
            <w:shd w:fill="CCEEFF" w:val="clear"/>
            <w:vAlign w:val="center"/>
          </w:tcPr>
          <w:p>
            <w:pPr>
              <w:pStyle w:val="TableContents"/>
              <w:spacing w:before="0" w:after="0"/>
              <w:ind w:left="0" w:right="0" w:hanging="0"/>
              <w:rPr/>
            </w:pPr>
            <w:r>
              <w:rPr/>
              <w:t> </w:t>
            </w:r>
          </w:p>
        </w:tc>
        <w:tc>
          <w:tcPr>
            <w:tcW w:w="177" w:type="dxa"/>
            <w:tcBorders/>
            <w:shd w:fill="CCEEFF" w:val="clear"/>
            <w:vAlign w:val="center"/>
          </w:tcPr>
          <w:p>
            <w:pPr>
              <w:pStyle w:val="TableContents"/>
              <w:spacing w:before="0" w:after="0"/>
              <w:ind w:left="0" w:right="0" w:hanging="0"/>
              <w:rPr/>
            </w:pPr>
            <w:r>
              <w:rPr/>
              <w:t> </w:t>
            </w:r>
          </w:p>
        </w:tc>
        <w:tc>
          <w:tcPr>
            <w:tcW w:w="1132" w:type="dxa"/>
            <w:tcBorders/>
            <w:shd w:fill="CCEEFF" w:val="clear"/>
            <w:vAlign w:val="center"/>
          </w:tcPr>
          <w:p>
            <w:pPr>
              <w:pStyle w:val="TableContents"/>
              <w:spacing w:before="0" w:after="283"/>
              <w:jc w:val="right"/>
              <w:rPr/>
            </w:pPr>
            <w:r>
              <w:rPr/>
              <w:t>1,815,546</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7" w:type="dxa"/>
            <w:tcBorders/>
            <w:shd w:fill="CCEEFF" w:val="clear"/>
            <w:vAlign w:val="center"/>
          </w:tcPr>
          <w:p>
            <w:pPr>
              <w:pStyle w:val="TableContents"/>
              <w:spacing w:before="0" w:after="0"/>
              <w:ind w:left="0" w:right="0" w:hanging="0"/>
              <w:rPr/>
            </w:pPr>
            <w:r>
              <w:rPr/>
              <w:t> </w:t>
            </w:r>
          </w:p>
        </w:tc>
        <w:tc>
          <w:tcPr>
            <w:tcW w:w="1132" w:type="dxa"/>
            <w:tcBorders/>
            <w:shd w:fill="CCEEFF" w:val="clear"/>
            <w:vAlign w:val="center"/>
          </w:tcPr>
          <w:p>
            <w:pPr>
              <w:pStyle w:val="TableContents"/>
              <w:spacing w:before="0" w:after="283"/>
              <w:jc w:val="right"/>
              <w:rPr/>
            </w:pPr>
            <w:r>
              <w:rPr/>
              <w:t>1,616,568</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625"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December 31, 2040</w:t>
            </w:r>
          </w:p>
        </w:tc>
        <w:tc>
          <w:tcPr>
            <w:tcW w:w="135" w:type="dxa"/>
            <w:tcBorders/>
            <w:shd w:fill="CCEEFF" w:val="clear"/>
            <w:vAlign w:val="center"/>
          </w:tcPr>
          <w:p>
            <w:pPr>
              <w:pStyle w:val="TableContents"/>
              <w:spacing w:before="0" w:after="283"/>
              <w:rPr/>
            </w:pPr>
            <w:r>
              <w:rPr/>
              <w:t> </w:t>
            </w:r>
          </w:p>
        </w:tc>
      </w:tr>
      <w:tr>
        <w:trPr/>
        <w:tc>
          <w:tcPr>
            <w:tcW w:w="477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Valuation allowance </w:t>
            </w:r>
          </w:p>
        </w:tc>
        <w:tc>
          <w:tcPr>
            <w:tcW w:w="90" w:type="dxa"/>
            <w:tcBorders/>
            <w:shd w:fill="FFFFFF" w:val="clear"/>
            <w:vAlign w:val="center"/>
          </w:tcPr>
          <w:p>
            <w:pPr>
              <w:pStyle w:val="TableContents"/>
              <w:spacing w:before="0" w:after="0"/>
              <w:ind w:left="0" w:right="0" w:hanging="0"/>
              <w:rPr/>
            </w:pPr>
            <w:r>
              <w:rPr/>
              <w:t> </w:t>
            </w:r>
          </w:p>
        </w:tc>
        <w:tc>
          <w:tcPr>
            <w:tcW w:w="177"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2" w:type="dxa"/>
            <w:tcBorders>
              <w:bottom w:val="single" w:sz="2" w:space="0" w:color="000000"/>
            </w:tcBorders>
            <w:shd w:fill="FFFFFF" w:val="clear"/>
            <w:tcMar>
              <w:bottom w:w="28" w:type="dxa"/>
            </w:tcMar>
            <w:vAlign w:val="center"/>
          </w:tcPr>
          <w:p>
            <w:pPr>
              <w:pStyle w:val="TableContents"/>
              <w:spacing w:before="0" w:after="283"/>
              <w:jc w:val="right"/>
              <w:rPr/>
            </w:pPr>
            <w:r>
              <w:rPr/>
              <w:t>(1,815,546</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7"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2" w:type="dxa"/>
            <w:tcBorders>
              <w:bottom w:val="single" w:sz="2" w:space="0" w:color="000000"/>
            </w:tcBorders>
            <w:shd w:fill="FFFFFF" w:val="clear"/>
            <w:tcMar>
              <w:bottom w:w="28" w:type="dxa"/>
            </w:tcMar>
            <w:vAlign w:val="center"/>
          </w:tcPr>
          <w:p>
            <w:pPr>
              <w:pStyle w:val="TableContents"/>
              <w:spacing w:before="0" w:after="283"/>
              <w:jc w:val="right"/>
              <w:rPr/>
            </w:pPr>
            <w:r>
              <w:rPr/>
              <w:t>(1,548,187</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625" w:type="dxa"/>
            <w:tcBorders/>
            <w:shd w:fill="FFFFFF" w:val="clear"/>
            <w:vAlign w:val="center"/>
          </w:tcPr>
          <w:p>
            <w:pPr>
              <w:pStyle w:val="TableContents"/>
              <w:spacing w:before="0" w:after="0"/>
              <w:ind w:left="0" w:right="0" w:hanging="0"/>
              <w:rPr/>
            </w:pPr>
            <w:r>
              <w:rPr/>
              <w:t> </w:t>
            </w:r>
          </w:p>
        </w:tc>
        <w:tc>
          <w:tcPr>
            <w:tcW w:w="135" w:type="dxa"/>
            <w:tcBorders/>
            <w:shd w:fill="FFFFFF" w:val="clear"/>
            <w:vAlign w:val="center"/>
          </w:tcPr>
          <w:p>
            <w:pPr>
              <w:pStyle w:val="TableContents"/>
              <w:spacing w:before="0" w:after="283"/>
              <w:rPr/>
            </w:pPr>
            <w:r>
              <w:rPr/>
              <w:t> </w:t>
            </w:r>
          </w:p>
        </w:tc>
      </w:tr>
      <w:tr>
        <w:trPr/>
        <w:tc>
          <w:tcPr>
            <w:tcW w:w="477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State only, net of valuation allowance </w:t>
            </w:r>
          </w:p>
        </w:tc>
        <w:tc>
          <w:tcPr>
            <w:tcW w:w="90" w:type="dxa"/>
            <w:tcBorders/>
            <w:shd w:fill="CCEEFF" w:val="clear"/>
            <w:vAlign w:val="center"/>
          </w:tcPr>
          <w:p>
            <w:pPr>
              <w:pStyle w:val="TableContents"/>
              <w:spacing w:before="0" w:after="0"/>
              <w:ind w:left="0" w:right="0" w:hanging="0"/>
              <w:rPr/>
            </w:pPr>
            <w:r>
              <w:rPr/>
              <w:t> </w:t>
            </w:r>
          </w:p>
        </w:tc>
        <w:tc>
          <w:tcPr>
            <w:tcW w:w="17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2"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2" w:type="dxa"/>
            <w:tcBorders>
              <w:bottom w:val="single" w:sz="2" w:space="0" w:color="000000"/>
            </w:tcBorders>
            <w:shd w:fill="CCEEFF" w:val="clear"/>
            <w:tcMar>
              <w:bottom w:w="28" w:type="dxa"/>
            </w:tcMar>
            <w:vAlign w:val="center"/>
          </w:tcPr>
          <w:p>
            <w:pPr>
              <w:pStyle w:val="TableContents"/>
              <w:spacing w:before="0" w:after="283"/>
              <w:jc w:val="right"/>
              <w:rPr/>
            </w:pPr>
            <w:r>
              <w:rPr/>
              <w:t>68,381</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625" w:type="dxa"/>
            <w:tcBorders/>
            <w:shd w:fill="CCEEFF" w:val="clear"/>
            <w:vAlign w:val="center"/>
          </w:tcPr>
          <w:p>
            <w:pPr>
              <w:pStyle w:val="TableContents"/>
              <w:spacing w:before="0" w:after="0"/>
              <w:ind w:left="0" w:right="0" w:hanging="0"/>
              <w:rPr/>
            </w:pPr>
            <w:r>
              <w:rPr/>
              <w:t> </w:t>
            </w:r>
          </w:p>
        </w:tc>
        <w:tc>
          <w:tcPr>
            <w:tcW w:w="135" w:type="dxa"/>
            <w:tcBorders/>
            <w:shd w:fill="CCEEFF" w:val="clear"/>
            <w:vAlign w:val="center"/>
          </w:tcPr>
          <w:p>
            <w:pPr>
              <w:pStyle w:val="TableContents"/>
              <w:spacing w:before="0" w:after="283"/>
              <w:rPr/>
            </w:pPr>
            <w:r>
              <w:rPr/>
              <w:t> </w:t>
            </w:r>
          </w:p>
        </w:tc>
      </w:tr>
      <w:tr>
        <w:trPr/>
        <w:tc>
          <w:tcPr>
            <w:tcW w:w="477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7" w:type="dxa"/>
            <w:tcBorders/>
            <w:shd w:fill="FFFFFF" w:val="clear"/>
            <w:vAlign w:val="center"/>
          </w:tcPr>
          <w:p>
            <w:pPr>
              <w:pStyle w:val="TableContents"/>
              <w:spacing w:before="0" w:after="0"/>
              <w:ind w:left="0" w:right="0" w:hanging="0"/>
              <w:rPr/>
            </w:pPr>
            <w:r>
              <w:rPr/>
              <w:t> </w:t>
            </w:r>
          </w:p>
        </w:tc>
        <w:tc>
          <w:tcPr>
            <w:tcW w:w="1132"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7" w:type="dxa"/>
            <w:tcBorders/>
            <w:shd w:fill="FFFFFF" w:val="clear"/>
            <w:vAlign w:val="center"/>
          </w:tcPr>
          <w:p>
            <w:pPr>
              <w:pStyle w:val="TableContents"/>
              <w:spacing w:before="0" w:after="0"/>
              <w:ind w:left="0" w:right="0" w:hanging="0"/>
              <w:rPr/>
            </w:pPr>
            <w:r>
              <w:rPr/>
              <w:t> </w:t>
            </w:r>
          </w:p>
        </w:tc>
        <w:tc>
          <w:tcPr>
            <w:tcW w:w="1132"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625" w:type="dxa"/>
            <w:tcBorders/>
            <w:shd w:fill="FFFFFF" w:val="clear"/>
            <w:vAlign w:val="center"/>
          </w:tcPr>
          <w:p>
            <w:pPr>
              <w:pStyle w:val="TableContents"/>
              <w:spacing w:before="0" w:after="0"/>
              <w:ind w:left="0" w:right="0" w:hanging="0"/>
              <w:rPr/>
            </w:pPr>
            <w:r>
              <w:rPr/>
              <w:t> </w:t>
            </w:r>
          </w:p>
        </w:tc>
        <w:tc>
          <w:tcPr>
            <w:tcW w:w="135" w:type="dxa"/>
            <w:tcBorders/>
            <w:shd w:fill="FFFFFF" w:val="clear"/>
            <w:vAlign w:val="center"/>
          </w:tcPr>
          <w:p>
            <w:pPr>
              <w:pStyle w:val="TableContents"/>
              <w:spacing w:before="0" w:after="283"/>
              <w:rPr/>
            </w:pPr>
            <w:r>
              <w:rPr/>
              <w:t> </w:t>
            </w:r>
          </w:p>
        </w:tc>
      </w:tr>
      <w:tr>
        <w:trPr/>
        <w:tc>
          <w:tcPr>
            <w:tcW w:w="477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Total deferred tax asset from net operating loss carryovers </w:t>
            </w:r>
          </w:p>
        </w:tc>
        <w:tc>
          <w:tcPr>
            <w:tcW w:w="90" w:type="dxa"/>
            <w:tcBorders/>
            <w:shd w:fill="CCEEFF" w:val="clear"/>
            <w:vAlign w:val="center"/>
          </w:tcPr>
          <w:p>
            <w:pPr>
              <w:pStyle w:val="TableContents"/>
              <w:spacing w:before="0" w:after="0"/>
              <w:ind w:left="0" w:right="0" w:hanging="0"/>
              <w:rPr/>
            </w:pPr>
            <w:r>
              <w:rPr/>
              <w:t> </w:t>
            </w:r>
          </w:p>
        </w:tc>
        <w:tc>
          <w:tcPr>
            <w:tcW w:w="177" w:type="dxa"/>
            <w:tcBorders>
              <w:bottom w:val="double" w:sz="6" w:space="0" w:color="000000"/>
            </w:tcBorders>
            <w:shd w:fill="CCEEFF" w:val="clear"/>
            <w:tcMar>
              <w:bottom w:w="28" w:type="dxa"/>
            </w:tcMar>
            <w:vAlign w:val="center"/>
          </w:tcPr>
          <w:p>
            <w:pPr>
              <w:pStyle w:val="TableContents"/>
              <w:spacing w:before="0" w:after="283"/>
              <w:rPr/>
            </w:pPr>
            <w:r>
              <w:rPr/>
              <w:t>$</w:t>
            </w:r>
          </w:p>
        </w:tc>
        <w:tc>
          <w:tcPr>
            <w:tcW w:w="1132" w:type="dxa"/>
            <w:tcBorders>
              <w:bottom w:val="double" w:sz="6" w:space="0" w:color="000000"/>
            </w:tcBorders>
            <w:shd w:fill="CCEEFF" w:val="clear"/>
            <w:tcMar>
              <w:bottom w:w="28" w:type="dxa"/>
            </w:tcM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7" w:type="dxa"/>
            <w:tcBorders>
              <w:bottom w:val="double" w:sz="6" w:space="0" w:color="000000"/>
            </w:tcBorders>
            <w:shd w:fill="CCEEFF" w:val="clear"/>
            <w:tcMar>
              <w:bottom w:w="28" w:type="dxa"/>
            </w:tcMar>
            <w:vAlign w:val="center"/>
          </w:tcPr>
          <w:p>
            <w:pPr>
              <w:pStyle w:val="TableContents"/>
              <w:spacing w:before="0" w:after="283"/>
              <w:rPr/>
            </w:pPr>
            <w:r>
              <w:rPr/>
              <w:t>$</w:t>
            </w:r>
          </w:p>
        </w:tc>
        <w:tc>
          <w:tcPr>
            <w:tcW w:w="1132" w:type="dxa"/>
            <w:tcBorders>
              <w:bottom w:val="double" w:sz="6" w:space="0" w:color="000000"/>
            </w:tcBorders>
            <w:shd w:fill="CCEEFF" w:val="clear"/>
            <w:tcMar>
              <w:bottom w:w="28" w:type="dxa"/>
            </w:tcMar>
            <w:vAlign w:val="center"/>
          </w:tcPr>
          <w:p>
            <w:pPr>
              <w:pStyle w:val="TableContents"/>
              <w:spacing w:before="0" w:after="283"/>
              <w:jc w:val="right"/>
              <w:rPr/>
            </w:pPr>
            <w:r>
              <w:rPr/>
              <w:t>68,381</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625" w:type="dxa"/>
            <w:tcBorders/>
            <w:shd w:fill="CCEEFF" w:val="clear"/>
            <w:vAlign w:val="center"/>
          </w:tcPr>
          <w:p>
            <w:pPr>
              <w:pStyle w:val="TableContents"/>
              <w:spacing w:before="0" w:after="0"/>
              <w:ind w:left="0" w:right="0" w:hanging="0"/>
              <w:rPr/>
            </w:pPr>
            <w:r>
              <w:rPr/>
              <w:t> </w:t>
            </w:r>
          </w:p>
        </w:tc>
        <w:tc>
          <w:tcPr>
            <w:tcW w:w="135" w:type="dxa"/>
            <w:tcBorders/>
            <w:shd w:fill="CCEEFF" w:val="clear"/>
            <w:vAlign w:val="center"/>
          </w:tcPr>
          <w:p>
            <w:pPr>
              <w:pStyle w:val="TableContents"/>
              <w:spacing w:before="0" w:after="283"/>
              <w:rPr/>
            </w:pPr>
            <w:r>
              <w:rPr/>
              <w:t> </w:t>
            </w:r>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555"/>
        <w:gridCol w:w="540"/>
        <w:gridCol w:w="9110"/>
      </w:tblGrid>
      <w:tr>
        <w:trPr/>
        <w:tc>
          <w:tcPr>
            <w:tcW w:w="555" w:type="dxa"/>
            <w:tcBorders/>
            <w:shd w:fill="auto" w:val="clear"/>
            <w:vAlign w:val="center"/>
          </w:tcPr>
          <w:p>
            <w:pPr>
              <w:pStyle w:val="TableContents"/>
              <w:spacing w:before="0" w:after="0"/>
              <w:ind w:left="0" w:right="0" w:hanging="0"/>
              <w:rPr/>
            </w:pPr>
            <w:r>
              <w:rPr/>
              <w:t> </w:t>
            </w:r>
          </w:p>
        </w:tc>
        <w:tc>
          <w:tcPr>
            <w:tcW w:w="540"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 </w:t>
            </w:r>
          </w:p>
        </w:tc>
        <w:tc>
          <w:tcPr>
            <w:tcW w:w="9110"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On March 27, 2020, the Coronavirus Aid, Relief, and Economic Security (CARES) Act was signed into law, allowing for a five year carryback of 2020 and 2019 NOL’s. The Company elected on its 2019 federal income tax return to carry back the 2019 NOL to tax years 2014 and 2015. The Company will elect on its 2020 federal income tax return to carry back the 2020 NOL to tax year 2015. The corporate tax rate in 2014 and 2015 was 34%, compared to the corporate tax rate of 21% in 2020 and 2019. </w:t>
            </w:r>
          </w:p>
        </w:tc>
      </w:tr>
      <w:tr>
        <w:trPr/>
        <w:tc>
          <w:tcPr>
            <w:tcW w:w="555" w:type="dxa"/>
            <w:tcBorders/>
            <w:shd w:fill="auto" w:val="clear"/>
            <w:vAlign w:val="center"/>
          </w:tcPr>
          <w:p>
            <w:pPr>
              <w:pStyle w:val="TableContents"/>
              <w:spacing w:before="0" w:after="0"/>
              <w:ind w:left="0" w:right="0" w:firstLine="450"/>
              <w:jc w:val="both"/>
              <w:rPr/>
            </w:pPr>
            <w:r>
              <w:rPr/>
              <w:t> </w:t>
            </w:r>
          </w:p>
        </w:tc>
        <w:tc>
          <w:tcPr>
            <w:tcW w:w="540" w:type="dxa"/>
            <w:tcBorders/>
            <w:shd w:fill="auto" w:val="clear"/>
            <w:vAlign w:val="center"/>
          </w:tcPr>
          <w:p>
            <w:pPr>
              <w:pStyle w:val="TableContents"/>
              <w:spacing w:before="0" w:after="0"/>
              <w:ind w:left="0" w:right="0" w:firstLine="450"/>
              <w:jc w:val="both"/>
              <w:rPr/>
            </w:pPr>
            <w:r>
              <w:rPr/>
              <w:t> </w:t>
            </w:r>
          </w:p>
        </w:tc>
        <w:tc>
          <w:tcPr>
            <w:tcW w:w="9110" w:type="dxa"/>
            <w:tcBorders/>
            <w:shd w:fill="auto" w:val="clear"/>
            <w:vAlign w:val="center"/>
          </w:tcPr>
          <w:p>
            <w:pPr>
              <w:pStyle w:val="TableContents"/>
              <w:spacing w:before="0" w:after="0"/>
              <w:ind w:left="0" w:right="0" w:hanging="0"/>
              <w:jc w:val="both"/>
              <w:rPr/>
            </w:pPr>
            <w:r>
              <w:rPr/>
              <w:t> </w:t>
            </w:r>
          </w:p>
        </w:tc>
      </w:tr>
      <w:tr>
        <w:trPr/>
        <w:tc>
          <w:tcPr>
            <w:tcW w:w="555" w:type="dxa"/>
            <w:tcBorders/>
            <w:shd w:fill="auto" w:val="clear"/>
            <w:vAlign w:val="center"/>
          </w:tcPr>
          <w:p>
            <w:pPr>
              <w:pStyle w:val="TableContents"/>
              <w:spacing w:before="0" w:after="0"/>
              <w:ind w:left="0" w:right="0" w:hanging="0"/>
              <w:jc w:val="both"/>
              <w:rPr/>
            </w:pPr>
            <w:r>
              <w:rPr/>
              <w:t> </w:t>
            </w:r>
          </w:p>
        </w:tc>
        <w:tc>
          <w:tcPr>
            <w:tcW w:w="540"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(B) </w:t>
            </w:r>
          </w:p>
        </w:tc>
        <w:tc>
          <w:tcPr>
            <w:tcW w:w="9110"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Kingstone generates operating losses for state purposes and has prior year NOLs available. The state NOL as of December 31, 2020 and 2019 was approximately $27,931,000 and $24,901,000, respectively. KICO, the Company’s insurance underwriting subsidiary, is not subject to state income taxes. KICO’s state tax obligations are paid through a gross premiums tax, which is included in the consolidated statements of operations and comprehensive income within other underwriting expenses. Kingstone has recorded a valuation allowance due to the uncertainty of generating enough state taxable income to utilize 100% of the available state NOLs over their remaining lives, which expire between 2027 and 2040.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(2) Deferred tax liability - investment in KICO</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July 1, 2009, the Company completed the acquisition of 100% of the issued and outstanding common stock of KICO (formerly known as Commercial Mutual Insurance Company (“CMIC”)) pursuant to the conversion of CMIC from an advance premium cooperative insurance company to a stock property and casualty insurance company. Pursuant to the plan of conversion, the Company acquired a 100% equity interest in KICO, in consideration for the exchange of $3,750,000 principal amount of surplus notes of CMIC. In addition, the Company forgave all accrued and unpaid interest on the surplus notes as of the date of conversion. As of the date of acquisition, unpaid accrued interest on the surplus notes along with the accretion of the discount on the original purchase of the surplus notes totaled $2,921,319 (collectively the “Untaxed Interest”). As of the date of acquisition, the deferred tax liability on the Untaxed Interest was $1,169,000. Under GAAP guidance for business combinations, a temporary difference with an indefinite life exists when the parent company has a lower carrying value of its subsidiary for income tax purposes. The deferred tax liability was reduced to $759,543 upon the reduction of federal income tax rates as of December 31, 2017.  The Company is required to maintain its deferred tax liability of $759,543 related to this temporary difference until the stock of KICO is sold, or the assets of KICO are sold or KICO and the parent are merged.</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F-47</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2020 AND 2019</w:t>
      </w:r>
    </w:p>
    <w:p>
      <w:pPr>
        <w:pStyle w:val="TextBody"/>
        <w:spacing w:before="0" w:after="0"/>
        <w:ind w:left="0" w:right="0" w:hanging="0"/>
        <w:jc w:val="center"/>
        <w:rPr/>
      </w:pPr>
      <w:r>
        <w:rPr>
          <w:rStyle w:val="StrongEmphasis"/>
        </w:rPr>
        <w:t> </w:t>
      </w:r>
    </w:p>
    <w:p>
      <w:pPr>
        <w:pStyle w:val="TextBody"/>
        <w:spacing w:before="0" w:after="0"/>
        <w:ind w:left="0" w:right="0" w:hanging="0"/>
        <w:jc w:val="both"/>
        <w:rPr>
          <w:rFonts w:ascii="times new roman" w:hAnsi="times new roman"/>
          <w:sz w:val="20"/>
        </w:rPr>
      </w:pPr>
      <w:r>
        <w:rPr>
          <w:rFonts w:ascii="times new roman" w:hAnsi="times new roman"/>
          <w:sz w:val="20"/>
        </w:rPr>
        <w:t>The table below reconciles the changes in net deferred income tax assets (liabilities) to the deferred income tax provision for the year ended December 31, 2020:</w:t>
      </w:r>
    </w:p>
    <w:p>
      <w:pPr>
        <w:pStyle w:val="TextBody"/>
        <w:spacing w:before="0" w:after="0"/>
        <w:ind w:left="0" w:right="0" w:hanging="0"/>
        <w:jc w:val="both"/>
        <w:rPr/>
      </w:pPr>
      <w:r>
        <w:rPr/>
        <w:t>  </w:t>
      </w:r>
    </w:p>
    <w:p>
      <w:pPr>
        <w:pStyle w:val="TextBody"/>
        <w:spacing w:before="0" w:after="0"/>
        <w:ind w:left="0" w:right="0" w:hanging="0"/>
        <w:rPr/>
      </w:pPr>
      <w:r>
        <w:rPr/>
        <w:t> </w:t>
      </w:r>
    </w:p>
    <w:tbl>
      <w:tblPr>
        <w:tblW w:w="6600" w:type="dxa"/>
        <w:jc w:val="left"/>
        <w:tblInd w:w="0" w:type="dxa"/>
        <w:tblCellMar>
          <w:top w:w="0" w:type="dxa"/>
          <w:left w:w="0" w:type="dxa"/>
          <w:bottom w:w="0" w:type="dxa"/>
          <w:right w:w="0" w:type="dxa"/>
        </w:tblCellMar>
      </w:tblPr>
      <w:tblGrid>
        <w:gridCol w:w="5195"/>
        <w:gridCol w:w="90"/>
        <w:gridCol w:w="170"/>
        <w:gridCol w:w="1010"/>
        <w:gridCol w:w="135"/>
      </w:tblGrid>
      <w:tr>
        <w:trPr/>
        <w:tc>
          <w:tcPr>
            <w:tcW w:w="519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Decrease in net deferred income tax assets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4,467,965</w:t>
            </w:r>
          </w:p>
        </w:tc>
        <w:tc>
          <w:tcPr>
            <w:tcW w:w="135" w:type="dxa"/>
            <w:tcBorders/>
            <w:shd w:fill="CCEEFF" w:val="clear"/>
            <w:vAlign w:val="center"/>
          </w:tcPr>
          <w:p>
            <w:pPr>
              <w:pStyle w:val="TableContents"/>
              <w:spacing w:before="0" w:after="0"/>
              <w:ind w:left="0" w:right="0" w:hanging="0"/>
              <w:rPr/>
            </w:pPr>
            <w:r>
              <w:rPr/>
              <w:t> </w:t>
            </w:r>
          </w:p>
        </w:tc>
      </w:tr>
      <w:tr>
        <w:trPr/>
        <w:tc>
          <w:tcPr>
            <w:tcW w:w="519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Deferred tax expense allocated to other comprehensive income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283"/>
              <w:jc w:val="right"/>
              <w:rPr/>
            </w:pPr>
            <w:r>
              <w:rPr/>
              <w:t>1,358,670</w:t>
            </w:r>
          </w:p>
        </w:tc>
        <w:tc>
          <w:tcPr>
            <w:tcW w:w="135" w:type="dxa"/>
            <w:tcBorders/>
            <w:shd w:fill="FFFFFF" w:val="clear"/>
            <w:vAlign w:val="center"/>
          </w:tcPr>
          <w:p>
            <w:pPr>
              <w:pStyle w:val="TableContents"/>
              <w:spacing w:before="0" w:after="0"/>
              <w:ind w:left="0" w:right="0" w:hanging="0"/>
              <w:rPr/>
            </w:pPr>
            <w:r>
              <w:rPr/>
              <w:t> </w:t>
            </w:r>
          </w:p>
        </w:tc>
      </w:tr>
      <w:tr>
        <w:trPr/>
        <w:tc>
          <w:tcPr>
            <w:tcW w:w="519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Deferred income tax expense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6" w:space="0" w:color="000000"/>
            </w:tcBorders>
            <w:shd w:fill="CCEEFF" w:val="clear"/>
            <w:tcMar>
              <w:bottom w:w="28" w:type="dxa"/>
            </w:tcMar>
            <w:vAlign w:val="center"/>
          </w:tcPr>
          <w:p>
            <w:pPr>
              <w:pStyle w:val="TableContents"/>
              <w:spacing w:before="0" w:after="283"/>
              <w:jc w:val="right"/>
              <w:rPr/>
            </w:pPr>
            <w:r>
              <w:rPr/>
              <w:t>3,109,295</w:t>
            </w:r>
          </w:p>
        </w:tc>
        <w:tc>
          <w:tcPr>
            <w:tcW w:w="135"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 assessing the valuation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No valuation allowance against deferred tax assets has been established, except for NOL limitations, as the Company believes it is more likely than not the deferred tax assets will be realized based on the historical taxable income of KICO, or by offset to deferred tax liabilities.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Company had no material unrecognized tax benefit and no adjustments to liabilities or operations were required. There were no interest or penalties related to income taxes that have been accrued or recognized as of and for the years ended December 31, 2020 and 2019. If any had been recognized these would have been reported in income tax expense.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Generally, taxing authorities may examine the Company’s tax returns for the three years from the date of filing.  The Company’s tax returns for the years ended December 31, 2017 through December 31, 2019 remain subject to examination. </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 xml:space="preserve">Note 16 - Employee Benefit Plans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Employee Bonus Plan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 November 2018, the Company’s Board of Directors approved a new discretionary employee bonus plan (“Bonus Plan”) to replace the existing Profit Sharing Plan to be effective as of January 1, 2019 for the year ended December 31, 2019. Eligible employees were eligible to receive a target bonus rate of between 12% and 30% of base salary depending on their position. The target bonus rate was subject to adjustment depending on annual performance evaluation scores. The Bonus Plan was funded through a point system whereby up to 60 points were funded by a target return on investment (“Target ROE”) sliding scale and up to 40 points were funded by achieving various annual corporate goals as approved in advance by the Company’s Board of Directors. A maximum of 60 points could have been achieved with a Target ROE of 14%.  The bonus was decreased by six points for each percentage point decrease in Target ROE. The minimum of six points could have been achieved with Target ROE of 5%. The Company incurred approximately $457,000 of expense for the year ended December 31, 2019, related to the Bonus Plan related to achieving certain annual corporate goals, which is primarily recorded in other underwriting expenses on the accompanying consolidated statements of operations and comprehensive income.  The Bonus Plan was only in effect for the year ended December 31, 2019.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December of 2020, management approved discretionary bonuses totaling approximately $516,000 of expense for the year ended December 31, 2020, which is primarily recorded in other underwriting expenses on the accompanying consolidated statements of operations and comprehensive income.</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F-48</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2020 AND 2019</w:t>
      </w:r>
    </w:p>
    <w:p>
      <w:pPr>
        <w:pStyle w:val="TextBody"/>
        <w:spacing w:before="0" w:after="0"/>
        <w:ind w:left="0" w:right="0" w:hanging="0"/>
        <w:jc w:val="center"/>
        <w:rPr/>
      </w:pPr>
      <w:r>
        <w:rPr>
          <w:rStyle w:val="StrongEmphasis"/>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401 (k) Plan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Company maintains a salary reduction plan under Section 401(k) of the Internal Revenue Code (the “401(k) Plan”) for its qualified employees. The Company matches 100% of each participant’s contribution up to 4% of the participant’s eligible contribution.  The Company incurred approximately $309,000 and $305,000 of expense for the years ended December 31, 2020 and 2019, respectively, related to the 401(k) Plan, which is recorded in other operating expenses on the accompanying consolidated statements of operations and comprehensive income.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Deferred Compensation Plan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On June 18, 2018, the Company adopted the Kingstone Companies, Inc. Deferred Compensation Plan (the "Deferred Compensation Plan"). The Deferred Compensation Plan is offered to a select group (“Participants”), consisting of management and highly compensated employees as a method of recognizing and retaining such Participants. The Deferred Compensation Plan provides for eligible Participants to elect to defer up to 75% of their base compensation and up to 100% of bonuses and other compensation and to have such deferred amounts deemed to be invested in specified investment options. In addition to the Participant deferrals, the Company may choose to make matching contributions to some or all of the Participants in the Deferred Compensation Plan to the extent the Participant did not receive the maximum matching or non-elective contributions permissible under the Company’s 401(k) Plan due to limitations under the Internal Revenue Code or the 401(k) Plan. Participants may elect to receive payment of their account balances in a single cash payment or in annual installments for a period of up to ten years. The deferred compensation liability as of December 31, 2020 and 2019 amounted to $763,789 and $599,274, respectively, and is recorded in accounts payable, accrued expenses and other liabilities in the accompanying consolidated balance sheets.  The Company made voluntary contributions of $4,473 and $5,399 for the years ended December 31, 2020 and 2019, respectively, which are recorded in other operating expenses in the accompanying consolidated statements of operations and comprehensive income.  </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Note 17 - Commitments and Contingencies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Litigation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From time to time, the Company is involved in various legal proceedings in the ordinary course of business. For example, to the extent a claim is asserted by a third party in a lawsuit against one of the Company’s insureds covered by a particular policy, the Company may have a duty to defend the insured party against the claim. These claims may relate to bodily injury, property damage or other compensable injuries as set forth in the policy. Such proceedings are considered in estimating the liability for loss and LAE expenses. </w:t>
      </w:r>
    </w:p>
    <w:p>
      <w:pPr>
        <w:pStyle w:val="TextBody"/>
        <w:spacing w:before="0" w:after="0"/>
        <w:ind w:left="0" w:right="0" w:hanging="0"/>
        <w:jc w:val="both"/>
        <w:rPr/>
      </w:pPr>
      <w:r>
        <w:rPr/>
        <w:t> </w:t>
      </w:r>
    </w:p>
    <w:p>
      <w:pPr>
        <w:pStyle w:val="TextBody"/>
        <w:spacing w:before="0" w:after="0"/>
        <w:ind w:left="0" w:right="0" w:hanging="0"/>
        <w:jc w:val="both"/>
        <w:rPr/>
      </w:pPr>
      <w:r>
        <w:rPr>
          <w:rFonts w:ascii="times new roman" w:hAnsi="times new roman"/>
          <w:sz w:val="20"/>
        </w:rPr>
        <w:t xml:space="preserve">On June 12, 2019, Phillip Woolgar filed a suit naming the Company and certain present or former officers and directors as defendants in a putative class action captioned </w:t>
      </w:r>
      <w:r>
        <w:rPr>
          <w:rStyle w:val="Emphasis"/>
          <w:rFonts w:ascii="times new roman" w:hAnsi="times new roman"/>
          <w:sz w:val="20"/>
        </w:rPr>
        <w:t>Woolgar v. Kingstone Companies et al.</w:t>
      </w:r>
      <w:r>
        <w:rPr>
          <w:rFonts w:ascii="times new roman" w:hAnsi="times new roman"/>
          <w:sz w:val="20"/>
        </w:rPr>
        <w:t>, 19 cv 05500 (S.D.N.Y.), asserting claims under Section 10(b) of the Exchange Act and SEC Rule 10b-5 promulgated thereunder and Section 20(a) of the Exchange Act.  Plaintiff sought to represent a class of persons or entities that purchased Kingstone securities between March 14, 2018, and April 29, 2019, and alleged violations of the federal securities law in connection with the Company’s April 29, 2019 announcement regarding losses related to winter catastrophe events.  The lawsuit alleged that the Company failed to disclose that it did not adequately follow industry best practices related to claims handling and thus did not record sufficient claim reserves, and that as a result, Defendants’ positive statements about the Company’s business, operations and prospects misled investors. Plaintiff sought, among other things, an undetermined amount of money damages.   On August 10, 2020, the court granted the Company’s motion to dismiss the amended complaint in the suit. The court permitted plaintiff to amend the complaint to attempt to cure the deficiencies identified by the court in its opinion (to the extent plaintiff had a good faith basis to do so) by September 11, 2020.  Plaintiff failed to replead by the September 11, 2020 deadline.  On September 16, 2020, the court issued an order closing the case.  Plaintiff did not file an appeal, rendering the dismissal final and the Company considers the matter closed.</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F-49</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2020 AND 2019</w:t>
      </w:r>
    </w:p>
    <w:p>
      <w:pPr>
        <w:pStyle w:val="TextBody"/>
        <w:spacing w:before="0" w:after="0"/>
        <w:ind w:left="0" w:right="0" w:hanging="0"/>
        <w:jc w:val="center"/>
        <w:rPr/>
      </w:pPr>
      <w:r>
        <w:rPr>
          <w:rStyle w:val="StrongEmphasis"/>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Office Leases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enters into lease agreements for real estate that is primarily used for office space in the ordinary course of business. These leases are accounted for as operating leases, whereby lease expense is recognized on a straight-line basis over the term of the lease. See Note 2 - Accounting Policies for additional information regarding the accounting for leases.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Company is a party to a non-cancellable operating lease, dated March 27, 2015, for its office facility for KICO located in Valley Stream, New York expiring March 31, 2024.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July 8, 2019, the Company entered into a lease agreement for an additional office facility for Cosi located in Valley Stream, New York under a non-cancelable operating lease. The lease has a term of seven years and two months expiring December 31, 2026.</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Additional information regarding the Company’s office operating leases is as follows:</w:t>
      </w:r>
    </w:p>
    <w:p>
      <w:pPr>
        <w:pStyle w:val="TextBody"/>
        <w:spacing w:before="0" w:after="0"/>
        <w:ind w:left="0" w:right="0" w:hanging="0"/>
        <w:jc w:val="both"/>
        <w:rPr/>
      </w:pPr>
      <w:r>
        <w:rPr/>
        <w:t>  </w:t>
      </w:r>
    </w:p>
    <w:p>
      <w:pPr>
        <w:pStyle w:val="TextBody"/>
        <w:spacing w:before="0" w:after="0"/>
        <w:ind w:left="0" w:right="0" w:hanging="0"/>
        <w:rPr/>
      </w:pPr>
      <w:r>
        <w:rPr/>
        <w:t> </w:t>
      </w:r>
    </w:p>
    <w:p>
      <w:pPr>
        <w:pStyle w:val="TextBody"/>
        <w:spacing w:before="0" w:after="0"/>
        <w:ind w:left="0" w:right="0" w:hanging="0"/>
        <w:rPr/>
      </w:pPr>
      <w:r>
        <w:rPr/>
        <w:t> </w:t>
      </w:r>
    </w:p>
    <w:tbl>
      <w:tblPr>
        <w:tblW w:w="8483" w:type="dxa"/>
        <w:jc w:val="left"/>
        <w:tblInd w:w="0" w:type="dxa"/>
        <w:tblCellMar>
          <w:top w:w="0" w:type="dxa"/>
          <w:left w:w="0" w:type="dxa"/>
          <w:bottom w:w="0" w:type="dxa"/>
          <w:right w:w="0" w:type="dxa"/>
        </w:tblCellMar>
      </w:tblPr>
      <w:tblGrid>
        <w:gridCol w:w="4340"/>
        <w:gridCol w:w="90"/>
        <w:gridCol w:w="290"/>
        <w:gridCol w:w="1424"/>
        <w:gridCol w:w="245"/>
        <w:gridCol w:w="90"/>
        <w:gridCol w:w="290"/>
        <w:gridCol w:w="1424"/>
        <w:gridCol w:w="290"/>
      </w:tblGrid>
      <w:tr>
        <w:trPr/>
        <w:tc>
          <w:tcPr>
            <w:tcW w:w="434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714"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Year ended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714"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Year ended </w:t>
            </w:r>
          </w:p>
        </w:tc>
        <w:tc>
          <w:tcPr>
            <w:tcW w:w="290" w:type="dxa"/>
            <w:tcBorders/>
            <w:shd w:fill="auto" w:val="clear"/>
            <w:vAlign w:val="center"/>
          </w:tcPr>
          <w:p>
            <w:pPr>
              <w:pStyle w:val="TableContents"/>
              <w:spacing w:before="0" w:after="0"/>
              <w:ind w:left="0" w:right="0" w:hanging="0"/>
              <w:rPr/>
            </w:pPr>
            <w:r>
              <w:rPr/>
              <w:t> </w:t>
            </w:r>
          </w:p>
        </w:tc>
      </w:tr>
      <w:tr>
        <w:trPr/>
        <w:tc>
          <w:tcPr>
            <w:tcW w:w="4340"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Fonts w:ascii="times new roman" w:hAnsi="times new roman"/>
                <w:sz w:val="20"/>
              </w:rPr>
              <w:t>Lease cost</w:t>
            </w:r>
          </w:p>
        </w:tc>
        <w:tc>
          <w:tcPr>
            <w:tcW w:w="90" w:type="dxa"/>
            <w:tcBorders/>
            <w:shd w:fill="auto" w:val="clear"/>
            <w:vAlign w:val="center"/>
          </w:tcPr>
          <w:p>
            <w:pPr>
              <w:pStyle w:val="TableContents"/>
              <w:spacing w:before="0" w:after="0"/>
              <w:ind w:left="0" w:right="0" w:hanging="0"/>
              <w:rPr/>
            </w:pPr>
            <w:r>
              <w:rPr/>
              <w:t> </w:t>
            </w:r>
          </w:p>
        </w:tc>
        <w:tc>
          <w:tcPr>
            <w:tcW w:w="171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December 31, 2020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71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December 31, 2019 </w:t>
            </w:r>
          </w:p>
        </w:tc>
        <w:tc>
          <w:tcPr>
            <w:tcW w:w="290" w:type="dxa"/>
            <w:tcBorders/>
            <w:shd w:fill="auto" w:val="clear"/>
            <w:vAlign w:val="center"/>
          </w:tcPr>
          <w:p>
            <w:pPr>
              <w:pStyle w:val="TableContents"/>
              <w:spacing w:before="0" w:after="0"/>
              <w:ind w:left="0" w:right="0" w:hanging="0"/>
              <w:rPr/>
            </w:pPr>
            <w:r>
              <w:rPr/>
              <w:t> </w:t>
            </w:r>
          </w:p>
        </w:tc>
      </w:tr>
      <w:tr>
        <w:trPr/>
        <w:tc>
          <w:tcPr>
            <w:tcW w:w="434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Operating leases </w:t>
            </w:r>
          </w:p>
        </w:tc>
        <w:tc>
          <w:tcPr>
            <w:tcW w:w="90" w:type="dxa"/>
            <w:tcBorders/>
            <w:shd w:fill="CCEEFF" w:val="clear"/>
            <w:vAlign w:val="center"/>
          </w:tcPr>
          <w:p>
            <w:pPr>
              <w:pStyle w:val="TableContents"/>
              <w:spacing w:before="0" w:after="0"/>
              <w:ind w:left="0" w:right="0" w:hanging="0"/>
              <w:rPr/>
            </w:pPr>
            <w:r>
              <w:rPr/>
              <w:t> </w:t>
            </w:r>
          </w:p>
        </w:tc>
        <w:tc>
          <w:tcPr>
            <w:tcW w:w="290" w:type="dxa"/>
            <w:tcBorders/>
            <w:shd w:fill="CCEEFF" w:val="clear"/>
            <w:vAlign w:val="center"/>
          </w:tcPr>
          <w:p>
            <w:pPr>
              <w:pStyle w:val="TableContents"/>
              <w:spacing w:before="0" w:after="283"/>
              <w:rPr/>
            </w:pPr>
            <w:r>
              <w:rPr/>
              <w:t>$</w:t>
            </w:r>
          </w:p>
        </w:tc>
        <w:tc>
          <w:tcPr>
            <w:tcW w:w="1424" w:type="dxa"/>
            <w:tcBorders/>
            <w:shd w:fill="CCEEFF" w:val="clear"/>
            <w:vAlign w:val="center"/>
          </w:tcPr>
          <w:p>
            <w:pPr>
              <w:pStyle w:val="TableContents"/>
              <w:spacing w:before="0" w:after="283"/>
              <w:jc w:val="right"/>
              <w:rPr/>
            </w:pPr>
            <w:r>
              <w:rPr/>
              <w:t>245,188</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90" w:type="dxa"/>
            <w:tcBorders/>
            <w:shd w:fill="CCEEFF" w:val="clear"/>
            <w:vAlign w:val="center"/>
          </w:tcPr>
          <w:p>
            <w:pPr>
              <w:pStyle w:val="TableContents"/>
              <w:spacing w:before="0" w:after="283"/>
              <w:rPr/>
            </w:pPr>
            <w:r>
              <w:rPr/>
              <w:t>$</w:t>
            </w:r>
          </w:p>
        </w:tc>
        <w:tc>
          <w:tcPr>
            <w:tcW w:w="1424" w:type="dxa"/>
            <w:tcBorders/>
            <w:shd w:fill="CCEEFF" w:val="clear"/>
            <w:vAlign w:val="center"/>
          </w:tcPr>
          <w:p>
            <w:pPr>
              <w:pStyle w:val="TableContents"/>
              <w:spacing w:before="0" w:after="283"/>
              <w:jc w:val="right"/>
              <w:rPr/>
            </w:pPr>
            <w:r>
              <w:rPr/>
              <w:t>165,368</w:t>
            </w:r>
          </w:p>
        </w:tc>
        <w:tc>
          <w:tcPr>
            <w:tcW w:w="290" w:type="dxa"/>
            <w:tcBorders/>
            <w:shd w:fill="CCEEFF" w:val="clear"/>
            <w:vAlign w:val="center"/>
          </w:tcPr>
          <w:p>
            <w:pPr>
              <w:pStyle w:val="TableContents"/>
              <w:spacing w:before="0" w:after="0"/>
              <w:ind w:left="0" w:right="0" w:hanging="0"/>
              <w:rPr/>
            </w:pPr>
            <w:r>
              <w:rPr/>
              <w:t> </w:t>
            </w:r>
          </w:p>
        </w:tc>
      </w:tr>
      <w:tr>
        <w:trPr/>
        <w:tc>
          <w:tcPr>
            <w:tcW w:w="434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Short-term leases </w:t>
            </w:r>
          </w:p>
        </w:tc>
        <w:tc>
          <w:tcPr>
            <w:tcW w:w="90" w:type="dxa"/>
            <w:tcBorders/>
            <w:shd w:fill="FFFFFF" w:val="clear"/>
            <w:vAlign w:val="center"/>
          </w:tcPr>
          <w:p>
            <w:pPr>
              <w:pStyle w:val="TableContents"/>
              <w:spacing w:before="0" w:after="0"/>
              <w:ind w:left="0" w:right="0" w:hanging="0"/>
              <w:rPr/>
            </w:pPr>
            <w:r>
              <w:rPr/>
              <w:t> </w:t>
            </w:r>
          </w:p>
        </w:tc>
        <w:tc>
          <w:tcPr>
            <w:tcW w:w="29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424"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9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424"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290" w:type="dxa"/>
            <w:tcBorders/>
            <w:shd w:fill="FFFFFF" w:val="clear"/>
            <w:vAlign w:val="center"/>
          </w:tcPr>
          <w:p>
            <w:pPr>
              <w:pStyle w:val="TableContents"/>
              <w:spacing w:before="0" w:after="0"/>
              <w:ind w:left="0" w:right="0" w:hanging="0"/>
              <w:rPr/>
            </w:pPr>
            <w:r>
              <w:rPr/>
              <w:t> </w:t>
            </w:r>
          </w:p>
        </w:tc>
      </w:tr>
      <w:tr>
        <w:trPr/>
        <w:tc>
          <w:tcPr>
            <w:tcW w:w="4340" w:type="dxa"/>
            <w:tcBorders/>
            <w:shd w:fill="CCEE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 xml:space="preserve">Total lease cost (1) </w:t>
            </w:r>
          </w:p>
        </w:tc>
        <w:tc>
          <w:tcPr>
            <w:tcW w:w="90" w:type="dxa"/>
            <w:tcBorders/>
            <w:shd w:fill="CCEEFF" w:val="clear"/>
            <w:vAlign w:val="center"/>
          </w:tcPr>
          <w:p>
            <w:pPr>
              <w:pStyle w:val="TableContents"/>
              <w:spacing w:before="0" w:after="0"/>
              <w:ind w:left="0" w:right="0" w:hanging="0"/>
              <w:rPr/>
            </w:pPr>
            <w:r>
              <w:rPr/>
              <w:t> </w:t>
            </w:r>
          </w:p>
        </w:tc>
        <w:tc>
          <w:tcPr>
            <w:tcW w:w="290" w:type="dxa"/>
            <w:tcBorders>
              <w:bottom w:val="double" w:sz="6" w:space="0" w:color="000000"/>
            </w:tcBorders>
            <w:shd w:fill="CCEEFF" w:val="clear"/>
            <w:tcMar>
              <w:bottom w:w="28" w:type="dxa"/>
            </w:tcMar>
            <w:vAlign w:val="center"/>
          </w:tcPr>
          <w:p>
            <w:pPr>
              <w:pStyle w:val="TableContents"/>
              <w:spacing w:before="0" w:after="283"/>
              <w:rPr/>
            </w:pPr>
            <w:r>
              <w:rPr/>
              <w:t>$</w:t>
            </w:r>
          </w:p>
        </w:tc>
        <w:tc>
          <w:tcPr>
            <w:tcW w:w="1424" w:type="dxa"/>
            <w:tcBorders>
              <w:bottom w:val="double" w:sz="6" w:space="0" w:color="000000"/>
            </w:tcBorders>
            <w:shd w:fill="CCEEFF" w:val="clear"/>
            <w:tcMar>
              <w:bottom w:w="28" w:type="dxa"/>
            </w:tcMar>
            <w:vAlign w:val="center"/>
          </w:tcPr>
          <w:p>
            <w:pPr>
              <w:pStyle w:val="TableContents"/>
              <w:spacing w:before="0" w:after="283"/>
              <w:jc w:val="right"/>
              <w:rPr/>
            </w:pPr>
            <w:r>
              <w:rPr/>
              <w:t>245,188</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90" w:type="dxa"/>
            <w:tcBorders>
              <w:bottom w:val="double" w:sz="6" w:space="0" w:color="000000"/>
            </w:tcBorders>
            <w:shd w:fill="CCEEFF" w:val="clear"/>
            <w:tcMar>
              <w:bottom w:w="28" w:type="dxa"/>
            </w:tcMar>
            <w:vAlign w:val="center"/>
          </w:tcPr>
          <w:p>
            <w:pPr>
              <w:pStyle w:val="TableContents"/>
              <w:spacing w:before="0" w:after="283"/>
              <w:rPr/>
            </w:pPr>
            <w:r>
              <w:rPr/>
              <w:t>$</w:t>
            </w:r>
          </w:p>
        </w:tc>
        <w:tc>
          <w:tcPr>
            <w:tcW w:w="1424" w:type="dxa"/>
            <w:tcBorders>
              <w:bottom w:val="double" w:sz="6" w:space="0" w:color="000000"/>
            </w:tcBorders>
            <w:shd w:fill="CCEEFF" w:val="clear"/>
            <w:tcMar>
              <w:bottom w:w="28" w:type="dxa"/>
            </w:tcMar>
            <w:vAlign w:val="center"/>
          </w:tcPr>
          <w:p>
            <w:pPr>
              <w:pStyle w:val="TableContents"/>
              <w:spacing w:before="0" w:after="283"/>
              <w:jc w:val="right"/>
              <w:rPr/>
            </w:pPr>
            <w:r>
              <w:rPr/>
              <w:t>165,368</w:t>
            </w:r>
          </w:p>
        </w:tc>
        <w:tc>
          <w:tcPr>
            <w:tcW w:w="290" w:type="dxa"/>
            <w:tcBorders/>
            <w:shd w:fill="CCEEFF" w:val="clear"/>
            <w:vAlign w:val="center"/>
          </w:tcPr>
          <w:p>
            <w:pPr>
              <w:pStyle w:val="TableContents"/>
              <w:spacing w:before="0" w:after="0"/>
              <w:ind w:left="0" w:right="0" w:hanging="0"/>
              <w:rPr/>
            </w:pPr>
            <w:r>
              <w:rPr/>
              <w:t> </w:t>
            </w:r>
          </w:p>
        </w:tc>
      </w:tr>
      <w:tr>
        <w:trPr/>
        <w:tc>
          <w:tcPr>
            <w:tcW w:w="434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90" w:type="dxa"/>
            <w:tcBorders/>
            <w:shd w:fill="FFFFFF" w:val="clear"/>
            <w:vAlign w:val="center"/>
          </w:tcPr>
          <w:p>
            <w:pPr>
              <w:pStyle w:val="TableContents"/>
              <w:spacing w:before="0" w:after="0"/>
              <w:ind w:left="0" w:right="0" w:hanging="0"/>
              <w:rPr/>
            </w:pPr>
            <w:r>
              <w:rPr/>
              <w:t> </w:t>
            </w:r>
          </w:p>
        </w:tc>
        <w:tc>
          <w:tcPr>
            <w:tcW w:w="1424"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90" w:type="dxa"/>
            <w:tcBorders/>
            <w:shd w:fill="FFFFFF" w:val="clear"/>
            <w:vAlign w:val="center"/>
          </w:tcPr>
          <w:p>
            <w:pPr>
              <w:pStyle w:val="TableContents"/>
              <w:spacing w:before="0" w:after="0"/>
              <w:ind w:left="0" w:right="0" w:hanging="0"/>
              <w:rPr/>
            </w:pPr>
            <w:r>
              <w:rPr/>
              <w:t> </w:t>
            </w:r>
          </w:p>
        </w:tc>
        <w:tc>
          <w:tcPr>
            <w:tcW w:w="1424" w:type="dxa"/>
            <w:tcBorders/>
            <w:shd w:fill="FFFFFF" w:val="clear"/>
            <w:vAlign w:val="center"/>
          </w:tcPr>
          <w:p>
            <w:pPr>
              <w:pStyle w:val="TableContents"/>
              <w:spacing w:before="0" w:after="0"/>
              <w:ind w:left="0" w:right="0" w:hanging="0"/>
              <w:rPr/>
            </w:pPr>
            <w:r>
              <w:rPr/>
              <w:t> </w:t>
            </w:r>
          </w:p>
        </w:tc>
        <w:tc>
          <w:tcPr>
            <w:tcW w:w="290" w:type="dxa"/>
            <w:tcBorders/>
            <w:shd w:fill="FFFFFF" w:val="clear"/>
            <w:vAlign w:val="center"/>
          </w:tcPr>
          <w:p>
            <w:pPr>
              <w:pStyle w:val="TableContents"/>
              <w:spacing w:before="0" w:after="0"/>
              <w:ind w:left="0" w:right="0" w:hanging="0"/>
              <w:rPr/>
            </w:pPr>
            <w:r>
              <w:rPr/>
              <w:t> </w:t>
            </w:r>
          </w:p>
        </w:tc>
      </w:tr>
      <w:tr>
        <w:trPr/>
        <w:tc>
          <w:tcPr>
            <w:tcW w:w="4340" w:type="dxa"/>
            <w:tcBorders/>
            <w:shd w:fill="CCEEFF" w:val="clear"/>
            <w:vAlign w:val="center"/>
          </w:tcPr>
          <w:p>
            <w:pPr>
              <w:pStyle w:val="TableContents"/>
              <w:spacing w:before="0" w:after="0"/>
              <w:ind w:left="0" w:right="0" w:hanging="0"/>
              <w:rPr/>
            </w:pPr>
            <w:r>
              <w:rPr>
                <w:rStyle w:val="StrongEmphasis"/>
                <w:rFonts w:ascii="times new roman" w:hAnsi="times new roman"/>
                <w:sz w:val="20"/>
              </w:rPr>
              <w:t>Other information on operating leases</w:t>
            </w:r>
          </w:p>
        </w:tc>
        <w:tc>
          <w:tcPr>
            <w:tcW w:w="90" w:type="dxa"/>
            <w:tcBorders/>
            <w:shd w:fill="CCEEFF" w:val="clear"/>
            <w:vAlign w:val="center"/>
          </w:tcPr>
          <w:p>
            <w:pPr>
              <w:pStyle w:val="TableContents"/>
              <w:spacing w:before="0" w:after="0"/>
              <w:ind w:left="0" w:right="0" w:hanging="0"/>
              <w:rPr/>
            </w:pPr>
            <w:r>
              <w:rPr/>
              <w:t> </w:t>
            </w:r>
          </w:p>
        </w:tc>
        <w:tc>
          <w:tcPr>
            <w:tcW w:w="290" w:type="dxa"/>
            <w:tcBorders/>
            <w:shd w:fill="CCEEFF" w:val="clear"/>
            <w:vAlign w:val="center"/>
          </w:tcPr>
          <w:p>
            <w:pPr>
              <w:pStyle w:val="TableContents"/>
              <w:spacing w:before="0" w:after="0"/>
              <w:ind w:left="0" w:right="0" w:hanging="0"/>
              <w:rPr/>
            </w:pPr>
            <w:r>
              <w:rPr/>
              <w:t> </w:t>
            </w:r>
          </w:p>
        </w:tc>
        <w:tc>
          <w:tcPr>
            <w:tcW w:w="1424"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90" w:type="dxa"/>
            <w:tcBorders/>
            <w:shd w:fill="CCEEFF" w:val="clear"/>
            <w:vAlign w:val="center"/>
          </w:tcPr>
          <w:p>
            <w:pPr>
              <w:pStyle w:val="TableContents"/>
              <w:spacing w:before="0" w:after="0"/>
              <w:ind w:left="0" w:right="0" w:hanging="0"/>
              <w:rPr/>
            </w:pPr>
            <w:r>
              <w:rPr/>
              <w:t> </w:t>
            </w:r>
          </w:p>
        </w:tc>
        <w:tc>
          <w:tcPr>
            <w:tcW w:w="1424" w:type="dxa"/>
            <w:tcBorders/>
            <w:shd w:fill="CCEEFF" w:val="clear"/>
            <w:vAlign w:val="center"/>
          </w:tcPr>
          <w:p>
            <w:pPr>
              <w:pStyle w:val="TableContents"/>
              <w:spacing w:before="0" w:after="0"/>
              <w:ind w:left="0" w:right="0" w:hanging="0"/>
              <w:rPr/>
            </w:pPr>
            <w:r>
              <w:rPr/>
              <w:t> </w:t>
            </w:r>
          </w:p>
        </w:tc>
        <w:tc>
          <w:tcPr>
            <w:tcW w:w="290" w:type="dxa"/>
            <w:tcBorders/>
            <w:shd w:fill="CCEEFF" w:val="clear"/>
            <w:vAlign w:val="center"/>
          </w:tcPr>
          <w:p>
            <w:pPr>
              <w:pStyle w:val="TableContents"/>
              <w:spacing w:before="0" w:after="0"/>
              <w:ind w:left="0" w:right="0" w:hanging="0"/>
              <w:rPr/>
            </w:pPr>
            <w:r>
              <w:rPr/>
              <w:t> </w:t>
            </w:r>
          </w:p>
        </w:tc>
      </w:tr>
      <w:tr>
        <w:trPr/>
        <w:tc>
          <w:tcPr>
            <w:tcW w:w="434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Cash payments included in the measurement of lease</w:t>
            </w:r>
          </w:p>
        </w:tc>
        <w:tc>
          <w:tcPr>
            <w:tcW w:w="90" w:type="dxa"/>
            <w:tcBorders/>
            <w:shd w:fill="FFFFFF" w:val="clear"/>
            <w:vAlign w:val="center"/>
          </w:tcPr>
          <w:p>
            <w:pPr>
              <w:pStyle w:val="TableContents"/>
              <w:spacing w:before="0" w:after="0"/>
              <w:ind w:left="0" w:right="0" w:hanging="0"/>
              <w:rPr/>
            </w:pPr>
            <w:r>
              <w:rPr/>
              <w:t> </w:t>
            </w:r>
          </w:p>
        </w:tc>
        <w:tc>
          <w:tcPr>
            <w:tcW w:w="290" w:type="dxa"/>
            <w:tcBorders/>
            <w:shd w:fill="FFFFFF" w:val="clear"/>
            <w:vAlign w:val="center"/>
          </w:tcPr>
          <w:p>
            <w:pPr>
              <w:pStyle w:val="TableContents"/>
              <w:spacing w:before="0" w:after="0"/>
              <w:ind w:left="0" w:right="0" w:hanging="0"/>
              <w:rPr/>
            </w:pPr>
            <w:r>
              <w:rPr/>
              <w:t> </w:t>
            </w:r>
          </w:p>
        </w:tc>
        <w:tc>
          <w:tcPr>
            <w:tcW w:w="1424"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90" w:type="dxa"/>
            <w:tcBorders/>
            <w:shd w:fill="FFFFFF" w:val="clear"/>
            <w:vAlign w:val="center"/>
          </w:tcPr>
          <w:p>
            <w:pPr>
              <w:pStyle w:val="TableContents"/>
              <w:spacing w:before="0" w:after="0"/>
              <w:ind w:left="0" w:right="0" w:hanging="0"/>
              <w:rPr/>
            </w:pPr>
            <w:r>
              <w:rPr/>
              <w:t> </w:t>
            </w:r>
          </w:p>
        </w:tc>
        <w:tc>
          <w:tcPr>
            <w:tcW w:w="1424" w:type="dxa"/>
            <w:tcBorders/>
            <w:shd w:fill="FFFFFF" w:val="clear"/>
            <w:vAlign w:val="center"/>
          </w:tcPr>
          <w:p>
            <w:pPr>
              <w:pStyle w:val="TableContents"/>
              <w:spacing w:before="0" w:after="0"/>
              <w:ind w:left="0" w:right="0" w:hanging="0"/>
              <w:rPr/>
            </w:pPr>
            <w:r>
              <w:rPr/>
              <w:t> </w:t>
            </w:r>
          </w:p>
        </w:tc>
        <w:tc>
          <w:tcPr>
            <w:tcW w:w="290" w:type="dxa"/>
            <w:tcBorders/>
            <w:shd w:fill="FFFFFF" w:val="clear"/>
            <w:vAlign w:val="center"/>
          </w:tcPr>
          <w:p>
            <w:pPr>
              <w:pStyle w:val="TableContents"/>
              <w:spacing w:before="0" w:after="0"/>
              <w:ind w:left="0" w:right="0" w:hanging="0"/>
              <w:rPr/>
            </w:pPr>
            <w:r>
              <w:rPr/>
              <w:t> </w:t>
            </w:r>
          </w:p>
        </w:tc>
      </w:tr>
      <w:tr>
        <w:trPr/>
        <w:tc>
          <w:tcPr>
            <w:tcW w:w="4340" w:type="dxa"/>
            <w:tcBorders/>
            <w:shd w:fill="CCEE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liability reported in operating cash flows</w:t>
            </w:r>
          </w:p>
        </w:tc>
        <w:tc>
          <w:tcPr>
            <w:tcW w:w="90" w:type="dxa"/>
            <w:tcBorders/>
            <w:shd w:fill="CCEEFF" w:val="clear"/>
            <w:vAlign w:val="center"/>
          </w:tcPr>
          <w:p>
            <w:pPr>
              <w:pStyle w:val="TableContents"/>
              <w:spacing w:before="0" w:after="0"/>
              <w:ind w:left="0" w:right="0" w:hanging="0"/>
              <w:rPr/>
            </w:pPr>
            <w:r>
              <w:rPr/>
              <w:t> </w:t>
            </w:r>
          </w:p>
        </w:tc>
        <w:tc>
          <w:tcPr>
            <w:tcW w:w="290" w:type="dxa"/>
            <w:tcBorders/>
            <w:shd w:fill="CCEEFF" w:val="clear"/>
            <w:vAlign w:val="center"/>
          </w:tcPr>
          <w:p>
            <w:pPr>
              <w:pStyle w:val="TableContents"/>
              <w:spacing w:before="0" w:after="283"/>
              <w:rPr/>
            </w:pPr>
            <w:r>
              <w:rPr/>
              <w:t>$</w:t>
            </w:r>
          </w:p>
        </w:tc>
        <w:tc>
          <w:tcPr>
            <w:tcW w:w="1424" w:type="dxa"/>
            <w:tcBorders/>
            <w:shd w:fill="CCEEFF" w:val="clear"/>
            <w:vAlign w:val="center"/>
          </w:tcPr>
          <w:p>
            <w:pPr>
              <w:pStyle w:val="TableContents"/>
              <w:spacing w:before="0" w:after="283"/>
              <w:jc w:val="right"/>
              <w:rPr/>
            </w:pPr>
            <w:r>
              <w:rPr/>
              <w:t>255,626</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90" w:type="dxa"/>
            <w:tcBorders/>
            <w:shd w:fill="CCEEFF" w:val="clear"/>
            <w:vAlign w:val="center"/>
          </w:tcPr>
          <w:p>
            <w:pPr>
              <w:pStyle w:val="TableContents"/>
              <w:spacing w:before="0" w:after="283"/>
              <w:rPr/>
            </w:pPr>
            <w:r>
              <w:rPr/>
              <w:t>$</w:t>
            </w:r>
          </w:p>
        </w:tc>
        <w:tc>
          <w:tcPr>
            <w:tcW w:w="1424" w:type="dxa"/>
            <w:tcBorders/>
            <w:shd w:fill="CCEEFF" w:val="clear"/>
            <w:vAlign w:val="center"/>
          </w:tcPr>
          <w:p>
            <w:pPr>
              <w:pStyle w:val="TableContents"/>
              <w:spacing w:before="0" w:after="283"/>
              <w:jc w:val="right"/>
              <w:rPr/>
            </w:pPr>
            <w:r>
              <w:rPr/>
              <w:t>169,861</w:t>
            </w:r>
          </w:p>
        </w:tc>
        <w:tc>
          <w:tcPr>
            <w:tcW w:w="290" w:type="dxa"/>
            <w:tcBorders/>
            <w:shd w:fill="CCEEFF" w:val="clear"/>
            <w:vAlign w:val="center"/>
          </w:tcPr>
          <w:p>
            <w:pPr>
              <w:pStyle w:val="TableContents"/>
              <w:spacing w:before="0" w:after="0"/>
              <w:ind w:left="0" w:right="0" w:hanging="0"/>
              <w:rPr/>
            </w:pPr>
            <w:r>
              <w:rPr/>
              <w:t> </w:t>
            </w:r>
          </w:p>
        </w:tc>
      </w:tr>
      <w:tr>
        <w:trPr/>
        <w:tc>
          <w:tcPr>
            <w:tcW w:w="434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Discount rate</w:t>
            </w:r>
          </w:p>
        </w:tc>
        <w:tc>
          <w:tcPr>
            <w:tcW w:w="90" w:type="dxa"/>
            <w:tcBorders/>
            <w:shd w:fill="FFFFFF" w:val="clear"/>
            <w:vAlign w:val="center"/>
          </w:tcPr>
          <w:p>
            <w:pPr>
              <w:pStyle w:val="TableContents"/>
              <w:spacing w:before="0" w:after="0"/>
              <w:ind w:left="0" w:right="0" w:hanging="0"/>
              <w:rPr/>
            </w:pPr>
            <w:r>
              <w:rPr/>
              <w:t> </w:t>
            </w:r>
          </w:p>
        </w:tc>
        <w:tc>
          <w:tcPr>
            <w:tcW w:w="290" w:type="dxa"/>
            <w:tcBorders/>
            <w:shd w:fill="FFFFFF" w:val="clear"/>
            <w:vAlign w:val="center"/>
          </w:tcPr>
          <w:p>
            <w:pPr>
              <w:pStyle w:val="TableContents"/>
              <w:spacing w:before="0" w:after="0"/>
              <w:ind w:left="0" w:right="0" w:hanging="0"/>
              <w:rPr/>
            </w:pPr>
            <w:r>
              <w:rPr/>
              <w:t> </w:t>
            </w:r>
          </w:p>
        </w:tc>
        <w:tc>
          <w:tcPr>
            <w:tcW w:w="1424" w:type="dxa"/>
            <w:tcBorders/>
            <w:shd w:fill="FFFFFF" w:val="clear"/>
            <w:vAlign w:val="center"/>
          </w:tcPr>
          <w:p>
            <w:pPr>
              <w:pStyle w:val="TableContents"/>
              <w:spacing w:before="0" w:after="283"/>
              <w:jc w:val="right"/>
              <w:rPr/>
            </w:pPr>
            <w:r>
              <w:rPr/>
              <w:t>5.50</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290" w:type="dxa"/>
            <w:tcBorders/>
            <w:shd w:fill="FFFFFF" w:val="clear"/>
            <w:vAlign w:val="center"/>
          </w:tcPr>
          <w:p>
            <w:pPr>
              <w:pStyle w:val="TableContents"/>
              <w:spacing w:before="0" w:after="0"/>
              <w:ind w:left="0" w:right="0" w:hanging="0"/>
              <w:rPr/>
            </w:pPr>
            <w:r>
              <w:rPr/>
              <w:t> </w:t>
            </w:r>
          </w:p>
        </w:tc>
        <w:tc>
          <w:tcPr>
            <w:tcW w:w="1424" w:type="dxa"/>
            <w:tcBorders/>
            <w:shd w:fill="FFFFFF" w:val="clear"/>
            <w:vAlign w:val="center"/>
          </w:tcPr>
          <w:p>
            <w:pPr>
              <w:pStyle w:val="TableContents"/>
              <w:spacing w:before="0" w:after="283"/>
              <w:jc w:val="right"/>
              <w:rPr/>
            </w:pPr>
            <w:r>
              <w:rPr/>
              <w:t>5.50</w:t>
            </w:r>
          </w:p>
        </w:tc>
        <w:tc>
          <w:tcPr>
            <w:tcW w:w="290" w:type="dxa"/>
            <w:tcBorders/>
            <w:shd w:fill="FFFFFF" w:val="clear"/>
            <w:vAlign w:val="center"/>
          </w:tcPr>
          <w:p>
            <w:pPr>
              <w:pStyle w:val="TableContents"/>
              <w:spacing w:before="0" w:after="283"/>
              <w:rPr/>
            </w:pPr>
            <w:r>
              <w:rPr/>
              <w:t>%</w:t>
            </w:r>
          </w:p>
        </w:tc>
      </w:tr>
      <w:tr>
        <w:trPr/>
        <w:tc>
          <w:tcPr>
            <w:tcW w:w="434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Remaining lease term in years</w:t>
            </w:r>
          </w:p>
        </w:tc>
        <w:tc>
          <w:tcPr>
            <w:tcW w:w="90" w:type="dxa"/>
            <w:tcBorders/>
            <w:shd w:fill="CCEEFF" w:val="clear"/>
            <w:vAlign w:val="center"/>
          </w:tcPr>
          <w:p>
            <w:pPr>
              <w:pStyle w:val="TableContents"/>
              <w:spacing w:before="0" w:after="0"/>
              <w:ind w:left="0" w:right="0" w:hanging="0"/>
              <w:rPr/>
            </w:pPr>
            <w:r>
              <w:rPr/>
              <w:t> </w:t>
            </w:r>
          </w:p>
        </w:tc>
        <w:tc>
          <w:tcPr>
            <w:tcW w:w="1714" w:type="dxa"/>
            <w:gridSpan w:val="2"/>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4.94 years</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14" w:type="dxa"/>
            <w:gridSpan w:val="2"/>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5.88 years</w:t>
            </w:r>
          </w:p>
        </w:tc>
        <w:tc>
          <w:tcPr>
            <w:tcW w:w="290"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w:t>
      </w:r>
      <w:r>
        <w:rPr>
          <w:rFonts w:ascii="times new roman" w:hAnsi="times new roman"/>
          <w:caps w:val="false"/>
          <w:smallCaps w:val="false"/>
          <w:sz w:val="20"/>
        </w:rPr>
        <w:t>  </w:t>
      </w:r>
      <w:r>
        <w:rPr>
          <w:rFonts w:ascii="times new roman" w:hAnsi="times new roman"/>
          <w:sz w:val="20"/>
        </w:rPr>
        <w:t xml:space="preserve">Included in the consolidated statements of operations and comprehensive income within other underwriting expenses. </w:t>
      </w:r>
    </w:p>
    <w:p>
      <w:pPr>
        <w:pStyle w:val="TextBody"/>
        <w:spacing w:before="0" w:after="0"/>
        <w:ind w:left="0" w:right="0" w:hanging="0"/>
        <w:jc w:val="both"/>
        <w:rPr/>
      </w:pPr>
      <w:r>
        <w:rPr/>
        <w:t xml:space="preserve">   </w:t>
      </w:r>
    </w:p>
    <w:p>
      <w:pPr>
        <w:pStyle w:val="TextBody"/>
        <w:spacing w:before="0" w:after="0"/>
        <w:ind w:left="0" w:right="0" w:hanging="0"/>
        <w:jc w:val="both"/>
        <w:rPr>
          <w:rFonts w:ascii="times new roman" w:hAnsi="times new roman"/>
          <w:sz w:val="20"/>
        </w:rPr>
      </w:pPr>
      <w:r>
        <w:rPr>
          <w:rFonts w:ascii="times new roman" w:hAnsi="times new roman"/>
          <w:sz w:val="20"/>
        </w:rPr>
        <w:t>Operating lease right-of-use assets, included in other assets, were $949,434 and $1,157,554 as of December 31, 2020 and 2019, respectively. Operating lease right-of-use liabilities, included in accounts payable, accrued expenses and other liabilities, were $949,434 and $1,157,554 as of December 31, 2020 and 2019, respectively.</w:t>
      </w:r>
    </w:p>
    <w:p>
      <w:pPr>
        <w:pStyle w:val="TextBody"/>
        <w:spacing w:before="0" w:after="0"/>
        <w:ind w:left="0" w:right="0" w:hanging="0"/>
        <w:jc w:val="both"/>
        <w:rPr/>
      </w:pPr>
      <w:r>
        <w:rPr/>
        <w:t xml:space="preserve">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F-50</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2020 AND 2019</w:t>
      </w:r>
    </w:p>
    <w:p>
      <w:pPr>
        <w:pStyle w:val="TextBody"/>
        <w:spacing w:before="0" w:after="0"/>
        <w:ind w:left="0" w:right="0" w:hanging="0"/>
        <w:jc w:val="center"/>
        <w:rPr/>
      </w:pPr>
      <w:r>
        <w:rPr>
          <w:rStyle w:val="StrongEmphasis"/>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presents the contractual maturities of the Company’s lease liabilities as of December 31, 2020:</w:t>
      </w:r>
    </w:p>
    <w:p>
      <w:pPr>
        <w:pStyle w:val="TextBody"/>
        <w:spacing w:before="0" w:after="0"/>
        <w:ind w:left="0" w:right="0" w:hanging="0"/>
        <w:jc w:val="both"/>
        <w:rPr/>
      </w:pPr>
      <w:r>
        <w:rPr/>
        <w:t>  </w:t>
      </w:r>
    </w:p>
    <w:p>
      <w:pPr>
        <w:pStyle w:val="TextBody"/>
        <w:spacing w:before="0" w:after="0"/>
        <w:ind w:left="0" w:right="0" w:hanging="0"/>
        <w:rPr/>
      </w:pPr>
      <w:r>
        <w:rPr/>
        <w:t> </w:t>
      </w:r>
    </w:p>
    <w:p>
      <w:pPr>
        <w:pStyle w:val="TextBody"/>
        <w:spacing w:before="0" w:after="0"/>
        <w:ind w:left="0" w:right="0" w:hanging="0"/>
        <w:rPr/>
      </w:pPr>
      <w:r>
        <w:rPr/>
        <w:t> </w:t>
      </w:r>
    </w:p>
    <w:tbl>
      <w:tblPr>
        <w:tblW w:w="4560" w:type="dxa"/>
        <w:jc w:val="left"/>
        <w:tblInd w:w="0" w:type="dxa"/>
        <w:tblCellMar>
          <w:top w:w="0" w:type="dxa"/>
          <w:left w:w="0" w:type="dxa"/>
          <w:bottom w:w="0" w:type="dxa"/>
          <w:right w:w="0" w:type="dxa"/>
        </w:tblCellMar>
      </w:tblPr>
      <w:tblGrid>
        <w:gridCol w:w="3155"/>
        <w:gridCol w:w="90"/>
        <w:gridCol w:w="170"/>
        <w:gridCol w:w="1010"/>
        <w:gridCol w:w="135"/>
      </w:tblGrid>
      <w:tr>
        <w:trPr/>
        <w:tc>
          <w:tcPr>
            <w:tcW w:w="3155" w:type="dxa"/>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For the Year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0"/>
              <w:ind w:left="0" w:right="0" w:hanging="0"/>
              <w:rPr/>
            </w:pPr>
            <w:r>
              <w:rPr/>
              <w:t> </w:t>
            </w:r>
          </w:p>
        </w:tc>
      </w:tr>
      <w:tr>
        <w:trPr/>
        <w:tc>
          <w:tcPr>
            <w:tcW w:w="3155" w:type="dxa"/>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Ending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0"/>
              <w:ind w:left="0" w:right="0" w:hanging="0"/>
              <w:rPr/>
            </w:pPr>
            <w:r>
              <w:rPr/>
              <w:t> </w:t>
            </w:r>
          </w:p>
        </w:tc>
      </w:tr>
      <w:tr>
        <w:trPr/>
        <w:tc>
          <w:tcPr>
            <w:tcW w:w="3155"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December 31,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Total </w:t>
            </w:r>
          </w:p>
        </w:tc>
        <w:tc>
          <w:tcPr>
            <w:tcW w:w="135" w:type="dxa"/>
            <w:tcBorders/>
            <w:shd w:fill="auto" w:val="clear"/>
            <w:vAlign w:val="center"/>
          </w:tcPr>
          <w:p>
            <w:pPr>
              <w:pStyle w:val="TableContents"/>
              <w:spacing w:before="0" w:after="0"/>
              <w:ind w:left="0" w:right="0" w:hanging="0"/>
              <w:rPr/>
            </w:pPr>
            <w:r>
              <w:rPr/>
              <w:t> </w:t>
            </w:r>
          </w:p>
        </w:tc>
      </w:tr>
      <w:tr>
        <w:trPr/>
        <w:tc>
          <w:tcPr>
            <w:tcW w:w="315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2021</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264,571</w:t>
            </w:r>
          </w:p>
        </w:tc>
        <w:tc>
          <w:tcPr>
            <w:tcW w:w="135" w:type="dxa"/>
            <w:tcBorders/>
            <w:shd w:fill="CCEEFF" w:val="clear"/>
            <w:vAlign w:val="center"/>
          </w:tcPr>
          <w:p>
            <w:pPr>
              <w:pStyle w:val="TableContents"/>
              <w:spacing w:before="0" w:after="0"/>
              <w:ind w:left="0" w:right="0" w:hanging="0"/>
              <w:rPr/>
            </w:pPr>
            <w:r>
              <w:rPr/>
              <w:t> </w:t>
            </w:r>
          </w:p>
        </w:tc>
      </w:tr>
      <w:tr>
        <w:trPr/>
        <w:tc>
          <w:tcPr>
            <w:tcW w:w="315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2022</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273,831</w:t>
            </w:r>
          </w:p>
        </w:tc>
        <w:tc>
          <w:tcPr>
            <w:tcW w:w="135" w:type="dxa"/>
            <w:tcBorders/>
            <w:shd w:fill="FFFFFF" w:val="clear"/>
            <w:vAlign w:val="center"/>
          </w:tcPr>
          <w:p>
            <w:pPr>
              <w:pStyle w:val="TableContents"/>
              <w:spacing w:before="0" w:after="0"/>
              <w:ind w:left="0" w:right="0" w:hanging="0"/>
              <w:rPr/>
            </w:pPr>
            <w:r>
              <w:rPr/>
              <w:t> </w:t>
            </w:r>
          </w:p>
        </w:tc>
      </w:tr>
      <w:tr>
        <w:trPr/>
        <w:tc>
          <w:tcPr>
            <w:tcW w:w="315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2023</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283,415</w:t>
            </w:r>
          </w:p>
        </w:tc>
        <w:tc>
          <w:tcPr>
            <w:tcW w:w="135" w:type="dxa"/>
            <w:tcBorders/>
            <w:shd w:fill="CCEEFF" w:val="clear"/>
            <w:vAlign w:val="center"/>
          </w:tcPr>
          <w:p>
            <w:pPr>
              <w:pStyle w:val="TableContents"/>
              <w:spacing w:before="0" w:after="0"/>
              <w:ind w:left="0" w:right="0" w:hanging="0"/>
              <w:rPr/>
            </w:pPr>
            <w:r>
              <w:rPr/>
              <w:t> </w:t>
            </w:r>
          </w:p>
        </w:tc>
      </w:tr>
      <w:tr>
        <w:trPr/>
        <w:tc>
          <w:tcPr>
            <w:tcW w:w="315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2024</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140,739</w:t>
            </w:r>
          </w:p>
        </w:tc>
        <w:tc>
          <w:tcPr>
            <w:tcW w:w="135" w:type="dxa"/>
            <w:tcBorders/>
            <w:shd w:fill="FFFFFF" w:val="clear"/>
            <w:vAlign w:val="center"/>
          </w:tcPr>
          <w:p>
            <w:pPr>
              <w:pStyle w:val="TableContents"/>
              <w:spacing w:before="0" w:after="0"/>
              <w:ind w:left="0" w:right="0" w:hanging="0"/>
              <w:rPr/>
            </w:pPr>
            <w:r>
              <w:rPr/>
              <w:t> </w:t>
            </w:r>
          </w:p>
        </w:tc>
      </w:tr>
      <w:tr>
        <w:trPr/>
        <w:tc>
          <w:tcPr>
            <w:tcW w:w="315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2025</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94,799</w:t>
            </w:r>
          </w:p>
        </w:tc>
        <w:tc>
          <w:tcPr>
            <w:tcW w:w="135" w:type="dxa"/>
            <w:tcBorders/>
            <w:shd w:fill="CCEEFF" w:val="clear"/>
            <w:vAlign w:val="center"/>
          </w:tcPr>
          <w:p>
            <w:pPr>
              <w:pStyle w:val="TableContents"/>
              <w:spacing w:before="0" w:after="0"/>
              <w:ind w:left="0" w:right="0" w:hanging="0"/>
              <w:rPr/>
            </w:pPr>
            <w:r>
              <w:rPr/>
              <w:t> </w:t>
            </w:r>
          </w:p>
        </w:tc>
      </w:tr>
      <w:tr>
        <w:trPr/>
        <w:tc>
          <w:tcPr>
            <w:tcW w:w="315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Thereafter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283"/>
              <w:jc w:val="right"/>
              <w:rPr/>
            </w:pPr>
            <w:r>
              <w:rPr/>
              <w:t>98,117</w:t>
            </w:r>
          </w:p>
        </w:tc>
        <w:tc>
          <w:tcPr>
            <w:tcW w:w="135" w:type="dxa"/>
            <w:tcBorders/>
            <w:shd w:fill="FFFFFF" w:val="clear"/>
            <w:vAlign w:val="center"/>
          </w:tcPr>
          <w:p>
            <w:pPr>
              <w:pStyle w:val="TableContents"/>
              <w:spacing w:before="0" w:after="0"/>
              <w:ind w:left="0" w:right="0" w:hanging="0"/>
              <w:rPr/>
            </w:pPr>
            <w:r>
              <w:rPr/>
              <w:t> </w:t>
            </w:r>
          </w:p>
        </w:tc>
      </w:tr>
      <w:tr>
        <w:trPr/>
        <w:tc>
          <w:tcPr>
            <w:tcW w:w="3155" w:type="dxa"/>
            <w:tcBorders/>
            <w:shd w:fill="CCEE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 xml:space="preserve">Total undiscounted lease payments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1,155,472</w:t>
            </w:r>
          </w:p>
        </w:tc>
        <w:tc>
          <w:tcPr>
            <w:tcW w:w="135" w:type="dxa"/>
            <w:tcBorders/>
            <w:shd w:fill="CCEEFF" w:val="clear"/>
            <w:vAlign w:val="center"/>
          </w:tcPr>
          <w:p>
            <w:pPr>
              <w:pStyle w:val="TableContents"/>
              <w:spacing w:before="0" w:after="0"/>
              <w:ind w:left="0" w:right="0" w:hanging="0"/>
              <w:rPr/>
            </w:pPr>
            <w:r>
              <w:rPr/>
              <w:t> </w:t>
            </w:r>
          </w:p>
        </w:tc>
      </w:tr>
      <w:tr>
        <w:trPr/>
        <w:tc>
          <w:tcPr>
            <w:tcW w:w="315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Less: present value adjustment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283"/>
              <w:jc w:val="right"/>
              <w:rPr/>
            </w:pPr>
            <w:r>
              <w:rPr/>
              <w:t>187,003</w:t>
            </w:r>
          </w:p>
        </w:tc>
        <w:tc>
          <w:tcPr>
            <w:tcW w:w="135" w:type="dxa"/>
            <w:tcBorders/>
            <w:shd w:fill="FFFFFF" w:val="clear"/>
            <w:vAlign w:val="center"/>
          </w:tcPr>
          <w:p>
            <w:pPr>
              <w:pStyle w:val="TableContents"/>
              <w:spacing w:before="0" w:after="0"/>
              <w:ind w:left="0" w:right="0" w:hanging="0"/>
              <w:rPr/>
            </w:pPr>
            <w:r>
              <w:rPr/>
              <w:t> </w:t>
            </w:r>
          </w:p>
        </w:tc>
      </w:tr>
      <w:tr>
        <w:trPr/>
        <w:tc>
          <w:tcPr>
            <w:tcW w:w="3155" w:type="dxa"/>
            <w:tcBorders/>
            <w:shd w:fill="CCEE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 xml:space="preserve">Operating lease liability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6" w:space="0" w:color="000000"/>
            </w:tcBorders>
            <w:shd w:fill="CCEEFF" w:val="clear"/>
            <w:tcMar>
              <w:bottom w:w="28" w:type="dxa"/>
            </w:tcMar>
            <w:vAlign w:val="center"/>
          </w:tcPr>
          <w:p>
            <w:pPr>
              <w:pStyle w:val="TableContents"/>
              <w:spacing w:before="0" w:after="283"/>
              <w:jc w:val="right"/>
              <w:rPr/>
            </w:pPr>
            <w:r>
              <w:rPr/>
              <w:t>968,469</w:t>
            </w:r>
          </w:p>
        </w:tc>
        <w:tc>
          <w:tcPr>
            <w:tcW w:w="135"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Rent expense for the years ended December 31, 2020 and 2019 amounted to $245,188 and $165,368, respectively, and is included in the accompanying consolidated statements of operations and comprehensive income within other underwriting expenses.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Employment Agreements</w:t>
      </w:r>
    </w:p>
    <w:p>
      <w:pPr>
        <w:pStyle w:val="TextBody"/>
        <w:spacing w:before="0" w:after="0"/>
        <w:ind w:left="0" w:right="0" w:hanging="0"/>
        <w:jc w:val="both"/>
        <w:rPr/>
      </w:pPr>
      <w:r>
        <w:rPr/>
        <w:t> </w:t>
      </w:r>
    </w:p>
    <w:p>
      <w:pPr>
        <w:pStyle w:val="TextBody"/>
        <w:spacing w:before="0" w:after="0"/>
        <w:ind w:left="0" w:right="0" w:hanging="0"/>
        <w:jc w:val="both"/>
        <w:rPr/>
      </w:pPr>
      <w:r>
        <w:rPr>
          <w:rStyle w:val="Emphasis"/>
          <w:rFonts w:ascii="times new roman" w:hAnsi="times new roman"/>
          <w:sz w:val="20"/>
        </w:rPr>
        <w:t>Barry Goldstein, President, Chief Executive Officer and Executive Chairman of the Board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October 14, 2019, the Company and Barry B. Goldstein, the Company’s President, Chief Executive Officer and Executive Chairman of the Board, entered into a Second Amended and Restated Employment Agreement (the “Amended Employment Agreement”).  The Amended Employment Agreement is effective as of January 1, 2020 and expires on December 31, 2022.  The Amended Employment Agreement extends the expiration date of the employment agreement in effect for Mr. Goldstein from December 31, 2021 to December 31, 2022.</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Pursuant to the Amended Employment Agreement, Mr. Goldstein is entitled to receive an annual base salary of $500,000 and an annual bonus equal to 6% of the Company’s consolidated income from operations before taxes, exclusive of the Company’s consolidated net investment income (loss), net unrealized gains (losses) on equity securities and net realized gains (losses) on investments, up to a maximum of 2.5 times his base salary. In addition, pursuant to the Amended Employment Agreement, Mr. Goldstein is entitled to receive a long-term compensation (“LTC”) award of between $945,000 and $2,835,000 based on a specified minimum increase in the Company’s adjusted book value per share (as defined in the Amended Employment Agreement) as of December 31, 2022 as compared to December 31, 2019 (with the maximum LTC payment being due if the average per annum increase is at least 14%).  Further, pursuant to the Amended Employment Agreement, in the event that Mr. Goldstein’s employment is terminated by the Company without cause or he resigns for good reason (each as defined in the Amended Employment Agreement), Mr. Goldstein would be entitled to receive his base salary, the 6% bonus and the LTC payment for the remainder of the term.  In addition, in the event of Mr. Goldstein’s death, his estate would be entitled to receive his base salary, accrued bonus and accrued LTC payment through the date of death.  Further, in the event that Mr. Goldstein’s employment is terminated by the Company without cause or he resigns for good reason, or, in the event of the termination of Mr. Goldstein’s employment due to disability or death, Mr. Goldstein’s granted but unvested restricted stock awards will vest. Mr. Goldstein would be entitled, under certain circumstances, to a payment equal to 3.82 times his then annual salary, the target LTC payment of $1,890,000 and his accrued 6% bonus in the event of the termination of his employment within eighteen months following a change of control of the Company.</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F-51</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2020 AND 2019</w:t>
      </w:r>
    </w:p>
    <w:p>
      <w:pPr>
        <w:pStyle w:val="TextBody"/>
        <w:spacing w:before="0" w:after="0"/>
        <w:ind w:left="0" w:right="0" w:hanging="0"/>
        <w:jc w:val="center"/>
        <w:rPr/>
      </w:pPr>
      <w:r>
        <w:rPr>
          <w:rStyle w:val="StrongEmphasis"/>
        </w:rPr>
        <w:t> </w:t>
      </w:r>
    </w:p>
    <w:p>
      <w:pPr>
        <w:pStyle w:val="TextBody"/>
        <w:spacing w:before="0" w:after="0"/>
        <w:ind w:left="0" w:right="0" w:hanging="0"/>
        <w:jc w:val="both"/>
        <w:rPr>
          <w:rFonts w:ascii="times new roman" w:hAnsi="times new roman"/>
          <w:sz w:val="20"/>
        </w:rPr>
      </w:pPr>
      <w:r>
        <w:rPr>
          <w:rFonts w:ascii="times new roman" w:hAnsi="times new roman"/>
          <w:sz w:val="20"/>
        </w:rPr>
        <w:t>Pursuant to the Amended Employment Agreement, in January 2020, Mr. Goldstein received a grant of 157,431 shares of restricted stock, under the terms of the Company’s 2014 Plan determined by dividing $1,250,000 by the fair market value of the Company’s Common Stock on the date of grant. This 2020 grant will become vested with respect to one-third of the award on each of the first and second anniversaries of the grant date and on December 31, 2022 based on the continued provision of services through the applicable vesting date.  Also pursuant to the Amended Employment Agreement, Mr. Goldstein will be entitled to receive a grant, under the terms of the 2014 Plan, during January 2021, of a number of shares of restricted stock determined by dividing $1,500,000 by the fair market value of the Company’s Common Stock on the date of grant.  The January 2021 grant will become vested with respect to one-half of the award on each of the first anniversary of the grant date and on December 31, 2022 based on the continued provision of services through the applicable vesting date.  Further, pursuant to the Amended Employment Agreement, Mr. Goldstein is entitled to receive a grant, under the terms of the 2014 Plan, during each of 2020, 2021 and 2022, of a number of shares of restricted stock determined by dividing $136,500 by the fair market value of the Company’s Common Stock on the date of grant. In January 2020, Mr. Goldstein was granted 17,191 shares of restricted stock pursuant to this provision. This grant will become vested with respect to one-third of the award on each of the first and second anniversaries of the grant date and on December 31, 2022 based on the continued provision of services through the applicable vesting date.  The 2021 grant will become vested with respect to one-half of the award on each of the first anniversary of the grant date and on December 31, 2022 based on the continued provision of services through the applicable vesting date.  The 2022 grant will become vested on December 31, 2022 based on the continued provision of services through such date.</w:t>
      </w:r>
    </w:p>
    <w:p>
      <w:pPr>
        <w:pStyle w:val="TextBody"/>
        <w:spacing w:before="0" w:after="0"/>
        <w:ind w:left="0" w:right="0" w:hanging="0"/>
        <w:jc w:val="both"/>
        <w:rPr/>
      </w:pPr>
      <w:r>
        <w:rPr/>
        <w:t> </w:t>
      </w:r>
    </w:p>
    <w:p>
      <w:pPr>
        <w:pStyle w:val="TextBody"/>
        <w:spacing w:before="0" w:after="0"/>
        <w:ind w:left="0" w:right="0" w:hanging="0"/>
        <w:jc w:val="both"/>
        <w:rPr/>
      </w:pPr>
      <w:r>
        <w:rPr>
          <w:rStyle w:val="Emphasis"/>
          <w:rFonts w:ascii="times new roman" w:hAnsi="times new roman"/>
          <w:sz w:val="20"/>
        </w:rPr>
        <w:t>Meryl Golden, Chief Operating Officer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September 16, 2019, the Company and Meryl Golden entered into an employment agreement (the “Golden Employment Agreement”) pursuant to which Ms. Golden serves as the Company’s Chief Operating Officer. Ms. Golden also serves KICO’s Chief Operating Officer. The Golden Employment Agreement became effective as of September 25, 2019 (amended on December 24, 2020) and now expires on December 31, 2022.</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Pursuant to the Golden Employment Agreement, Ms. Golden is entitled to receive an annual salary of $500,000. The Golden Employment also provides for the grant on the effective date of a five year option for the purchase of 50,000 shares of the Company’s Common Stock pursuant to the 2014 Plan. The options granted vest in four equal installments, with the first installment vesting on the grant date, and the remaining installments vesting on the first, second, and third anniversaries of the grant date, subject to the terms of the stock option agreement between the Company and Ms. Golden.   In January 2021, pursuant to the Golden Employment Agreement as amended, Ms. Golden was granted 30,000 shares of restricted Common Stock pursuant to the 2014 Plan and will be entitled to receive in January 2022 an additional grant of 30,000 shares of restricted Common Stock pursuant to the 2014 Plan.  Each such grant vests in three equal installments on each of the first, second and third anniversaries of the grant date.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F-52</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2020 AND 2019</w:t>
      </w:r>
    </w:p>
    <w:p>
      <w:pPr>
        <w:pStyle w:val="TextBody"/>
        <w:spacing w:before="0" w:after="0"/>
        <w:ind w:left="0" w:right="0" w:hanging="0"/>
        <w:jc w:val="center"/>
        <w:rPr/>
      </w:pPr>
      <w:r>
        <w:rPr>
          <w:rStyle w:val="StrongEmphasis"/>
        </w:rPr>
        <w:t> </w:t>
      </w:r>
    </w:p>
    <w:p>
      <w:pPr>
        <w:pStyle w:val="TextBody"/>
        <w:spacing w:before="0" w:after="0"/>
        <w:ind w:left="0" w:right="0" w:hanging="0"/>
        <w:jc w:val="both"/>
        <w:rPr/>
      </w:pPr>
      <w:r>
        <w:rPr>
          <w:rStyle w:val="Emphasis"/>
          <w:rFonts w:ascii="times new roman" w:hAnsi="times new roman"/>
          <w:sz w:val="20"/>
        </w:rPr>
        <w:t>Dale A. Thatcher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Effective July 19, 2019 (the “Separation Date”), Dale A. Thatcher retired and resigned his positions as Chief Executive Officer and President of the Company and KICO. At such time, he also resigned his positions on the Board of Directors of each of the Company and KICO.  Effective upon Mr. Thatcher’s separation from employment, the Board appointed Barry B. Goldstein, former Chief Executive Officer and Executive Chairman of the Board of Directors, to the position of Chief Executive Officer and President of each of the Company and KICO. Mr. Goldstein previously served as Chief Executive Officer and President of the Company from March 2001 through December 31, 2018, and as Chief Executive Officer and President of KICO from January 2012 through December 31, 2018.</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connection with his separation from employment, each of the Company and KICO entered into an Agreement and General Release (the “Separation Agreement”) with Mr. Thatcher.  Pursuant to the Separation Agreement, the Company and KICO shall collectively provide the following payments and benefits to Mr. Thatcher in full satisfaction of all payments and benefits and other amounts due to him under the terms of the existing employment agreements upon his separation from employment: (i) $381,111 (representing the amount of base salary he would have received had he remained employed through March 31, 2020), (ii) $5,000 in full satisfaction for any bonus payments payable under the existing employment agreements, (iii) continuing group health coverage commencing on the Separation Date and ending on March 31, 2020, and (iv) continued vesting of all stock awards previously granted to Mr. Thatcher in his capacity as an executive officer but which were unvested as of the Separation Date (the “Shares”) (Mr. Thatcher shall not be entitled to any further grants of stock awards after the Separation Date).  Effective January 27, 2021, the Company entered into an agreement (the “Relinquishment Agreement”) with Mr. Thatcher.  Pursuant to the Relinquishment Agreement, Mr. Thatcher relinquished his right to receive 14,077 unissued Shares which vested on January 1, 2021, the right to receive 11,905 Shares which were scheduled to vest on March 14, 2021 and the right to receive 14,076 Shares which were scheduled to vest on January 1, 2022 in full consideration of the payment by the Company of an aggregate of $280,406.</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addition, the Company and KICO agreed to provide Mr. Thatcher with a severance payment of $20,000 in consideration for a release.  Pursuant to the Separation Agreement, Mr. Thatcher agreed that, for a period of three years following the Separation Date, he shall not accept any operating executive role with another property and casualty insurance company.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COVID-19</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outbreak of the coronavirus, also known as "COVID-19", has spread across the globe and is impacting worldwide economic activity. Conditions surrounding the coronavirus continue to rapidly evolve and government authorities have implemented emergency measures to mitigate the spread of the virus. The outbreak and the related mitigation measures have had and will continue to have a material adverse impact on global economic conditions as well as on the Company's business activities. The extent to which COVID-19 may impact the Company's business activities will depend on future developments, such as the ultimate geographic spread of the disease, the duration of the outbreak, travel restrictions, business disruptions, and the effectiveness of actions taken in the United States and other countries to contain and treat the disease. These events are highly uncertain and, as such, the Company cannot determine their financial impact at this time.  No adjustments have been made to the amounts reported in these consolidated financial statements as a result of this matter.</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Note 18 - Earnings Per Common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Basic net earnings(loss) per common share is computed by dividing income(loss) available to common shareholders by the weighted-average number of shares of Common Stock outstanding. Diluted earnings(loss) per common share reflect, in periods in which they have a dilutive effect, the impact of common shares issuable upon exercise of stock options as well as non-vested restricted stock awards.  The computation of diluted earnings(loss) per common share excludes those options with an exercise price in excess of the average market price of the Company’s Common Stock during the periods presented.</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F-53</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2020 AND 2019</w:t>
      </w:r>
    </w:p>
    <w:p>
      <w:pPr>
        <w:pStyle w:val="TextBody"/>
        <w:spacing w:before="0" w:after="0"/>
        <w:ind w:left="0" w:right="0" w:hanging="0"/>
        <w:jc w:val="center"/>
        <w:rPr/>
      </w:pPr>
      <w:r>
        <w:rPr>
          <w:rStyle w:val="StrongEmphasis"/>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computation of diluted earnings(loss) per common share excludes outstanding options in periods where the exercise of such options would be anti-dilutive. For the years ended December 31, 2020 and 2019, no options were included in the computation of diluted earnings (loss) per common share as they would have been anti-dilutive for the relevant periods and, as a result, the weighted average number of shares of Common Stock used in the calculation of diluted earnings per common share has not been adjusted for the effect of such options.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reconciliation of the weighted average number of common shares used in the calculation of basic and diluted earnings (loss) per common share follows:</w:t>
      </w:r>
    </w:p>
    <w:p>
      <w:pPr>
        <w:pStyle w:val="TextBody"/>
        <w:spacing w:before="0" w:after="0"/>
        <w:ind w:left="0" w:right="0" w:hanging="0"/>
        <w:jc w:val="both"/>
        <w:rPr/>
      </w:pPr>
      <w:r>
        <w:rPr/>
        <w:t> </w:t>
      </w:r>
    </w:p>
    <w:p>
      <w:pPr>
        <w:pStyle w:val="TextBody"/>
        <w:spacing w:before="0" w:after="0"/>
        <w:ind w:left="0" w:right="0" w:hanging="0"/>
        <w:jc w:val="center"/>
        <w:rPr/>
      </w:pPr>
      <w:r>
        <w:rPr/>
        <w:t> </w:t>
      </w:r>
    </w:p>
    <w:p>
      <w:pPr>
        <w:pStyle w:val="TextBody"/>
        <w:spacing w:before="0" w:after="0"/>
        <w:ind w:left="0" w:right="0" w:hanging="0"/>
        <w:rPr/>
      </w:pPr>
      <w:r>
        <w:rPr/>
        <w:t> </w:t>
      </w:r>
    </w:p>
    <w:tbl>
      <w:tblPr>
        <w:tblW w:w="7455" w:type="dxa"/>
        <w:jc w:val="left"/>
        <w:tblInd w:w="0" w:type="dxa"/>
        <w:tblCellMar>
          <w:top w:w="0" w:type="dxa"/>
          <w:left w:w="0" w:type="dxa"/>
          <w:bottom w:w="0" w:type="dxa"/>
          <w:right w:w="0" w:type="dxa"/>
        </w:tblCellMar>
      </w:tblPr>
      <w:tblGrid>
        <w:gridCol w:w="4610"/>
        <w:gridCol w:w="90"/>
        <w:gridCol w:w="90"/>
        <w:gridCol w:w="1130"/>
        <w:gridCol w:w="90"/>
        <w:gridCol w:w="90"/>
        <w:gridCol w:w="90"/>
        <w:gridCol w:w="1130"/>
        <w:gridCol w:w="135"/>
      </w:tblGrid>
      <w:tr>
        <w:trPr/>
        <w:tc>
          <w:tcPr>
            <w:tcW w:w="461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620" w:type="dxa"/>
            <w:gridSpan w:val="6"/>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Years ended </w:t>
            </w:r>
          </w:p>
        </w:tc>
        <w:tc>
          <w:tcPr>
            <w:tcW w:w="135" w:type="dxa"/>
            <w:tcBorders/>
            <w:shd w:fill="auto" w:val="clear"/>
            <w:vAlign w:val="center"/>
          </w:tcPr>
          <w:p>
            <w:pPr>
              <w:pStyle w:val="TableContents"/>
              <w:spacing w:before="0" w:after="0"/>
              <w:ind w:left="0" w:right="0" w:hanging="0"/>
              <w:rPr/>
            </w:pPr>
            <w:r>
              <w:rPr/>
              <w:t> </w:t>
            </w:r>
          </w:p>
        </w:tc>
      </w:tr>
      <w:tr>
        <w:trPr/>
        <w:tc>
          <w:tcPr>
            <w:tcW w:w="461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620"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December 31, </w:t>
            </w:r>
          </w:p>
        </w:tc>
        <w:tc>
          <w:tcPr>
            <w:tcW w:w="135" w:type="dxa"/>
            <w:tcBorders/>
            <w:shd w:fill="auto" w:val="clear"/>
            <w:vAlign w:val="center"/>
          </w:tcPr>
          <w:p>
            <w:pPr>
              <w:pStyle w:val="TableContents"/>
              <w:spacing w:before="0" w:after="0"/>
              <w:ind w:left="0" w:right="0" w:hanging="0"/>
              <w:rPr/>
            </w:pPr>
            <w:r>
              <w:rPr/>
              <w:t> </w:t>
            </w:r>
          </w:p>
        </w:tc>
      </w:tr>
      <w:tr>
        <w:trPr/>
        <w:tc>
          <w:tcPr>
            <w:tcW w:w="461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2020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2019 </w:t>
            </w:r>
          </w:p>
        </w:tc>
        <w:tc>
          <w:tcPr>
            <w:tcW w:w="135" w:type="dxa"/>
            <w:tcBorders/>
            <w:shd w:fill="auto" w:val="clear"/>
            <w:vAlign w:val="center"/>
          </w:tcPr>
          <w:p>
            <w:pPr>
              <w:pStyle w:val="TableContents"/>
              <w:spacing w:before="0" w:after="0"/>
              <w:ind w:left="0" w:right="0" w:hanging="0"/>
              <w:rPr/>
            </w:pPr>
            <w:r>
              <w:rPr/>
              <w:t> </w:t>
            </w:r>
          </w:p>
        </w:tc>
      </w:tr>
      <w:tr>
        <w:trPr/>
        <w:tc>
          <w:tcPr>
            <w:tcW w:w="461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20" w:type="dxa"/>
            <w:gridSpan w:val="2"/>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461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Weighted average number of shares outstanding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10,721,342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10,773,623</w:t>
            </w:r>
          </w:p>
        </w:tc>
        <w:tc>
          <w:tcPr>
            <w:tcW w:w="135" w:type="dxa"/>
            <w:tcBorders/>
            <w:shd w:fill="CCEEFF" w:val="clear"/>
            <w:vAlign w:val="center"/>
          </w:tcPr>
          <w:p>
            <w:pPr>
              <w:pStyle w:val="TableContents"/>
              <w:spacing w:before="0" w:after="0"/>
              <w:ind w:left="0" w:right="0" w:hanging="0"/>
              <w:rPr/>
            </w:pPr>
            <w:r>
              <w:rPr/>
              <w:t> </w:t>
            </w:r>
          </w:p>
        </w:tc>
      </w:tr>
      <w:tr>
        <w:trPr/>
        <w:tc>
          <w:tcPr>
            <w:tcW w:w="46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135" w:type="dxa"/>
            <w:tcBorders/>
            <w:shd w:fill="FFFFFF" w:val="clear"/>
            <w:vAlign w:val="center"/>
          </w:tcPr>
          <w:p>
            <w:pPr>
              <w:pStyle w:val="TableContents"/>
              <w:spacing w:before="0" w:after="0"/>
              <w:ind w:left="0" w:right="0" w:hanging="0"/>
              <w:rPr/>
            </w:pPr>
            <w:r>
              <w:rPr/>
              <w:t> </w:t>
            </w:r>
          </w:p>
        </w:tc>
      </w:tr>
      <w:tr>
        <w:trPr/>
        <w:tc>
          <w:tcPr>
            <w:tcW w:w="461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Effect of dilutive securities, common share equivalents: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135" w:type="dxa"/>
            <w:tcBorders/>
            <w:shd w:fill="CCEEFF" w:val="clear"/>
            <w:vAlign w:val="center"/>
          </w:tcPr>
          <w:p>
            <w:pPr>
              <w:pStyle w:val="TableContents"/>
              <w:spacing w:before="0" w:after="0"/>
              <w:ind w:left="0" w:right="0" w:hanging="0"/>
              <w:rPr/>
            </w:pPr>
            <w:r>
              <w:rPr/>
              <w:t> </w:t>
            </w:r>
          </w:p>
        </w:tc>
      </w:tr>
      <w:tr>
        <w:trPr/>
        <w:tc>
          <w:tcPr>
            <w:tcW w:w="4610" w:type="dxa"/>
            <w:tcBorders/>
            <w:shd w:fill="FFFF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 xml:space="preserve">Stock options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w:t>
            </w:r>
          </w:p>
        </w:tc>
        <w:tc>
          <w:tcPr>
            <w:tcW w:w="135" w:type="dxa"/>
            <w:tcBorders/>
            <w:shd w:fill="FFFFFF" w:val="clear"/>
            <w:vAlign w:val="center"/>
          </w:tcPr>
          <w:p>
            <w:pPr>
              <w:pStyle w:val="TableContents"/>
              <w:spacing w:before="0" w:after="0"/>
              <w:ind w:left="0" w:right="0" w:hanging="0"/>
              <w:rPr/>
            </w:pPr>
            <w:r>
              <w:rPr/>
              <w:t> </w:t>
            </w:r>
          </w:p>
        </w:tc>
      </w:tr>
      <w:tr>
        <w:trPr/>
        <w:tc>
          <w:tcPr>
            <w:tcW w:w="4610" w:type="dxa"/>
            <w:tcBorders/>
            <w:shd w:fill="CCEE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 xml:space="preserve">Restricted stock awards </w:t>
            </w:r>
          </w:p>
        </w:tc>
        <w:tc>
          <w:tcPr>
            <w:tcW w:w="90" w:type="dxa"/>
            <w:tcBorders/>
            <w:shd w:fill="CCEEFF" w:val="clear"/>
            <w:vAlign w:val="center"/>
          </w:tcPr>
          <w:p>
            <w:pPr>
              <w:pStyle w:val="TableContents"/>
              <w:spacing w:before="0" w:after="0"/>
              <w:ind w:left="0" w:right="0" w:hanging="0"/>
              <w:rPr/>
            </w:pPr>
            <w:r>
              <w:rPr/>
              <w:t> </w:t>
            </w:r>
          </w:p>
        </w:tc>
        <w:tc>
          <w:tcPr>
            <w:tcW w:w="9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CCEEFF" w:val="clear"/>
            <w:tcMar>
              <w:bottom w:w="28" w:type="dxa"/>
            </w:tcMar>
            <w:vAlign w:val="center"/>
          </w:tcPr>
          <w:p>
            <w:pPr>
              <w:pStyle w:val="TableContents"/>
              <w:spacing w:before="0" w:after="283"/>
              <w:jc w:val="right"/>
              <w:rPr/>
            </w:pPr>
            <w:r>
              <w:rPr/>
              <w:t>9,395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35" w:type="dxa"/>
            <w:tcBorders/>
            <w:shd w:fill="CCEEFF" w:val="clear"/>
            <w:vAlign w:val="center"/>
          </w:tcPr>
          <w:p>
            <w:pPr>
              <w:pStyle w:val="TableContents"/>
              <w:spacing w:before="0" w:after="0"/>
              <w:ind w:left="0" w:right="0" w:hanging="0"/>
              <w:rPr/>
            </w:pPr>
            <w:r>
              <w:rPr/>
              <w:t> </w:t>
            </w:r>
          </w:p>
        </w:tc>
      </w:tr>
      <w:tr>
        <w:trPr/>
        <w:tc>
          <w:tcPr>
            <w:tcW w:w="46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135" w:type="dxa"/>
            <w:tcBorders/>
            <w:shd w:fill="FFFFFF" w:val="clear"/>
            <w:vAlign w:val="center"/>
          </w:tcPr>
          <w:p>
            <w:pPr>
              <w:pStyle w:val="TableContents"/>
              <w:spacing w:before="0" w:after="0"/>
              <w:ind w:left="0" w:right="0" w:hanging="0"/>
              <w:rPr/>
            </w:pPr>
            <w:r>
              <w:rPr/>
              <w:t> </w:t>
            </w:r>
          </w:p>
        </w:tc>
      </w:tr>
      <w:tr>
        <w:trPr/>
        <w:tc>
          <w:tcPr>
            <w:tcW w:w="461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Weighted average number of shares outstanding,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135" w:type="dxa"/>
            <w:tcBorders/>
            <w:shd w:fill="CCEEFF" w:val="clear"/>
            <w:vAlign w:val="center"/>
          </w:tcPr>
          <w:p>
            <w:pPr>
              <w:pStyle w:val="TableContents"/>
              <w:spacing w:before="0" w:after="0"/>
              <w:ind w:left="0" w:right="0" w:hanging="0"/>
              <w:rPr/>
            </w:pPr>
            <w:r>
              <w:rPr/>
              <w:t> </w:t>
            </w:r>
          </w:p>
        </w:tc>
      </w:tr>
      <w:tr>
        <w:trPr/>
        <w:tc>
          <w:tcPr>
            <w:tcW w:w="4610" w:type="dxa"/>
            <w:tcBorders/>
            <w:shd w:fill="FFFF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 xml:space="preserve">used for computing diluted earnings per share </w:t>
            </w:r>
          </w:p>
        </w:tc>
        <w:tc>
          <w:tcPr>
            <w:tcW w:w="90" w:type="dxa"/>
            <w:tcBorders/>
            <w:shd w:fill="FFFFFF" w:val="clear"/>
            <w:vAlign w:val="center"/>
          </w:tcPr>
          <w:p>
            <w:pPr>
              <w:pStyle w:val="TableContents"/>
              <w:spacing w:before="0" w:after="0"/>
              <w:ind w:left="0" w:right="0" w:hanging="0"/>
              <w:rPr/>
            </w:pPr>
            <w:r>
              <w:rPr/>
              <w:t> </w:t>
            </w:r>
          </w:p>
        </w:tc>
        <w:tc>
          <w:tcPr>
            <w:tcW w:w="90" w:type="dxa"/>
            <w:tcBorders>
              <w:bottom w:val="double" w:sz="6" w:space="0" w:color="000000"/>
            </w:tcBorders>
            <w:shd w:fill="FFFFFF" w:val="clear"/>
            <w:tcMar>
              <w:bottom w:w="28" w:type="dxa"/>
            </w:tcMar>
            <w:vAlign w:val="center"/>
          </w:tcPr>
          <w:p>
            <w:pPr>
              <w:pStyle w:val="TableContents"/>
              <w:spacing w:before="0" w:after="0"/>
              <w:ind w:left="0" w:right="0" w:hanging="0"/>
              <w:rPr/>
            </w:pPr>
            <w:r>
              <w:rPr/>
              <w:t> </w:t>
            </w:r>
          </w:p>
        </w:tc>
        <w:tc>
          <w:tcPr>
            <w:tcW w:w="1130" w:type="dxa"/>
            <w:tcBorders>
              <w:bottom w:val="double" w:sz="6" w:space="0" w:color="000000"/>
            </w:tcBorders>
            <w:shd w:fill="FFFFFF" w:val="clear"/>
            <w:tcMar>
              <w:bottom w:w="28" w:type="dxa"/>
            </w:tcMar>
            <w:vAlign w:val="center"/>
          </w:tcPr>
          <w:p>
            <w:pPr>
              <w:pStyle w:val="TableContents"/>
              <w:spacing w:before="0" w:after="283"/>
              <w:jc w:val="right"/>
              <w:rPr/>
            </w:pPr>
            <w:r>
              <w:rPr/>
              <w:t>10,730,737</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bottom w:val="double" w:sz="6" w:space="0" w:color="000000"/>
            </w:tcBorders>
            <w:shd w:fill="FFFFFF" w:val="clear"/>
            <w:tcMar>
              <w:bottom w:w="28" w:type="dxa"/>
            </w:tcMar>
            <w:vAlign w:val="center"/>
          </w:tcPr>
          <w:p>
            <w:pPr>
              <w:pStyle w:val="TableContents"/>
              <w:spacing w:before="0" w:after="0"/>
              <w:ind w:left="0" w:right="0" w:hanging="0"/>
              <w:rPr/>
            </w:pPr>
            <w:r>
              <w:rPr/>
              <w:t> </w:t>
            </w:r>
          </w:p>
        </w:tc>
        <w:tc>
          <w:tcPr>
            <w:tcW w:w="1130" w:type="dxa"/>
            <w:tcBorders>
              <w:bottom w:val="double" w:sz="6" w:space="0" w:color="000000"/>
            </w:tcBorders>
            <w:shd w:fill="FFFFFF" w:val="clear"/>
            <w:tcMar>
              <w:bottom w:w="28" w:type="dxa"/>
            </w:tcMar>
            <w:vAlign w:val="center"/>
          </w:tcPr>
          <w:p>
            <w:pPr>
              <w:pStyle w:val="TableContents"/>
              <w:spacing w:before="0" w:after="283"/>
              <w:jc w:val="right"/>
              <w:rPr/>
            </w:pPr>
            <w:r>
              <w:rPr/>
              <w:t>10,773,623</w:t>
            </w:r>
          </w:p>
        </w:tc>
        <w:tc>
          <w:tcPr>
            <w:tcW w:w="135" w:type="dxa"/>
            <w:tcBorders/>
            <w:shd w:fill="FFFF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Note 19 - Subsequent Events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evaluated events that occurred subsequent to December 31, 2020 through March 31, 2021, the date these consolidated financial statements were issued, for matters that required disclosure or adjustment in these consolidated financial statements.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Dividends Declared and Paid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February 1, 2021, the Company announced that its Board of Directors approved a quarterly dividend of $0.04 per share payable in cash on March 15, 2021 to stockholders of record as of the close of business on February 26, 2021 (see Note 12).</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Restricted Stock Awards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Pursuant to the terms of the Relinquishment Agreement between the Company and Mr. Thatcher, effective January 27, 2021, Mr. Thatcher relinquished his right to receive 14,077 unissued Shares which vested on January 1, 2021, the right to receive 11,905 Shares which were scheduled to vest on March 14, 2021 and the right to receive 14,076 Shares which were scheduled to vest on January 1, 2022 in full consideration of the payment by the Company of an aggregate of $280,406 (see Note 17).</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F-54</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FTOC">
              <w:r>
                <w:rPr>
                  <w:rStyle w:val="Emphasis"/>
                </w:rPr>
                <w:t>Table of Contents</w:t>
              </w:r>
            </w:hyperlink>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2020 AND 2019</w:t>
      </w:r>
    </w:p>
    <w:p>
      <w:pPr>
        <w:pStyle w:val="TextBody"/>
        <w:spacing w:before="0" w:after="0"/>
        <w:ind w:left="0" w:right="0" w:hanging="0"/>
        <w:jc w:val="center"/>
        <w:rPr/>
      </w:pPr>
      <w:r>
        <w:rPr/>
        <w:t> </w:t>
      </w:r>
    </w:p>
    <w:p>
      <w:pPr>
        <w:pStyle w:val="TextBody"/>
        <w:spacing w:before="0" w:after="0"/>
        <w:ind w:left="0" w:right="0" w:hanging="0"/>
        <w:jc w:val="both"/>
        <w:rPr/>
      </w:pPr>
      <w:r>
        <w:rPr>
          <w:rStyle w:val="StrongEmphasis"/>
          <w:rFonts w:ascii="times new roman" w:hAnsi="times new roman"/>
          <w:sz w:val="20"/>
        </w:rPr>
        <w:t>Note 20 – Quarterly Financial Data (Unaudited)</w:t>
      </w:r>
      <w:r>
        <w:rPr>
          <w:rFonts w:ascii="times new roman" w:hAnsi="times new roman"/>
          <w:sz w:val="20"/>
        </w:rPr>
        <w:t xml:space="preserve">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is a summary of unaudited quarterly results of operations for the years ended December 31, 2020 and 2019:</w:t>
      </w:r>
    </w:p>
    <w:p>
      <w:pPr>
        <w:pStyle w:val="TextBody"/>
        <w:spacing w:before="0" w:after="0"/>
        <w:ind w:left="0" w:right="0" w:hanging="0"/>
        <w:jc w:val="both"/>
        <w:rPr/>
      </w:pPr>
      <w:r>
        <w:rPr/>
        <w:t> </w:t>
      </w:r>
    </w:p>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2570"/>
        <w:gridCol w:w="90"/>
        <w:gridCol w:w="170"/>
        <w:gridCol w:w="1130"/>
        <w:gridCol w:w="125"/>
        <w:gridCol w:w="90"/>
        <w:gridCol w:w="170"/>
        <w:gridCol w:w="1130"/>
        <w:gridCol w:w="90"/>
        <w:gridCol w:w="90"/>
        <w:gridCol w:w="170"/>
        <w:gridCol w:w="1130"/>
        <w:gridCol w:w="125"/>
        <w:gridCol w:w="90"/>
        <w:gridCol w:w="170"/>
        <w:gridCol w:w="1130"/>
        <w:gridCol w:w="90"/>
        <w:gridCol w:w="90"/>
        <w:gridCol w:w="170"/>
        <w:gridCol w:w="1250"/>
        <w:gridCol w:w="135"/>
      </w:tblGrid>
      <w:tr>
        <w:trPr/>
        <w:tc>
          <w:tcPr>
            <w:tcW w:w="257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410" w:type="dxa"/>
            <w:gridSpan w:val="18"/>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2020</w:t>
            </w:r>
          </w:p>
        </w:tc>
        <w:tc>
          <w:tcPr>
            <w:tcW w:w="135" w:type="dxa"/>
            <w:tcBorders/>
            <w:shd w:fill="auto" w:val="clear"/>
            <w:vAlign w:val="center"/>
          </w:tcPr>
          <w:p>
            <w:pPr>
              <w:pStyle w:val="TableContents"/>
              <w:spacing w:before="0" w:after="0"/>
              <w:ind w:left="0" w:right="0" w:hanging="0"/>
              <w:rPr/>
            </w:pPr>
            <w:r>
              <w:rPr/>
              <w:t> </w:t>
            </w:r>
          </w:p>
        </w:tc>
      </w:tr>
      <w:tr>
        <w:trPr/>
        <w:tc>
          <w:tcPr>
            <w:tcW w:w="257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March 31,</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June 30,</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September 30,</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Total</w:t>
            </w:r>
          </w:p>
        </w:tc>
        <w:tc>
          <w:tcPr>
            <w:tcW w:w="135" w:type="dxa"/>
            <w:tcBorders/>
            <w:shd w:fill="auto" w:val="clear"/>
            <w:vAlign w:val="center"/>
          </w:tcPr>
          <w:p>
            <w:pPr>
              <w:pStyle w:val="TableContents"/>
              <w:spacing w:before="0" w:after="0"/>
              <w:ind w:left="0" w:right="0" w:hanging="0"/>
              <w:rPr/>
            </w:pPr>
            <w:r>
              <w:rPr/>
              <w:t> </w:t>
            </w:r>
          </w:p>
        </w:tc>
      </w:tr>
      <w:tr>
        <w:trPr/>
        <w:tc>
          <w:tcPr>
            <w:tcW w:w="257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257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Net premiums earned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26,941,450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26,636,856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27,521,081</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26,981,242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108,080,629</w:t>
            </w:r>
          </w:p>
        </w:tc>
        <w:tc>
          <w:tcPr>
            <w:tcW w:w="135" w:type="dxa"/>
            <w:tcBorders/>
            <w:shd w:fill="CCEEFF" w:val="clear"/>
            <w:vAlign w:val="center"/>
          </w:tcPr>
          <w:p>
            <w:pPr>
              <w:pStyle w:val="TableContents"/>
              <w:spacing w:before="0" w:after="0"/>
              <w:ind w:left="0" w:right="0" w:hanging="0"/>
              <w:rPr/>
            </w:pPr>
            <w:r>
              <w:rPr/>
              <w:t> </w:t>
            </w:r>
          </w:p>
        </w:tc>
      </w:tr>
      <w:tr>
        <w:trPr/>
        <w:tc>
          <w:tcPr>
            <w:tcW w:w="257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Ceding commission revenue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3,831,099</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3,480,214</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3,448,774</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3,442,266</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14,202,353</w:t>
            </w:r>
          </w:p>
        </w:tc>
        <w:tc>
          <w:tcPr>
            <w:tcW w:w="135" w:type="dxa"/>
            <w:tcBorders/>
            <w:shd w:fill="FFFFFF" w:val="clear"/>
            <w:vAlign w:val="center"/>
          </w:tcPr>
          <w:p>
            <w:pPr>
              <w:pStyle w:val="TableContents"/>
              <w:spacing w:before="0" w:after="0"/>
              <w:ind w:left="0" w:right="0" w:hanging="0"/>
              <w:rPr/>
            </w:pPr>
            <w:r>
              <w:rPr/>
              <w:t> </w:t>
            </w:r>
          </w:p>
        </w:tc>
      </w:tr>
      <w:tr>
        <w:trPr/>
        <w:tc>
          <w:tcPr>
            <w:tcW w:w="257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Net investment income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1,665,844</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1,612,006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1,494,086</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1,733,667</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6,505,603</w:t>
            </w:r>
          </w:p>
        </w:tc>
        <w:tc>
          <w:tcPr>
            <w:tcW w:w="135" w:type="dxa"/>
            <w:tcBorders/>
            <w:shd w:fill="CCEEFF" w:val="clear"/>
            <w:vAlign w:val="center"/>
          </w:tcPr>
          <w:p>
            <w:pPr>
              <w:pStyle w:val="TableContents"/>
              <w:spacing w:before="0" w:after="0"/>
              <w:ind w:left="0" w:right="0" w:hanging="0"/>
              <w:rPr/>
            </w:pPr>
            <w:r>
              <w:rPr/>
              <w:t> </w:t>
            </w:r>
          </w:p>
        </w:tc>
      </w:tr>
      <w:tr>
        <w:trPr/>
        <w:tc>
          <w:tcPr>
            <w:tcW w:w="257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Net gains (losses) on investments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(6,444,418</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2,697,868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2,107,876</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3,229,290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1,590,616</w:t>
            </w:r>
          </w:p>
        </w:tc>
        <w:tc>
          <w:tcPr>
            <w:tcW w:w="135" w:type="dxa"/>
            <w:tcBorders/>
            <w:shd w:fill="FFFFFF" w:val="clear"/>
            <w:vAlign w:val="center"/>
          </w:tcPr>
          <w:p>
            <w:pPr>
              <w:pStyle w:val="TableContents"/>
              <w:spacing w:before="0" w:after="0"/>
              <w:ind w:left="0" w:right="0" w:hanging="0"/>
              <w:rPr/>
            </w:pPr>
            <w:r>
              <w:rPr/>
              <w:t> </w:t>
            </w:r>
          </w:p>
        </w:tc>
      </w:tr>
      <w:tr>
        <w:trPr/>
        <w:tc>
          <w:tcPr>
            <w:tcW w:w="257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Total revenues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26,253,605</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34,689,332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34,822,471</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35,604,343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131,369,751</w:t>
            </w:r>
          </w:p>
        </w:tc>
        <w:tc>
          <w:tcPr>
            <w:tcW w:w="135" w:type="dxa"/>
            <w:tcBorders/>
            <w:shd w:fill="CCEEFF" w:val="clear"/>
            <w:vAlign w:val="center"/>
          </w:tcPr>
          <w:p>
            <w:pPr>
              <w:pStyle w:val="TableContents"/>
              <w:spacing w:before="0" w:after="0"/>
              <w:ind w:left="0" w:right="0" w:hanging="0"/>
              <w:rPr/>
            </w:pPr>
            <w:r>
              <w:rPr/>
              <w:t> </w:t>
            </w:r>
          </w:p>
        </w:tc>
      </w:tr>
      <w:tr>
        <w:trPr/>
        <w:tc>
          <w:tcPr>
            <w:tcW w:w="257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Loss and loss adjustment expenses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16,385,821</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12,813,631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20,117,975</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17,113,645</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66,431,072</w:t>
            </w:r>
          </w:p>
        </w:tc>
        <w:tc>
          <w:tcPr>
            <w:tcW w:w="135" w:type="dxa"/>
            <w:tcBorders/>
            <w:shd w:fill="FFFFFF" w:val="clear"/>
            <w:vAlign w:val="center"/>
          </w:tcPr>
          <w:p>
            <w:pPr>
              <w:pStyle w:val="TableContents"/>
              <w:spacing w:before="0" w:after="0"/>
              <w:ind w:left="0" w:right="0" w:hanging="0"/>
              <w:rPr/>
            </w:pPr>
            <w:r>
              <w:rPr/>
              <w:t> </w:t>
            </w:r>
          </w:p>
        </w:tc>
      </w:tr>
      <w:tr>
        <w:trPr/>
        <w:tc>
          <w:tcPr>
            <w:tcW w:w="257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Commission expense and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35" w:type="dxa"/>
            <w:tcBorders/>
            <w:shd w:fill="CCEEFF" w:val="clear"/>
            <w:vAlign w:val="center"/>
          </w:tcPr>
          <w:p>
            <w:pPr>
              <w:pStyle w:val="TableContents"/>
              <w:spacing w:before="0" w:after="0"/>
              <w:ind w:left="0" w:right="0" w:hanging="0"/>
              <w:rPr/>
            </w:pPr>
            <w:r>
              <w:rPr/>
              <w:t> </w:t>
            </w:r>
          </w:p>
        </w:tc>
      </w:tr>
      <w:tr>
        <w:trPr/>
        <w:tc>
          <w:tcPr>
            <w:tcW w:w="2570" w:type="dxa"/>
            <w:tcBorders/>
            <w:shd w:fill="FFFF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 xml:space="preserve">other underwriting expenses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14,617,718</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14,086,013</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14,383,144</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14,166,078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57,252,953</w:t>
            </w:r>
          </w:p>
        </w:tc>
        <w:tc>
          <w:tcPr>
            <w:tcW w:w="135" w:type="dxa"/>
            <w:tcBorders/>
            <w:shd w:fill="FFFFFF" w:val="clear"/>
            <w:vAlign w:val="center"/>
          </w:tcPr>
          <w:p>
            <w:pPr>
              <w:pStyle w:val="TableContents"/>
              <w:spacing w:before="0" w:after="0"/>
              <w:ind w:left="0" w:right="0" w:hanging="0"/>
              <w:rPr/>
            </w:pPr>
            <w:r>
              <w:rPr/>
              <w:t> </w:t>
            </w:r>
          </w:p>
        </w:tc>
      </w:tr>
      <w:tr>
        <w:trPr/>
        <w:tc>
          <w:tcPr>
            <w:tcW w:w="257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Net income (loss)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(5,444,203</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4,608,190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(1,227,856</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3,036,259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972,390</w:t>
            </w:r>
          </w:p>
        </w:tc>
        <w:tc>
          <w:tcPr>
            <w:tcW w:w="135" w:type="dxa"/>
            <w:tcBorders/>
            <w:shd w:fill="CCEEFF" w:val="clear"/>
            <w:vAlign w:val="center"/>
          </w:tcPr>
          <w:p>
            <w:pPr>
              <w:pStyle w:val="TableContents"/>
              <w:spacing w:before="0" w:after="0"/>
              <w:ind w:left="0" w:right="0" w:hanging="0"/>
              <w:rPr/>
            </w:pPr>
            <w:r>
              <w:rPr/>
              <w:t> </w:t>
            </w:r>
          </w:p>
        </w:tc>
      </w:tr>
      <w:tr>
        <w:trPr/>
        <w:tc>
          <w:tcPr>
            <w:tcW w:w="257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Basic earnings (loss) per share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130" w:type="dxa"/>
            <w:tcBorders/>
            <w:shd w:fill="FFFFFF" w:val="clear"/>
            <w:vAlign w:val="center"/>
          </w:tcPr>
          <w:p>
            <w:pPr>
              <w:pStyle w:val="TableContents"/>
              <w:spacing w:before="0" w:after="283"/>
              <w:jc w:val="right"/>
              <w:rPr/>
            </w:pPr>
            <w:r>
              <w:rPr/>
              <w:t>(0.50</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130" w:type="dxa"/>
            <w:tcBorders/>
            <w:shd w:fill="FFFFFF" w:val="clear"/>
            <w:vAlign w:val="center"/>
          </w:tcPr>
          <w:p>
            <w:pPr>
              <w:pStyle w:val="TableContents"/>
              <w:spacing w:before="0" w:after="283"/>
              <w:jc w:val="right"/>
              <w:rPr/>
            </w:pPr>
            <w:r>
              <w:rPr/>
              <w:t>0.43</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130" w:type="dxa"/>
            <w:tcBorders/>
            <w:shd w:fill="FFFFFF" w:val="clear"/>
            <w:vAlign w:val="center"/>
          </w:tcPr>
          <w:p>
            <w:pPr>
              <w:pStyle w:val="TableContents"/>
              <w:spacing w:before="0" w:after="283"/>
              <w:jc w:val="right"/>
              <w:rPr/>
            </w:pPr>
            <w:r>
              <w:rPr/>
              <w:t>(0.12</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130" w:type="dxa"/>
            <w:tcBorders/>
            <w:shd w:fill="FFFFFF" w:val="clear"/>
            <w:vAlign w:val="center"/>
          </w:tcPr>
          <w:p>
            <w:pPr>
              <w:pStyle w:val="TableContents"/>
              <w:spacing w:before="0" w:after="283"/>
              <w:jc w:val="right"/>
              <w:rPr/>
            </w:pPr>
            <w:r>
              <w:rPr/>
              <w:t>0.28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0.09</w:t>
            </w:r>
          </w:p>
        </w:tc>
        <w:tc>
          <w:tcPr>
            <w:tcW w:w="135" w:type="dxa"/>
            <w:tcBorders/>
            <w:shd w:fill="FFFFFF" w:val="clear"/>
            <w:vAlign w:val="center"/>
          </w:tcPr>
          <w:p>
            <w:pPr>
              <w:pStyle w:val="TableContents"/>
              <w:spacing w:before="0" w:after="0"/>
              <w:ind w:left="0" w:right="0" w:hanging="0"/>
              <w:rPr/>
            </w:pPr>
            <w:r>
              <w:rPr/>
              <w:t> </w:t>
            </w:r>
          </w:p>
        </w:tc>
      </w:tr>
      <w:tr>
        <w:trPr/>
        <w:tc>
          <w:tcPr>
            <w:tcW w:w="257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Diluted earnings (loss) per share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(0.50</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0.43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(0.12</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0.28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0.09</w:t>
            </w:r>
          </w:p>
        </w:tc>
        <w:tc>
          <w:tcPr>
            <w:tcW w:w="135"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2535"/>
        <w:gridCol w:w="90"/>
        <w:gridCol w:w="170"/>
        <w:gridCol w:w="1130"/>
        <w:gridCol w:w="125"/>
        <w:gridCol w:w="90"/>
        <w:gridCol w:w="170"/>
        <w:gridCol w:w="1130"/>
        <w:gridCol w:w="90"/>
        <w:gridCol w:w="90"/>
        <w:gridCol w:w="170"/>
        <w:gridCol w:w="1130"/>
        <w:gridCol w:w="125"/>
        <w:gridCol w:w="90"/>
        <w:gridCol w:w="170"/>
        <w:gridCol w:w="1130"/>
        <w:gridCol w:w="90"/>
        <w:gridCol w:w="90"/>
        <w:gridCol w:w="170"/>
        <w:gridCol w:w="1250"/>
        <w:gridCol w:w="170"/>
      </w:tblGrid>
      <w:tr>
        <w:trPr/>
        <w:tc>
          <w:tcPr>
            <w:tcW w:w="253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410" w:type="dxa"/>
            <w:gridSpan w:val="18"/>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2019</w:t>
            </w:r>
          </w:p>
        </w:tc>
        <w:tc>
          <w:tcPr>
            <w:tcW w:w="170" w:type="dxa"/>
            <w:tcBorders/>
            <w:shd w:fill="auto" w:val="clear"/>
            <w:vAlign w:val="center"/>
          </w:tcPr>
          <w:p>
            <w:pPr>
              <w:pStyle w:val="TableContents"/>
              <w:spacing w:before="0" w:after="0"/>
              <w:ind w:left="0" w:right="0" w:hanging="0"/>
              <w:rPr/>
            </w:pPr>
            <w:r>
              <w:rPr/>
              <w:t> </w:t>
            </w:r>
          </w:p>
        </w:tc>
      </w:tr>
      <w:tr>
        <w:trPr/>
        <w:tc>
          <w:tcPr>
            <w:tcW w:w="253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March 31,</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June 30,</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September 30,</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Total</w:t>
            </w:r>
          </w:p>
        </w:tc>
        <w:tc>
          <w:tcPr>
            <w:tcW w:w="170" w:type="dxa"/>
            <w:tcBorders/>
            <w:shd w:fill="auto" w:val="clear"/>
            <w:vAlign w:val="center"/>
          </w:tcPr>
          <w:p>
            <w:pPr>
              <w:pStyle w:val="TableContents"/>
              <w:spacing w:before="0" w:after="0"/>
              <w:ind w:left="0" w:right="0" w:hanging="0"/>
              <w:rPr/>
            </w:pPr>
            <w:r>
              <w:rPr/>
              <w:t> </w:t>
            </w:r>
          </w:p>
        </w:tc>
      </w:tr>
      <w:tr>
        <w:trPr/>
        <w:tc>
          <w:tcPr>
            <w:tcW w:w="253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r>
      <w:tr>
        <w:trPr/>
        <w:tc>
          <w:tcPr>
            <w:tcW w:w="253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Net premiums earned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29,595,889</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31,201,279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34,220,010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32,606,264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127,623,442</w:t>
            </w:r>
          </w:p>
        </w:tc>
        <w:tc>
          <w:tcPr>
            <w:tcW w:w="170" w:type="dxa"/>
            <w:tcBorders/>
            <w:shd w:fill="CCEEFF" w:val="clear"/>
            <w:vAlign w:val="center"/>
          </w:tcPr>
          <w:p>
            <w:pPr>
              <w:pStyle w:val="TableContents"/>
              <w:spacing w:before="0" w:after="0"/>
              <w:ind w:left="0" w:right="0" w:hanging="0"/>
              <w:rPr/>
            </w:pPr>
            <w:r>
              <w:rPr/>
              <w:t> </w:t>
            </w:r>
          </w:p>
        </w:tc>
      </w:tr>
      <w:tr>
        <w:trPr/>
        <w:tc>
          <w:tcPr>
            <w:tcW w:w="253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Ceding commission revenue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1,277,683</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675,695</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1,029,582</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1,667,891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4,650,851</w:t>
            </w:r>
          </w:p>
        </w:tc>
        <w:tc>
          <w:tcPr>
            <w:tcW w:w="170" w:type="dxa"/>
            <w:tcBorders/>
            <w:shd w:fill="FFFFFF" w:val="clear"/>
            <w:vAlign w:val="center"/>
          </w:tcPr>
          <w:p>
            <w:pPr>
              <w:pStyle w:val="TableContents"/>
              <w:spacing w:before="0" w:after="0"/>
              <w:ind w:left="0" w:right="0" w:hanging="0"/>
              <w:rPr/>
            </w:pPr>
            <w:r>
              <w:rPr/>
              <w:t> </w:t>
            </w:r>
          </w:p>
        </w:tc>
      </w:tr>
      <w:tr>
        <w:trPr/>
        <w:tc>
          <w:tcPr>
            <w:tcW w:w="253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Net investment income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1,623,712</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1,719,769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1,856,553</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1,669,312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6,869,346</w:t>
            </w:r>
          </w:p>
        </w:tc>
        <w:tc>
          <w:tcPr>
            <w:tcW w:w="170" w:type="dxa"/>
            <w:tcBorders/>
            <w:shd w:fill="CCEEFF" w:val="clear"/>
            <w:vAlign w:val="center"/>
          </w:tcPr>
          <w:p>
            <w:pPr>
              <w:pStyle w:val="TableContents"/>
              <w:spacing w:before="0" w:after="0"/>
              <w:ind w:left="0" w:right="0" w:hanging="0"/>
              <w:rPr/>
            </w:pPr>
            <w:r>
              <w:rPr/>
              <w:t> </w:t>
            </w:r>
          </w:p>
        </w:tc>
      </w:tr>
      <w:tr>
        <w:trPr/>
        <w:tc>
          <w:tcPr>
            <w:tcW w:w="253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Net gains on investments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2,035,363</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678,655</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998,162</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878,839</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4,591,019</w:t>
            </w:r>
          </w:p>
        </w:tc>
        <w:tc>
          <w:tcPr>
            <w:tcW w:w="170" w:type="dxa"/>
            <w:tcBorders/>
            <w:shd w:fill="FFFFFF" w:val="clear"/>
            <w:vAlign w:val="center"/>
          </w:tcPr>
          <w:p>
            <w:pPr>
              <w:pStyle w:val="TableContents"/>
              <w:spacing w:before="0" w:after="0"/>
              <w:ind w:left="0" w:right="0" w:hanging="0"/>
              <w:rPr/>
            </w:pPr>
            <w:r>
              <w:rPr/>
              <w:t> </w:t>
            </w:r>
          </w:p>
        </w:tc>
      </w:tr>
      <w:tr>
        <w:trPr/>
        <w:tc>
          <w:tcPr>
            <w:tcW w:w="253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Total revenues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34,848,269</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34,615,312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38,447,698</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37,208,687</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145,119,966</w:t>
            </w:r>
          </w:p>
        </w:tc>
        <w:tc>
          <w:tcPr>
            <w:tcW w:w="170" w:type="dxa"/>
            <w:tcBorders/>
            <w:shd w:fill="CCEEFF" w:val="clear"/>
            <w:vAlign w:val="center"/>
          </w:tcPr>
          <w:p>
            <w:pPr>
              <w:pStyle w:val="TableContents"/>
              <w:spacing w:before="0" w:after="0"/>
              <w:ind w:left="0" w:right="0" w:hanging="0"/>
              <w:rPr/>
            </w:pPr>
            <w:r>
              <w:rPr/>
              <w:t> </w:t>
            </w:r>
          </w:p>
        </w:tc>
      </w:tr>
      <w:tr>
        <w:trPr/>
        <w:tc>
          <w:tcPr>
            <w:tcW w:w="253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Loss and loss adjustment expenses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29,134,224</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17,672,308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24,781,318</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18,594,474</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90,182,324</w:t>
            </w:r>
          </w:p>
        </w:tc>
        <w:tc>
          <w:tcPr>
            <w:tcW w:w="170" w:type="dxa"/>
            <w:tcBorders/>
            <w:shd w:fill="FFFFFF" w:val="clear"/>
            <w:vAlign w:val="center"/>
          </w:tcPr>
          <w:p>
            <w:pPr>
              <w:pStyle w:val="TableContents"/>
              <w:spacing w:before="0" w:after="0"/>
              <w:ind w:left="0" w:right="0" w:hanging="0"/>
              <w:rPr/>
            </w:pPr>
            <w:r>
              <w:rPr/>
              <w:t> </w:t>
            </w:r>
          </w:p>
        </w:tc>
      </w:tr>
      <w:tr>
        <w:trPr/>
        <w:tc>
          <w:tcPr>
            <w:tcW w:w="253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Commission expense and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2535" w:type="dxa"/>
            <w:tcBorders/>
            <w:shd w:fill="FFFF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 xml:space="preserve">other underwriting expenses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12,975,718</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12,720,317</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14,153,559</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14,663,720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54,513,314</w:t>
            </w:r>
          </w:p>
        </w:tc>
        <w:tc>
          <w:tcPr>
            <w:tcW w:w="170" w:type="dxa"/>
            <w:tcBorders/>
            <w:shd w:fill="FFFFFF" w:val="clear"/>
            <w:vAlign w:val="center"/>
          </w:tcPr>
          <w:p>
            <w:pPr>
              <w:pStyle w:val="TableContents"/>
              <w:spacing w:before="0" w:after="0"/>
              <w:ind w:left="0" w:right="0" w:hanging="0"/>
              <w:rPr/>
            </w:pPr>
            <w:r>
              <w:rPr/>
              <w:t> </w:t>
            </w:r>
          </w:p>
        </w:tc>
      </w:tr>
      <w:tr>
        <w:trPr/>
        <w:tc>
          <w:tcPr>
            <w:tcW w:w="253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Net income (loss)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(7,335,190</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1,639,380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(1,725,162</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1,454,619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(5,966,353</w:t>
            </w:r>
          </w:p>
        </w:tc>
        <w:tc>
          <w:tcPr>
            <w:tcW w:w="170" w:type="dxa"/>
            <w:tcBorders/>
            <w:shd w:fill="CCEEFF" w:val="clear"/>
            <w:vAlign w:val="center"/>
          </w:tcPr>
          <w:p>
            <w:pPr>
              <w:pStyle w:val="TableContents"/>
              <w:spacing w:before="0" w:after="283"/>
              <w:rPr/>
            </w:pPr>
            <w:r>
              <w:rPr/>
              <w:t>)</w:t>
            </w:r>
          </w:p>
        </w:tc>
      </w:tr>
      <w:tr>
        <w:trPr/>
        <w:tc>
          <w:tcPr>
            <w:tcW w:w="253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Basic earnings (loss) per share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130" w:type="dxa"/>
            <w:tcBorders/>
            <w:shd w:fill="FFFFFF" w:val="clear"/>
            <w:vAlign w:val="center"/>
          </w:tcPr>
          <w:p>
            <w:pPr>
              <w:pStyle w:val="TableContents"/>
              <w:spacing w:before="0" w:after="283"/>
              <w:jc w:val="right"/>
              <w:rPr/>
            </w:pPr>
            <w:r>
              <w:rPr/>
              <w:t>(0.68</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130" w:type="dxa"/>
            <w:tcBorders/>
            <w:shd w:fill="FFFFFF" w:val="clear"/>
            <w:vAlign w:val="center"/>
          </w:tcPr>
          <w:p>
            <w:pPr>
              <w:pStyle w:val="TableContents"/>
              <w:spacing w:before="0" w:after="283"/>
              <w:jc w:val="right"/>
              <w:rPr/>
            </w:pPr>
            <w:r>
              <w:rPr/>
              <w:t>0.15</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130" w:type="dxa"/>
            <w:tcBorders/>
            <w:shd w:fill="FFFFFF" w:val="clear"/>
            <w:vAlign w:val="center"/>
          </w:tcPr>
          <w:p>
            <w:pPr>
              <w:pStyle w:val="TableContents"/>
              <w:spacing w:before="0" w:after="283"/>
              <w:jc w:val="right"/>
              <w:rPr/>
            </w:pPr>
            <w:r>
              <w:rPr/>
              <w:t>(0.16</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130" w:type="dxa"/>
            <w:tcBorders/>
            <w:shd w:fill="FFFFFF" w:val="clear"/>
            <w:vAlign w:val="center"/>
          </w:tcPr>
          <w:p>
            <w:pPr>
              <w:pStyle w:val="TableContents"/>
              <w:spacing w:before="0" w:after="283"/>
              <w:jc w:val="right"/>
              <w:rPr/>
            </w:pPr>
            <w:r>
              <w:rPr/>
              <w:t>0.13</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(0.55</w:t>
            </w:r>
          </w:p>
        </w:tc>
        <w:tc>
          <w:tcPr>
            <w:tcW w:w="170" w:type="dxa"/>
            <w:tcBorders/>
            <w:shd w:fill="FFFFFF" w:val="clear"/>
            <w:vAlign w:val="center"/>
          </w:tcPr>
          <w:p>
            <w:pPr>
              <w:pStyle w:val="TableContents"/>
              <w:spacing w:before="0" w:after="283"/>
              <w:rPr/>
            </w:pPr>
            <w:r>
              <w:rPr/>
              <w:t>)</w:t>
            </w:r>
          </w:p>
        </w:tc>
      </w:tr>
      <w:tr>
        <w:trPr/>
        <w:tc>
          <w:tcPr>
            <w:tcW w:w="253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Diluted earnings (loss) per share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(0.68</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0.15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(0.16</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0.13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(0.55</w:t>
            </w:r>
          </w:p>
        </w:tc>
        <w:tc>
          <w:tcPr>
            <w:tcW w:w="170" w:type="dxa"/>
            <w:tcBorders/>
            <w:shd w:fill="CCEEFF" w:val="clear"/>
            <w:vAlign w:val="center"/>
          </w:tcPr>
          <w:p>
            <w:pPr>
              <w:pStyle w:val="TableContents"/>
              <w:spacing w:before="0" w:after="283"/>
              <w:rPr/>
            </w:pPr>
            <w:r>
              <w:rPr/>
              <w:t>)</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Due to changes in number of shares outstanding from quarter to quarter, the total earnings per share of the four quarters may not necessarily equal the total earnings per share for the year.</w:t>
      </w:r>
    </w:p>
    <w:p>
      <w:pPr>
        <w:pStyle w:val="TextBody"/>
        <w:spacing w:before="0" w:after="0"/>
        <w:ind w:left="0" w:right="0" w:hanging="0"/>
        <w:jc w:val="both"/>
        <w:rPr/>
      </w:pPr>
      <w:r>
        <w:rPr/>
        <w:t> </w:t>
      </w:r>
    </w:p>
    <w:tbl>
      <w:tblPr>
        <w:tblW w:w="560" w:type="dxa"/>
        <w:jc w:val="left"/>
        <w:tblInd w:w="0" w:type="dxa"/>
        <w:tblCellMar>
          <w:top w:w="0" w:type="dxa"/>
          <w:left w:w="0" w:type="dxa"/>
          <w:bottom w:w="0" w:type="dxa"/>
          <w:right w:w="0" w:type="dxa"/>
        </w:tblCellMar>
      </w:tblPr>
      <w:tblGrid>
        <w:gridCol w:w="560"/>
      </w:tblGrid>
      <w:tr>
        <w:trPr/>
        <w:tc>
          <w:tcPr>
            <w:tcW w:w="560" w:type="dxa"/>
            <w:tcBorders/>
            <w:shd w:fill="auto" w:val="clear"/>
            <w:vAlign w:val="center"/>
          </w:tcPr>
          <w:p>
            <w:pPr>
              <w:pStyle w:val="TableContents"/>
              <w:spacing w:before="0" w:after="283"/>
              <w:ind w:left="0" w:right="0" w:hanging="0"/>
              <w:rPr/>
            </w:pPr>
            <w:r>
              <w:rPr/>
              <w:t> </w:t>
            </w:r>
          </w:p>
        </w:tc>
      </w:tr>
      <w:tr>
        <w:trPr/>
        <w:tc>
          <w:tcPr>
            <w:tcW w:w="560" w:type="dxa"/>
            <w:tcBorders>
              <w:bottom w:val="single" w:sz="2" w:space="0" w:color="000000"/>
            </w:tcBorders>
            <w:shd w:fill="auto" w:val="clear"/>
            <w:tcMar>
              <w:bottom w:w="28" w:type="dxa"/>
            </w:tcMar>
            <w:vAlign w:val="center"/>
          </w:tcPr>
          <w:p>
            <w:pPr>
              <w:pStyle w:val="TableContents"/>
              <w:spacing w:before="0" w:after="283"/>
              <w:jc w:val="center"/>
              <w:rPr/>
            </w:pPr>
            <w:r>
              <w:rPr/>
              <w:t>F-55</w:t>
            </w:r>
          </w:p>
        </w:tc>
      </w:tr>
    </w:tbl>
    <w:p>
      <w:pPr>
        <w:pStyle w:val="TextBody"/>
        <w:spacing w:before="0" w:after="0"/>
        <w:ind w:left="0" w:right="0" w:hanging="0"/>
        <w:jc w:val="both"/>
        <w:rPr/>
      </w:pPr>
      <w:r>
        <w:rPr/>
        <w:t> </w:t>
      </w:r>
      <w:r>
        <w:br w:type="page"/>
      </w:r>
    </w:p>
    <w:p>
      <w:pPr>
        <w:pStyle w:val="TextBody"/>
        <w:spacing w:before="0" w:after="0"/>
        <w:ind w:left="0" w:right="0" w:hanging="0"/>
        <w:jc w:val="right"/>
        <w:rPr/>
      </w:pPr>
      <w:bookmarkStart w:id="29" w:name="kins_ex31a.htm"/>
      <w:bookmarkStart w:id="30" w:name="kskins_ex31a"/>
      <w:bookmarkEnd w:id="29"/>
      <w:bookmarkEnd w:id="30"/>
      <w:r>
        <w:rPr>
          <w:rStyle w:val="StrongEmphasis"/>
          <w:rFonts w:ascii="times new roman" w:hAnsi="times new roman"/>
          <w:sz w:val="20"/>
        </w:rPr>
        <w:t>EXHIBIT 31(a)</w:t>
      </w:r>
    </w:p>
    <w:p>
      <w:pPr>
        <w:pStyle w:val="TextBody"/>
        <w:spacing w:before="0" w:after="0"/>
        <w:ind w:left="0" w:right="0" w:hanging="0"/>
        <w:jc w:val="center"/>
        <w:rPr/>
      </w:pPr>
      <w:r>
        <w:rPr>
          <w:rStyle w:val="StrongEmphasis"/>
          <w:rFonts w:ascii="times new roman" w:hAnsi="times new roman"/>
          <w:sz w:val="20"/>
        </w:rPr>
        <w:t>CERTIFICATION</w:t>
      </w:r>
    </w:p>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200"/>
        <w:gridCol w:w="264"/>
        <w:gridCol w:w="9741"/>
      </w:tblGrid>
      <w:tr>
        <w:trPr/>
        <w:tc>
          <w:tcPr>
            <w:tcW w:w="10205" w:type="dxa"/>
            <w:gridSpan w:val="3"/>
            <w:tcBorders/>
            <w:shd w:fill="auto" w:val="clear"/>
            <w:vAlign w:val="center"/>
          </w:tcPr>
          <w:p>
            <w:pPr>
              <w:pStyle w:val="TableContents"/>
              <w:spacing w:before="0" w:after="0"/>
              <w:ind w:left="0" w:right="0" w:hanging="0"/>
              <w:jc w:val="both"/>
              <w:rPr/>
            </w:pPr>
            <w:r>
              <w:rPr/>
              <w:t>I, Barry B. Goldstein, certify that:</w:t>
            </w:r>
          </w:p>
        </w:tc>
      </w:tr>
      <w:tr>
        <w:trPr/>
        <w:tc>
          <w:tcPr>
            <w:tcW w:w="200" w:type="dxa"/>
            <w:tcBorders/>
            <w:shd w:fill="auto" w:val="clear"/>
            <w:vAlign w:val="center"/>
          </w:tcPr>
          <w:p>
            <w:pPr>
              <w:pStyle w:val="TableContents"/>
              <w:spacing w:before="0" w:after="0"/>
              <w:ind w:left="0" w:right="0" w:hanging="0"/>
              <w:rPr/>
            </w:pPr>
            <w:r>
              <w:rPr/>
              <w:t> </w:t>
            </w:r>
          </w:p>
        </w:tc>
        <w:tc>
          <w:tcPr>
            <w:tcW w:w="10005" w:type="dxa"/>
            <w:gridSpan w:val="2"/>
            <w:tcBorders/>
            <w:shd w:fill="auto" w:val="clear"/>
            <w:vAlign w:val="center"/>
          </w:tcPr>
          <w:p>
            <w:pPr>
              <w:pStyle w:val="TableContents"/>
              <w:spacing w:before="0" w:after="0"/>
              <w:ind w:left="0" w:right="0" w:hanging="0"/>
              <w:jc w:val="both"/>
              <w:rPr/>
            </w:pPr>
            <w:r>
              <w:rPr/>
              <w:t> </w:t>
            </w:r>
          </w:p>
        </w:tc>
      </w:tr>
      <w:tr>
        <w:trPr/>
        <w:tc>
          <w:tcPr>
            <w:tcW w:w="200" w:type="dxa"/>
            <w:tcBorders/>
            <w:shd w:fill="auto" w:val="clear"/>
            <w:vAlign w:val="center"/>
          </w:tcPr>
          <w:p>
            <w:pPr>
              <w:pStyle w:val="TableContents"/>
              <w:spacing w:before="0" w:after="0"/>
              <w:ind w:left="0" w:right="0" w:hanging="0"/>
              <w:rPr/>
            </w:pPr>
            <w:r>
              <w:rPr/>
              <w:t>1.</w:t>
            </w:r>
          </w:p>
        </w:tc>
        <w:tc>
          <w:tcPr>
            <w:tcW w:w="10005" w:type="dxa"/>
            <w:gridSpan w:val="2"/>
            <w:tcBorders/>
            <w:shd w:fill="auto" w:val="clear"/>
            <w:vAlign w:val="center"/>
          </w:tcPr>
          <w:p>
            <w:pPr>
              <w:pStyle w:val="TableContents"/>
              <w:spacing w:before="0" w:after="0"/>
              <w:ind w:left="0" w:right="0" w:hanging="0"/>
              <w:jc w:val="both"/>
              <w:rPr/>
            </w:pPr>
            <w:r>
              <w:rPr/>
              <w:t>I have reviewed this Annual Report on Form 10-K of Kingstone Companies, Inc.;</w:t>
            </w:r>
          </w:p>
        </w:tc>
      </w:tr>
      <w:tr>
        <w:trPr/>
        <w:tc>
          <w:tcPr>
            <w:tcW w:w="200" w:type="dxa"/>
            <w:tcBorders/>
            <w:shd w:fill="auto" w:val="clear"/>
            <w:vAlign w:val="center"/>
          </w:tcPr>
          <w:p>
            <w:pPr>
              <w:pStyle w:val="TableContents"/>
              <w:spacing w:before="0" w:after="0"/>
              <w:ind w:left="0" w:right="0" w:hanging="0"/>
              <w:rPr/>
            </w:pPr>
            <w:r>
              <w:rPr/>
              <w:t> </w:t>
            </w:r>
          </w:p>
        </w:tc>
        <w:tc>
          <w:tcPr>
            <w:tcW w:w="10005" w:type="dxa"/>
            <w:gridSpan w:val="2"/>
            <w:tcBorders/>
            <w:shd w:fill="auto" w:val="clear"/>
            <w:vAlign w:val="center"/>
          </w:tcPr>
          <w:p>
            <w:pPr>
              <w:pStyle w:val="TableContents"/>
              <w:spacing w:before="0" w:after="0"/>
              <w:ind w:left="0" w:right="0" w:hanging="0"/>
              <w:jc w:val="both"/>
              <w:rPr/>
            </w:pPr>
            <w:r>
              <w:rPr/>
              <w:t> </w:t>
            </w:r>
          </w:p>
        </w:tc>
      </w:tr>
      <w:tr>
        <w:trPr/>
        <w:tc>
          <w:tcPr>
            <w:tcW w:w="200" w:type="dxa"/>
            <w:tcBorders/>
            <w:shd w:fill="auto" w:val="clear"/>
            <w:vAlign w:val="center"/>
          </w:tcPr>
          <w:p>
            <w:pPr>
              <w:pStyle w:val="TableContents"/>
              <w:spacing w:before="0" w:after="0"/>
              <w:ind w:left="0" w:right="0" w:hanging="0"/>
              <w:rPr/>
            </w:pPr>
            <w:r>
              <w:rPr/>
              <w:t>2.</w:t>
            </w:r>
          </w:p>
        </w:tc>
        <w:tc>
          <w:tcPr>
            <w:tcW w:w="10005" w:type="dxa"/>
            <w:gridSpan w:val="2"/>
            <w:tcBorders/>
            <w:shd w:fill="auto" w:val="clear"/>
            <w:vAlign w:val="center"/>
          </w:tcPr>
          <w:p>
            <w:pPr>
              <w:pStyle w:val="TableContents"/>
              <w:spacing w:before="0" w:after="0"/>
              <w:ind w:left="0" w:right="0" w:hanging="0"/>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200" w:type="dxa"/>
            <w:tcBorders/>
            <w:shd w:fill="auto" w:val="clear"/>
            <w:vAlign w:val="center"/>
          </w:tcPr>
          <w:p>
            <w:pPr>
              <w:pStyle w:val="TableContents"/>
              <w:spacing w:before="0" w:after="0"/>
              <w:ind w:left="0" w:right="0" w:hanging="0"/>
              <w:rPr/>
            </w:pPr>
            <w:r>
              <w:rPr/>
              <w:t> </w:t>
            </w:r>
          </w:p>
        </w:tc>
        <w:tc>
          <w:tcPr>
            <w:tcW w:w="10005" w:type="dxa"/>
            <w:gridSpan w:val="2"/>
            <w:tcBorders/>
            <w:shd w:fill="auto" w:val="clear"/>
            <w:vAlign w:val="center"/>
          </w:tcPr>
          <w:p>
            <w:pPr>
              <w:pStyle w:val="TableContents"/>
              <w:spacing w:before="0" w:after="0"/>
              <w:ind w:left="0" w:right="0" w:hanging="0"/>
              <w:jc w:val="both"/>
              <w:rPr/>
            </w:pPr>
            <w:r>
              <w:rPr/>
              <w:t> </w:t>
            </w:r>
          </w:p>
        </w:tc>
      </w:tr>
      <w:tr>
        <w:trPr/>
        <w:tc>
          <w:tcPr>
            <w:tcW w:w="200" w:type="dxa"/>
            <w:tcBorders/>
            <w:shd w:fill="auto" w:val="clear"/>
            <w:vAlign w:val="center"/>
          </w:tcPr>
          <w:p>
            <w:pPr>
              <w:pStyle w:val="TableContents"/>
              <w:spacing w:before="0" w:after="0"/>
              <w:ind w:left="0" w:right="0" w:hanging="0"/>
              <w:rPr/>
            </w:pPr>
            <w:r>
              <w:rPr/>
              <w:t>3.</w:t>
            </w:r>
          </w:p>
        </w:tc>
        <w:tc>
          <w:tcPr>
            <w:tcW w:w="10005" w:type="dxa"/>
            <w:gridSpan w:val="2"/>
            <w:tcBorders/>
            <w:shd w:fill="auto" w:val="clear"/>
            <w:vAlign w:val="center"/>
          </w:tcPr>
          <w:p>
            <w:pPr>
              <w:pStyle w:val="TableContents"/>
              <w:spacing w:before="0" w:after="0"/>
              <w:ind w:left="0" w:right="0" w:hanging="0"/>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200" w:type="dxa"/>
            <w:tcBorders/>
            <w:shd w:fill="auto" w:val="clear"/>
            <w:vAlign w:val="center"/>
          </w:tcPr>
          <w:p>
            <w:pPr>
              <w:pStyle w:val="TableContents"/>
              <w:spacing w:before="0" w:after="0"/>
              <w:ind w:left="0" w:right="0" w:hanging="0"/>
              <w:rPr/>
            </w:pPr>
            <w:r>
              <w:rPr/>
              <w:t> </w:t>
            </w:r>
          </w:p>
        </w:tc>
        <w:tc>
          <w:tcPr>
            <w:tcW w:w="10005" w:type="dxa"/>
            <w:gridSpan w:val="2"/>
            <w:tcBorders/>
            <w:shd w:fill="auto" w:val="clear"/>
            <w:vAlign w:val="center"/>
          </w:tcPr>
          <w:p>
            <w:pPr>
              <w:pStyle w:val="TableContents"/>
              <w:spacing w:before="0" w:after="0"/>
              <w:ind w:left="0" w:right="0" w:hanging="0"/>
              <w:jc w:val="both"/>
              <w:rPr/>
            </w:pPr>
            <w:r>
              <w:rPr/>
              <w:t> </w:t>
            </w:r>
          </w:p>
        </w:tc>
      </w:tr>
      <w:tr>
        <w:trPr/>
        <w:tc>
          <w:tcPr>
            <w:tcW w:w="200" w:type="dxa"/>
            <w:tcBorders/>
            <w:shd w:fill="auto" w:val="clear"/>
            <w:vAlign w:val="center"/>
          </w:tcPr>
          <w:p>
            <w:pPr>
              <w:pStyle w:val="TableContents"/>
              <w:spacing w:before="0" w:after="0"/>
              <w:ind w:left="0" w:right="0" w:hanging="0"/>
              <w:rPr/>
            </w:pPr>
            <w:r>
              <w:rPr/>
              <w:t>4.</w:t>
            </w:r>
          </w:p>
        </w:tc>
        <w:tc>
          <w:tcPr>
            <w:tcW w:w="10005" w:type="dxa"/>
            <w:gridSpan w:val="2"/>
            <w:tcBorders/>
            <w:shd w:fill="auto" w:val="clear"/>
            <w:vAlign w:val="center"/>
          </w:tcPr>
          <w:p>
            <w:pPr>
              <w:pStyle w:val="TableContents"/>
              <w:spacing w:before="0" w:after="0"/>
              <w:ind w:left="0" w:right="0" w:hanging="0"/>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200" w:type="dxa"/>
            <w:tcBorders/>
            <w:shd w:fill="auto" w:val="clear"/>
            <w:vAlign w:val="center"/>
          </w:tcPr>
          <w:p>
            <w:pPr>
              <w:pStyle w:val="TableContents"/>
              <w:spacing w:before="0" w:after="0"/>
              <w:ind w:left="0" w:right="0" w:hanging="0"/>
              <w:jc w:val="right"/>
              <w:rPr/>
            </w:pPr>
            <w:r>
              <w:rPr/>
              <w:t> </w:t>
            </w:r>
          </w:p>
        </w:tc>
        <w:tc>
          <w:tcPr>
            <w:tcW w:w="10005" w:type="dxa"/>
            <w:gridSpan w:val="2"/>
            <w:tcBorders/>
            <w:shd w:fill="auto" w:val="clear"/>
            <w:vAlign w:val="center"/>
          </w:tcPr>
          <w:p>
            <w:pPr>
              <w:pStyle w:val="TableContents"/>
              <w:spacing w:before="0" w:after="0"/>
              <w:ind w:left="0" w:right="0" w:hanging="0"/>
              <w:jc w:val="both"/>
              <w:rPr/>
            </w:pPr>
            <w:r>
              <w:rPr/>
              <w:t> </w:t>
            </w:r>
          </w:p>
        </w:tc>
      </w:tr>
      <w:tr>
        <w:trPr/>
        <w:tc>
          <w:tcPr>
            <w:tcW w:w="200" w:type="dxa"/>
            <w:tcBorders/>
            <w:shd w:fill="auto" w:val="clear"/>
            <w:vAlign w:val="center"/>
          </w:tcPr>
          <w:p>
            <w:pPr>
              <w:pStyle w:val="TableContents"/>
              <w:spacing w:before="0" w:after="0"/>
              <w:ind w:left="0" w:right="0" w:hanging="0"/>
              <w:jc w:val="right"/>
              <w:rPr/>
            </w:pPr>
            <w:r>
              <w:rPr/>
              <w:t> </w:t>
            </w:r>
          </w:p>
        </w:tc>
        <w:tc>
          <w:tcPr>
            <w:tcW w:w="264" w:type="dxa"/>
            <w:tcBorders/>
            <w:shd w:fill="auto" w:val="clear"/>
            <w:vAlign w:val="center"/>
          </w:tcPr>
          <w:p>
            <w:pPr>
              <w:pStyle w:val="TableContents"/>
              <w:spacing w:before="0" w:after="0"/>
              <w:ind w:left="0" w:right="0" w:hanging="0"/>
              <w:rPr/>
            </w:pPr>
            <w:r>
              <w:rPr/>
              <w:t>(a)</w:t>
            </w:r>
          </w:p>
        </w:tc>
        <w:tc>
          <w:tcPr>
            <w:tcW w:w="9741" w:type="dxa"/>
            <w:tcBorders/>
            <w:shd w:fill="auto" w:val="clear"/>
            <w:vAlign w:val="center"/>
          </w:tcPr>
          <w:p>
            <w:pPr>
              <w:pStyle w:val="TableContents"/>
              <w:spacing w:before="0" w:after="0"/>
              <w:ind w:left="0" w:right="0" w:hanging="0"/>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200" w:type="dxa"/>
            <w:tcBorders/>
            <w:shd w:fill="auto" w:val="clear"/>
            <w:vAlign w:val="center"/>
          </w:tcPr>
          <w:p>
            <w:pPr>
              <w:pStyle w:val="TableContents"/>
              <w:spacing w:before="0" w:after="0"/>
              <w:ind w:left="0" w:right="0" w:hanging="0"/>
              <w:jc w:val="right"/>
              <w:rPr/>
            </w:pPr>
            <w:r>
              <w:rPr/>
              <w:t> </w:t>
            </w:r>
          </w:p>
        </w:tc>
        <w:tc>
          <w:tcPr>
            <w:tcW w:w="264" w:type="dxa"/>
            <w:tcBorders/>
            <w:shd w:fill="auto" w:val="clear"/>
            <w:vAlign w:val="center"/>
          </w:tcPr>
          <w:p>
            <w:pPr>
              <w:pStyle w:val="TableContents"/>
              <w:spacing w:before="0" w:after="0"/>
              <w:ind w:left="0" w:right="0" w:hanging="0"/>
              <w:rPr/>
            </w:pPr>
            <w:r>
              <w:rPr/>
              <w:t> </w:t>
            </w:r>
          </w:p>
        </w:tc>
        <w:tc>
          <w:tcPr>
            <w:tcW w:w="9741" w:type="dxa"/>
            <w:tcBorders/>
            <w:shd w:fill="auto" w:val="clear"/>
            <w:vAlign w:val="center"/>
          </w:tcPr>
          <w:p>
            <w:pPr>
              <w:pStyle w:val="TableContents"/>
              <w:spacing w:before="0" w:after="0"/>
              <w:ind w:left="0" w:right="0" w:hanging="0"/>
              <w:jc w:val="both"/>
              <w:rPr/>
            </w:pPr>
            <w:r>
              <w:rPr/>
              <w:t> </w:t>
            </w:r>
          </w:p>
        </w:tc>
      </w:tr>
      <w:tr>
        <w:trPr/>
        <w:tc>
          <w:tcPr>
            <w:tcW w:w="200" w:type="dxa"/>
            <w:tcBorders/>
            <w:shd w:fill="auto" w:val="clear"/>
            <w:vAlign w:val="center"/>
          </w:tcPr>
          <w:p>
            <w:pPr>
              <w:pStyle w:val="TableContents"/>
              <w:spacing w:before="0" w:after="0"/>
              <w:ind w:left="0" w:right="0" w:hanging="0"/>
              <w:jc w:val="right"/>
              <w:rPr/>
            </w:pPr>
            <w:r>
              <w:rPr/>
              <w:t> </w:t>
            </w:r>
          </w:p>
        </w:tc>
        <w:tc>
          <w:tcPr>
            <w:tcW w:w="264" w:type="dxa"/>
            <w:tcBorders/>
            <w:shd w:fill="auto" w:val="clear"/>
            <w:vAlign w:val="center"/>
          </w:tcPr>
          <w:p>
            <w:pPr>
              <w:pStyle w:val="TableContents"/>
              <w:spacing w:before="0" w:after="0"/>
              <w:ind w:left="0" w:right="0" w:hanging="0"/>
              <w:rPr/>
            </w:pPr>
            <w:r>
              <w:rPr/>
              <w:t>(b)</w:t>
            </w:r>
          </w:p>
        </w:tc>
        <w:tc>
          <w:tcPr>
            <w:tcW w:w="9741" w:type="dxa"/>
            <w:tcBorders/>
            <w:shd w:fill="auto" w:val="clear"/>
            <w:vAlign w:val="center"/>
          </w:tcPr>
          <w:p>
            <w:pPr>
              <w:pStyle w:val="TableContents"/>
              <w:spacing w:before="0" w:after="0"/>
              <w:ind w:left="0" w:right="0" w:hanging="0"/>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200" w:type="dxa"/>
            <w:tcBorders/>
            <w:shd w:fill="auto" w:val="clear"/>
            <w:vAlign w:val="center"/>
          </w:tcPr>
          <w:p>
            <w:pPr>
              <w:pStyle w:val="TableContents"/>
              <w:spacing w:before="0" w:after="0"/>
              <w:ind w:left="0" w:right="0" w:hanging="0"/>
              <w:jc w:val="right"/>
              <w:rPr/>
            </w:pPr>
            <w:r>
              <w:rPr/>
              <w:t> </w:t>
            </w:r>
          </w:p>
        </w:tc>
        <w:tc>
          <w:tcPr>
            <w:tcW w:w="264" w:type="dxa"/>
            <w:tcBorders/>
            <w:shd w:fill="auto" w:val="clear"/>
            <w:vAlign w:val="center"/>
          </w:tcPr>
          <w:p>
            <w:pPr>
              <w:pStyle w:val="TableContents"/>
              <w:spacing w:before="0" w:after="0"/>
              <w:ind w:left="0" w:right="0" w:hanging="0"/>
              <w:rPr/>
            </w:pPr>
            <w:r>
              <w:rPr/>
              <w:t> </w:t>
            </w:r>
          </w:p>
        </w:tc>
        <w:tc>
          <w:tcPr>
            <w:tcW w:w="9741" w:type="dxa"/>
            <w:tcBorders/>
            <w:shd w:fill="auto" w:val="clear"/>
            <w:vAlign w:val="center"/>
          </w:tcPr>
          <w:p>
            <w:pPr>
              <w:pStyle w:val="TableContents"/>
              <w:spacing w:before="0" w:after="0"/>
              <w:ind w:left="0" w:right="0" w:hanging="0"/>
              <w:jc w:val="both"/>
              <w:rPr/>
            </w:pPr>
            <w:r>
              <w:rPr/>
              <w:t> </w:t>
            </w:r>
          </w:p>
        </w:tc>
      </w:tr>
      <w:tr>
        <w:trPr/>
        <w:tc>
          <w:tcPr>
            <w:tcW w:w="200" w:type="dxa"/>
            <w:tcBorders/>
            <w:shd w:fill="auto" w:val="clear"/>
            <w:vAlign w:val="center"/>
          </w:tcPr>
          <w:p>
            <w:pPr>
              <w:pStyle w:val="TableContents"/>
              <w:spacing w:before="0" w:after="0"/>
              <w:ind w:left="0" w:right="0" w:hanging="0"/>
              <w:jc w:val="right"/>
              <w:rPr/>
            </w:pPr>
            <w:r>
              <w:rPr/>
              <w:t> </w:t>
            </w:r>
          </w:p>
        </w:tc>
        <w:tc>
          <w:tcPr>
            <w:tcW w:w="264" w:type="dxa"/>
            <w:tcBorders/>
            <w:shd w:fill="auto" w:val="clear"/>
            <w:vAlign w:val="center"/>
          </w:tcPr>
          <w:p>
            <w:pPr>
              <w:pStyle w:val="TableContents"/>
              <w:spacing w:before="0" w:after="0"/>
              <w:ind w:left="0" w:right="0" w:hanging="0"/>
              <w:rPr/>
            </w:pPr>
            <w:r>
              <w:rPr/>
              <w:t>(c)</w:t>
            </w:r>
          </w:p>
        </w:tc>
        <w:tc>
          <w:tcPr>
            <w:tcW w:w="9741" w:type="dxa"/>
            <w:tcBorders/>
            <w:shd w:fill="auto" w:val="clear"/>
            <w:vAlign w:val="center"/>
          </w:tcPr>
          <w:p>
            <w:pPr>
              <w:pStyle w:val="TableContents"/>
              <w:spacing w:before="0" w:after="0"/>
              <w:ind w:left="0" w:right="0" w:hanging="0"/>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200" w:type="dxa"/>
            <w:tcBorders/>
            <w:shd w:fill="auto" w:val="clear"/>
            <w:vAlign w:val="center"/>
          </w:tcPr>
          <w:p>
            <w:pPr>
              <w:pStyle w:val="TableContents"/>
              <w:spacing w:before="0" w:after="0"/>
              <w:ind w:left="0" w:right="0" w:hanging="0"/>
              <w:jc w:val="right"/>
              <w:rPr/>
            </w:pPr>
            <w:r>
              <w:rPr/>
              <w:t> </w:t>
            </w:r>
          </w:p>
        </w:tc>
        <w:tc>
          <w:tcPr>
            <w:tcW w:w="264" w:type="dxa"/>
            <w:tcBorders/>
            <w:shd w:fill="auto" w:val="clear"/>
            <w:vAlign w:val="center"/>
          </w:tcPr>
          <w:p>
            <w:pPr>
              <w:pStyle w:val="TableContents"/>
              <w:spacing w:before="0" w:after="0"/>
              <w:ind w:left="0" w:right="0" w:hanging="0"/>
              <w:rPr/>
            </w:pPr>
            <w:r>
              <w:rPr/>
              <w:t> </w:t>
            </w:r>
          </w:p>
        </w:tc>
        <w:tc>
          <w:tcPr>
            <w:tcW w:w="9741" w:type="dxa"/>
            <w:tcBorders/>
            <w:shd w:fill="auto" w:val="clear"/>
            <w:vAlign w:val="center"/>
          </w:tcPr>
          <w:p>
            <w:pPr>
              <w:pStyle w:val="TableContents"/>
              <w:spacing w:before="0" w:after="0"/>
              <w:ind w:left="0" w:right="0" w:hanging="0"/>
              <w:jc w:val="both"/>
              <w:rPr/>
            </w:pPr>
            <w:r>
              <w:rPr/>
              <w:t> </w:t>
            </w:r>
          </w:p>
        </w:tc>
      </w:tr>
      <w:tr>
        <w:trPr/>
        <w:tc>
          <w:tcPr>
            <w:tcW w:w="200" w:type="dxa"/>
            <w:tcBorders/>
            <w:shd w:fill="auto" w:val="clear"/>
            <w:vAlign w:val="center"/>
          </w:tcPr>
          <w:p>
            <w:pPr>
              <w:pStyle w:val="TableContents"/>
              <w:spacing w:before="0" w:after="0"/>
              <w:ind w:left="0" w:right="0" w:hanging="0"/>
              <w:jc w:val="right"/>
              <w:rPr/>
            </w:pPr>
            <w:r>
              <w:rPr/>
              <w:t> </w:t>
            </w:r>
          </w:p>
        </w:tc>
        <w:tc>
          <w:tcPr>
            <w:tcW w:w="264" w:type="dxa"/>
            <w:tcBorders/>
            <w:shd w:fill="auto" w:val="clear"/>
            <w:vAlign w:val="center"/>
          </w:tcPr>
          <w:p>
            <w:pPr>
              <w:pStyle w:val="TableContents"/>
              <w:spacing w:before="0" w:after="0"/>
              <w:ind w:left="0" w:right="0" w:hanging="0"/>
              <w:rPr/>
            </w:pPr>
            <w:r>
              <w:rPr/>
              <w:t>(d)</w:t>
            </w:r>
          </w:p>
        </w:tc>
        <w:tc>
          <w:tcPr>
            <w:tcW w:w="9741" w:type="dxa"/>
            <w:tcBorders/>
            <w:shd w:fill="auto" w:val="clear"/>
            <w:vAlign w:val="center"/>
          </w:tcPr>
          <w:p>
            <w:pPr>
              <w:pStyle w:val="TableContents"/>
              <w:spacing w:before="0" w:after="0"/>
              <w:ind w:left="0" w:right="0" w:hanging="0"/>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200" w:type="dxa"/>
            <w:tcBorders/>
            <w:shd w:fill="auto" w:val="clear"/>
            <w:vAlign w:val="center"/>
          </w:tcPr>
          <w:p>
            <w:pPr>
              <w:pStyle w:val="TableContents"/>
              <w:spacing w:before="0" w:after="0"/>
              <w:ind w:left="0" w:right="0" w:hanging="0"/>
              <w:jc w:val="right"/>
              <w:rPr/>
            </w:pPr>
            <w:r>
              <w:rPr/>
              <w:t> </w:t>
            </w:r>
          </w:p>
        </w:tc>
        <w:tc>
          <w:tcPr>
            <w:tcW w:w="10005" w:type="dxa"/>
            <w:gridSpan w:val="2"/>
            <w:tcBorders/>
            <w:shd w:fill="auto" w:val="clear"/>
            <w:vAlign w:val="center"/>
          </w:tcPr>
          <w:p>
            <w:pPr>
              <w:pStyle w:val="TableContents"/>
              <w:spacing w:before="0" w:after="0"/>
              <w:ind w:left="0" w:right="0" w:hanging="0"/>
              <w:jc w:val="both"/>
              <w:rPr/>
            </w:pPr>
            <w:r>
              <w:rPr/>
              <w:t> </w:t>
            </w:r>
          </w:p>
        </w:tc>
      </w:tr>
      <w:tr>
        <w:trPr/>
        <w:tc>
          <w:tcPr>
            <w:tcW w:w="200" w:type="dxa"/>
            <w:tcBorders/>
            <w:shd w:fill="auto" w:val="clear"/>
            <w:vAlign w:val="center"/>
          </w:tcPr>
          <w:p>
            <w:pPr>
              <w:pStyle w:val="TableContents"/>
              <w:spacing w:before="0" w:after="0"/>
              <w:ind w:left="0" w:right="0" w:hanging="0"/>
              <w:rPr/>
            </w:pPr>
            <w:r>
              <w:rPr/>
              <w:t>5.</w:t>
            </w:r>
          </w:p>
        </w:tc>
        <w:tc>
          <w:tcPr>
            <w:tcW w:w="10005" w:type="dxa"/>
            <w:gridSpan w:val="2"/>
            <w:tcBorders/>
            <w:shd w:fill="auto" w:val="clear"/>
            <w:vAlign w:val="center"/>
          </w:tcPr>
          <w:p>
            <w:pPr>
              <w:pStyle w:val="TableContents"/>
              <w:spacing w:before="0" w:after="0"/>
              <w:ind w:left="0" w:right="0" w:hanging="0"/>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200" w:type="dxa"/>
            <w:tcBorders/>
            <w:shd w:fill="auto" w:val="clear"/>
            <w:vAlign w:val="center"/>
          </w:tcPr>
          <w:p>
            <w:pPr>
              <w:pStyle w:val="TableContents"/>
              <w:spacing w:before="0" w:after="0"/>
              <w:ind w:left="0" w:right="0" w:hanging="0"/>
              <w:jc w:val="right"/>
              <w:rPr/>
            </w:pPr>
            <w:r>
              <w:rPr/>
              <w:t> </w:t>
            </w:r>
          </w:p>
        </w:tc>
        <w:tc>
          <w:tcPr>
            <w:tcW w:w="10005" w:type="dxa"/>
            <w:gridSpan w:val="2"/>
            <w:tcBorders/>
            <w:shd w:fill="auto" w:val="clear"/>
            <w:vAlign w:val="center"/>
          </w:tcPr>
          <w:p>
            <w:pPr>
              <w:pStyle w:val="TableContents"/>
              <w:spacing w:before="0" w:after="0"/>
              <w:ind w:left="0" w:right="0" w:hanging="0"/>
              <w:jc w:val="both"/>
              <w:rPr/>
            </w:pPr>
            <w:r>
              <w:rPr/>
              <w:t> </w:t>
            </w:r>
          </w:p>
        </w:tc>
      </w:tr>
      <w:tr>
        <w:trPr/>
        <w:tc>
          <w:tcPr>
            <w:tcW w:w="200" w:type="dxa"/>
            <w:tcBorders/>
            <w:shd w:fill="auto" w:val="clear"/>
            <w:vAlign w:val="center"/>
          </w:tcPr>
          <w:p>
            <w:pPr>
              <w:pStyle w:val="TableContents"/>
              <w:spacing w:before="0" w:after="0"/>
              <w:ind w:left="0" w:right="0" w:hanging="0"/>
              <w:jc w:val="right"/>
              <w:rPr/>
            </w:pPr>
            <w:r>
              <w:rPr/>
              <w:t> </w:t>
            </w:r>
          </w:p>
        </w:tc>
        <w:tc>
          <w:tcPr>
            <w:tcW w:w="264" w:type="dxa"/>
            <w:tcBorders/>
            <w:shd w:fill="auto" w:val="clear"/>
            <w:vAlign w:val="center"/>
          </w:tcPr>
          <w:p>
            <w:pPr>
              <w:pStyle w:val="TableContents"/>
              <w:spacing w:before="0" w:after="0"/>
              <w:ind w:left="0" w:right="0" w:hanging="0"/>
              <w:rPr/>
            </w:pPr>
            <w:r>
              <w:rPr/>
              <w:t>(a)</w:t>
            </w:r>
          </w:p>
        </w:tc>
        <w:tc>
          <w:tcPr>
            <w:tcW w:w="9741" w:type="dxa"/>
            <w:tcBorders/>
            <w:shd w:fill="auto" w:val="clear"/>
            <w:vAlign w:val="center"/>
          </w:tcPr>
          <w:p>
            <w:pPr>
              <w:pStyle w:val="TableContents"/>
              <w:spacing w:before="0" w:after="0"/>
              <w:ind w:left="0" w:right="0" w:hanging="0"/>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200" w:type="dxa"/>
            <w:tcBorders/>
            <w:shd w:fill="auto" w:val="clear"/>
            <w:vAlign w:val="center"/>
          </w:tcPr>
          <w:p>
            <w:pPr>
              <w:pStyle w:val="TableContents"/>
              <w:spacing w:before="0" w:after="0"/>
              <w:ind w:left="0" w:right="0" w:hanging="0"/>
              <w:jc w:val="right"/>
              <w:rPr/>
            </w:pPr>
            <w:r>
              <w:rPr/>
              <w:t> </w:t>
            </w:r>
          </w:p>
        </w:tc>
        <w:tc>
          <w:tcPr>
            <w:tcW w:w="264" w:type="dxa"/>
            <w:tcBorders/>
            <w:shd w:fill="auto" w:val="clear"/>
            <w:vAlign w:val="center"/>
          </w:tcPr>
          <w:p>
            <w:pPr>
              <w:pStyle w:val="TableContents"/>
              <w:spacing w:before="0" w:after="0"/>
              <w:ind w:left="0" w:right="0" w:hanging="0"/>
              <w:rPr/>
            </w:pPr>
            <w:r>
              <w:rPr/>
              <w:t> </w:t>
            </w:r>
          </w:p>
        </w:tc>
        <w:tc>
          <w:tcPr>
            <w:tcW w:w="9741" w:type="dxa"/>
            <w:tcBorders/>
            <w:shd w:fill="auto" w:val="clear"/>
            <w:vAlign w:val="center"/>
          </w:tcPr>
          <w:p>
            <w:pPr>
              <w:pStyle w:val="TableContents"/>
              <w:spacing w:before="0" w:after="0"/>
              <w:ind w:left="0" w:right="0" w:hanging="0"/>
              <w:jc w:val="both"/>
              <w:rPr/>
            </w:pPr>
            <w:r>
              <w:rPr/>
              <w:t> </w:t>
            </w:r>
          </w:p>
        </w:tc>
      </w:tr>
      <w:tr>
        <w:trPr/>
        <w:tc>
          <w:tcPr>
            <w:tcW w:w="200" w:type="dxa"/>
            <w:tcBorders/>
            <w:shd w:fill="auto" w:val="clear"/>
            <w:vAlign w:val="center"/>
          </w:tcPr>
          <w:p>
            <w:pPr>
              <w:pStyle w:val="TableContents"/>
              <w:spacing w:before="0" w:after="0"/>
              <w:ind w:left="0" w:right="0" w:hanging="0"/>
              <w:jc w:val="right"/>
              <w:rPr/>
            </w:pPr>
            <w:r>
              <w:rPr/>
              <w:t> </w:t>
            </w:r>
          </w:p>
        </w:tc>
        <w:tc>
          <w:tcPr>
            <w:tcW w:w="264" w:type="dxa"/>
            <w:tcBorders/>
            <w:shd w:fill="auto" w:val="clear"/>
            <w:vAlign w:val="center"/>
          </w:tcPr>
          <w:p>
            <w:pPr>
              <w:pStyle w:val="TableContents"/>
              <w:spacing w:before="0" w:after="0"/>
              <w:ind w:left="0" w:right="0" w:hanging="0"/>
              <w:rPr/>
            </w:pPr>
            <w:r>
              <w:rPr/>
              <w:t>(b)</w:t>
            </w:r>
          </w:p>
        </w:tc>
        <w:tc>
          <w:tcPr>
            <w:tcW w:w="9741" w:type="dxa"/>
            <w:tcBorders/>
            <w:shd w:fill="auto" w:val="clear"/>
            <w:vAlign w:val="center"/>
          </w:tcPr>
          <w:p>
            <w:pPr>
              <w:pStyle w:val="TableContents"/>
              <w:spacing w:before="0" w:after="0"/>
              <w:ind w:left="0" w:right="0" w:hanging="0"/>
              <w:jc w:val="both"/>
              <w:rPr/>
            </w:pPr>
            <w:r>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jc w:val="both"/>
        <w:rPr/>
      </w:pPr>
      <w:r>
        <w:rPr/>
        <w:t> </w:t>
      </w:r>
    </w:p>
    <w:tbl>
      <w:tblPr>
        <w:tblW w:w="4690" w:type="dxa"/>
        <w:jc w:val="left"/>
        <w:tblInd w:w="0" w:type="dxa"/>
        <w:tblCellMar>
          <w:top w:w="0" w:type="dxa"/>
          <w:left w:w="0" w:type="dxa"/>
          <w:bottom w:w="0" w:type="dxa"/>
          <w:right w:w="0" w:type="dxa"/>
        </w:tblCellMar>
      </w:tblPr>
      <w:tblGrid>
        <w:gridCol w:w="2150"/>
        <w:gridCol w:w="90"/>
        <w:gridCol w:w="2315"/>
        <w:gridCol w:w="135"/>
      </w:tblGrid>
      <w:tr>
        <w:trPr/>
        <w:tc>
          <w:tcPr>
            <w:tcW w:w="2150" w:type="dxa"/>
            <w:tcBorders/>
            <w:shd w:fill="auto" w:val="clear"/>
            <w:vAlign w:val="center"/>
          </w:tcPr>
          <w:p>
            <w:pPr>
              <w:pStyle w:val="TableContents"/>
              <w:spacing w:before="0" w:after="0"/>
              <w:ind w:left="0" w:right="0" w:hanging="0"/>
              <w:jc w:val="both"/>
              <w:rPr/>
            </w:pPr>
            <w:r>
              <w:rPr/>
              <w:t>Date: March 31, 2021</w:t>
            </w:r>
          </w:p>
        </w:tc>
        <w:tc>
          <w:tcPr>
            <w:tcW w:w="90" w:type="dxa"/>
            <w:tcBorders/>
            <w:shd w:fill="auto" w:val="clear"/>
            <w:vAlign w:val="center"/>
          </w:tcPr>
          <w:p>
            <w:pPr>
              <w:pStyle w:val="TableContents"/>
              <w:spacing w:before="0" w:after="0"/>
              <w:ind w:left="0" w:right="0" w:hanging="0"/>
              <w:rPr/>
            </w:pPr>
            <w:r>
              <w:rPr/>
              <w:t> </w:t>
            </w:r>
          </w:p>
        </w:tc>
        <w:tc>
          <w:tcPr>
            <w:tcW w:w="2315" w:type="dxa"/>
            <w:tcBorders/>
            <w:shd w:fill="auto" w:val="clear"/>
            <w:vAlign w:val="center"/>
          </w:tcPr>
          <w:p>
            <w:pPr>
              <w:pStyle w:val="TableContents"/>
              <w:spacing w:before="0" w:after="0"/>
              <w:ind w:left="0" w:right="0" w:hanging="0"/>
              <w:jc w:val="both"/>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215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315" w:type="dxa"/>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2150" w:type="dxa"/>
            <w:tcBorders/>
            <w:shd w:fill="auto" w:val="clear"/>
            <w:vAlign w:val="center"/>
          </w:tcPr>
          <w:p>
            <w:pPr>
              <w:pStyle w:val="TableContents"/>
              <w:spacing w:before="0" w:after="0"/>
              <w:ind w:left="0" w:right="0" w:hanging="0"/>
              <w:jc w:val="both"/>
              <w:rPr/>
            </w:pPr>
            <w:r>
              <w:rPr/>
              <w:t> </w:t>
            </w:r>
          </w:p>
        </w:tc>
        <w:tc>
          <w:tcPr>
            <w:tcW w:w="90" w:type="dxa"/>
            <w:tcBorders/>
            <w:shd w:fill="auto" w:val="clear"/>
            <w:vAlign w:val="center"/>
          </w:tcPr>
          <w:p>
            <w:pPr>
              <w:pStyle w:val="TableContents"/>
              <w:spacing w:before="0" w:after="0"/>
              <w:ind w:left="0" w:right="0" w:hanging="0"/>
              <w:rPr/>
            </w:pPr>
            <w:r>
              <w:rPr/>
              <w:t> </w:t>
            </w:r>
          </w:p>
        </w:tc>
        <w:tc>
          <w:tcPr>
            <w:tcW w:w="2315" w:type="dxa"/>
            <w:tcBorders>
              <w:bottom w:val="single" w:sz="2" w:space="0" w:color="000000"/>
            </w:tcBorders>
            <w:shd w:fill="auto" w:val="clear"/>
            <w:tcMar>
              <w:bottom w:w="28" w:type="dxa"/>
            </w:tcMar>
            <w:vAlign w:val="center"/>
          </w:tcPr>
          <w:p>
            <w:pPr>
              <w:pStyle w:val="TableContents"/>
              <w:spacing w:before="0" w:after="0"/>
              <w:ind w:left="0" w:right="0" w:hanging="0"/>
              <w:jc w:val="both"/>
              <w:rPr/>
            </w:pPr>
            <w:r>
              <w:rPr/>
              <w:t>/s/ Barry B. Goldstein</w:t>
            </w:r>
          </w:p>
        </w:tc>
        <w:tc>
          <w:tcPr>
            <w:tcW w:w="135" w:type="dxa"/>
            <w:tcBorders/>
            <w:shd w:fill="auto" w:val="clear"/>
            <w:vAlign w:val="center"/>
          </w:tcPr>
          <w:p>
            <w:pPr>
              <w:pStyle w:val="TableContents"/>
              <w:spacing w:before="0" w:after="0"/>
              <w:ind w:left="0" w:right="0" w:hanging="0"/>
              <w:rPr/>
            </w:pPr>
            <w:r>
              <w:rPr/>
              <w:t> </w:t>
            </w:r>
          </w:p>
        </w:tc>
      </w:tr>
      <w:tr>
        <w:trPr/>
        <w:tc>
          <w:tcPr>
            <w:tcW w:w="2150" w:type="dxa"/>
            <w:tcBorders/>
            <w:shd w:fill="auto" w:val="clear"/>
            <w:vAlign w:val="center"/>
          </w:tcPr>
          <w:p>
            <w:pPr>
              <w:pStyle w:val="TableContents"/>
              <w:spacing w:before="0" w:after="0"/>
              <w:ind w:left="0" w:right="0" w:hanging="0"/>
              <w:jc w:val="both"/>
              <w:rPr/>
            </w:pPr>
            <w:r>
              <w:rPr/>
              <w:t> </w:t>
            </w:r>
          </w:p>
        </w:tc>
        <w:tc>
          <w:tcPr>
            <w:tcW w:w="90" w:type="dxa"/>
            <w:tcBorders/>
            <w:shd w:fill="auto" w:val="clear"/>
            <w:vAlign w:val="center"/>
          </w:tcPr>
          <w:p>
            <w:pPr>
              <w:pStyle w:val="TableContents"/>
              <w:spacing w:before="0" w:after="0"/>
              <w:ind w:left="0" w:right="0" w:hanging="0"/>
              <w:rPr/>
            </w:pPr>
            <w:r>
              <w:rPr/>
              <w:t> </w:t>
            </w:r>
          </w:p>
        </w:tc>
        <w:tc>
          <w:tcPr>
            <w:tcW w:w="2315" w:type="dxa"/>
            <w:tcBorders/>
            <w:shd w:fill="auto" w:val="clear"/>
            <w:vAlign w:val="center"/>
          </w:tcPr>
          <w:p>
            <w:pPr>
              <w:pStyle w:val="TableContents"/>
              <w:spacing w:before="0" w:after="0"/>
              <w:ind w:left="0" w:right="0" w:hanging="0"/>
              <w:jc w:val="both"/>
              <w:rPr/>
            </w:pPr>
            <w:r>
              <w:rPr/>
              <w:t>Barry B. Goldstein</w:t>
            </w:r>
          </w:p>
          <w:p>
            <w:pPr>
              <w:pStyle w:val="TableContents"/>
              <w:spacing w:before="0" w:after="0"/>
              <w:ind w:left="0" w:right="0" w:hanging="0"/>
              <w:jc w:val="both"/>
              <w:rPr/>
            </w:pPr>
            <w:r>
              <w:rPr/>
              <w:t>Chief Executive Officer</w:t>
            </w:r>
          </w:p>
        </w:tc>
        <w:tc>
          <w:tcPr>
            <w:tcW w:w="135" w:type="dxa"/>
            <w:tcBorders/>
            <w:shd w:fill="auto"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r>
        <w:br w:type="page"/>
      </w:r>
    </w:p>
    <w:p>
      <w:pPr>
        <w:pStyle w:val="TextBody"/>
        <w:spacing w:before="0" w:after="0"/>
        <w:ind w:left="0" w:right="0" w:hanging="0"/>
        <w:jc w:val="right"/>
        <w:rPr/>
      </w:pPr>
      <w:bookmarkStart w:id="31" w:name="kins_ex31b.htm"/>
      <w:bookmarkStart w:id="32" w:name="kskins_ex31b"/>
      <w:bookmarkEnd w:id="31"/>
      <w:bookmarkEnd w:id="32"/>
      <w:r>
        <w:rPr>
          <w:rStyle w:val="StrongEmphasis"/>
          <w:rFonts w:ascii="times new roman" w:hAnsi="times new roman"/>
          <w:sz w:val="20"/>
        </w:rPr>
        <w:t xml:space="preserve">EXHIBIT 31(b)  </w:t>
      </w:r>
    </w:p>
    <w:p>
      <w:pPr>
        <w:pStyle w:val="TextBody"/>
        <w:spacing w:before="0" w:after="0"/>
        <w:ind w:left="0" w:right="0" w:hanging="0"/>
        <w:jc w:val="center"/>
        <w:rPr/>
      </w:pPr>
      <w:r>
        <w:rPr>
          <w:rStyle w:val="StrongEmphasis"/>
          <w:rFonts w:ascii="times new roman" w:hAnsi="times new roman"/>
          <w:sz w:val="20"/>
        </w:rPr>
        <w:t>CERTIFICATION</w:t>
      </w:r>
    </w:p>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200"/>
        <w:gridCol w:w="264"/>
        <w:gridCol w:w="9741"/>
      </w:tblGrid>
      <w:tr>
        <w:trPr/>
        <w:tc>
          <w:tcPr>
            <w:tcW w:w="10205" w:type="dxa"/>
            <w:gridSpan w:val="3"/>
            <w:tcBorders/>
            <w:shd w:fill="auto" w:val="clear"/>
            <w:vAlign w:val="center"/>
          </w:tcPr>
          <w:p>
            <w:pPr>
              <w:pStyle w:val="TableContents"/>
              <w:spacing w:before="0" w:after="0"/>
              <w:ind w:left="0" w:right="0" w:hanging="0"/>
              <w:jc w:val="both"/>
              <w:rPr/>
            </w:pPr>
            <w:r>
              <w:rPr/>
              <w:t>I, Scott Van Pelt, certify that:</w:t>
            </w:r>
          </w:p>
        </w:tc>
      </w:tr>
      <w:tr>
        <w:trPr/>
        <w:tc>
          <w:tcPr>
            <w:tcW w:w="200" w:type="dxa"/>
            <w:tcBorders/>
            <w:shd w:fill="auto" w:val="clear"/>
            <w:vAlign w:val="center"/>
          </w:tcPr>
          <w:p>
            <w:pPr>
              <w:pStyle w:val="TableContents"/>
              <w:spacing w:before="0" w:after="0"/>
              <w:ind w:left="0" w:right="0" w:hanging="0"/>
              <w:rPr/>
            </w:pPr>
            <w:r>
              <w:rPr/>
              <w:t> </w:t>
            </w:r>
          </w:p>
        </w:tc>
        <w:tc>
          <w:tcPr>
            <w:tcW w:w="10005" w:type="dxa"/>
            <w:gridSpan w:val="2"/>
            <w:tcBorders/>
            <w:shd w:fill="auto" w:val="clear"/>
            <w:vAlign w:val="center"/>
          </w:tcPr>
          <w:p>
            <w:pPr>
              <w:pStyle w:val="TableContents"/>
              <w:spacing w:before="0" w:after="0"/>
              <w:ind w:left="0" w:right="0" w:hanging="0"/>
              <w:jc w:val="both"/>
              <w:rPr/>
            </w:pPr>
            <w:r>
              <w:rPr/>
              <w:t> </w:t>
            </w:r>
          </w:p>
        </w:tc>
      </w:tr>
      <w:tr>
        <w:trPr/>
        <w:tc>
          <w:tcPr>
            <w:tcW w:w="200" w:type="dxa"/>
            <w:tcBorders/>
            <w:shd w:fill="auto" w:val="clear"/>
            <w:vAlign w:val="center"/>
          </w:tcPr>
          <w:p>
            <w:pPr>
              <w:pStyle w:val="TableContents"/>
              <w:spacing w:before="0" w:after="0"/>
              <w:ind w:left="0" w:right="0" w:hanging="0"/>
              <w:rPr/>
            </w:pPr>
            <w:r>
              <w:rPr/>
              <w:t>1.</w:t>
            </w:r>
          </w:p>
        </w:tc>
        <w:tc>
          <w:tcPr>
            <w:tcW w:w="10005" w:type="dxa"/>
            <w:gridSpan w:val="2"/>
            <w:tcBorders/>
            <w:shd w:fill="auto" w:val="clear"/>
            <w:vAlign w:val="center"/>
          </w:tcPr>
          <w:p>
            <w:pPr>
              <w:pStyle w:val="TableContents"/>
              <w:spacing w:before="0" w:after="0"/>
              <w:ind w:left="0" w:right="0" w:hanging="0"/>
              <w:jc w:val="both"/>
              <w:rPr/>
            </w:pPr>
            <w:r>
              <w:rPr/>
              <w:t>I have reviewed this Annual Report on Form 10-K of Kingstone Companies, Inc.;</w:t>
            </w:r>
          </w:p>
        </w:tc>
      </w:tr>
      <w:tr>
        <w:trPr/>
        <w:tc>
          <w:tcPr>
            <w:tcW w:w="200" w:type="dxa"/>
            <w:tcBorders/>
            <w:shd w:fill="auto" w:val="clear"/>
            <w:vAlign w:val="center"/>
          </w:tcPr>
          <w:p>
            <w:pPr>
              <w:pStyle w:val="TableContents"/>
              <w:spacing w:before="0" w:after="0"/>
              <w:ind w:left="0" w:right="0" w:hanging="0"/>
              <w:rPr/>
            </w:pPr>
            <w:r>
              <w:rPr/>
              <w:t> </w:t>
            </w:r>
          </w:p>
        </w:tc>
        <w:tc>
          <w:tcPr>
            <w:tcW w:w="10005" w:type="dxa"/>
            <w:gridSpan w:val="2"/>
            <w:tcBorders/>
            <w:shd w:fill="auto" w:val="clear"/>
            <w:vAlign w:val="center"/>
          </w:tcPr>
          <w:p>
            <w:pPr>
              <w:pStyle w:val="TableContents"/>
              <w:spacing w:before="0" w:after="0"/>
              <w:ind w:left="0" w:right="0" w:hanging="0"/>
              <w:jc w:val="both"/>
              <w:rPr/>
            </w:pPr>
            <w:r>
              <w:rPr/>
              <w:t> </w:t>
            </w:r>
          </w:p>
        </w:tc>
      </w:tr>
      <w:tr>
        <w:trPr/>
        <w:tc>
          <w:tcPr>
            <w:tcW w:w="200" w:type="dxa"/>
            <w:tcBorders/>
            <w:shd w:fill="auto" w:val="clear"/>
            <w:vAlign w:val="center"/>
          </w:tcPr>
          <w:p>
            <w:pPr>
              <w:pStyle w:val="TableContents"/>
              <w:spacing w:before="0" w:after="0"/>
              <w:ind w:left="0" w:right="0" w:hanging="0"/>
              <w:rPr/>
            </w:pPr>
            <w:r>
              <w:rPr/>
              <w:t>2.</w:t>
            </w:r>
          </w:p>
        </w:tc>
        <w:tc>
          <w:tcPr>
            <w:tcW w:w="10005" w:type="dxa"/>
            <w:gridSpan w:val="2"/>
            <w:tcBorders/>
            <w:shd w:fill="auto" w:val="clear"/>
            <w:vAlign w:val="center"/>
          </w:tcPr>
          <w:p>
            <w:pPr>
              <w:pStyle w:val="TableContents"/>
              <w:spacing w:before="0" w:after="0"/>
              <w:ind w:left="0" w:right="0" w:hanging="0"/>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200" w:type="dxa"/>
            <w:tcBorders/>
            <w:shd w:fill="auto" w:val="clear"/>
            <w:vAlign w:val="center"/>
          </w:tcPr>
          <w:p>
            <w:pPr>
              <w:pStyle w:val="TableContents"/>
              <w:spacing w:before="0" w:after="0"/>
              <w:ind w:left="0" w:right="0" w:hanging="0"/>
              <w:rPr/>
            </w:pPr>
            <w:r>
              <w:rPr/>
              <w:t> </w:t>
            </w:r>
          </w:p>
        </w:tc>
        <w:tc>
          <w:tcPr>
            <w:tcW w:w="10005" w:type="dxa"/>
            <w:gridSpan w:val="2"/>
            <w:tcBorders/>
            <w:shd w:fill="auto" w:val="clear"/>
            <w:vAlign w:val="center"/>
          </w:tcPr>
          <w:p>
            <w:pPr>
              <w:pStyle w:val="TableContents"/>
              <w:spacing w:before="0" w:after="0"/>
              <w:ind w:left="0" w:right="0" w:hanging="0"/>
              <w:jc w:val="both"/>
              <w:rPr/>
            </w:pPr>
            <w:r>
              <w:rPr/>
              <w:t> </w:t>
            </w:r>
          </w:p>
        </w:tc>
      </w:tr>
      <w:tr>
        <w:trPr/>
        <w:tc>
          <w:tcPr>
            <w:tcW w:w="200" w:type="dxa"/>
            <w:tcBorders/>
            <w:shd w:fill="auto" w:val="clear"/>
            <w:vAlign w:val="center"/>
          </w:tcPr>
          <w:p>
            <w:pPr>
              <w:pStyle w:val="TableContents"/>
              <w:spacing w:before="0" w:after="0"/>
              <w:ind w:left="0" w:right="0" w:hanging="0"/>
              <w:rPr/>
            </w:pPr>
            <w:r>
              <w:rPr/>
              <w:t>3.</w:t>
            </w:r>
          </w:p>
        </w:tc>
        <w:tc>
          <w:tcPr>
            <w:tcW w:w="10005" w:type="dxa"/>
            <w:gridSpan w:val="2"/>
            <w:tcBorders/>
            <w:shd w:fill="auto" w:val="clear"/>
            <w:vAlign w:val="center"/>
          </w:tcPr>
          <w:p>
            <w:pPr>
              <w:pStyle w:val="TableContents"/>
              <w:spacing w:before="0" w:after="0"/>
              <w:ind w:left="0" w:right="0" w:hanging="0"/>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200" w:type="dxa"/>
            <w:tcBorders/>
            <w:shd w:fill="auto" w:val="clear"/>
            <w:vAlign w:val="center"/>
          </w:tcPr>
          <w:p>
            <w:pPr>
              <w:pStyle w:val="TableContents"/>
              <w:spacing w:before="0" w:after="0"/>
              <w:ind w:left="0" w:right="0" w:hanging="0"/>
              <w:rPr/>
            </w:pPr>
            <w:r>
              <w:rPr/>
              <w:t> </w:t>
            </w:r>
          </w:p>
        </w:tc>
        <w:tc>
          <w:tcPr>
            <w:tcW w:w="10005" w:type="dxa"/>
            <w:gridSpan w:val="2"/>
            <w:tcBorders/>
            <w:shd w:fill="auto" w:val="clear"/>
            <w:vAlign w:val="center"/>
          </w:tcPr>
          <w:p>
            <w:pPr>
              <w:pStyle w:val="TableContents"/>
              <w:spacing w:before="0" w:after="0"/>
              <w:ind w:left="0" w:right="0" w:hanging="0"/>
              <w:jc w:val="both"/>
              <w:rPr/>
            </w:pPr>
            <w:r>
              <w:rPr/>
              <w:t> </w:t>
            </w:r>
          </w:p>
        </w:tc>
      </w:tr>
      <w:tr>
        <w:trPr/>
        <w:tc>
          <w:tcPr>
            <w:tcW w:w="200" w:type="dxa"/>
            <w:tcBorders/>
            <w:shd w:fill="auto" w:val="clear"/>
            <w:vAlign w:val="center"/>
          </w:tcPr>
          <w:p>
            <w:pPr>
              <w:pStyle w:val="TableContents"/>
              <w:spacing w:before="0" w:after="0"/>
              <w:ind w:left="0" w:right="0" w:hanging="0"/>
              <w:rPr/>
            </w:pPr>
            <w:r>
              <w:rPr/>
              <w:t>4.</w:t>
            </w:r>
          </w:p>
        </w:tc>
        <w:tc>
          <w:tcPr>
            <w:tcW w:w="10005" w:type="dxa"/>
            <w:gridSpan w:val="2"/>
            <w:tcBorders/>
            <w:shd w:fill="auto" w:val="clear"/>
            <w:vAlign w:val="center"/>
          </w:tcPr>
          <w:p>
            <w:pPr>
              <w:pStyle w:val="TableContents"/>
              <w:spacing w:before="0" w:after="0"/>
              <w:ind w:left="0" w:right="0" w:hanging="0"/>
              <w:jc w:val="both"/>
              <w:rPr/>
            </w:pPr>
            <w:r>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200" w:type="dxa"/>
            <w:tcBorders/>
            <w:shd w:fill="auto" w:val="clear"/>
            <w:vAlign w:val="center"/>
          </w:tcPr>
          <w:p>
            <w:pPr>
              <w:pStyle w:val="TableContents"/>
              <w:spacing w:before="0" w:after="0"/>
              <w:ind w:left="0" w:right="0" w:hanging="0"/>
              <w:jc w:val="right"/>
              <w:rPr/>
            </w:pPr>
            <w:r>
              <w:rPr/>
              <w:t> </w:t>
            </w:r>
          </w:p>
        </w:tc>
        <w:tc>
          <w:tcPr>
            <w:tcW w:w="10005" w:type="dxa"/>
            <w:gridSpan w:val="2"/>
            <w:tcBorders/>
            <w:shd w:fill="auto" w:val="clear"/>
            <w:vAlign w:val="center"/>
          </w:tcPr>
          <w:p>
            <w:pPr>
              <w:pStyle w:val="TableContents"/>
              <w:spacing w:before="0" w:after="0"/>
              <w:ind w:left="0" w:right="0" w:hanging="0"/>
              <w:jc w:val="both"/>
              <w:rPr/>
            </w:pPr>
            <w:r>
              <w:rPr/>
              <w:t> </w:t>
            </w:r>
          </w:p>
        </w:tc>
      </w:tr>
      <w:tr>
        <w:trPr/>
        <w:tc>
          <w:tcPr>
            <w:tcW w:w="200" w:type="dxa"/>
            <w:tcBorders/>
            <w:shd w:fill="auto" w:val="clear"/>
            <w:vAlign w:val="center"/>
          </w:tcPr>
          <w:p>
            <w:pPr>
              <w:pStyle w:val="TableContents"/>
              <w:spacing w:before="0" w:after="0"/>
              <w:ind w:left="0" w:right="0" w:hanging="0"/>
              <w:jc w:val="right"/>
              <w:rPr/>
            </w:pPr>
            <w:r>
              <w:rPr/>
              <w:t> </w:t>
            </w:r>
          </w:p>
        </w:tc>
        <w:tc>
          <w:tcPr>
            <w:tcW w:w="264" w:type="dxa"/>
            <w:tcBorders/>
            <w:shd w:fill="auto" w:val="clear"/>
            <w:vAlign w:val="center"/>
          </w:tcPr>
          <w:p>
            <w:pPr>
              <w:pStyle w:val="TableContents"/>
              <w:spacing w:before="0" w:after="0"/>
              <w:ind w:left="0" w:right="0" w:hanging="0"/>
              <w:rPr/>
            </w:pPr>
            <w:r>
              <w:rPr/>
              <w:t>(a)</w:t>
            </w:r>
          </w:p>
        </w:tc>
        <w:tc>
          <w:tcPr>
            <w:tcW w:w="9741" w:type="dxa"/>
            <w:tcBorders/>
            <w:shd w:fill="auto" w:val="clear"/>
            <w:vAlign w:val="center"/>
          </w:tcPr>
          <w:p>
            <w:pPr>
              <w:pStyle w:val="TableContents"/>
              <w:spacing w:before="0" w:after="0"/>
              <w:ind w:left="0" w:right="0" w:hanging="0"/>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200" w:type="dxa"/>
            <w:tcBorders/>
            <w:shd w:fill="auto" w:val="clear"/>
            <w:vAlign w:val="center"/>
          </w:tcPr>
          <w:p>
            <w:pPr>
              <w:pStyle w:val="TableContents"/>
              <w:spacing w:before="0" w:after="0"/>
              <w:ind w:left="0" w:right="0" w:hanging="0"/>
              <w:jc w:val="right"/>
              <w:rPr/>
            </w:pPr>
            <w:r>
              <w:rPr/>
              <w:t> </w:t>
            </w:r>
          </w:p>
        </w:tc>
        <w:tc>
          <w:tcPr>
            <w:tcW w:w="264" w:type="dxa"/>
            <w:tcBorders/>
            <w:shd w:fill="auto" w:val="clear"/>
            <w:vAlign w:val="center"/>
          </w:tcPr>
          <w:p>
            <w:pPr>
              <w:pStyle w:val="TableContents"/>
              <w:spacing w:before="0" w:after="0"/>
              <w:ind w:left="0" w:right="0" w:hanging="0"/>
              <w:rPr/>
            </w:pPr>
            <w:r>
              <w:rPr/>
              <w:t> </w:t>
            </w:r>
          </w:p>
        </w:tc>
        <w:tc>
          <w:tcPr>
            <w:tcW w:w="9741" w:type="dxa"/>
            <w:tcBorders/>
            <w:shd w:fill="auto" w:val="clear"/>
            <w:vAlign w:val="center"/>
          </w:tcPr>
          <w:p>
            <w:pPr>
              <w:pStyle w:val="TableContents"/>
              <w:spacing w:before="0" w:after="0"/>
              <w:ind w:left="0" w:right="0" w:hanging="0"/>
              <w:jc w:val="both"/>
              <w:rPr/>
            </w:pPr>
            <w:r>
              <w:rPr/>
              <w:t> </w:t>
            </w:r>
          </w:p>
        </w:tc>
      </w:tr>
      <w:tr>
        <w:trPr/>
        <w:tc>
          <w:tcPr>
            <w:tcW w:w="200" w:type="dxa"/>
            <w:tcBorders/>
            <w:shd w:fill="auto" w:val="clear"/>
            <w:vAlign w:val="center"/>
          </w:tcPr>
          <w:p>
            <w:pPr>
              <w:pStyle w:val="TableContents"/>
              <w:spacing w:before="0" w:after="0"/>
              <w:ind w:left="0" w:right="0" w:hanging="0"/>
              <w:jc w:val="right"/>
              <w:rPr/>
            </w:pPr>
            <w:r>
              <w:rPr/>
              <w:t> </w:t>
            </w:r>
          </w:p>
        </w:tc>
        <w:tc>
          <w:tcPr>
            <w:tcW w:w="264" w:type="dxa"/>
            <w:tcBorders/>
            <w:shd w:fill="auto" w:val="clear"/>
            <w:vAlign w:val="center"/>
          </w:tcPr>
          <w:p>
            <w:pPr>
              <w:pStyle w:val="TableContents"/>
              <w:spacing w:before="0" w:after="0"/>
              <w:ind w:left="0" w:right="0" w:hanging="0"/>
              <w:rPr/>
            </w:pPr>
            <w:r>
              <w:rPr/>
              <w:t>(b)</w:t>
            </w:r>
          </w:p>
        </w:tc>
        <w:tc>
          <w:tcPr>
            <w:tcW w:w="9741" w:type="dxa"/>
            <w:tcBorders/>
            <w:shd w:fill="auto" w:val="clear"/>
            <w:vAlign w:val="center"/>
          </w:tcPr>
          <w:p>
            <w:pPr>
              <w:pStyle w:val="TableContents"/>
              <w:spacing w:before="0" w:after="0"/>
              <w:ind w:left="0" w:right="0" w:hanging="0"/>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200" w:type="dxa"/>
            <w:tcBorders/>
            <w:shd w:fill="auto" w:val="clear"/>
            <w:vAlign w:val="center"/>
          </w:tcPr>
          <w:p>
            <w:pPr>
              <w:pStyle w:val="TableContents"/>
              <w:spacing w:before="0" w:after="0"/>
              <w:ind w:left="0" w:right="0" w:hanging="0"/>
              <w:jc w:val="right"/>
              <w:rPr/>
            </w:pPr>
            <w:r>
              <w:rPr/>
              <w:t> </w:t>
            </w:r>
          </w:p>
        </w:tc>
        <w:tc>
          <w:tcPr>
            <w:tcW w:w="264" w:type="dxa"/>
            <w:tcBorders/>
            <w:shd w:fill="auto" w:val="clear"/>
            <w:vAlign w:val="center"/>
          </w:tcPr>
          <w:p>
            <w:pPr>
              <w:pStyle w:val="TableContents"/>
              <w:spacing w:before="0" w:after="0"/>
              <w:ind w:left="0" w:right="0" w:hanging="0"/>
              <w:rPr/>
            </w:pPr>
            <w:r>
              <w:rPr/>
              <w:t> </w:t>
            </w:r>
          </w:p>
        </w:tc>
        <w:tc>
          <w:tcPr>
            <w:tcW w:w="9741" w:type="dxa"/>
            <w:tcBorders/>
            <w:shd w:fill="auto" w:val="clear"/>
            <w:vAlign w:val="center"/>
          </w:tcPr>
          <w:p>
            <w:pPr>
              <w:pStyle w:val="TableContents"/>
              <w:spacing w:before="0" w:after="0"/>
              <w:ind w:left="0" w:right="0" w:hanging="0"/>
              <w:jc w:val="both"/>
              <w:rPr/>
            </w:pPr>
            <w:r>
              <w:rPr/>
              <w:t> </w:t>
            </w:r>
          </w:p>
        </w:tc>
      </w:tr>
      <w:tr>
        <w:trPr/>
        <w:tc>
          <w:tcPr>
            <w:tcW w:w="200" w:type="dxa"/>
            <w:tcBorders/>
            <w:shd w:fill="auto" w:val="clear"/>
            <w:vAlign w:val="center"/>
          </w:tcPr>
          <w:p>
            <w:pPr>
              <w:pStyle w:val="TableContents"/>
              <w:spacing w:before="0" w:after="0"/>
              <w:ind w:left="0" w:right="0" w:hanging="0"/>
              <w:jc w:val="right"/>
              <w:rPr/>
            </w:pPr>
            <w:r>
              <w:rPr/>
              <w:t> </w:t>
            </w:r>
          </w:p>
        </w:tc>
        <w:tc>
          <w:tcPr>
            <w:tcW w:w="264" w:type="dxa"/>
            <w:tcBorders/>
            <w:shd w:fill="auto" w:val="clear"/>
            <w:vAlign w:val="center"/>
          </w:tcPr>
          <w:p>
            <w:pPr>
              <w:pStyle w:val="TableContents"/>
              <w:spacing w:before="0" w:after="0"/>
              <w:ind w:left="0" w:right="0" w:hanging="0"/>
              <w:rPr/>
            </w:pPr>
            <w:r>
              <w:rPr/>
              <w:t>(c)</w:t>
            </w:r>
          </w:p>
        </w:tc>
        <w:tc>
          <w:tcPr>
            <w:tcW w:w="9741" w:type="dxa"/>
            <w:tcBorders/>
            <w:shd w:fill="auto" w:val="clear"/>
            <w:vAlign w:val="center"/>
          </w:tcPr>
          <w:p>
            <w:pPr>
              <w:pStyle w:val="TableContents"/>
              <w:spacing w:before="0" w:after="0"/>
              <w:ind w:left="0" w:right="0" w:hanging="0"/>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200" w:type="dxa"/>
            <w:tcBorders/>
            <w:shd w:fill="auto" w:val="clear"/>
            <w:vAlign w:val="center"/>
          </w:tcPr>
          <w:p>
            <w:pPr>
              <w:pStyle w:val="TableContents"/>
              <w:spacing w:before="0" w:after="0"/>
              <w:ind w:left="0" w:right="0" w:hanging="0"/>
              <w:jc w:val="right"/>
              <w:rPr/>
            </w:pPr>
            <w:r>
              <w:rPr/>
              <w:t> </w:t>
            </w:r>
          </w:p>
        </w:tc>
        <w:tc>
          <w:tcPr>
            <w:tcW w:w="264" w:type="dxa"/>
            <w:tcBorders/>
            <w:shd w:fill="auto" w:val="clear"/>
            <w:vAlign w:val="center"/>
          </w:tcPr>
          <w:p>
            <w:pPr>
              <w:pStyle w:val="TableContents"/>
              <w:spacing w:before="0" w:after="0"/>
              <w:ind w:left="0" w:right="0" w:hanging="0"/>
              <w:rPr/>
            </w:pPr>
            <w:r>
              <w:rPr/>
              <w:t> </w:t>
            </w:r>
          </w:p>
        </w:tc>
        <w:tc>
          <w:tcPr>
            <w:tcW w:w="9741" w:type="dxa"/>
            <w:tcBorders/>
            <w:shd w:fill="auto" w:val="clear"/>
            <w:vAlign w:val="center"/>
          </w:tcPr>
          <w:p>
            <w:pPr>
              <w:pStyle w:val="TableContents"/>
              <w:spacing w:before="0" w:after="0"/>
              <w:ind w:left="0" w:right="0" w:hanging="0"/>
              <w:jc w:val="both"/>
              <w:rPr/>
            </w:pPr>
            <w:r>
              <w:rPr/>
              <w:t> </w:t>
            </w:r>
          </w:p>
        </w:tc>
      </w:tr>
      <w:tr>
        <w:trPr/>
        <w:tc>
          <w:tcPr>
            <w:tcW w:w="200" w:type="dxa"/>
            <w:tcBorders/>
            <w:shd w:fill="auto" w:val="clear"/>
            <w:vAlign w:val="center"/>
          </w:tcPr>
          <w:p>
            <w:pPr>
              <w:pStyle w:val="TableContents"/>
              <w:spacing w:before="0" w:after="0"/>
              <w:ind w:left="0" w:right="0" w:hanging="0"/>
              <w:jc w:val="right"/>
              <w:rPr/>
            </w:pPr>
            <w:r>
              <w:rPr/>
              <w:t> </w:t>
            </w:r>
          </w:p>
        </w:tc>
        <w:tc>
          <w:tcPr>
            <w:tcW w:w="264" w:type="dxa"/>
            <w:tcBorders/>
            <w:shd w:fill="auto" w:val="clear"/>
            <w:vAlign w:val="center"/>
          </w:tcPr>
          <w:p>
            <w:pPr>
              <w:pStyle w:val="TableContents"/>
              <w:spacing w:before="0" w:after="0"/>
              <w:ind w:left="0" w:right="0" w:hanging="0"/>
              <w:rPr/>
            </w:pPr>
            <w:r>
              <w:rPr/>
              <w:t>(d)</w:t>
            </w:r>
          </w:p>
        </w:tc>
        <w:tc>
          <w:tcPr>
            <w:tcW w:w="9741" w:type="dxa"/>
            <w:tcBorders/>
            <w:shd w:fill="auto" w:val="clear"/>
            <w:vAlign w:val="center"/>
          </w:tcPr>
          <w:p>
            <w:pPr>
              <w:pStyle w:val="TableContents"/>
              <w:spacing w:before="0" w:after="0"/>
              <w:ind w:left="0" w:right="0" w:hanging="0"/>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200" w:type="dxa"/>
            <w:tcBorders/>
            <w:shd w:fill="auto" w:val="clear"/>
            <w:vAlign w:val="center"/>
          </w:tcPr>
          <w:p>
            <w:pPr>
              <w:pStyle w:val="TableContents"/>
              <w:spacing w:before="0" w:after="0"/>
              <w:ind w:left="0" w:right="0" w:hanging="0"/>
              <w:jc w:val="right"/>
              <w:rPr/>
            </w:pPr>
            <w:r>
              <w:rPr/>
              <w:t> </w:t>
            </w:r>
          </w:p>
        </w:tc>
        <w:tc>
          <w:tcPr>
            <w:tcW w:w="10005" w:type="dxa"/>
            <w:gridSpan w:val="2"/>
            <w:tcBorders/>
            <w:shd w:fill="auto" w:val="clear"/>
            <w:vAlign w:val="center"/>
          </w:tcPr>
          <w:p>
            <w:pPr>
              <w:pStyle w:val="TableContents"/>
              <w:spacing w:before="0" w:after="0"/>
              <w:ind w:left="0" w:right="0" w:hanging="0"/>
              <w:jc w:val="both"/>
              <w:rPr/>
            </w:pPr>
            <w:r>
              <w:rPr/>
              <w:t> </w:t>
            </w:r>
          </w:p>
        </w:tc>
      </w:tr>
      <w:tr>
        <w:trPr/>
        <w:tc>
          <w:tcPr>
            <w:tcW w:w="200" w:type="dxa"/>
            <w:tcBorders/>
            <w:shd w:fill="auto" w:val="clear"/>
            <w:vAlign w:val="center"/>
          </w:tcPr>
          <w:p>
            <w:pPr>
              <w:pStyle w:val="TableContents"/>
              <w:spacing w:before="0" w:after="0"/>
              <w:ind w:left="0" w:right="0" w:hanging="0"/>
              <w:rPr/>
            </w:pPr>
            <w:r>
              <w:rPr/>
              <w:t>5.</w:t>
            </w:r>
          </w:p>
        </w:tc>
        <w:tc>
          <w:tcPr>
            <w:tcW w:w="10005" w:type="dxa"/>
            <w:gridSpan w:val="2"/>
            <w:tcBorders/>
            <w:shd w:fill="auto" w:val="clear"/>
            <w:vAlign w:val="center"/>
          </w:tcPr>
          <w:p>
            <w:pPr>
              <w:pStyle w:val="TableContents"/>
              <w:spacing w:before="0" w:after="0"/>
              <w:ind w:left="0" w:right="0" w:hanging="0"/>
              <w:jc w:val="both"/>
              <w:rPr/>
            </w:pPr>
            <w:r>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200" w:type="dxa"/>
            <w:tcBorders/>
            <w:shd w:fill="auto" w:val="clear"/>
            <w:vAlign w:val="center"/>
          </w:tcPr>
          <w:p>
            <w:pPr>
              <w:pStyle w:val="TableContents"/>
              <w:spacing w:before="0" w:after="0"/>
              <w:ind w:left="0" w:right="0" w:hanging="0"/>
              <w:jc w:val="right"/>
              <w:rPr/>
            </w:pPr>
            <w:r>
              <w:rPr/>
              <w:t> </w:t>
            </w:r>
          </w:p>
        </w:tc>
        <w:tc>
          <w:tcPr>
            <w:tcW w:w="10005" w:type="dxa"/>
            <w:gridSpan w:val="2"/>
            <w:tcBorders/>
            <w:shd w:fill="auto" w:val="clear"/>
            <w:vAlign w:val="center"/>
          </w:tcPr>
          <w:p>
            <w:pPr>
              <w:pStyle w:val="TableContents"/>
              <w:spacing w:before="0" w:after="0"/>
              <w:ind w:left="0" w:right="0" w:hanging="0"/>
              <w:jc w:val="both"/>
              <w:rPr/>
            </w:pPr>
            <w:r>
              <w:rPr/>
              <w:t> </w:t>
            </w:r>
          </w:p>
        </w:tc>
      </w:tr>
      <w:tr>
        <w:trPr/>
        <w:tc>
          <w:tcPr>
            <w:tcW w:w="200" w:type="dxa"/>
            <w:tcBorders/>
            <w:shd w:fill="auto" w:val="clear"/>
            <w:vAlign w:val="center"/>
          </w:tcPr>
          <w:p>
            <w:pPr>
              <w:pStyle w:val="TableContents"/>
              <w:spacing w:before="0" w:after="0"/>
              <w:ind w:left="0" w:right="0" w:hanging="0"/>
              <w:jc w:val="right"/>
              <w:rPr/>
            </w:pPr>
            <w:r>
              <w:rPr/>
              <w:t> </w:t>
            </w:r>
          </w:p>
        </w:tc>
        <w:tc>
          <w:tcPr>
            <w:tcW w:w="264" w:type="dxa"/>
            <w:tcBorders/>
            <w:shd w:fill="auto" w:val="clear"/>
            <w:vAlign w:val="center"/>
          </w:tcPr>
          <w:p>
            <w:pPr>
              <w:pStyle w:val="TableContents"/>
              <w:spacing w:before="0" w:after="0"/>
              <w:ind w:left="0" w:right="0" w:hanging="0"/>
              <w:rPr/>
            </w:pPr>
            <w:r>
              <w:rPr/>
              <w:t>(a)</w:t>
            </w:r>
          </w:p>
        </w:tc>
        <w:tc>
          <w:tcPr>
            <w:tcW w:w="9741" w:type="dxa"/>
            <w:tcBorders/>
            <w:shd w:fill="auto" w:val="clear"/>
            <w:vAlign w:val="center"/>
          </w:tcPr>
          <w:p>
            <w:pPr>
              <w:pStyle w:val="TableContents"/>
              <w:spacing w:before="0" w:after="0"/>
              <w:ind w:left="0" w:right="0" w:hanging="0"/>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200" w:type="dxa"/>
            <w:tcBorders/>
            <w:shd w:fill="auto" w:val="clear"/>
            <w:vAlign w:val="center"/>
          </w:tcPr>
          <w:p>
            <w:pPr>
              <w:pStyle w:val="TableContents"/>
              <w:spacing w:before="0" w:after="0"/>
              <w:ind w:left="0" w:right="0" w:hanging="0"/>
              <w:jc w:val="right"/>
              <w:rPr/>
            </w:pPr>
            <w:r>
              <w:rPr/>
              <w:t> </w:t>
            </w:r>
          </w:p>
        </w:tc>
        <w:tc>
          <w:tcPr>
            <w:tcW w:w="264" w:type="dxa"/>
            <w:tcBorders/>
            <w:shd w:fill="auto" w:val="clear"/>
            <w:vAlign w:val="center"/>
          </w:tcPr>
          <w:p>
            <w:pPr>
              <w:pStyle w:val="TableContents"/>
              <w:spacing w:before="0" w:after="0"/>
              <w:ind w:left="0" w:right="0" w:hanging="0"/>
              <w:rPr/>
            </w:pPr>
            <w:r>
              <w:rPr/>
              <w:t> </w:t>
            </w:r>
          </w:p>
        </w:tc>
        <w:tc>
          <w:tcPr>
            <w:tcW w:w="9741" w:type="dxa"/>
            <w:tcBorders/>
            <w:shd w:fill="auto" w:val="clear"/>
            <w:vAlign w:val="center"/>
          </w:tcPr>
          <w:p>
            <w:pPr>
              <w:pStyle w:val="TableContents"/>
              <w:spacing w:before="0" w:after="0"/>
              <w:ind w:left="0" w:right="0" w:hanging="0"/>
              <w:jc w:val="both"/>
              <w:rPr/>
            </w:pPr>
            <w:r>
              <w:rPr/>
              <w:t> </w:t>
            </w:r>
          </w:p>
        </w:tc>
      </w:tr>
      <w:tr>
        <w:trPr/>
        <w:tc>
          <w:tcPr>
            <w:tcW w:w="200" w:type="dxa"/>
            <w:tcBorders/>
            <w:shd w:fill="auto" w:val="clear"/>
            <w:vAlign w:val="center"/>
          </w:tcPr>
          <w:p>
            <w:pPr>
              <w:pStyle w:val="TableContents"/>
              <w:spacing w:before="0" w:after="0"/>
              <w:ind w:left="0" w:right="0" w:hanging="0"/>
              <w:jc w:val="right"/>
              <w:rPr/>
            </w:pPr>
            <w:r>
              <w:rPr/>
              <w:t> </w:t>
            </w:r>
          </w:p>
        </w:tc>
        <w:tc>
          <w:tcPr>
            <w:tcW w:w="264" w:type="dxa"/>
            <w:tcBorders/>
            <w:shd w:fill="auto" w:val="clear"/>
            <w:vAlign w:val="center"/>
          </w:tcPr>
          <w:p>
            <w:pPr>
              <w:pStyle w:val="TableContents"/>
              <w:spacing w:before="0" w:after="0"/>
              <w:ind w:left="0" w:right="0" w:hanging="0"/>
              <w:rPr/>
            </w:pPr>
            <w:r>
              <w:rPr/>
              <w:t>(b)</w:t>
            </w:r>
          </w:p>
        </w:tc>
        <w:tc>
          <w:tcPr>
            <w:tcW w:w="9741" w:type="dxa"/>
            <w:tcBorders/>
            <w:shd w:fill="auto" w:val="clear"/>
            <w:vAlign w:val="center"/>
          </w:tcPr>
          <w:p>
            <w:pPr>
              <w:pStyle w:val="TableContents"/>
              <w:spacing w:before="0" w:after="0"/>
              <w:ind w:left="0" w:right="0" w:hanging="0"/>
              <w:jc w:val="both"/>
              <w:rPr/>
            </w:pPr>
            <w:r>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jc w:val="both"/>
        <w:rPr/>
      </w:pPr>
      <w:r>
        <w:rPr/>
        <w:t> </w:t>
      </w:r>
    </w:p>
    <w:tbl>
      <w:tblPr>
        <w:tblW w:w="4615" w:type="dxa"/>
        <w:jc w:val="left"/>
        <w:tblInd w:w="0" w:type="dxa"/>
        <w:tblCellMar>
          <w:top w:w="0" w:type="dxa"/>
          <w:left w:w="0" w:type="dxa"/>
          <w:bottom w:w="0" w:type="dxa"/>
          <w:right w:w="0" w:type="dxa"/>
        </w:tblCellMar>
      </w:tblPr>
      <w:tblGrid>
        <w:gridCol w:w="2150"/>
        <w:gridCol w:w="90"/>
        <w:gridCol w:w="2240"/>
        <w:gridCol w:w="135"/>
      </w:tblGrid>
      <w:tr>
        <w:trPr/>
        <w:tc>
          <w:tcPr>
            <w:tcW w:w="2150" w:type="dxa"/>
            <w:tcBorders/>
            <w:shd w:fill="auto" w:val="clear"/>
            <w:vAlign w:val="center"/>
          </w:tcPr>
          <w:p>
            <w:pPr>
              <w:pStyle w:val="TableContents"/>
              <w:spacing w:before="0" w:after="0"/>
              <w:ind w:left="0" w:right="0" w:hanging="0"/>
              <w:jc w:val="both"/>
              <w:rPr/>
            </w:pPr>
            <w:r>
              <w:rPr/>
              <w:t>Date: March 31, 2021</w:t>
            </w:r>
          </w:p>
        </w:tc>
        <w:tc>
          <w:tcPr>
            <w:tcW w:w="90" w:type="dxa"/>
            <w:tcBorders/>
            <w:shd w:fill="auto" w:val="clear"/>
            <w:vAlign w:val="center"/>
          </w:tcPr>
          <w:p>
            <w:pPr>
              <w:pStyle w:val="TableContents"/>
              <w:spacing w:before="0" w:after="0"/>
              <w:ind w:left="0" w:right="0" w:hanging="0"/>
              <w:rPr/>
            </w:pPr>
            <w:r>
              <w:rPr/>
              <w:t> </w:t>
            </w:r>
          </w:p>
        </w:tc>
        <w:tc>
          <w:tcPr>
            <w:tcW w:w="2240" w:type="dxa"/>
            <w:tcBorders/>
            <w:shd w:fill="auto" w:val="clear"/>
            <w:vAlign w:val="center"/>
          </w:tcPr>
          <w:p>
            <w:pPr>
              <w:pStyle w:val="TableContents"/>
              <w:spacing w:before="0" w:after="0"/>
              <w:ind w:left="0" w:right="0" w:hanging="0"/>
              <w:jc w:val="both"/>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215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240" w:type="dxa"/>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2150" w:type="dxa"/>
            <w:tcBorders/>
            <w:shd w:fill="auto" w:val="clear"/>
            <w:vAlign w:val="center"/>
          </w:tcPr>
          <w:p>
            <w:pPr>
              <w:pStyle w:val="TableContents"/>
              <w:spacing w:before="0" w:after="0"/>
              <w:ind w:left="0" w:right="0" w:hanging="0"/>
              <w:jc w:val="both"/>
              <w:rPr/>
            </w:pPr>
            <w:r>
              <w:rPr/>
              <w:t> </w:t>
            </w:r>
          </w:p>
        </w:tc>
        <w:tc>
          <w:tcPr>
            <w:tcW w:w="90" w:type="dxa"/>
            <w:tcBorders/>
            <w:shd w:fill="auto" w:val="clear"/>
            <w:vAlign w:val="center"/>
          </w:tcPr>
          <w:p>
            <w:pPr>
              <w:pStyle w:val="TableContents"/>
              <w:spacing w:before="0" w:after="0"/>
              <w:ind w:left="0" w:right="0" w:hanging="0"/>
              <w:rPr/>
            </w:pPr>
            <w:r>
              <w:rPr/>
              <w:t> </w:t>
            </w:r>
          </w:p>
        </w:tc>
        <w:tc>
          <w:tcPr>
            <w:tcW w:w="2240" w:type="dxa"/>
            <w:tcBorders>
              <w:bottom w:val="single" w:sz="2" w:space="0" w:color="000000"/>
            </w:tcBorders>
            <w:shd w:fill="auto" w:val="clear"/>
            <w:tcMar>
              <w:bottom w:w="28" w:type="dxa"/>
            </w:tcMar>
            <w:vAlign w:val="center"/>
          </w:tcPr>
          <w:p>
            <w:pPr>
              <w:pStyle w:val="TableContents"/>
              <w:spacing w:before="0" w:after="0"/>
              <w:ind w:left="0" w:right="0" w:hanging="0"/>
              <w:jc w:val="both"/>
              <w:rPr/>
            </w:pPr>
            <w:r>
              <w:rPr/>
              <w:t>/s/ Scott Van Pelt</w:t>
            </w:r>
          </w:p>
        </w:tc>
        <w:tc>
          <w:tcPr>
            <w:tcW w:w="135" w:type="dxa"/>
            <w:tcBorders/>
            <w:shd w:fill="auto" w:val="clear"/>
            <w:vAlign w:val="center"/>
          </w:tcPr>
          <w:p>
            <w:pPr>
              <w:pStyle w:val="TableContents"/>
              <w:spacing w:before="0" w:after="0"/>
              <w:ind w:left="0" w:right="0" w:hanging="0"/>
              <w:rPr/>
            </w:pPr>
            <w:r>
              <w:rPr/>
              <w:t> </w:t>
            </w:r>
          </w:p>
        </w:tc>
      </w:tr>
      <w:tr>
        <w:trPr/>
        <w:tc>
          <w:tcPr>
            <w:tcW w:w="2150" w:type="dxa"/>
            <w:tcBorders/>
            <w:shd w:fill="auto" w:val="clear"/>
            <w:vAlign w:val="center"/>
          </w:tcPr>
          <w:p>
            <w:pPr>
              <w:pStyle w:val="TableContents"/>
              <w:spacing w:before="0" w:after="0"/>
              <w:ind w:left="0" w:right="0" w:hanging="0"/>
              <w:jc w:val="both"/>
              <w:rPr/>
            </w:pPr>
            <w:r>
              <w:rPr/>
              <w:t> </w:t>
            </w:r>
          </w:p>
        </w:tc>
        <w:tc>
          <w:tcPr>
            <w:tcW w:w="90" w:type="dxa"/>
            <w:tcBorders/>
            <w:shd w:fill="auto" w:val="clear"/>
            <w:vAlign w:val="center"/>
          </w:tcPr>
          <w:p>
            <w:pPr>
              <w:pStyle w:val="TableContents"/>
              <w:spacing w:before="0" w:after="0"/>
              <w:ind w:left="0" w:right="0" w:hanging="0"/>
              <w:rPr/>
            </w:pPr>
            <w:r>
              <w:rPr/>
              <w:t> </w:t>
            </w:r>
          </w:p>
        </w:tc>
        <w:tc>
          <w:tcPr>
            <w:tcW w:w="2240" w:type="dxa"/>
            <w:tcBorders/>
            <w:shd w:fill="auto" w:val="clear"/>
            <w:vAlign w:val="center"/>
          </w:tcPr>
          <w:p>
            <w:pPr>
              <w:pStyle w:val="TableContents"/>
              <w:spacing w:before="0" w:after="0"/>
              <w:ind w:left="0" w:right="0" w:hanging="0"/>
              <w:jc w:val="both"/>
              <w:rPr/>
            </w:pPr>
            <w:r>
              <w:rPr/>
              <w:t>Scott Van Pelt</w:t>
            </w:r>
          </w:p>
          <w:p>
            <w:pPr>
              <w:pStyle w:val="TableContents"/>
              <w:spacing w:before="0" w:after="0"/>
              <w:ind w:left="0" w:right="0" w:hanging="0"/>
              <w:jc w:val="both"/>
              <w:rPr/>
            </w:pPr>
            <w:r>
              <w:rPr/>
              <w:t>Chief Financial Officer</w:t>
            </w:r>
          </w:p>
        </w:tc>
        <w:tc>
          <w:tcPr>
            <w:tcW w:w="135" w:type="dxa"/>
            <w:tcBorders/>
            <w:shd w:fill="auto"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r>
        <w:br w:type="page"/>
      </w:r>
    </w:p>
    <w:p>
      <w:pPr>
        <w:pStyle w:val="TextBody"/>
        <w:spacing w:before="0" w:after="0"/>
        <w:ind w:left="0" w:right="0" w:hanging="0"/>
        <w:jc w:val="right"/>
        <w:rPr/>
      </w:pPr>
      <w:bookmarkStart w:id="33" w:name="kins_ex32.htm"/>
      <w:bookmarkStart w:id="34" w:name="kskins_ex32"/>
      <w:bookmarkEnd w:id="33"/>
      <w:bookmarkEnd w:id="34"/>
      <w:r>
        <w:rPr>
          <w:rStyle w:val="StrongEmphasis"/>
          <w:rFonts w:ascii="times new roman" w:hAnsi="times new roman"/>
          <w:sz w:val="20"/>
        </w:rPr>
        <w:t xml:space="preserve">EXHIBIT 32  </w:t>
      </w:r>
    </w:p>
    <w:p>
      <w:pPr>
        <w:pStyle w:val="TextBody"/>
        <w:spacing w:before="0" w:after="0"/>
        <w:ind w:left="0" w:right="0" w:hanging="0"/>
        <w:jc w:val="center"/>
        <w:rPr/>
      </w:pPr>
      <w:r>
        <w:rPr>
          <w:rStyle w:val="StrongEmphasis"/>
          <w:rFonts w:ascii="times new roman" w:hAnsi="times new roman"/>
          <w:sz w:val="20"/>
        </w:rPr>
        <w:t>CERTIFICATION OF CHIEF EXECUTIVE OFFICER</w:t>
      </w:r>
    </w:p>
    <w:p>
      <w:pPr>
        <w:pStyle w:val="TextBody"/>
        <w:spacing w:before="0" w:after="0"/>
        <w:ind w:left="0" w:right="0" w:hanging="0"/>
        <w:jc w:val="center"/>
        <w:rPr/>
      </w:pPr>
      <w:r>
        <w:rPr/>
        <w:t> </w:t>
      </w:r>
    </w:p>
    <w:p>
      <w:pPr>
        <w:pStyle w:val="TextBody"/>
        <w:spacing w:before="0" w:after="0"/>
        <w:ind w:left="0" w:right="0" w:hanging="0"/>
        <w:jc w:val="center"/>
        <w:rPr/>
      </w:pPr>
      <w:r>
        <w:rPr>
          <w:rStyle w:val="StrongEmphasis"/>
          <w:rFonts w:ascii="times new roman" w:hAnsi="times new roman"/>
          <w:sz w:val="20"/>
        </w:rPr>
        <w:t>AND CHIEF FINANCIAL OFFICER</w:t>
      </w:r>
    </w:p>
    <w:p>
      <w:pPr>
        <w:pStyle w:val="TextBody"/>
        <w:spacing w:before="0" w:after="0"/>
        <w:ind w:left="0" w:right="0" w:hanging="0"/>
        <w:jc w:val="center"/>
        <w:rPr/>
      </w:pPr>
      <w:r>
        <w:rPr/>
        <w:t> </w:t>
      </w:r>
    </w:p>
    <w:p>
      <w:pPr>
        <w:pStyle w:val="TextBody"/>
        <w:spacing w:before="0" w:after="0"/>
        <w:ind w:left="0" w:right="0" w:hanging="0"/>
        <w:jc w:val="center"/>
        <w:rPr/>
      </w:pPr>
      <w:r>
        <w:rPr>
          <w:rStyle w:val="StrongEmphasis"/>
          <w:rFonts w:ascii="times new roman" w:hAnsi="times new roman"/>
          <w:sz w:val="20"/>
        </w:rPr>
        <w:t>PURSUANT TO</w:t>
      </w:r>
    </w:p>
    <w:p>
      <w:pPr>
        <w:pStyle w:val="TextBody"/>
        <w:spacing w:before="0" w:after="0"/>
        <w:ind w:left="0" w:right="0" w:hanging="0"/>
        <w:jc w:val="center"/>
        <w:rPr/>
      </w:pPr>
      <w:r>
        <w:rPr/>
        <w:t> </w:t>
      </w:r>
    </w:p>
    <w:p>
      <w:pPr>
        <w:pStyle w:val="TextBody"/>
        <w:spacing w:before="0" w:after="0"/>
        <w:ind w:left="0" w:right="0" w:hanging="0"/>
        <w:jc w:val="center"/>
        <w:rPr/>
      </w:pPr>
      <w:r>
        <w:rPr>
          <w:rStyle w:val="StrongEmphasis"/>
          <w:rFonts w:ascii="times new roman" w:hAnsi="times new roman"/>
          <w:sz w:val="20"/>
        </w:rPr>
        <w:t>18 U.S.C. SECTION 1350,</w:t>
      </w:r>
    </w:p>
    <w:p>
      <w:pPr>
        <w:pStyle w:val="TextBody"/>
        <w:spacing w:before="0" w:after="0"/>
        <w:ind w:left="0" w:right="0" w:hanging="0"/>
        <w:jc w:val="center"/>
        <w:rPr/>
      </w:pPr>
      <w:r>
        <w:rPr/>
        <w:t> </w:t>
      </w:r>
    </w:p>
    <w:p>
      <w:pPr>
        <w:pStyle w:val="TextBody"/>
        <w:spacing w:before="0" w:after="0"/>
        <w:ind w:left="0" w:right="0" w:hanging="0"/>
        <w:jc w:val="center"/>
        <w:rPr/>
      </w:pPr>
      <w:r>
        <w:rPr>
          <w:rStyle w:val="StrongEmphasis"/>
          <w:rFonts w:ascii="times new roman" w:hAnsi="times new roman"/>
          <w:sz w:val="20"/>
        </w:rPr>
        <w:t>AS ADOPTED PURSUANT TO</w:t>
      </w:r>
    </w:p>
    <w:p>
      <w:pPr>
        <w:pStyle w:val="TextBody"/>
        <w:spacing w:before="0" w:after="0"/>
        <w:ind w:left="0" w:right="0" w:hanging="0"/>
        <w:jc w:val="center"/>
        <w:rPr/>
      </w:pPr>
      <w:r>
        <w:rPr/>
        <w:t> </w:t>
      </w:r>
    </w:p>
    <w:p>
      <w:pPr>
        <w:pStyle w:val="TextBody"/>
        <w:spacing w:before="0" w:after="0"/>
        <w:ind w:left="0" w:right="0" w:hanging="0"/>
        <w:jc w:val="center"/>
        <w:rPr/>
      </w:pPr>
      <w:r>
        <w:rPr>
          <w:rStyle w:val="StrongEmphasis"/>
          <w:rFonts w:ascii="times new roman" w:hAnsi="times new roman"/>
          <w:sz w:val="20"/>
        </w:rPr>
        <w:t>SECTION 906 OF THE SARBANES-OXLEY ACT OF 2002</w:t>
      </w:r>
    </w:p>
    <w:p>
      <w:pPr>
        <w:pStyle w:val="TextBody"/>
        <w:spacing w:before="0" w:after="0"/>
        <w:ind w:left="0" w:right="0" w:hanging="0"/>
        <w:jc w:val="center"/>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 xml:space="preserve">The undersigned hereby certify, pursuant to, and as required by, 18 U.S.C. Section 1350, as adopted pursuant to Section 906 of the Sarbanes-Oxley Act of 2002, that the Annual Report of Kingstone Companies, Inc. (the “Company”) on Form 10-K for the year ended December 31, 2020 fully complies with the requirements of Section 13(a) or 15(d) of the Securities Exchange Act of 1934, as amended, and that information contained in such Annual Report on Form 10-K fairly presents, in all material respects, the financial condition and results of operations of the Company. </w:t>
      </w:r>
    </w:p>
    <w:p>
      <w:pPr>
        <w:pStyle w:val="TextBody"/>
        <w:spacing w:before="0" w:after="0"/>
        <w:ind w:left="0" w:right="0" w:hanging="0"/>
        <w:jc w:val="both"/>
        <w:rPr/>
      </w:pPr>
      <w:r>
        <w:rPr/>
        <w:t> </w:t>
      </w:r>
    </w:p>
    <w:tbl>
      <w:tblPr>
        <w:tblW w:w="4870" w:type="dxa"/>
        <w:jc w:val="left"/>
        <w:tblInd w:w="0" w:type="dxa"/>
        <w:tblCellMar>
          <w:top w:w="0" w:type="dxa"/>
          <w:left w:w="0" w:type="dxa"/>
          <w:bottom w:w="0" w:type="dxa"/>
          <w:right w:w="0" w:type="dxa"/>
        </w:tblCellMar>
      </w:tblPr>
      <w:tblGrid>
        <w:gridCol w:w="2270"/>
        <w:gridCol w:w="90"/>
        <w:gridCol w:w="2375"/>
        <w:gridCol w:w="135"/>
      </w:tblGrid>
      <w:tr>
        <w:trPr/>
        <w:tc>
          <w:tcPr>
            <w:tcW w:w="227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0"/>
              <w:ind w:left="0" w:right="0" w:hanging="0"/>
              <w:rPr/>
            </w:pPr>
            <w:r>
              <w:rPr/>
              <w:t> </w:t>
            </w:r>
          </w:p>
        </w:tc>
        <w:tc>
          <w:tcPr>
            <w:tcW w:w="2375"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283"/>
              <w:rPr/>
            </w:pPr>
            <w:r>
              <w:rPr/>
              <w:t> </w:t>
            </w:r>
          </w:p>
        </w:tc>
      </w:tr>
      <w:tr>
        <w:trPr/>
        <w:tc>
          <w:tcPr>
            <w:tcW w:w="2270" w:type="dxa"/>
            <w:tcBorders/>
            <w:shd w:fill="auto" w:val="clear"/>
            <w:vAlign w:val="center"/>
          </w:tcPr>
          <w:p>
            <w:pPr>
              <w:pStyle w:val="TableContents"/>
              <w:spacing w:before="0" w:after="283"/>
              <w:rPr/>
            </w:pPr>
            <w:r>
              <w:rPr/>
              <w:t>Dated: March 31, 2021</w:t>
            </w:r>
          </w:p>
        </w:tc>
        <w:tc>
          <w:tcPr>
            <w:tcW w:w="90" w:type="dxa"/>
            <w:tcBorders/>
            <w:shd w:fill="auto" w:val="clear"/>
            <w:vAlign w:val="center"/>
          </w:tcPr>
          <w:p>
            <w:pPr>
              <w:pStyle w:val="TableContents"/>
              <w:spacing w:before="0" w:after="0"/>
              <w:ind w:left="0" w:right="0" w:hanging="0"/>
              <w:rPr/>
            </w:pPr>
            <w:r>
              <w:rPr/>
              <w:t> </w:t>
            </w:r>
          </w:p>
        </w:tc>
        <w:tc>
          <w:tcPr>
            <w:tcW w:w="2375" w:type="dxa"/>
            <w:tcBorders>
              <w:bottom w:val="single" w:sz="2" w:space="0" w:color="000000"/>
            </w:tcBorders>
            <w:shd w:fill="auto" w:val="clear"/>
            <w:tcMar>
              <w:bottom w:w="28" w:type="dxa"/>
            </w:tcMar>
            <w:vAlign w:val="center"/>
          </w:tcPr>
          <w:p>
            <w:pPr>
              <w:pStyle w:val="TableContents"/>
              <w:spacing w:before="0" w:after="283"/>
              <w:rPr/>
            </w:pPr>
            <w:r>
              <w:rPr/>
              <w:t>/s/ Barry B. Goldstein</w:t>
            </w:r>
          </w:p>
        </w:tc>
        <w:tc>
          <w:tcPr>
            <w:tcW w:w="135" w:type="dxa"/>
            <w:tcBorders/>
            <w:shd w:fill="auto" w:val="clear"/>
            <w:vAlign w:val="center"/>
          </w:tcPr>
          <w:p>
            <w:pPr>
              <w:pStyle w:val="TableContents"/>
              <w:spacing w:before="0" w:after="283"/>
              <w:rPr>
                <w:sz w:val="4"/>
                <w:szCs w:val="4"/>
              </w:rPr>
            </w:pPr>
            <w:r>
              <w:rPr>
                <w:sz w:val="4"/>
                <w:szCs w:val="4"/>
              </w:rPr>
            </w:r>
          </w:p>
        </w:tc>
      </w:tr>
      <w:tr>
        <w:trPr/>
        <w:tc>
          <w:tcPr>
            <w:tcW w:w="227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375" w:type="dxa"/>
            <w:tcBorders/>
            <w:shd w:fill="auto" w:val="clear"/>
            <w:vAlign w:val="center"/>
          </w:tcPr>
          <w:p>
            <w:pPr>
              <w:pStyle w:val="TableContents"/>
              <w:spacing w:before="0" w:after="283"/>
              <w:rPr/>
            </w:pPr>
            <w:r>
              <w:rPr/>
              <w:t>Barry B. Goldstein</w:t>
            </w:r>
          </w:p>
        </w:tc>
        <w:tc>
          <w:tcPr>
            <w:tcW w:w="135" w:type="dxa"/>
            <w:tcBorders/>
            <w:shd w:fill="auto" w:val="clear"/>
            <w:vAlign w:val="center"/>
          </w:tcPr>
          <w:p>
            <w:pPr>
              <w:pStyle w:val="TableContents"/>
              <w:spacing w:before="0" w:after="283"/>
              <w:rPr/>
            </w:pPr>
            <w:r>
              <w:rPr/>
              <w:t> </w:t>
            </w:r>
          </w:p>
        </w:tc>
      </w:tr>
      <w:tr>
        <w:trPr/>
        <w:tc>
          <w:tcPr>
            <w:tcW w:w="227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0"/>
              <w:ind w:left="0" w:right="0" w:hanging="0"/>
              <w:rPr/>
            </w:pPr>
            <w:r>
              <w:rPr/>
              <w:t> </w:t>
            </w:r>
          </w:p>
        </w:tc>
        <w:tc>
          <w:tcPr>
            <w:tcW w:w="2375" w:type="dxa"/>
            <w:tcBorders/>
            <w:shd w:fill="auto" w:val="clear"/>
            <w:vAlign w:val="center"/>
          </w:tcPr>
          <w:p>
            <w:pPr>
              <w:pStyle w:val="TableContents"/>
              <w:spacing w:before="0" w:after="283"/>
              <w:rPr/>
            </w:pPr>
            <w:r>
              <w:rPr/>
              <w:t xml:space="preserve">Chief Executive Officer </w:t>
            </w:r>
          </w:p>
        </w:tc>
        <w:tc>
          <w:tcPr>
            <w:tcW w:w="135" w:type="dxa"/>
            <w:tcBorders/>
            <w:shd w:fill="auto" w:val="clear"/>
            <w:vAlign w:val="center"/>
          </w:tcPr>
          <w:p>
            <w:pPr>
              <w:pStyle w:val="TableContents"/>
              <w:spacing w:before="0" w:after="283"/>
              <w:rPr/>
            </w:pPr>
            <w:r>
              <w:rPr/>
              <w:t> </w:t>
            </w:r>
          </w:p>
        </w:tc>
      </w:tr>
      <w:tr>
        <w:trPr/>
        <w:tc>
          <w:tcPr>
            <w:tcW w:w="227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0"/>
              <w:ind w:left="0" w:right="0" w:hanging="0"/>
              <w:rPr/>
            </w:pPr>
            <w:r>
              <w:rPr/>
              <w:t> </w:t>
            </w:r>
          </w:p>
        </w:tc>
        <w:tc>
          <w:tcPr>
            <w:tcW w:w="2375"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283"/>
              <w:rPr/>
            </w:pPr>
            <w:r>
              <w:rPr/>
              <w:t> </w:t>
            </w:r>
          </w:p>
        </w:tc>
      </w:tr>
      <w:tr>
        <w:trPr/>
        <w:tc>
          <w:tcPr>
            <w:tcW w:w="227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375" w:type="dxa"/>
            <w:tcBorders>
              <w:bottom w:val="single" w:sz="2" w:space="0" w:color="000000"/>
            </w:tcBorders>
            <w:shd w:fill="auto" w:val="clear"/>
            <w:tcMar>
              <w:bottom w:w="28" w:type="dxa"/>
            </w:tcMar>
            <w:vAlign w:val="center"/>
          </w:tcPr>
          <w:p>
            <w:pPr>
              <w:pStyle w:val="TableContents"/>
              <w:spacing w:before="0" w:after="0"/>
              <w:ind w:left="0" w:right="0" w:hanging="0"/>
              <w:rPr/>
            </w:pPr>
            <w:r>
              <w:rPr/>
              <w:t>/s/ Scott Van Pelt</w:t>
            </w:r>
          </w:p>
        </w:tc>
        <w:tc>
          <w:tcPr>
            <w:tcW w:w="135" w:type="dxa"/>
            <w:tcBorders/>
            <w:shd w:fill="auto" w:val="clear"/>
            <w:vAlign w:val="center"/>
          </w:tcPr>
          <w:p>
            <w:pPr>
              <w:pStyle w:val="TableContents"/>
              <w:spacing w:before="0" w:after="0"/>
              <w:ind w:left="0" w:right="0" w:hanging="0"/>
              <w:rPr/>
            </w:pPr>
            <w:r>
              <w:rPr/>
              <w:t> </w:t>
            </w:r>
          </w:p>
        </w:tc>
      </w:tr>
      <w:tr>
        <w:trPr/>
        <w:tc>
          <w:tcPr>
            <w:tcW w:w="227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375" w:type="dxa"/>
            <w:tcBorders/>
            <w:shd w:fill="auto" w:val="clear"/>
            <w:vAlign w:val="center"/>
          </w:tcPr>
          <w:p>
            <w:pPr>
              <w:pStyle w:val="TableContents"/>
              <w:spacing w:before="0" w:after="0"/>
              <w:ind w:left="0" w:right="0" w:hanging="0"/>
              <w:rPr/>
            </w:pPr>
            <w:r>
              <w:rPr/>
              <w:t>Scott Van Pelt</w:t>
            </w:r>
          </w:p>
        </w:tc>
        <w:tc>
          <w:tcPr>
            <w:tcW w:w="135" w:type="dxa"/>
            <w:tcBorders/>
            <w:shd w:fill="auto" w:val="clear"/>
            <w:vAlign w:val="center"/>
          </w:tcPr>
          <w:p>
            <w:pPr>
              <w:pStyle w:val="TableContents"/>
              <w:spacing w:before="0" w:after="0"/>
              <w:ind w:left="0" w:right="0" w:hanging="0"/>
              <w:rPr/>
            </w:pPr>
            <w:r>
              <w:rPr/>
              <w:t> </w:t>
            </w:r>
          </w:p>
        </w:tc>
      </w:tr>
      <w:tr>
        <w:trPr/>
        <w:tc>
          <w:tcPr>
            <w:tcW w:w="227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375" w:type="dxa"/>
            <w:tcBorders/>
            <w:shd w:fill="auto" w:val="clear"/>
            <w:vAlign w:val="center"/>
          </w:tcPr>
          <w:p>
            <w:pPr>
              <w:pStyle w:val="TableContents"/>
              <w:spacing w:before="0" w:after="0"/>
              <w:ind w:left="0" w:right="0" w:hanging="0"/>
              <w:rPr/>
            </w:pPr>
            <w:r>
              <w:rPr/>
              <w:t>Chief Financial Officer</w:t>
            </w:r>
          </w:p>
        </w:tc>
        <w:tc>
          <w:tcPr>
            <w:tcW w:w="135" w:type="dxa"/>
            <w:tcBorders/>
            <w:shd w:fill="auto" w:val="clear"/>
            <w:vAlign w:val="center"/>
          </w:tcPr>
          <w:p>
            <w:pPr>
              <w:pStyle w:val="TableContents"/>
              <w:spacing w:before="0" w:after="0"/>
              <w:ind w:left="0" w:right="0" w:hanging="0"/>
              <w:rPr/>
            </w:pPr>
            <w:r>
              <w:rPr/>
              <w:t> </w:t>
            </w:r>
          </w:p>
        </w:tc>
      </w:tr>
    </w:tbl>
    <w:p>
      <w:pPr>
        <w:pStyle w:val="TextBody"/>
        <w:spacing w:before="0" w:after="283"/>
        <w:ind w:left="0" w:right="0" w:hanging="0"/>
        <w:rPr/>
      </w:pPr>
      <w:r>
        <w:br w:type="page"/>
      </w: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33992/000135448814002619/kins_ex3a.htm" TargetMode="External"/><Relationship Id="rId4" Type="http://schemas.openxmlformats.org/officeDocument/2006/relationships/hyperlink" Target="http://www.sec.gov/Archives/edgar/data/33992/000135448814002619/kins_ex3a.htm" TargetMode="External"/><Relationship Id="rId5" Type="http://schemas.openxmlformats.org/officeDocument/2006/relationships/hyperlink" Target="http://www.sec.gov/Archives/edgar/data/33992/000102177109000069/ex3_1.htm" TargetMode="External"/><Relationship Id="rId6" Type="http://schemas.openxmlformats.org/officeDocument/2006/relationships/hyperlink" Target="http://www.sec.gov/Archives/edgar/data/33992/000102177109000069/ex3_1.htm" TargetMode="External"/><Relationship Id="rId7" Type="http://schemas.openxmlformats.org/officeDocument/2006/relationships/hyperlink" Target="http://www.sec.gov/Archives/edgar/data/33992/000102177117000105/ex4_1.htm" TargetMode="External"/><Relationship Id="rId8" Type="http://schemas.openxmlformats.org/officeDocument/2006/relationships/hyperlink" Target="http://www.sec.gov/Archives/edgar/data/33992/000102177117000105/ex4_1.htm" TargetMode="External"/><Relationship Id="rId9" Type="http://schemas.openxmlformats.org/officeDocument/2006/relationships/hyperlink" Target="http://www.sec.gov/Archives/edgar/data/33992/000102177117000105/ex4_2.htm" TargetMode="External"/><Relationship Id="rId10" Type="http://schemas.openxmlformats.org/officeDocument/2006/relationships/hyperlink" Target="http://www.sec.gov/Archives/edgar/data/33992/000102177117000105/ex4_2.htm" TargetMode="External"/><Relationship Id="rId11" Type="http://schemas.openxmlformats.org/officeDocument/2006/relationships/hyperlink" Target="http://www.sec.gov/Archives/edgar/data/33992/000102177117000105/ex4_3.htm" TargetMode="External"/><Relationship Id="rId12" Type="http://schemas.openxmlformats.org/officeDocument/2006/relationships/hyperlink" Target="http://www.sec.gov/Archives/edgar/data/33992/000102177117000105/ex4_3.htm" TargetMode="External"/><Relationship Id="rId13" Type="http://schemas.openxmlformats.org/officeDocument/2006/relationships/hyperlink" Target="http://www.sec.gov/Archives/edgar/data/33992/000102177114000050/ex10_1.htm" TargetMode="External"/><Relationship Id="rId14" Type="http://schemas.openxmlformats.org/officeDocument/2006/relationships/hyperlink" Target="http://www.sec.gov/Archives/edgar/data/33992/000102177114000050/ex10_1.htm" TargetMode="External"/><Relationship Id="rId15" Type="http://schemas.openxmlformats.org/officeDocument/2006/relationships/hyperlink" Target="http://www.sec.gov/Archives/edgar/data/33992/000165495418011456/barrygoldsteinkinsamended.htm" TargetMode="External"/><Relationship Id="rId16" Type="http://schemas.openxmlformats.org/officeDocument/2006/relationships/hyperlink" Target="http://www.sec.gov/Archives/edgar/data/33992/000165495418011456/barrygoldsteinkinsamended.htm" TargetMode="External"/><Relationship Id="rId17" Type="http://schemas.openxmlformats.org/officeDocument/2006/relationships/hyperlink" Target="http://www.sec.gov/Archives/edgar/data/33992/000102177114000050/ex10_3.htm" TargetMode="External"/><Relationship Id="rId18" Type="http://schemas.openxmlformats.org/officeDocument/2006/relationships/hyperlink" Target="http://www.sec.gov/Archives/edgar/data/33992/000102177114000050/ex10_3.htm" TargetMode="External"/><Relationship Id="rId19" Type="http://schemas.openxmlformats.org/officeDocument/2006/relationships/hyperlink" Target="http://www.sec.gov/Archives/edgar/data/33992/000102177114000050/ex10_3.htm" TargetMode="External"/><Relationship Id="rId20" Type="http://schemas.openxmlformats.org/officeDocument/2006/relationships/hyperlink" Target="http://www.sec.gov/Archives/edgar/data/33992/000102177114000050/ex10_3.htm" TargetMode="External"/><Relationship Id="rId21" Type="http://schemas.openxmlformats.org/officeDocument/2006/relationships/hyperlink" Target="http://www.sec.gov/Archives/edgar/data/33992/000102177118000025/ex10_1.htm" TargetMode="External"/><Relationship Id="rId22" Type="http://schemas.openxmlformats.org/officeDocument/2006/relationships/hyperlink" Target="http://www.sec.gov/Archives/edgar/data/33992/000102177118000025/ex10_1.htm" TargetMode="External"/><Relationship Id="rId23" Type="http://schemas.openxmlformats.org/officeDocument/2006/relationships/hyperlink" Target="http://www.sec.gov/Archives/edgar/data/33992/000165495417002100/kins_ex21.htm" TargetMode="External"/><Relationship Id="rId24" Type="http://schemas.openxmlformats.org/officeDocument/2006/relationships/hyperlink" Target="http://www.sec.gov/Archives/edgar/data/33992/000165495417002100/kins_ex21.htm" TargetMode="External"/><Relationship Id="rId25" Type="http://schemas.openxmlformats.org/officeDocument/2006/relationships/hyperlink" Target="http://www.sec.gov/Archives/edgar/data/33992/000165495419002863/kingstoneconsent.htm" TargetMode="External"/><Relationship Id="rId26" Type="http://schemas.openxmlformats.org/officeDocument/2006/relationships/hyperlink" Target="http://www.sec.gov/Archives/edgar/data/33992/000165495419002863/kingstoneconsent.htm"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138</Pages>
  <Words>59596</Words>
  <CharactersWithSpaces>401022</CharactersWithSpaces>
  <Paragraphs>28466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