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80" w:right="1640" w:hanging="3872"/>
        <w:spacing w:after="0" w:line="493"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40" w:right="1620" w:hanging="3532"/>
        <w:spacing w:after="0" w:line="500" w:lineRule="auto"/>
        <w:tabs>
          <w:tab w:leader="none" w:pos="46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0-1665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3260" w:type="dxa"/>
            <w:vAlign w:val="bottom"/>
          </w:tcPr>
          <w:p>
            <w:pPr>
              <w:jc w:val="center"/>
              <w:ind w:left="930"/>
              <w:spacing w:after="0"/>
              <w:rPr>
                <w:sz w:val="20"/>
                <w:szCs w:val="20"/>
                <w:color w:val="auto"/>
              </w:rPr>
            </w:pPr>
            <w:r>
              <w:rPr>
                <w:rFonts w:ascii="Arial" w:cs="Arial" w:eastAsia="Arial" w:hAnsi="Arial"/>
                <w:sz w:val="18"/>
                <w:szCs w:val="18"/>
                <w:b w:val="1"/>
                <w:bCs w:val="1"/>
                <w:color w:val="auto"/>
                <w:w w:val="91"/>
              </w:rPr>
              <w:t>Delaware</w:t>
            </w:r>
          </w:p>
        </w:tc>
        <w:tc>
          <w:tcPr>
            <w:tcW w:w="6280" w:type="dxa"/>
            <w:vAlign w:val="bottom"/>
            <w:gridSpan w:val="5"/>
          </w:tcPr>
          <w:p>
            <w:pPr>
              <w:jc w:val="center"/>
              <w:ind w:left="1890"/>
              <w:spacing w:after="0"/>
              <w:rPr>
                <w:sz w:val="20"/>
                <w:szCs w:val="20"/>
                <w:color w:val="auto"/>
              </w:rPr>
            </w:pPr>
            <w:r>
              <w:rPr>
                <w:rFonts w:ascii="Arial" w:cs="Arial" w:eastAsia="Arial" w:hAnsi="Arial"/>
                <w:sz w:val="18"/>
                <w:szCs w:val="18"/>
                <w:b w:val="1"/>
                <w:bCs w:val="1"/>
                <w:color w:val="auto"/>
                <w:w w:val="89"/>
              </w:rPr>
              <w:t>36-2476480</w:t>
            </w:r>
          </w:p>
        </w:tc>
      </w:tr>
      <w:tr>
        <w:trPr>
          <w:trHeight w:val="195"/>
        </w:trPr>
        <w:tc>
          <w:tcPr>
            <w:tcW w:w="3260" w:type="dxa"/>
            <w:vAlign w:val="bottom"/>
            <w:tcBorders>
              <w:top w:val="single" w:sz="8" w:color="auto"/>
            </w:tcBorders>
          </w:tcPr>
          <w:p>
            <w:pPr>
              <w:jc w:val="center"/>
              <w:ind w:left="930"/>
              <w:spacing w:after="0" w:line="195" w:lineRule="exact"/>
              <w:rPr>
                <w:sz w:val="20"/>
                <w:szCs w:val="20"/>
                <w:color w:val="auto"/>
              </w:rPr>
            </w:pPr>
            <w:r>
              <w:rPr>
                <w:rFonts w:ascii="Arial" w:cs="Arial" w:eastAsia="Arial" w:hAnsi="Arial"/>
                <w:sz w:val="18"/>
                <w:szCs w:val="18"/>
                <w:color w:val="auto"/>
                <w:w w:val="92"/>
              </w:rPr>
              <w:t>(State or other jurisdiction of</w:t>
            </w:r>
          </w:p>
        </w:tc>
        <w:tc>
          <w:tcPr>
            <w:tcW w:w="7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jc w:val="center"/>
              <w:ind w:right="21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ind w:left="930"/>
              <w:spacing w:after="0"/>
              <w:rPr>
                <w:sz w:val="20"/>
                <w:szCs w:val="20"/>
                <w:color w:val="auto"/>
              </w:rPr>
            </w:pPr>
            <w:r>
              <w:rPr>
                <w:rFonts w:ascii="Arial" w:cs="Arial" w:eastAsia="Arial" w:hAnsi="Arial"/>
                <w:sz w:val="18"/>
                <w:szCs w:val="18"/>
                <w:color w:val="auto"/>
                <w:w w:val="92"/>
              </w:rPr>
              <w:t>incorporation or organization)</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Pr>
          <w:p>
            <w:pPr>
              <w:jc w:val="center"/>
              <w:ind w:right="21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3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40" w:type="dxa"/>
            <w:vAlign w:val="bottom"/>
            <w:gridSpan w:val="4"/>
          </w:tcPr>
          <w:p>
            <w:pPr>
              <w:jc w:val="center"/>
              <w:ind w:right="3930"/>
              <w:spacing w:after="0"/>
              <w:rPr>
                <w:sz w:val="20"/>
                <w:szCs w:val="20"/>
                <w:color w:val="auto"/>
              </w:rPr>
            </w:pPr>
            <w:r>
              <w:rPr>
                <w:rFonts w:ascii="Arial" w:cs="Arial" w:eastAsia="Arial" w:hAnsi="Arial"/>
                <w:sz w:val="18"/>
                <w:szCs w:val="18"/>
                <w:b w:val="1"/>
                <w:bCs w:val="1"/>
                <w:color w:val="auto"/>
                <w:w w:val="88"/>
              </w:rPr>
              <w:t>15 Joys Lane</w:t>
            </w:r>
          </w:p>
        </w:tc>
      </w:tr>
      <w:tr>
        <w:trPr>
          <w:trHeight w:val="194"/>
        </w:trPr>
        <w:tc>
          <w:tcPr>
            <w:tcW w:w="3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Kingston, NY 12401</w:t>
            </w:r>
          </w:p>
        </w:tc>
        <w:tc>
          <w:tcPr>
            <w:tcW w:w="4000" w:type="dxa"/>
            <w:vAlign w:val="bottom"/>
          </w:tcPr>
          <w:p>
            <w:pPr>
              <w:spacing w:after="0"/>
              <w:rPr>
                <w:sz w:val="16"/>
                <w:szCs w:val="16"/>
                <w:color w:val="auto"/>
              </w:rPr>
            </w:pPr>
          </w:p>
        </w:tc>
      </w:tr>
      <w:tr>
        <w:trPr>
          <w:trHeight w:val="237"/>
        </w:trPr>
        <w:tc>
          <w:tcPr>
            <w:tcW w:w="3260" w:type="dxa"/>
            <w:vAlign w:val="bottom"/>
          </w:tcPr>
          <w:p>
            <w:pPr>
              <w:spacing w:after="0"/>
              <w:rPr>
                <w:sz w:val="20"/>
                <w:szCs w:val="20"/>
                <w:color w:val="auto"/>
              </w:rPr>
            </w:pPr>
          </w:p>
        </w:tc>
        <w:tc>
          <w:tcPr>
            <w:tcW w:w="6280" w:type="dxa"/>
            <w:vAlign w:val="bottom"/>
            <w:gridSpan w:val="5"/>
          </w:tcPr>
          <w:p>
            <w:pPr>
              <w:jc w:val="center"/>
              <w:ind w:right="3170"/>
              <w:spacing w:after="0"/>
              <w:rPr>
                <w:sz w:val="20"/>
                <w:szCs w:val="20"/>
                <w:color w:val="auto"/>
              </w:rPr>
            </w:pPr>
            <w:r>
              <w:rPr>
                <w:rFonts w:ascii="Arial" w:cs="Arial" w:eastAsia="Arial" w:hAnsi="Arial"/>
                <w:sz w:val="18"/>
                <w:szCs w:val="18"/>
                <w:b w:val="1"/>
                <w:bCs w:val="1"/>
                <w:color w:val="auto"/>
                <w:w w:val="88"/>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(845) 802-7900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KINS</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9"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August 14, 2023, there were 10,756,156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4"/>
          <w:szCs w:val="24"/>
          <w:color w:val="auto"/>
        </w:rPr>
      </w:pPr>
    </w:p>
    <w:p>
      <w:pPr>
        <w:ind w:left="1034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6365875</wp:posOffset>
            </wp:positionH>
            <wp:positionV relativeFrom="paragraph">
              <wp:posOffset>17145</wp:posOffset>
            </wp:positionV>
            <wp:extent cx="702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1">
            <w:col w:w="11240"/>
          </w:cols>
          <w:pgMar w:left="320" w:top="891" w:right="339" w:bottom="0" w:gutter="0" w:footer="0" w:header="0"/>
        </w:sectPr>
      </w:pPr>
    </w:p>
    <w:bookmarkStart w:id="1" w:name="page2"/>
    <w:bookmarkEnd w:id="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20"/>
        <w:spacing w:after="0"/>
        <w:tabs>
          <w:tab w:leader="none" w:pos="1220" w:val="left"/>
        </w:tabs>
        <w:rPr>
          <w:sz w:val="20"/>
          <w:szCs w:val="20"/>
          <w:color w:val="auto"/>
        </w:rPr>
      </w:pPr>
      <w:r>
        <w:rPr>
          <w:rFonts w:ascii="Arial" w:cs="Arial" w:eastAsia="Arial" w:hAnsi="Arial"/>
          <w:sz w:val="18"/>
          <w:szCs w:val="18"/>
          <w:u w:val="single" w:color="auto"/>
          <w:color w:val="0000EE"/>
        </w:rPr>
        <w:t>Item 1 —</w:t>
      </w:r>
      <w:r>
        <w:rPr>
          <w:sz w:val="20"/>
          <w:szCs w:val="20"/>
          <w:color w:val="auto"/>
        </w:rPr>
        <w:tab/>
      </w:r>
      <w:r>
        <w:rPr>
          <w:rFonts w:ascii="Arial" w:cs="Arial" w:eastAsia="Arial" w:hAnsi="Arial"/>
          <w:sz w:val="16"/>
          <w:szCs w:val="16"/>
          <w:u w:val="single" w:color="auto"/>
          <w:color w:val="0000EE"/>
        </w:rPr>
        <w:t>Financial Statements</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0000EE"/>
        </w:rPr>
        <w:t>Condensed Consolidated Balance Sheets at June 30, 2023 (Unaudited)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40" w:right="260"/>
        <w:spacing w:after="0" w:line="250" w:lineRule="auto"/>
        <w:rPr>
          <w:sz w:val="20"/>
          <w:szCs w:val="20"/>
          <w:color w:val="auto"/>
        </w:rPr>
      </w:pPr>
      <w:r>
        <w:rPr>
          <w:rFonts w:ascii="Arial" w:cs="Arial" w:eastAsia="Arial" w:hAnsi="Arial"/>
          <w:sz w:val="18"/>
          <w:szCs w:val="18"/>
          <w:u w:val="single" w:color="auto"/>
          <w:color w:val="0000EE"/>
        </w:rPr>
        <w:t>Condensed Consolidated Statements of Operations and Comprehensive Income (Loss) for the three months and six months ended June 30, 2023 (Unaudited) and 2022 (Unaudited)</w:t>
      </w:r>
    </w:p>
    <w:p>
      <w:pPr>
        <w:spacing w:after="0" w:line="1" w:lineRule="exact"/>
        <w:rPr>
          <w:sz w:val="20"/>
          <w:szCs w:val="20"/>
          <w:color w:val="auto"/>
        </w:rPr>
      </w:pPr>
    </w:p>
    <w:p>
      <w:pPr>
        <w:ind w:left="1240" w:right="280"/>
        <w:spacing w:after="0" w:line="250" w:lineRule="auto"/>
        <w:rPr>
          <w:sz w:val="20"/>
          <w:szCs w:val="20"/>
          <w:color w:val="auto"/>
        </w:rPr>
      </w:pPr>
      <w:r>
        <w:rPr>
          <w:rFonts w:ascii="Arial" w:cs="Arial" w:eastAsia="Arial" w:hAnsi="Arial"/>
          <w:sz w:val="18"/>
          <w:szCs w:val="18"/>
          <w:u w:val="single" w:color="auto"/>
          <w:color w:val="0000EE"/>
        </w:rPr>
        <w:t>Condensed Consolidated Statements of Stockholders’ Equity for the three months and six months ended June 30, 2023 (Unaudited)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40" w:right="280"/>
        <w:spacing w:after="0" w:line="250" w:lineRule="auto"/>
        <w:rPr>
          <w:sz w:val="20"/>
          <w:szCs w:val="20"/>
          <w:color w:val="auto"/>
        </w:rPr>
      </w:pPr>
      <w:r>
        <w:rPr>
          <w:rFonts w:ascii="Arial" w:cs="Arial" w:eastAsia="Arial" w:hAnsi="Arial"/>
          <w:sz w:val="18"/>
          <w:szCs w:val="18"/>
          <w:u w:val="single" w:color="auto"/>
          <w:color w:val="0000EE"/>
        </w:rPr>
        <w:t>Condensed Consolidated Statements of Cash Flows for the six months ended June 30, 2023 (Unaudited) and 2022 (Unaudited)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0000EE"/>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tabs>
          <w:tab w:leader="none" w:pos="1220" w:val="left"/>
        </w:tabs>
        <w:rPr>
          <w:sz w:val="20"/>
          <w:szCs w:val="20"/>
          <w:color w:val="auto"/>
        </w:rPr>
      </w:pPr>
      <w:r>
        <w:rPr>
          <w:rFonts w:ascii="Arial" w:cs="Arial" w:eastAsia="Arial" w:hAnsi="Arial"/>
          <w:sz w:val="18"/>
          <w:szCs w:val="18"/>
          <w:u w:val="single" w:color="auto"/>
          <w:color w:val="0000EE"/>
        </w:rPr>
        <w:t>Item 2 —</w:t>
      </w:r>
      <w:r>
        <w:rPr>
          <w:sz w:val="20"/>
          <w:szCs w:val="20"/>
          <w:color w:val="auto"/>
        </w:rPr>
        <w:tab/>
      </w:r>
      <w:r>
        <w:rPr>
          <w:rFonts w:ascii="Arial" w:cs="Arial" w:eastAsia="Arial" w:hAnsi="Arial"/>
          <w:sz w:val="16"/>
          <w:szCs w:val="16"/>
          <w:u w:val="single" w:color="auto"/>
          <w:color w:val="0000EE"/>
        </w:rPr>
        <w:t>Management’s Discussion and Analysis of Financial Condition and Results of Operations</w:t>
      </w:r>
    </w:p>
    <w:p>
      <w:pPr>
        <w:spacing w:after="0" w:line="9" w:lineRule="exact"/>
        <w:rPr>
          <w:sz w:val="20"/>
          <w:szCs w:val="20"/>
          <w:color w:val="auto"/>
        </w:rPr>
      </w:pPr>
    </w:p>
    <w:p>
      <w:pPr>
        <w:ind w:left="220"/>
        <w:spacing w:after="0"/>
        <w:tabs>
          <w:tab w:leader="none" w:pos="1220" w:val="left"/>
        </w:tabs>
        <w:rPr>
          <w:sz w:val="20"/>
          <w:szCs w:val="20"/>
          <w:color w:val="auto"/>
        </w:rPr>
      </w:pPr>
      <w:r>
        <w:rPr>
          <w:rFonts w:ascii="Arial" w:cs="Arial" w:eastAsia="Arial" w:hAnsi="Arial"/>
          <w:sz w:val="18"/>
          <w:szCs w:val="18"/>
          <w:u w:val="single" w:color="auto"/>
          <w:color w:val="0000EE"/>
        </w:rPr>
        <w:t>Item 3 —</w:t>
      </w:r>
      <w:r>
        <w:rPr>
          <w:sz w:val="20"/>
          <w:szCs w:val="20"/>
          <w:color w:val="auto"/>
        </w:rPr>
        <w:tab/>
      </w:r>
      <w:r>
        <w:rPr>
          <w:rFonts w:ascii="Arial" w:cs="Arial" w:eastAsia="Arial" w:hAnsi="Arial"/>
          <w:sz w:val="16"/>
          <w:szCs w:val="16"/>
          <w:u w:val="single" w:color="auto"/>
          <w:color w:val="0000EE"/>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tabs>
          <w:tab w:leader="none" w:pos="1220" w:val="left"/>
        </w:tabs>
        <w:rPr>
          <w:sz w:val="20"/>
          <w:szCs w:val="20"/>
          <w:color w:val="auto"/>
        </w:rPr>
      </w:pPr>
      <w:r>
        <w:rPr>
          <w:rFonts w:ascii="Arial" w:cs="Arial" w:eastAsia="Arial" w:hAnsi="Arial"/>
          <w:sz w:val="18"/>
          <w:szCs w:val="18"/>
          <w:u w:val="single" w:color="auto"/>
          <w:color w:val="0000EE"/>
        </w:rPr>
        <w:t>Item 4 —</w:t>
      </w:r>
      <w:r>
        <w:rPr>
          <w:sz w:val="20"/>
          <w:szCs w:val="20"/>
          <w:color w:val="auto"/>
        </w:rPr>
        <w:tab/>
      </w:r>
      <w:r>
        <w:rPr>
          <w:rFonts w:ascii="Arial" w:cs="Arial" w:eastAsia="Arial" w:hAnsi="Arial"/>
          <w:sz w:val="15"/>
          <w:szCs w:val="15"/>
          <w:u w:val="single" w:color="auto"/>
          <w:color w:val="0000EE"/>
        </w:rPr>
        <w:t>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03"/>
        </w:trPr>
        <w:tc>
          <w:tcPr>
            <w:tcW w:w="920" w:type="dxa"/>
            <w:vAlign w:val="bottom"/>
            <w:gridSpan w:val="3"/>
          </w:tcPr>
          <w:p>
            <w:pPr>
              <w:spacing w:after="0" w:line="203" w:lineRule="exact"/>
              <w:rPr>
                <w:sz w:val="20"/>
                <w:szCs w:val="20"/>
                <w:color w:val="auto"/>
              </w:rPr>
            </w:pPr>
            <w:r>
              <w:rPr>
                <w:rFonts w:ascii="Arial" w:cs="Arial" w:eastAsia="Arial" w:hAnsi="Arial"/>
                <w:sz w:val="18"/>
                <w:szCs w:val="18"/>
                <w:color w:val="0000EE"/>
              </w:rPr>
              <w:t>Item 1 —</w:t>
            </w:r>
          </w:p>
        </w:tc>
        <w:tc>
          <w:tcPr>
            <w:tcW w:w="4440" w:type="dxa"/>
            <w:vAlign w:val="bottom"/>
            <w:gridSpan w:val="7"/>
          </w:tcPr>
          <w:p>
            <w:pPr>
              <w:ind w:left="100"/>
              <w:spacing w:after="0" w:line="203" w:lineRule="exact"/>
              <w:rPr>
                <w:sz w:val="20"/>
                <w:szCs w:val="20"/>
                <w:color w:val="auto"/>
              </w:rPr>
            </w:pPr>
            <w:r>
              <w:rPr>
                <w:rFonts w:ascii="Arial" w:cs="Arial" w:eastAsia="Arial" w:hAnsi="Arial"/>
                <w:sz w:val="18"/>
                <w:szCs w:val="18"/>
                <w:color w:val="0000EE"/>
              </w:rPr>
              <w:t>Legal Proceedings</w:t>
            </w: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0" w:type="dxa"/>
            <w:vAlign w:val="bottom"/>
            <w:gridSpan w:val="3"/>
          </w:tcPr>
          <w:p>
            <w:pPr>
              <w:spacing w:after="0" w:line="196" w:lineRule="exact"/>
              <w:rPr>
                <w:sz w:val="20"/>
                <w:szCs w:val="20"/>
                <w:color w:val="auto"/>
              </w:rPr>
            </w:pPr>
            <w:r>
              <w:rPr>
                <w:rFonts w:ascii="Arial" w:cs="Arial" w:eastAsia="Arial" w:hAnsi="Arial"/>
                <w:sz w:val="18"/>
                <w:szCs w:val="18"/>
                <w:color w:val="0000EE"/>
              </w:rPr>
              <w:t>Item 1A —</w:t>
            </w:r>
          </w:p>
        </w:tc>
        <w:tc>
          <w:tcPr>
            <w:tcW w:w="4440" w:type="dxa"/>
            <w:vAlign w:val="bottom"/>
            <w:gridSpan w:val="7"/>
          </w:tcPr>
          <w:p>
            <w:pPr>
              <w:ind w:left="100"/>
              <w:spacing w:after="0" w:line="196" w:lineRule="exact"/>
              <w:rPr>
                <w:sz w:val="20"/>
                <w:szCs w:val="20"/>
                <w:color w:val="auto"/>
              </w:rPr>
            </w:pPr>
            <w:r>
              <w:rPr>
                <w:rFonts w:ascii="Arial" w:cs="Arial" w:eastAsia="Arial" w:hAnsi="Arial"/>
                <w:sz w:val="18"/>
                <w:szCs w:val="18"/>
                <w:color w:val="0000EE"/>
              </w:rPr>
              <w:t>Risk Factors</w:t>
            </w:r>
          </w:p>
        </w:tc>
      </w:tr>
      <w:tr>
        <w:trPr>
          <w:trHeight w:val="20"/>
        </w:trPr>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0000EE"/>
              </w:rPr>
              <w:t>Item 2 —</w:t>
            </w:r>
          </w:p>
        </w:tc>
        <w:tc>
          <w:tcPr>
            <w:tcW w:w="120" w:type="dxa"/>
            <w:vAlign w:val="bottom"/>
          </w:tcPr>
          <w:p>
            <w:pPr>
              <w:spacing w:after="0"/>
              <w:rPr>
                <w:sz w:val="17"/>
                <w:szCs w:val="17"/>
                <w:color w:val="auto"/>
              </w:rPr>
            </w:pPr>
          </w:p>
        </w:tc>
        <w:tc>
          <w:tcPr>
            <w:tcW w:w="4440" w:type="dxa"/>
            <w:vAlign w:val="bottom"/>
            <w:gridSpan w:val="7"/>
          </w:tcPr>
          <w:p>
            <w:pPr>
              <w:ind w:left="100"/>
              <w:spacing w:after="0" w:line="196" w:lineRule="exact"/>
              <w:rPr>
                <w:sz w:val="20"/>
                <w:szCs w:val="20"/>
                <w:color w:val="auto"/>
              </w:rPr>
            </w:pPr>
            <w:r>
              <w:rPr>
                <w:rFonts w:ascii="Arial" w:cs="Arial" w:eastAsia="Arial" w:hAnsi="Arial"/>
                <w:sz w:val="18"/>
                <w:szCs w:val="18"/>
                <w:color w:val="0000EE"/>
                <w:w w:val="89"/>
              </w:rPr>
              <w:t>Unregistered Sales of Equity Securities and Use of Proceeds</w:t>
            </w: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r>
      <w:tr>
        <w:trPr>
          <w:trHeight w:val="196"/>
        </w:trPr>
        <w:tc>
          <w:tcPr>
            <w:tcW w:w="920" w:type="dxa"/>
            <w:vAlign w:val="bottom"/>
            <w:gridSpan w:val="3"/>
          </w:tcPr>
          <w:p>
            <w:pPr>
              <w:spacing w:after="0" w:line="196" w:lineRule="exact"/>
              <w:rPr>
                <w:sz w:val="20"/>
                <w:szCs w:val="20"/>
                <w:color w:val="auto"/>
              </w:rPr>
            </w:pPr>
            <w:r>
              <w:rPr>
                <w:rFonts w:ascii="Arial" w:cs="Arial" w:eastAsia="Arial" w:hAnsi="Arial"/>
                <w:sz w:val="18"/>
                <w:szCs w:val="18"/>
                <w:color w:val="0000EE"/>
              </w:rPr>
              <w:t>Item 3 —</w:t>
            </w:r>
          </w:p>
        </w:tc>
        <w:tc>
          <w:tcPr>
            <w:tcW w:w="4440" w:type="dxa"/>
            <w:vAlign w:val="bottom"/>
            <w:gridSpan w:val="7"/>
          </w:tcPr>
          <w:p>
            <w:pPr>
              <w:ind w:left="100"/>
              <w:spacing w:after="0" w:line="196" w:lineRule="exact"/>
              <w:rPr>
                <w:sz w:val="20"/>
                <w:szCs w:val="20"/>
                <w:color w:val="auto"/>
              </w:rPr>
            </w:pPr>
            <w:r>
              <w:rPr>
                <w:rFonts w:ascii="Arial" w:cs="Arial" w:eastAsia="Arial" w:hAnsi="Arial"/>
                <w:sz w:val="18"/>
                <w:szCs w:val="18"/>
                <w:color w:val="0000EE"/>
              </w:rPr>
              <w:t>Defaults Upon Senior Securities</w:t>
            </w: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0" w:type="dxa"/>
            <w:vAlign w:val="bottom"/>
            <w:gridSpan w:val="3"/>
          </w:tcPr>
          <w:p>
            <w:pPr>
              <w:spacing w:after="0" w:line="196" w:lineRule="exact"/>
              <w:rPr>
                <w:sz w:val="20"/>
                <w:szCs w:val="20"/>
                <w:color w:val="auto"/>
              </w:rPr>
            </w:pPr>
            <w:r>
              <w:rPr>
                <w:rFonts w:ascii="Arial" w:cs="Arial" w:eastAsia="Arial" w:hAnsi="Arial"/>
                <w:sz w:val="18"/>
                <w:szCs w:val="18"/>
                <w:color w:val="0000EE"/>
              </w:rPr>
              <w:t>Item 4 —</w:t>
            </w:r>
          </w:p>
        </w:tc>
        <w:tc>
          <w:tcPr>
            <w:tcW w:w="4440" w:type="dxa"/>
            <w:vAlign w:val="bottom"/>
            <w:gridSpan w:val="7"/>
          </w:tcPr>
          <w:p>
            <w:pPr>
              <w:ind w:left="100"/>
              <w:spacing w:after="0" w:line="196" w:lineRule="exact"/>
              <w:rPr>
                <w:sz w:val="20"/>
                <w:szCs w:val="20"/>
                <w:color w:val="auto"/>
              </w:rPr>
            </w:pPr>
            <w:r>
              <w:rPr>
                <w:rFonts w:ascii="Arial" w:cs="Arial" w:eastAsia="Arial" w:hAnsi="Arial"/>
                <w:sz w:val="18"/>
                <w:szCs w:val="18"/>
                <w:color w:val="0000EE"/>
              </w:rPr>
              <w:t>Mine Safety Disclosures</w:t>
            </w: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r>
      <w:tr>
        <w:trPr>
          <w:trHeight w:val="196"/>
        </w:trPr>
        <w:tc>
          <w:tcPr>
            <w:tcW w:w="920" w:type="dxa"/>
            <w:vAlign w:val="bottom"/>
            <w:gridSpan w:val="3"/>
          </w:tcPr>
          <w:p>
            <w:pPr>
              <w:spacing w:after="0" w:line="196" w:lineRule="exact"/>
              <w:rPr>
                <w:sz w:val="20"/>
                <w:szCs w:val="20"/>
                <w:color w:val="auto"/>
              </w:rPr>
            </w:pPr>
            <w:r>
              <w:rPr>
                <w:rFonts w:ascii="Arial" w:cs="Arial" w:eastAsia="Arial" w:hAnsi="Arial"/>
                <w:sz w:val="18"/>
                <w:szCs w:val="18"/>
                <w:color w:val="0000EE"/>
              </w:rPr>
              <w:t>Item 5 —</w:t>
            </w:r>
          </w:p>
        </w:tc>
        <w:tc>
          <w:tcPr>
            <w:tcW w:w="4440" w:type="dxa"/>
            <w:vAlign w:val="bottom"/>
            <w:gridSpan w:val="7"/>
          </w:tcPr>
          <w:p>
            <w:pPr>
              <w:ind w:left="100"/>
              <w:spacing w:after="0" w:line="196" w:lineRule="exact"/>
              <w:rPr>
                <w:sz w:val="20"/>
                <w:szCs w:val="20"/>
                <w:color w:val="auto"/>
              </w:rPr>
            </w:pPr>
            <w:r>
              <w:rPr>
                <w:rFonts w:ascii="Arial" w:cs="Arial" w:eastAsia="Arial" w:hAnsi="Arial"/>
                <w:sz w:val="18"/>
                <w:szCs w:val="18"/>
                <w:color w:val="0000EE"/>
              </w:rPr>
              <w:t>Other Information</w:t>
            </w: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r>
      <w:tr>
        <w:trPr>
          <w:trHeight w:val="196"/>
        </w:trPr>
        <w:tc>
          <w:tcPr>
            <w:tcW w:w="920" w:type="dxa"/>
            <w:vAlign w:val="bottom"/>
            <w:gridSpan w:val="3"/>
          </w:tcPr>
          <w:p>
            <w:pPr>
              <w:spacing w:after="0" w:line="196" w:lineRule="exact"/>
              <w:rPr>
                <w:sz w:val="20"/>
                <w:szCs w:val="20"/>
                <w:color w:val="auto"/>
              </w:rPr>
            </w:pPr>
            <w:r>
              <w:rPr>
                <w:rFonts w:ascii="Arial" w:cs="Arial" w:eastAsia="Arial" w:hAnsi="Arial"/>
                <w:sz w:val="18"/>
                <w:szCs w:val="18"/>
                <w:color w:val="0000EE"/>
              </w:rPr>
              <w:t>Item 6 —</w:t>
            </w:r>
          </w:p>
        </w:tc>
        <w:tc>
          <w:tcPr>
            <w:tcW w:w="4440" w:type="dxa"/>
            <w:vAlign w:val="bottom"/>
            <w:gridSpan w:val="7"/>
          </w:tcPr>
          <w:p>
            <w:pPr>
              <w:ind w:left="100"/>
              <w:spacing w:after="0" w:line="196" w:lineRule="exact"/>
              <w:rPr>
                <w:sz w:val="20"/>
                <w:szCs w:val="20"/>
                <w:color w:val="auto"/>
              </w:rPr>
            </w:pPr>
            <w:r>
              <w:rPr>
                <w:rFonts w:ascii="Arial" w:cs="Arial" w:eastAsia="Arial" w:hAnsi="Arial"/>
                <w:sz w:val="18"/>
                <w:szCs w:val="18"/>
                <w:color w:val="0000EE"/>
              </w:rPr>
              <w:t>Exhibits</w:t>
            </w:r>
          </w:p>
        </w:tc>
      </w:tr>
      <w:tr>
        <w:trPr>
          <w:trHeight w:val="20"/>
        </w:trPr>
        <w:tc>
          <w:tcPr>
            <w:tcW w:w="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8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Signatures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5</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8-9</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43</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77</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77</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6"/>
          <w:szCs w:val="16"/>
          <w:color w:val="auto"/>
        </w:rPr>
        <w:t>78</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78</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78</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78</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78</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78</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79</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80</w:t>
      </w:r>
    </w:p>
    <w:p>
      <w:pPr>
        <w:spacing w:after="0" w:line="1716" w:lineRule="exact"/>
        <w:rPr>
          <w:sz w:val="20"/>
          <w:szCs w:val="20"/>
          <w:color w:val="auto"/>
        </w:rPr>
      </w:pPr>
    </w:p>
    <w:p>
      <w:pPr>
        <w:sectPr>
          <w:pgSz w:w="11900" w:h="16900" w:orient="portrait"/>
          <w:cols w:equalWidth="0" w:num="2">
            <w:col w:w="10180" w:space="720"/>
            <w:col w:w="340"/>
          </w:cols>
          <w:pgMar w:left="320" w:top="121" w:right="339" w:bottom="0" w:gutter="0" w:footer="0" w:header="0"/>
        </w:sectPr>
      </w:pPr>
    </w:p>
    <w:p>
      <w:pPr>
        <w:spacing w:after="0" w:line="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Quarterly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Private Securities Litigation Reform Act of 1995. The events described in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2022, Part I, Item 2 of this Quarterly Report and Part II, Item 1A of this Quarterly Report.</w:t>
      </w:r>
    </w:p>
    <w:p>
      <w:pPr>
        <w:spacing w:after="0" w:line="21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June 30,</w:t>
            </w:r>
          </w:p>
        </w:tc>
        <w:tc>
          <w:tcPr>
            <w:tcW w:w="122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Fixed-maturity securities, held-to-maturity, at amortized cost (fair value of $6,266,115 at June 30, 2023 and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$6,600,388 at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7,305,031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7,766,140</w:t>
            </w:r>
          </w:p>
        </w:tc>
        <w:tc>
          <w:tcPr>
            <w:tcW w:w="0" w:type="dxa"/>
            <w:vAlign w:val="bottom"/>
          </w:tcPr>
          <w:p>
            <w:pPr>
              <w:spacing w:after="0"/>
              <w:rPr>
                <w:sz w:val="1"/>
                <w:szCs w:val="1"/>
                <w:color w:val="auto"/>
              </w:rPr>
            </w:pPr>
          </w:p>
        </w:tc>
      </w:tr>
      <w:tr>
        <w:trPr>
          <w:trHeight w:val="202"/>
        </w:trPr>
        <w:tc>
          <w:tcPr>
            <w:tcW w:w="8700" w:type="dxa"/>
            <w:vAlign w:val="bottom"/>
          </w:tcPr>
          <w:p>
            <w:pPr>
              <w:ind w:left="220"/>
              <w:spacing w:after="0" w:line="201" w:lineRule="exact"/>
              <w:rPr>
                <w:sz w:val="20"/>
                <w:szCs w:val="20"/>
                <w:color w:val="auto"/>
              </w:rPr>
            </w:pPr>
            <w:r>
              <w:rPr>
                <w:rFonts w:ascii="Arial" w:cs="Arial" w:eastAsia="Arial" w:hAnsi="Arial"/>
                <w:sz w:val="18"/>
                <w:szCs w:val="18"/>
                <w:color w:val="auto"/>
                <w:w w:val="96"/>
              </w:rPr>
              <w:t>Fixed-maturity securities, available-for-sale, at fair value (amortized cost of$156,710,463 at June 30, 2023 and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$174,918,427 at December 31, 2022)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137,855,117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154,715,163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Equity securities, at fair value (cost of $17,986,783 at June 30, 2023 and $18,086,700 at December 31, 2022)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14,410,482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13,834,390</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3,549,540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2,771,652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163,120,170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179,087,345</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12,286,424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11,958,228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12,572,834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13,880,504</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76,579,488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66,465,061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21,440,158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23,819,453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9,853,831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10,541,935</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11,338,476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10,331,158</w:t>
            </w:r>
          </w:p>
        </w:tc>
        <w:tc>
          <w:tcPr>
            <w:tcW w:w="0" w:type="dxa"/>
            <w:vAlign w:val="bottom"/>
          </w:tcPr>
          <w:p>
            <w:pPr>
              <w:spacing w:after="0"/>
              <w:rPr>
                <w:sz w:val="1"/>
                <w:szCs w:val="1"/>
                <w:color w:val="auto"/>
              </w:rPr>
            </w:pPr>
          </w:p>
        </w:tc>
      </w:tr>
      <w:tr>
        <w:trPr>
          <w:trHeight w:val="90"/>
        </w:trPr>
        <w:tc>
          <w:tcPr>
            <w:tcW w:w="8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type w:val="continuous"/>
        </w:sectPr>
      </w:pPr>
    </w:p>
    <w:bookmarkStart w:id="2" w:name="page3"/>
    <w:bookmarkEnd w:id="2"/>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3,657,664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3,748,847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311,349,045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320,332,531</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117,561,610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118,339,513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101,914,895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107,492,777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6,511,181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2,839,028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13,684,595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13,061,966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9,690,160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10,619,569</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4,699,562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6,651,723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25,201,826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25,158,523</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279,263,829</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284,163,099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$0.01 par value; authorized 2,500,000 shares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tcPr>
          <w:p>
            <w:pPr>
              <w:ind w:left="220"/>
              <w:spacing w:after="0" w:line="201" w:lineRule="exact"/>
              <w:rPr>
                <w:sz w:val="20"/>
                <w:szCs w:val="20"/>
                <w:color w:val="auto"/>
              </w:rPr>
            </w:pPr>
            <w:r>
              <w:rPr>
                <w:rFonts w:ascii="Arial" w:cs="Arial" w:eastAsia="Arial" w:hAnsi="Arial"/>
                <w:sz w:val="18"/>
                <w:szCs w:val="18"/>
                <w:color w:val="auto"/>
                <w:w w:val="94"/>
              </w:rPr>
              <w:t>Common stock, $0.01 par value; authorized 20,000,000 shares; issued 12,227,562 shares at June 30, 2023 and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w w:val="90"/>
              </w:rPr>
              <w:t>12,171,512 shares at December 31, 2022; outstanding 10,756,156 shares at June 30, 2023 and 10,700,106 shares at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122,275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121,715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in excess of par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74,946,685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74,519,590</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(14,893,572)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(15,958,428)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(22,522,691)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(16,945,964)</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37,652,697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41,736,913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1,471,406 shares at June 30, 2023 and December 31, 2022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(5,567,481)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(5,567,481)</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32,085,216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36,169,432</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311,349,045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320,332,531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gridSpan w:val="5"/>
          </w:tcPr>
          <w:p>
            <w:pPr>
              <w:jc w:val="right"/>
              <w:ind w:right="300"/>
              <w:spacing w:after="0" w:line="191" w:lineRule="exact"/>
              <w:rPr>
                <w:sz w:val="20"/>
                <w:szCs w:val="20"/>
                <w:color w:val="auto"/>
              </w:rPr>
            </w:pPr>
            <w:r>
              <w:rPr>
                <w:rFonts w:ascii="Arial" w:cs="Arial" w:eastAsia="Arial" w:hAnsi="Arial"/>
                <w:sz w:val="18"/>
                <w:szCs w:val="18"/>
                <w:b w:val="1"/>
                <w:bCs w:val="1"/>
                <w:color w:val="auto"/>
                <w:w w:val="91"/>
              </w:rPr>
              <w:t>For the Three Months Ended</w:t>
            </w:r>
          </w:p>
        </w:tc>
        <w:tc>
          <w:tcPr>
            <w:tcW w:w="1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5"/>
          </w:tcPr>
          <w:p>
            <w:pPr>
              <w:jc w:val="right"/>
              <w:ind w:right="300"/>
              <w:spacing w:after="0" w:line="191" w:lineRule="exact"/>
              <w:rPr>
                <w:sz w:val="20"/>
                <w:szCs w:val="20"/>
                <w:color w:val="auto"/>
              </w:rPr>
            </w:pPr>
            <w:r>
              <w:rPr>
                <w:rFonts w:ascii="Arial" w:cs="Arial" w:eastAsia="Arial" w:hAnsi="Arial"/>
                <w:sz w:val="18"/>
                <w:szCs w:val="18"/>
                <w:b w:val="1"/>
                <w:bCs w:val="1"/>
                <w:color w:val="auto"/>
                <w:w w:val="93"/>
              </w:rPr>
              <w:t>For the Six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29,508,196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27,902,068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57,763,149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54,575,448</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Ceding commission revenue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5,412,210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4,715,587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10,857,617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9,396,983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1,451,356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634,325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2,992,848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1,993,425</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Net gains (losses) on investments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197,142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(4,517,373)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1,422,013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(8,915,778)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151,084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244,643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312,124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480,467</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36,719,988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28,979,250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73,347,751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57,530,545</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19,580,702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18,656,041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44,620,112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41,597,239</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8,471,182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8,481,031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17,010,944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16,832,117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6,683,638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6,624,997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13,555,257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13,440,946</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763,414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665,815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1,426,048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1,547,770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778,502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877,263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1,586,632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1,647,373</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1,005,974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2,015,865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913,090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37,283,412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35,761,692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80,214,858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75,978,535</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operations before taxes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(563,424)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(6,782,442)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(6,867,107)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(18,447,990)</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(41,407)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(1,402,823)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(1,290,380)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(3,870,839)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(522,017)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(5,379,619)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(5,576,727)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(14,577,151)</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Gross change in unrealized (losses) gains on available-for-sale-securities</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(1,132,528)</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(7,642,863)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1,334,898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(17,508,640)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Reclassification adjustment for losses included in net loss</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10,381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10,356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13,020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51,680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Net change in unrealized (losses) gains, on available-for-sale-securities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(1,122,147)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(7,632,507)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1,347,918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(17,456,960)</w:t>
            </w:r>
          </w:p>
        </w:tc>
        <w:tc>
          <w:tcPr>
            <w:tcW w:w="0" w:type="dxa"/>
            <w:vAlign w:val="bottom"/>
          </w:tcPr>
          <w:p>
            <w:pPr>
              <w:spacing w:after="0"/>
              <w:rPr>
                <w:sz w:val="1"/>
                <w:szCs w:val="1"/>
                <w:color w:val="auto"/>
              </w:rPr>
            </w:pPr>
          </w:p>
        </w:tc>
      </w:tr>
      <w:tr>
        <w:trPr>
          <w:trHeight w:val="202"/>
        </w:trPr>
        <w:tc>
          <w:tcPr>
            <w:tcW w:w="6060" w:type="dxa"/>
            <w:vAlign w:val="bottom"/>
          </w:tcPr>
          <w:p>
            <w:pPr>
              <w:ind w:left="180"/>
              <w:spacing w:after="0" w:line="201" w:lineRule="exact"/>
              <w:rPr>
                <w:sz w:val="20"/>
                <w:szCs w:val="20"/>
                <w:color w:val="auto"/>
              </w:rPr>
            </w:pPr>
            <w:r>
              <w:rPr>
                <w:rFonts w:ascii="Arial" w:cs="Arial" w:eastAsia="Arial" w:hAnsi="Arial"/>
                <w:sz w:val="18"/>
                <w:szCs w:val="18"/>
                <w:color w:val="auto"/>
                <w:w w:val="97"/>
              </w:rPr>
              <w:t>Income tax benefit (expense) related to items of other comprehensive (loss)</w:t>
            </w:r>
          </w:p>
        </w:tc>
        <w:tc>
          <w:tcPr>
            <w:tcW w:w="8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235,651</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1,602,827</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(283,062)</w:t>
            </w:r>
          </w:p>
        </w:tc>
        <w:tc>
          <w:tcPr>
            <w:tcW w:w="22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3,665,963</w:t>
            </w:r>
          </w:p>
        </w:tc>
        <w:tc>
          <w:tcPr>
            <w:tcW w:w="0" w:type="dxa"/>
            <w:vAlign w:val="bottom"/>
          </w:tcPr>
          <w:p>
            <w:pPr>
              <w:spacing w:after="0"/>
              <w:rPr>
                <w:sz w:val="1"/>
                <w:szCs w:val="1"/>
                <w:color w:val="auto"/>
              </w:rPr>
            </w:pPr>
          </w:p>
        </w:tc>
      </w:t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(886,496)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(6,029,680)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1,064,856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(13,790,997)</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(1,408,513)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(11,409,299)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(4,511,871)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(28,368,148)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43" w:orient="portrait"/>
          <w:cols w:equalWidth="0" w:num="1">
            <w:col w:w="11240"/>
          </w:cols>
          <w:pgMar w:left="320" w:top="140" w:right="339" w:bottom="0" w:gutter="0" w:footer="0" w:header="0"/>
        </w:sectPr>
      </w:pPr>
    </w:p>
    <w:p>
      <w:pPr>
        <w:spacing w:after="0"/>
        <w:rPr>
          <w:sz w:val="20"/>
          <w:szCs w:val="20"/>
          <w:color w:val="auto"/>
        </w:rPr>
      </w:pPr>
      <w:r>
        <w:rPr>
          <w:rFonts w:ascii="Arial" w:cs="Arial" w:eastAsia="Arial" w:hAnsi="Arial"/>
          <w:sz w:val="15"/>
          <w:szCs w:val="15"/>
          <w:b w:val="1"/>
          <w:bCs w:val="1"/>
          <w:color w:val="auto"/>
        </w:rPr>
        <w:t>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4620"/>
                    </a:xfrm>
                    <a:prstGeom prst="rect">
                      <a:avLst/>
                    </a:prstGeom>
                    <a:noFill/>
                  </pic:spPr>
                </pic:pic>
              </a:graphicData>
            </a:graphic>
          </wp:anchor>
        </w:drawing>
      </w:r>
    </w:p>
    <w:p>
      <w:pPr>
        <w:sectPr>
          <w:pgSz w:w="11900" w:h="16843" w:orient="portrait"/>
          <w:cols w:equalWidth="0" w:num="1">
            <w:col w:w="11240"/>
          </w:cols>
          <w:pgMar w:left="320" w:top="140"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0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(0.52)</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(1.37)</w:t>
            </w:r>
          </w:p>
        </w:tc>
      </w:tr>
      <w:tr>
        <w:trPr>
          <w:trHeight w:val="197"/>
        </w:trPr>
        <w:tc>
          <w:tcPr>
            <w:tcW w:w="60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10,755,848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10,644,578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10,753,974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10,637,553</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9"/>
              </w:rPr>
              <w:t>10,755,848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7"/>
              </w:rPr>
              <w:t>10,644,578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97"/>
              </w:rPr>
              <w:t>10,753,974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10,637,553</w:t>
            </w:r>
          </w:p>
        </w:tc>
      </w:tr>
      <w:tr>
        <w:trPr>
          <w:trHeight w:val="197"/>
        </w:trPr>
        <w:tc>
          <w:tcPr>
            <w:tcW w:w="60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5"/>
              </w:rPr>
              <w:t>Preferred Stock</w:t>
            </w:r>
          </w:p>
        </w:tc>
        <w:tc>
          <w:tcPr>
            <w:tcW w:w="200" w:type="dxa"/>
            <w:vAlign w:val="bottom"/>
          </w:tcPr>
          <w:p>
            <w:pPr>
              <w:spacing w:after="0"/>
              <w:rPr>
                <w:sz w:val="19"/>
                <w:szCs w:val="19"/>
                <w:color w:val="auto"/>
              </w:rPr>
            </w:pPr>
          </w:p>
        </w:tc>
        <w:tc>
          <w:tcPr>
            <w:tcW w:w="1940" w:type="dxa"/>
            <w:vAlign w:val="bottom"/>
            <w:gridSpan w:val="4"/>
            <w:vMerge w:val="restart"/>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in Excess</w:t>
            </w: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Comprehensive</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2040" w:type="dxa"/>
            <w:vAlign w:val="bottom"/>
            <w:gridSpan w:val="5"/>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of Par</w:t>
            </w: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April 1, 2022</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12,109,307</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$ 121,093</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$ 72,638,286</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(5,964,578)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(2,767,126)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1,471,406</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 (5,567,481)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$ 58,460,194</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486,029</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486,029</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12,149</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(4,375)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(21,681)</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(425,776)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(425,776)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(5,379,619)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(5,379,619)</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unrealized</w:t>
            </w: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losses on</w:t>
            </w: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available-for-</w:t>
            </w: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securities, net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left w:val="single" w:sz="8" w:color="CCEEFF"/>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(6,029,680)</w:t>
            </w:r>
          </w:p>
        </w:tc>
        <w:tc>
          <w:tcPr>
            <w:tcW w:w="16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(6,029,680)</w:t>
            </w:r>
          </w:p>
        </w:tc>
        <w:tc>
          <w:tcPr>
            <w:tcW w:w="0" w:type="dxa"/>
            <w:vAlign w:val="bottom"/>
          </w:tcPr>
          <w:p>
            <w:pPr>
              <w:spacing w:after="0"/>
              <w:rPr>
                <w:sz w:val="1"/>
                <w:szCs w:val="1"/>
                <w:color w:val="auto"/>
              </w:rPr>
            </w:pPr>
          </w:p>
        </w:tc>
      </w:tr>
      <w:tr>
        <w:trPr>
          <w:trHeight w:val="21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62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left w:val="single" w:sz="8" w:color="CCEEFF"/>
            </w:tcBorders>
            <w:vMerge w:val="continue"/>
            <w:shd w:val="clear" w:color="auto" w:fill="CCEEFF"/>
          </w:tcPr>
          <w:p>
            <w:pPr>
              <w:spacing w:after="0"/>
              <w:rPr>
                <w:sz w:val="18"/>
                <w:szCs w:val="18"/>
                <w:color w:val="auto"/>
              </w:rPr>
            </w:pPr>
          </w:p>
        </w:tc>
        <w:tc>
          <w:tcPr>
            <w:tcW w:w="1040" w:type="dxa"/>
            <w:vAlign w:val="bottom"/>
            <w:tcBorders>
              <w:right w:val="single" w:sz="8" w:color="CCEEFF"/>
            </w:tcBorders>
            <w:gridSpan w:val="2"/>
            <w:vMerge w:val="continue"/>
            <w:shd w:val="clear" w:color="auto" w:fill="CCEEFF"/>
          </w:tcPr>
          <w:p>
            <w:pPr>
              <w:spacing w:after="0"/>
              <w:rPr>
                <w:sz w:val="18"/>
                <w:szCs w:val="18"/>
                <w:color w:val="auto"/>
              </w:rPr>
            </w:pPr>
          </w:p>
        </w:tc>
        <w:tc>
          <w:tcPr>
            <w:tcW w:w="900" w:type="dxa"/>
            <w:vAlign w:val="bottom"/>
            <w:tcBorders>
              <w:right w:val="single" w:sz="8" w:color="CCEEFF"/>
            </w:tcBorders>
            <w:gridSpan w:val="2"/>
            <w:vMerge w:val="continue"/>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line="195" w:lineRule="exact"/>
              <w:rPr>
                <w:sz w:val="20"/>
                <w:szCs w:val="20"/>
                <w:color w:val="auto"/>
              </w:rPr>
            </w:pPr>
            <w:r>
              <w:rPr>
                <w:rFonts w:ascii="Arial" w:cs="Arial" w:eastAsia="Arial" w:hAnsi="Arial"/>
                <w:sz w:val="18"/>
                <w:szCs w:val="18"/>
                <w:color w:val="auto"/>
                <w:w w:val="92"/>
              </w:rPr>
              <w:t>Balance, June</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45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12,117,081</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87"/>
              </w:rPr>
              <w:t>$ 121,171</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83"/>
              </w:rPr>
              <w:t>$ 73,102,513</w:t>
            </w:r>
          </w:p>
        </w:tc>
        <w:tc>
          <w:tcPr>
            <w:tcW w:w="200" w:type="dxa"/>
            <w:vAlign w:val="bottom"/>
            <w:vMerge w:val="restart"/>
          </w:tcPr>
          <w:p>
            <w:pPr>
              <w:jc w:val="right"/>
              <w:ind w:right="37"/>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9"/>
              </w:rPr>
              <w:t>(11,994,258)</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(8,572,521)</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7"/>
              </w:rPr>
              <w:t>1,471,406</w:t>
            </w:r>
          </w:p>
        </w:tc>
        <w:tc>
          <w:tcPr>
            <w:tcW w:w="11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w w:val="95"/>
              </w:rPr>
              <w:t>$ (5,567,481)</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5"/>
              </w:rPr>
              <w:t>$ 47,089,424</w:t>
            </w:r>
          </w:p>
        </w:tc>
        <w:tc>
          <w:tcPr>
            <w:tcW w:w="0" w:type="dxa"/>
            <w:vAlign w:val="bottom"/>
          </w:tcPr>
          <w:p>
            <w:pPr>
              <w:spacing w:after="0"/>
              <w:rPr>
                <w:sz w:val="1"/>
                <w:szCs w:val="1"/>
                <w:color w:val="auto"/>
              </w:rPr>
            </w:pP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30, 2022</w:t>
            </w:r>
          </w:p>
        </w:tc>
        <w:tc>
          <w:tcPr>
            <w:tcW w:w="6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Preferred Stock</w:t>
            </w:r>
          </w:p>
        </w:tc>
        <w:tc>
          <w:tcPr>
            <w:tcW w:w="200" w:type="dxa"/>
            <w:vAlign w:val="bottom"/>
          </w:tcPr>
          <w:p>
            <w:pPr>
              <w:spacing w:after="0"/>
              <w:rPr>
                <w:sz w:val="20"/>
                <w:szCs w:val="20"/>
                <w:color w:val="auto"/>
              </w:rPr>
            </w:pPr>
          </w:p>
        </w:tc>
        <w:tc>
          <w:tcPr>
            <w:tcW w:w="19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in Excess</w:t>
            </w: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Comprehensive</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20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of Par</w:t>
            </w: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April 1, 2023</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12,231,965</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$ 122,320</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$ 74,734,915</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(14,007,076)</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 (22,000,674)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1,471,406</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 (5,567,481)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$ 33,282,004</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212,288</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212,288</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(522,017)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(522,017)</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Change in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(886,496)</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(886,496)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unrealized</w:t>
            </w: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gains on</w:t>
            </w: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available-for-</w:t>
            </w: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sale</w:t>
            </w: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securities, net</w:t>
            </w: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of tax</w:t>
            </w: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Balance, June</w:t>
            </w:r>
          </w:p>
        </w:tc>
        <w:tc>
          <w:tcPr>
            <w:tcW w:w="840" w:type="dxa"/>
            <w:vAlign w:val="bottom"/>
            <w:vMerge w:val="restart"/>
          </w:tcPr>
          <w:p>
            <w:pPr>
              <w:jc w:val="right"/>
              <w:ind w:right="190"/>
              <w:spacing w:after="0"/>
              <w:rPr>
                <w:sz w:val="20"/>
                <w:szCs w:val="20"/>
                <w:color w:val="auto"/>
              </w:rPr>
            </w:pPr>
            <w:r>
              <w:rPr>
                <w:rFonts w:ascii="Arial" w:cs="Arial" w:eastAsia="Arial" w:hAnsi="Arial"/>
                <w:sz w:val="18"/>
                <w:szCs w:val="18"/>
                <w:color w:val="auto"/>
              </w:rPr>
              <w:t>-  $</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12,227,562</w:t>
            </w:r>
          </w:p>
        </w:tc>
        <w:tc>
          <w:tcPr>
            <w:tcW w:w="88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97"/>
              </w:rPr>
              <w:t>$ 122,275</w:t>
            </w:r>
          </w:p>
        </w:tc>
        <w:tc>
          <w:tcPr>
            <w:tcW w:w="108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93"/>
              </w:rPr>
              <w:t>$ 74,946,685</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w w:val="92"/>
              </w:rPr>
              <w:t>$(14,893,572)</w:t>
            </w:r>
          </w:p>
        </w:tc>
        <w:tc>
          <w:tcPr>
            <w:tcW w:w="214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93"/>
              </w:rPr>
              <w:t>$ (22,522,691</w:t>
            </w:r>
            <w:r>
              <w:rPr>
                <w:rFonts w:ascii="Arial" w:cs="Arial" w:eastAsia="Arial" w:hAnsi="Arial"/>
                <w:sz w:val="18"/>
                <w:szCs w:val="18"/>
                <w:color w:val="auto"/>
                <w:w w:val="93"/>
              </w:rPr>
              <w:t xml:space="preserve">)    </w:t>
            </w:r>
            <w:r>
              <w:rPr>
                <w:rFonts w:ascii="Arial" w:cs="Arial" w:eastAsia="Arial" w:hAnsi="Arial"/>
                <w:sz w:val="18"/>
                <w:szCs w:val="18"/>
                <w:u w:val="single" w:color="auto"/>
                <w:color w:val="auto"/>
                <w:w w:val="93"/>
              </w:rPr>
              <w:t>1,471,406</w:t>
            </w:r>
          </w:p>
        </w:tc>
        <w:tc>
          <w:tcPr>
            <w:tcW w:w="208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92"/>
              </w:rPr>
              <w:t>$ (5,567,481</w:t>
            </w:r>
            <w:r>
              <w:rPr>
                <w:rFonts w:ascii="Arial" w:cs="Arial" w:eastAsia="Arial" w:hAnsi="Arial"/>
                <w:sz w:val="18"/>
                <w:szCs w:val="18"/>
                <w:color w:val="auto"/>
                <w:w w:val="92"/>
              </w:rPr>
              <w:t xml:space="preserve">)  </w:t>
            </w:r>
            <w:r>
              <w:rPr>
                <w:rFonts w:ascii="Arial" w:cs="Arial" w:eastAsia="Arial" w:hAnsi="Arial"/>
                <w:sz w:val="18"/>
                <w:szCs w:val="18"/>
                <w:u w:val="single" w:color="auto"/>
                <w:color w:val="auto"/>
                <w:w w:val="92"/>
              </w:rPr>
              <w:t>$ 32,085,216</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30, 2023</w:t>
            </w:r>
          </w:p>
        </w:tc>
        <w:tc>
          <w:tcPr>
            <w:tcW w:w="84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2140" w:type="dxa"/>
            <w:vAlign w:val="bottom"/>
            <w:vMerge w:val="continue"/>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Retained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900" w:type="dxa"/>
            <w:vAlign w:val="bottom"/>
            <w:gridSpan w:val="4"/>
            <w:vMerge w:val="restart"/>
          </w:tcPr>
          <w:p>
            <w:pPr>
              <w:jc w:val="right"/>
              <w:ind w:right="40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2000" w:type="dxa"/>
            <w:vAlign w:val="bottom"/>
            <w:gridSpan w:val="4"/>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900" w:type="dxa"/>
            <w:vAlign w:val="bottom"/>
            <w:gridSpan w:val="4"/>
            <w:vMerge w:val="continue"/>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in Excess</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Comprehensive</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20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6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83"/>
              </w:rPr>
              <w:t>Shares</w:t>
            </w: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82"/>
              </w:rPr>
              <w:t>Amount</w:t>
            </w:r>
          </w:p>
        </w:tc>
        <w:tc>
          <w:tcPr>
            <w:tcW w:w="18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of Par</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Deficit)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11,955,660</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$ 119,557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$ 72,467,483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1,796,739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6,855,896</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1,471,406</w:t>
            </w:r>
          </w:p>
        </w:tc>
        <w:tc>
          <w:tcPr>
            <w:tcW w:w="11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(5,567,481)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75,672,194</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1,016,443</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1,016,443</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234,219</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(72,798)</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(379,071)</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(379,799)</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(851,266)</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(851,266)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(14,577,151)</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(14,577,151)</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unrealized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losses on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available-for-</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securities, net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vMerge w:val="restart"/>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(13,790,997)</w:t>
            </w:r>
          </w:p>
        </w:tc>
        <w:tc>
          <w:tcPr>
            <w:tcW w:w="16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0"/>
              </w:rPr>
              <w:t>(13,790,997)</w:t>
            </w:r>
          </w:p>
        </w:tc>
        <w:tc>
          <w:tcPr>
            <w:tcW w:w="0" w:type="dxa"/>
            <w:vAlign w:val="bottom"/>
          </w:tcPr>
          <w:p>
            <w:pPr>
              <w:spacing w:after="0"/>
              <w:rPr>
                <w:sz w:val="1"/>
                <w:szCs w:val="1"/>
                <w:color w:val="auto"/>
              </w:rPr>
            </w:pPr>
          </w:p>
        </w:tc>
      </w:tr>
      <w:tr>
        <w:trPr>
          <w:trHeight w:val="21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66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60" w:type="dxa"/>
            <w:vAlign w:val="bottom"/>
            <w:tcBorders>
              <w:right w:val="single" w:sz="8" w:color="CCEEFF"/>
            </w:tcBorders>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60" w:type="dxa"/>
            <w:vAlign w:val="bottom"/>
            <w:tcBorders>
              <w:right w:val="single" w:sz="8" w:color="CCEEFF"/>
            </w:tcBorders>
            <w:vMerge w:val="continue"/>
            <w:shd w:val="clear" w:color="auto" w:fill="CCEEFF"/>
          </w:tcPr>
          <w:p>
            <w:pPr>
              <w:spacing w:after="0"/>
              <w:rPr>
                <w:sz w:val="18"/>
                <w:szCs w:val="18"/>
                <w:color w:val="auto"/>
              </w:rPr>
            </w:pPr>
          </w:p>
        </w:tc>
        <w:tc>
          <w:tcPr>
            <w:tcW w:w="1140" w:type="dxa"/>
            <w:vAlign w:val="bottom"/>
            <w:tcBorders>
              <w:right w:val="single" w:sz="8" w:color="CCEEFF"/>
            </w:tcBorders>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line="195" w:lineRule="exact"/>
              <w:rPr>
                <w:sz w:val="20"/>
                <w:szCs w:val="20"/>
                <w:color w:val="auto"/>
              </w:rPr>
            </w:pPr>
            <w:r>
              <w:rPr>
                <w:rFonts w:ascii="Arial" w:cs="Arial" w:eastAsia="Arial" w:hAnsi="Arial"/>
                <w:sz w:val="18"/>
                <w:szCs w:val="18"/>
                <w:color w:val="auto"/>
                <w:w w:val="92"/>
              </w:rPr>
              <w:t>Balance, June</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12,117,081</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87"/>
              </w:rPr>
              <w:t>$ 121,171</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5"/>
              </w:rPr>
              <w:t>$ 73,102,513</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(11,994,258)</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(8,572,521)</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7"/>
              </w:rPr>
              <w:t>1,471,406</w:t>
            </w:r>
          </w:p>
        </w:tc>
        <w:tc>
          <w:tcPr>
            <w:tcW w:w="11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w w:val="95"/>
              </w:rPr>
              <w:t>$ (5,567,481)</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5"/>
              </w:rPr>
              <w:t>47,089,424</w:t>
            </w:r>
          </w:p>
        </w:tc>
        <w:tc>
          <w:tcPr>
            <w:tcW w:w="0" w:type="dxa"/>
            <w:vAlign w:val="bottom"/>
          </w:tcPr>
          <w:p>
            <w:pPr>
              <w:spacing w:after="0"/>
              <w:rPr>
                <w:sz w:val="1"/>
                <w:szCs w:val="1"/>
                <w:color w:val="auto"/>
              </w:rPr>
            </w:pP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30, 2022</w:t>
            </w:r>
          </w:p>
        </w:tc>
        <w:tc>
          <w:tcPr>
            <w:tcW w:w="66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w w:val="87"/>
              </w:rPr>
              <w:t>Preferred Stock</w:t>
            </w:r>
          </w:p>
        </w:tc>
        <w:tc>
          <w:tcPr>
            <w:tcW w:w="180" w:type="dxa"/>
            <w:vAlign w:val="bottom"/>
          </w:tcPr>
          <w:p>
            <w:pPr>
              <w:spacing w:after="0"/>
              <w:rPr>
                <w:sz w:val="20"/>
                <w:szCs w:val="20"/>
                <w:color w:val="auto"/>
              </w:rPr>
            </w:pPr>
          </w:p>
        </w:tc>
        <w:tc>
          <w:tcPr>
            <w:tcW w:w="190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in Excess</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Accumulated</w:t>
            </w:r>
          </w:p>
        </w:tc>
        <w:tc>
          <w:tcPr>
            <w:tcW w:w="20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83"/>
              </w:rPr>
              <w:t>Shares</w:t>
            </w: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82"/>
              </w:rPr>
              <w:t>Amount</w:t>
            </w:r>
          </w:p>
        </w:tc>
        <w:tc>
          <w:tcPr>
            <w:tcW w:w="18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of Par</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Deficit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12,171,512</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$ 121,715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$ 74,519,590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(15,958,428)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(16,945,964)</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1,471,406</w:t>
            </w:r>
          </w:p>
        </w:tc>
        <w:tc>
          <w:tcPr>
            <w:tcW w:w="11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(5,567,481)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36,169,432</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429,055</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429,055</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56,977</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(5,576,727)</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(5,576,727)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5" w:name="page6"/>
    <w:bookmarkEnd w:id="5"/>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Change in</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1,064,856</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1,064,856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gains 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available-for-</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sale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5"/>
              </w:rPr>
              <w:t>securities, net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Balance, June</w:t>
            </w:r>
          </w:p>
        </w:tc>
        <w:tc>
          <w:tcPr>
            <w:tcW w:w="1000" w:type="dxa"/>
            <w:vAlign w:val="bottom"/>
            <w:gridSpan w:val="3"/>
            <w:vMerge w:val="restart"/>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12,227,562</w:t>
            </w:r>
          </w:p>
        </w:tc>
        <w:tc>
          <w:tcPr>
            <w:tcW w:w="8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87"/>
              </w:rPr>
              <w:t>$ 122,275</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5"/>
              </w:rPr>
              <w:t>$ 74,946,685</w:t>
            </w:r>
          </w:p>
        </w:tc>
        <w:tc>
          <w:tcPr>
            <w:tcW w:w="22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(14,893,572)</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5"/>
              </w:rPr>
              <w:t>(22,522,691)</w:t>
            </w:r>
          </w:p>
        </w:tc>
        <w:tc>
          <w:tcPr>
            <w:tcW w:w="8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1,471,406</w:t>
            </w:r>
          </w:p>
        </w:tc>
        <w:tc>
          <w:tcPr>
            <w:tcW w:w="114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5"/>
              </w:rPr>
              <w:t>$ (5,567,481)</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7"/>
              </w:rPr>
              <w:t>$  32,085,216</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30, 2023</w:t>
            </w:r>
          </w:p>
        </w:tc>
        <w:tc>
          <w:tcPr>
            <w:tcW w:w="1000" w:type="dxa"/>
            <w:vAlign w:val="bottom"/>
            <w:gridSpan w:val="3"/>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60" w:type="dxa"/>
            <w:vAlign w:val="bottom"/>
            <w:tcBorders>
              <w:right w:val="single" w:sz="8" w:color="CCEEFF"/>
            </w:tcBorders>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60" w:type="dxa"/>
            <w:vAlign w:val="bottom"/>
            <w:tcBorders>
              <w:right w:val="single" w:sz="8" w:color="CCEEFF"/>
            </w:tcBorders>
            <w:vMerge w:val="continue"/>
            <w:shd w:val="clear" w:color="auto" w:fill="CCEEFF"/>
          </w:tcPr>
          <w:p>
            <w:pPr>
              <w:spacing w:after="0"/>
              <w:rPr>
                <w:sz w:val="18"/>
                <w:szCs w:val="18"/>
                <w:color w:val="auto"/>
              </w:rPr>
            </w:pPr>
          </w:p>
        </w:tc>
        <w:tc>
          <w:tcPr>
            <w:tcW w:w="1140" w:type="dxa"/>
            <w:vAlign w:val="bottom"/>
            <w:tcBorders>
              <w:right w:val="single" w:sz="8" w:color="CCEEFF"/>
            </w:tcBorders>
            <w:gridSpan w:val="3"/>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Six Months ended June 30,</w:t>
            </w:r>
          </w:p>
        </w:tc>
        <w:tc>
          <w:tcPr>
            <w:tcW w:w="3460" w:type="dxa"/>
            <w:vAlign w:val="bottom"/>
            <w:tcBorders>
              <w:top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r>
      <w:tr>
        <w:trPr>
          <w:trHeight w:val="425"/>
        </w:trPr>
        <w:tc>
          <w:tcPr>
            <w:tcW w:w="63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1"/>
              </w:rPr>
              <w:t>$(5,576,727)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(14,577,151)</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losses on investments</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13,020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210,900</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Net unrealized (gains) losses on equity investments</w:t>
            </w:r>
          </w:p>
        </w:tc>
        <w:tc>
          <w:tcPr>
            <w:tcW w:w="3680" w:type="dxa"/>
            <w:vAlign w:val="bottom"/>
            <w:gridSpan w:val="4"/>
          </w:tcPr>
          <w:p>
            <w:pPr>
              <w:jc w:val="right"/>
              <w:ind w:right="160"/>
              <w:spacing w:after="0"/>
              <w:rPr>
                <w:sz w:val="20"/>
                <w:szCs w:val="20"/>
                <w:color w:val="auto"/>
              </w:rPr>
            </w:pPr>
            <w:r>
              <w:rPr>
                <w:rFonts w:ascii="Arial" w:cs="Arial" w:eastAsia="Arial" w:hAnsi="Arial"/>
                <w:sz w:val="18"/>
                <w:szCs w:val="18"/>
                <w:color w:val="auto"/>
              </w:rPr>
              <w:t>(657,145)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6,417,045</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(gains) losses on other investments</w:t>
            </w:r>
          </w:p>
        </w:tc>
        <w:tc>
          <w:tcPr>
            <w:tcW w:w="3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(777,888)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2,287,833</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680" w:type="dxa"/>
            <w:vAlign w:val="bottom"/>
            <w:gridSpan w:val="4"/>
          </w:tcPr>
          <w:p>
            <w:pPr>
              <w:jc w:val="right"/>
              <w:ind w:right="220"/>
              <w:spacing w:after="0"/>
              <w:rPr>
                <w:sz w:val="20"/>
                <w:szCs w:val="20"/>
                <w:color w:val="auto"/>
              </w:rPr>
            </w:pPr>
            <w:r>
              <w:rPr>
                <w:rFonts w:ascii="Arial" w:cs="Arial" w:eastAsia="Arial" w:hAnsi="Arial"/>
                <w:sz w:val="18"/>
                <w:szCs w:val="18"/>
                <w:color w:val="auto"/>
              </w:rPr>
              <w:t>1,586,632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1,647,373</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38,400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42,226</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Amortization of bond premium, net</w:t>
            </w:r>
          </w:p>
        </w:tc>
        <w:tc>
          <w:tcPr>
            <w:tcW w:w="3680" w:type="dxa"/>
            <w:vAlign w:val="bottom"/>
            <w:gridSpan w:val="4"/>
          </w:tcPr>
          <w:p>
            <w:pPr>
              <w:jc w:val="right"/>
              <w:ind w:right="160"/>
              <w:spacing w:after="0"/>
              <w:rPr>
                <w:sz w:val="20"/>
                <w:szCs w:val="20"/>
                <w:color w:val="auto"/>
              </w:rPr>
            </w:pPr>
            <w:r>
              <w:rPr>
                <w:rFonts w:ascii="Arial" w:cs="Arial" w:eastAsia="Arial" w:hAnsi="Arial"/>
                <w:sz w:val="18"/>
                <w:szCs w:val="18"/>
                <w:color w:val="auto"/>
              </w:rPr>
              <w:t>(51,548)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248,650</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discount and issuance costs on debt</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593,839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88,090</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680" w:type="dxa"/>
            <w:vAlign w:val="bottom"/>
            <w:gridSpan w:val="4"/>
          </w:tcPr>
          <w:p>
            <w:pPr>
              <w:jc w:val="right"/>
              <w:ind w:right="220"/>
              <w:spacing w:after="0"/>
              <w:rPr>
                <w:sz w:val="20"/>
                <w:szCs w:val="20"/>
                <w:color w:val="auto"/>
              </w:rPr>
            </w:pPr>
            <w:r>
              <w:rPr>
                <w:rFonts w:ascii="Arial" w:cs="Arial" w:eastAsia="Arial" w:hAnsi="Arial"/>
                <w:sz w:val="18"/>
                <w:szCs w:val="18"/>
                <w:color w:val="auto"/>
              </w:rPr>
              <w:t>429,055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1,016,443</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 benefit</w:t>
            </w:r>
          </w:p>
        </w:tc>
        <w:tc>
          <w:tcPr>
            <w:tcW w:w="3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(1,290,380)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(3,485,876)</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Decrease (increase) in operating assets: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receivable, net</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1,269,270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281,845</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Reinsurance receivables, net</w:t>
            </w:r>
          </w:p>
        </w:tc>
        <w:tc>
          <w:tcPr>
            <w:tcW w:w="3680" w:type="dxa"/>
            <w:vAlign w:val="bottom"/>
            <w:gridSpan w:val="4"/>
          </w:tcPr>
          <w:p>
            <w:pPr>
              <w:jc w:val="right"/>
              <w:ind w:right="160"/>
              <w:spacing w:after="0"/>
              <w:rPr>
                <w:sz w:val="20"/>
                <w:szCs w:val="20"/>
                <w:color w:val="auto"/>
              </w:rPr>
            </w:pPr>
            <w:r>
              <w:rPr>
                <w:rFonts w:ascii="Arial" w:cs="Arial" w:eastAsia="Arial" w:hAnsi="Arial"/>
                <w:sz w:val="18"/>
                <w:szCs w:val="18"/>
                <w:color w:val="auto"/>
              </w:rPr>
              <w:t>(10,114,427)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(14,359,733)</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2,379,295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213,049</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3680" w:type="dxa"/>
            <w:vAlign w:val="bottom"/>
            <w:gridSpan w:val="4"/>
          </w:tcPr>
          <w:p>
            <w:pPr>
              <w:jc w:val="right"/>
              <w:ind w:right="220"/>
              <w:spacing w:after="0"/>
              <w:rPr>
                <w:sz w:val="20"/>
                <w:szCs w:val="20"/>
                <w:color w:val="auto"/>
              </w:rPr>
            </w:pPr>
            <w:r>
              <w:rPr>
                <w:rFonts w:ascii="Arial" w:cs="Arial" w:eastAsia="Arial" w:hAnsi="Arial"/>
                <w:sz w:val="18"/>
                <w:szCs w:val="18"/>
                <w:color w:val="auto"/>
              </w:rPr>
              <w:t>91,182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2,437,007</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Loss and loss adjustment expense reserves</w:t>
            </w:r>
          </w:p>
        </w:tc>
        <w:tc>
          <w:tcPr>
            <w:tcW w:w="3680" w:type="dxa"/>
            <w:vAlign w:val="bottom"/>
            <w:gridSpan w:val="4"/>
          </w:tcPr>
          <w:p>
            <w:pPr>
              <w:jc w:val="right"/>
              <w:ind w:right="160"/>
              <w:spacing w:after="0"/>
              <w:rPr>
                <w:sz w:val="20"/>
                <w:szCs w:val="20"/>
                <w:color w:val="auto"/>
              </w:rPr>
            </w:pPr>
            <w:r>
              <w:rPr>
                <w:rFonts w:ascii="Arial" w:cs="Arial" w:eastAsia="Arial" w:hAnsi="Arial"/>
                <w:sz w:val="18"/>
                <w:szCs w:val="18"/>
                <w:color w:val="auto"/>
              </w:rPr>
              <w:t>(777,903)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3,954,315</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3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(5,577,882)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393,352</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Advance premiums</w:t>
            </w:r>
          </w:p>
        </w:tc>
        <w:tc>
          <w:tcPr>
            <w:tcW w:w="3680" w:type="dxa"/>
            <w:vAlign w:val="bottom"/>
            <w:gridSpan w:val="4"/>
          </w:tcPr>
          <w:p>
            <w:pPr>
              <w:jc w:val="right"/>
              <w:ind w:right="220"/>
              <w:spacing w:after="0"/>
              <w:rPr>
                <w:sz w:val="20"/>
                <w:szCs w:val="20"/>
                <w:color w:val="auto"/>
              </w:rPr>
            </w:pPr>
            <w:r>
              <w:rPr>
                <w:rFonts w:ascii="Arial" w:cs="Arial" w:eastAsia="Arial" w:hAnsi="Arial"/>
                <w:sz w:val="18"/>
                <w:szCs w:val="18"/>
                <w:color w:val="auto"/>
              </w:rPr>
              <w:t>3,672,153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3,079,978</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Reinsurance balances payable</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622,629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(2,084,455)</w:t>
            </w:r>
          </w:p>
        </w:tc>
      </w:tr>
      <w:tr>
        <w:trPr>
          <w:trHeight w:val="216"/>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Deferred ceding commission revenue</w:t>
            </w:r>
          </w:p>
        </w:tc>
        <w:tc>
          <w:tcPr>
            <w:tcW w:w="3680" w:type="dxa"/>
            <w:vAlign w:val="bottom"/>
            <w:gridSpan w:val="4"/>
          </w:tcPr>
          <w:p>
            <w:pPr>
              <w:jc w:val="right"/>
              <w:ind w:right="160"/>
              <w:spacing w:after="0"/>
              <w:rPr>
                <w:sz w:val="20"/>
                <w:szCs w:val="20"/>
                <w:color w:val="auto"/>
              </w:rPr>
            </w:pPr>
            <w:r>
              <w:rPr>
                <w:rFonts w:ascii="Arial" w:cs="Arial" w:eastAsia="Arial" w:hAnsi="Arial"/>
                <w:sz w:val="18"/>
                <w:szCs w:val="18"/>
                <w:color w:val="auto"/>
              </w:rPr>
              <w:t>(929,409)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10,832</w:t>
            </w:r>
          </w:p>
        </w:tc>
      </w:tr>
      <w:tr>
        <w:trPr>
          <w:trHeight w:val="216"/>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36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(1,952,161)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(1,538,353)</w:t>
            </w: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2360" w:type="dxa"/>
            <w:vAlign w:val="bottom"/>
            <w:gridSpan w:val="2"/>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(17,009,995)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(13,716,630)</w:t>
            </w:r>
          </w:p>
        </w:tc>
      </w:tr>
      <w:tr>
        <w:trPr>
          <w:trHeight w:val="210"/>
        </w:trPr>
        <w:tc>
          <w:tcPr>
            <w:tcW w:w="12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 fixed-maturity securities held-to-maturity</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(498,711)</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Purchase - fixed-maturity securities available-for-sale</w:t>
            </w:r>
          </w:p>
        </w:tc>
        <w:tc>
          <w:tcPr>
            <w:tcW w:w="3680" w:type="dxa"/>
            <w:vAlign w:val="bottom"/>
            <w:gridSpan w:val="4"/>
          </w:tcPr>
          <w:p>
            <w:pPr>
              <w:jc w:val="right"/>
              <w:ind w:right="160"/>
              <w:spacing w:after="0"/>
              <w:rPr>
                <w:sz w:val="20"/>
                <w:szCs w:val="20"/>
                <w:color w:val="auto"/>
              </w:rPr>
            </w:pPr>
            <w:r>
              <w:rPr>
                <w:rFonts w:ascii="Arial" w:cs="Arial" w:eastAsia="Arial" w:hAnsi="Arial"/>
                <w:sz w:val="18"/>
                <w:szCs w:val="18"/>
                <w:color w:val="auto"/>
              </w:rPr>
              <w:t>(13,167,937)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(14,386,410)</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 equity securities</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(589,317)</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Redemption - fixed-maturity securities held-to-maturity</w:t>
            </w:r>
          </w:p>
        </w:tc>
        <w:tc>
          <w:tcPr>
            <w:tcW w:w="3680" w:type="dxa"/>
            <w:vAlign w:val="bottom"/>
            <w:gridSpan w:val="4"/>
          </w:tcPr>
          <w:p>
            <w:pPr>
              <w:jc w:val="right"/>
              <w:ind w:right="220"/>
              <w:spacing w:after="0"/>
              <w:rPr>
                <w:sz w:val="20"/>
                <w:szCs w:val="20"/>
                <w:color w:val="auto"/>
              </w:rPr>
            </w:pPr>
            <w:r>
              <w:rPr>
                <w:rFonts w:ascii="Arial" w:cs="Arial" w:eastAsia="Arial" w:hAnsi="Arial"/>
                <w:sz w:val="18"/>
                <w:szCs w:val="18"/>
                <w:color w:val="auto"/>
              </w:rPr>
              <w:t>500,000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and maturity - fixed-maturity securities available-for-sale</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31,375,538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13,228,270</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Sale - equity securities</w:t>
            </w:r>
          </w:p>
        </w:tc>
        <w:tc>
          <w:tcPr>
            <w:tcW w:w="3680" w:type="dxa"/>
            <w:vAlign w:val="bottom"/>
            <w:gridSpan w:val="4"/>
          </w:tcPr>
          <w:p>
            <w:pPr>
              <w:jc w:val="right"/>
              <w:ind w:right="220"/>
              <w:spacing w:after="0"/>
              <w:rPr>
                <w:sz w:val="20"/>
                <w:szCs w:val="20"/>
                <w:color w:val="auto"/>
              </w:rPr>
            </w:pPr>
            <w:r>
              <w:rPr>
                <w:rFonts w:ascii="Arial" w:cs="Arial" w:eastAsia="Arial" w:hAnsi="Arial"/>
                <w:sz w:val="18"/>
                <w:szCs w:val="18"/>
                <w:color w:val="auto"/>
              </w:rPr>
              <w:t>81,054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7,644,267</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236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(898,528)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(2,540,874)</w:t>
            </w: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investing activities</w:t>
            </w:r>
          </w:p>
        </w:tc>
        <w:tc>
          <w:tcPr>
            <w:tcW w:w="2360" w:type="dxa"/>
            <w:vAlign w:val="bottom"/>
            <w:gridSpan w:val="2"/>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17,890,127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3,857,225</w:t>
            </w:r>
          </w:p>
        </w:tc>
      </w:tr>
      <w:tr>
        <w:trPr>
          <w:trHeight w:val="209"/>
        </w:trPr>
        <w:tc>
          <w:tcPr>
            <w:tcW w:w="12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payments on equipment financing</w:t>
            </w:r>
          </w:p>
        </w:tc>
        <w:tc>
          <w:tcPr>
            <w:tcW w:w="3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(536,237)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Issue costs on 2022 Notes</w:t>
            </w:r>
          </w:p>
        </w:tc>
        <w:tc>
          <w:tcPr>
            <w:tcW w:w="3680" w:type="dxa"/>
            <w:vAlign w:val="bottom"/>
            <w:gridSpan w:val="4"/>
          </w:tcPr>
          <w:p>
            <w:pPr>
              <w:jc w:val="right"/>
              <w:ind w:right="160"/>
              <w:spacing w:after="0"/>
              <w:rPr>
                <w:sz w:val="20"/>
                <w:szCs w:val="20"/>
                <w:color w:val="auto"/>
              </w:rPr>
            </w:pPr>
            <w:r>
              <w:rPr>
                <w:rFonts w:ascii="Arial" w:cs="Arial" w:eastAsia="Arial" w:hAnsi="Arial"/>
                <w:sz w:val="18"/>
                <w:szCs w:val="18"/>
                <w:color w:val="auto"/>
              </w:rPr>
              <w:t>(14,299)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Withholding taxes paid on vested restricted stock awards</w:t>
            </w:r>
          </w:p>
        </w:tc>
        <w:tc>
          <w:tcPr>
            <w:tcW w:w="3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(379,799)</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2360" w:type="dxa"/>
            <w:vAlign w:val="bottom"/>
            <w:gridSpan w:val="2"/>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(851,266)</w:t>
            </w: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236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(551,936)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(1,231,065)</w:t>
            </w:r>
          </w:p>
        </w:tc>
      </w:tr>
      <w:tr>
        <w:trPr>
          <w:trHeight w:val="426"/>
        </w:trPr>
        <w:tc>
          <w:tcPr>
            <w:tcW w:w="6340" w:type="dxa"/>
            <w:vAlign w:val="bottom"/>
            <w:tcBorders>
              <w:top w:val="single" w:sz="8" w:color="CCEEFF"/>
            </w:tcBorders>
            <w:gridSpan w:val="2"/>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tc>
        <w:tc>
          <w:tcPr>
            <w:tcW w:w="2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48"/>
        </w:trPr>
        <w:tc>
          <w:tcPr>
            <w:tcW w:w="6340" w:type="dxa"/>
            <w:vAlign w:val="bottom"/>
            <w:tcBorders>
              <w:bottom w:val="single" w:sz="8" w:color="auto"/>
            </w:tcBorders>
            <w:gridSpan w:val="2"/>
          </w:tcPr>
          <w:p>
            <w:pPr>
              <w:ind w:left="5580"/>
              <w:spacing w:after="0"/>
              <w:rPr>
                <w:sz w:val="20"/>
                <w:szCs w:val="20"/>
                <w:color w:val="auto"/>
              </w:rPr>
            </w:pPr>
            <w:r>
              <w:rPr>
                <w:rFonts w:ascii="Arial" w:cs="Arial" w:eastAsia="Arial" w:hAnsi="Arial"/>
                <w:sz w:val="18"/>
                <w:szCs w:val="18"/>
                <w:color w:val="auto"/>
              </w:rPr>
              <w:t>8</w:t>
            </w: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63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060" w:type="dxa"/>
            <w:vAlign w:val="bottom"/>
          </w:tcPr>
          <w:p>
            <w:pPr>
              <w:spacing w:after="0"/>
              <w:rPr>
                <w:sz w:val="24"/>
                <w:szCs w:val="24"/>
                <w:color w:val="auto"/>
              </w:rPr>
            </w:pPr>
          </w:p>
        </w:tc>
        <w:tc>
          <w:tcPr>
            <w:tcW w:w="4900" w:type="dxa"/>
            <w:vAlign w:val="bottom"/>
            <w:gridSpan w:val="6"/>
          </w:tcPr>
          <w:p>
            <w:pPr>
              <w:jc w:val="right"/>
              <w:spacing w:after="0"/>
              <w:rPr>
                <w:sz w:val="20"/>
                <w:szCs w:val="20"/>
                <w:color w:val="auto"/>
              </w:rPr>
            </w:pPr>
            <w:r>
              <w:rPr>
                <w:rFonts w:ascii="Arial" w:cs="Arial" w:eastAsia="Arial" w:hAnsi="Arial"/>
                <w:sz w:val="18"/>
                <w:szCs w:val="18"/>
                <w:b w:val="1"/>
                <w:bCs w:val="1"/>
                <w:color w:val="auto"/>
              </w:rPr>
              <w:t>KINGSTONE COMPANIES, INC. AND SUBSIDIARIES</w:t>
            </w:r>
          </w:p>
        </w:tc>
      </w:tr>
      <w:tr>
        <w:trPr>
          <w:trHeight w:val="445"/>
        </w:trPr>
        <w:tc>
          <w:tcPr>
            <w:tcW w:w="6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Condensed Consolidated Statements of Cash Flows (Unaudited) (Continued)</w:t>
            </w: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8"/>
        </w:trPr>
        <w:tc>
          <w:tcPr>
            <w:tcW w:w="6340" w:type="dxa"/>
            <w:vAlign w:val="bottom"/>
            <w:gridSpan w:val="2"/>
          </w:tcPr>
          <w:p>
            <w:pPr>
              <w:spacing w:after="0"/>
              <w:rPr>
                <w:sz w:val="20"/>
                <w:szCs w:val="20"/>
                <w:color w:val="auto"/>
              </w:rPr>
            </w:pPr>
            <w:r>
              <w:rPr>
                <w:rFonts w:ascii="Arial" w:cs="Arial" w:eastAsia="Arial" w:hAnsi="Arial"/>
                <w:sz w:val="18"/>
                <w:szCs w:val="18"/>
                <w:i w:val="1"/>
                <w:iCs w:val="1"/>
                <w:color w:val="auto"/>
              </w:rPr>
              <w:t>Six Months ended June 30,</w:t>
            </w:r>
          </w:p>
        </w:tc>
        <w:tc>
          <w:tcPr>
            <w:tcW w:w="34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bl>
    <w:p>
      <w:pPr>
        <w:spacing w:after="0" w:line="20" w:lineRule="exact"/>
        <w:rPr>
          <w:sz w:val="20"/>
          <w:szCs w:val="20"/>
          <w:color w:val="auto"/>
        </w:rPr>
      </w:pPr>
    </w:p>
    <w:p>
      <w:pPr>
        <w:sectPr>
          <w:pgSz w:w="11900" w:h="16923" w:orient="portrait"/>
          <w:cols w:equalWidth="0" w:num="1">
            <w:col w:w="11240"/>
          </w:cols>
          <w:pgMar w:left="320" w:top="125" w:right="339" w:bottom="0" w:gutter="0" w:footer="0" w:header="0"/>
        </w:sectPr>
      </w:pPr>
    </w:p>
    <w:bookmarkStart w:id="6" w:name="page7"/>
    <w:bookmarkEnd w:id="6"/>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328,196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(11,090,470)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11,958,228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24,290,598</w:t>
            </w:r>
          </w:p>
        </w:tc>
      </w:tr>
      <w:tr>
        <w:trPr>
          <w:trHeight w:val="20"/>
        </w:trPr>
        <w:tc>
          <w:tcPr>
            <w:tcW w:w="8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12,286,424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13,200,128</w:t>
            </w:r>
          </w:p>
        </w:tc>
      </w:tr>
      <w:tr>
        <w:trPr>
          <w:trHeight w:val="197"/>
        </w:trPr>
        <w:tc>
          <w:tcPr>
            <w:tcW w:w="87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1,730,905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825,000</w:t>
            </w:r>
          </w:p>
        </w:tc>
      </w:tr>
      <w:tr>
        <w:trPr>
          <w:trHeight w:val="216"/>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1,064,856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(13,790,997)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Kingstone Companies, Inc. (referred to herein as "Kingstone" or the “Company” or, on a standalone basis for the parent company only, the “Holding Company”), through its wholly-owned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For the three months ended June 30, 2023 and 2022, 88.6% and 79.8%, respectively, of KICO’s direct written premiums came from the New York policies. For the six months ended June 30, 2023 and 2022, 87.8% and 80.2%, respectively, of KICO’s direct written premiums came from the New York policies. Kingstone, through its wholly owned subsidiary, Cosi Agency, Inc. (“Cosi”), a multi-state licensed general agency, receives commission revenue from KICO for the policies it places with others and pays commissions to these agencies.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2022 and notes thereto included in the Company’s Annual Report on Form 10-K filed with the Securities and Exchange Commission (the “SEC”) on March 31, 2023.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six months ended June 30, 2023 may not be indicative of the results that may be expected for the year ending December 31, 2023.</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balances were reclassified to conform with the current year presentation. The reclassification had no effect on the Company’s previously reported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include the accounts of Kingstone and its wholly-owned subsidiaries: (1) KICO and its wholly-owned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June 2016, the Financial Accounting Standards Board issued Accounting Standards Update 2016-13 - Financial Instruments - Credit Losses (Topic 326): Measurement of Credit Losses on Financial Instruments (“ASU 2016-13”). This new guidance applies to reinsurance and insurance receivables and other financing receivables. For available-for-sale fixed maturity securities carried at fair value, estimated credit losses will continue to be measured at the</w:t>
      </w:r>
    </w:p>
    <w:p>
      <w:pPr>
        <w:sectPr>
          <w:pgSz w:w="11900" w:h="16863" w:orient="portrait"/>
          <w:cols w:equalWidth="0" w:num="1">
            <w:col w:w="11240"/>
          </w:cols>
          <w:pgMar w:left="320" w:top="355" w:right="339" w:bottom="0" w:gutter="0" w:footer="0" w:header="0"/>
        </w:sectPr>
      </w:pPr>
    </w:p>
    <w:bookmarkStart w:id="7" w:name="page8"/>
    <w:bookmarkEnd w:id="7"/>
    <w:p>
      <w:pPr>
        <w:spacing w:after="0" w:line="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present value of expected cash flows; however, the other than temporary impairment (“OTTI”) concept has been eliminated. Under the previous guidance, estimated credit impairments resulted in a write-down of amortized cost. Under the new guidance, estimated credit losses are recognized through an allowance and reversals of the allowance are permitted if the estimate of credit losses declines. For available-for-sale fixed maturity securities where the Company has an intent to sell, impairment will continue to result in a write-down of amortized cost. ASU 2016-13 was effective for the Company on January 1, 2023. The Company determined as of the date of adoption that the updated guidance did not have an impact on its consolidated financial statements. Below is a summary of the significant accounting policies impacted by the adoption of ASU 2016-13.</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allowance for credit losses is a valuation account that is reported as a reduction of a financial asset’s cost basis and is measured on a pool basis when similar risk characteristics exist. Management estimates the allowance using relevant available information from both internal and external sources. Historical credit loss experience provides the basis for the estimation of expected credit losses and adjustments may be made to reflect current conditions and reasonable and supportable forecasts. Adjustments to historical loss information are made for any additional factors that come to the Company’s attention. This could include significant shifts in counterparty financial strength ratings, aging of past due receivables, amounts sent to collection agencies, or other underlying portfolio changes. Amounts are considered past due when payments have not been received according to contractual terms. The Company also considers current and forecasted economic conditions, using a variety of economic metrics and forecast indices. The sensitivity of expected credit losses relative to changes to these forecasted economic conditions can vary by financial asset class. The Company considers a reasonable and supportable forecast period to be up to 24 months from the balance sheet date. After the forecast period, the Company reverts to historical credit experience. The Company uses collateral arrangements such as letters of credit and amounts held in beneficiary trusts to mitigate credit risk, which are considered in the estimate of net amount expected to be collected.</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made a policy election to present accrued interest balances separately from the amortized cost basis of assets and has elected the practical expedient to exclude the accrued interest from the tabular disclosures for available-for-sale and held-to-maturity securities. The Company has elected not to estimate an allowance for credit losses on accrued interest receivable. The accrual of interest income is discontinued and the asset is placed on nonaccrual status in the quarter that payment becomes delinquent. Interest accrued but not received for assets on nonaccrual status is reversed through investment income. Interest received for assets that are on nonaccrual status is recognized as payment is received. The asset is returned to accrual status when the principal and interest amounts contractually due are brought current and future payments are expected. Interest receivable is presented as a component of other assets on the condensed consolidated balance sheet.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3 and Note 6 to the condensed consolidated financial statements for additional information regarding credit losses.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amortized cost, estimated fair value, and gross unrealized gains and losses on investments in fixed-maturity securities classified as available-for-sale for which an allowance for credit loss has not been recorded, as of June 30, 2023 and December 31, 2022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8"/>
              </w:rPr>
              <w:t>June 30, 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Gross Unrealized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8,192,900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8,133,547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59,353)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17,089,668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(3,489,849)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13,597,167</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(3,492,501)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 Industrial and</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79,190,654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(270,230)</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(7,511,387)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71,409,037</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(7,781,617)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 other asset backed</w:t>
            </w:r>
          </w:p>
        </w:tc>
        <w:tc>
          <w:tcPr>
            <w:tcW w:w="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52,237,241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72,673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(7,592,927)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44,715,366</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(7,521,875)</w:t>
            </w:r>
          </w:p>
        </w:tc>
        <w:tc>
          <w:tcPr>
            <w:tcW w:w="0" w:type="dxa"/>
            <w:vAlign w:val="bottom"/>
          </w:tcPr>
          <w:p>
            <w:pPr>
              <w:spacing w:after="0"/>
              <w:rPr>
                <w:sz w:val="1"/>
                <w:szCs w:val="1"/>
                <w:color w:val="auto"/>
              </w:rPr>
            </w:pPr>
          </w:p>
        </w:tc>
      </w:tr>
      <w:tr>
        <w:trPr>
          <w:trHeight w:val="217"/>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(2)</w:t>
            </w: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rPr>
              <w:t>Total fixed-maturity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156,710,463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72,740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(333,923)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(18,594,163)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137,855,117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(18,855,346)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8"/>
              </w:rPr>
              <w:t>December 31, 2022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Gross Unrealized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23,874,545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23,869,096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17,108,154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(2,195,273)</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1,771,494)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13,141,387</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(3,966,767)</w:t>
            </w:r>
          </w:p>
        </w:tc>
        <w:tc>
          <w:tcPr>
            <w:tcW w:w="0" w:type="dxa"/>
            <w:vAlign w:val="bottom"/>
          </w:tcPr>
          <w:p>
            <w:pPr>
              <w:spacing w:after="0"/>
              <w:rPr>
                <w:sz w:val="1"/>
                <w:szCs w:val="1"/>
                <w:color w:val="auto"/>
              </w:rPr>
            </w:pPr>
          </w:p>
        </w:tc>
      </w:tr>
    </w:tbl>
    <w:p>
      <w:pPr>
        <w:sectPr>
          <w:pgSz w:w="11900" w:h="16877" w:orient="portrait"/>
          <w:cols w:equalWidth="0" w:num="1">
            <w:col w:w="11240"/>
          </w:cols>
          <w:pgMar w:left="320" w:top="125"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80,338,464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(5,796,994)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(2,458,985)</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72,082,485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(8,255,979)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 other asset backed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53,597,264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58,398</w:t>
            </w:r>
          </w:p>
        </w:tc>
        <w:tc>
          <w:tcPr>
            <w:tcW w:w="10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12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(882,664)</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(7,150,803)</w:t>
            </w:r>
          </w:p>
        </w:tc>
        <w:tc>
          <w:tcPr>
            <w:tcW w:w="13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45,622,195</w:t>
            </w: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(7,975,069)</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securities (2)</w:t>
            </w:r>
          </w:p>
        </w:tc>
        <w:tc>
          <w:tcPr>
            <w:tcW w:w="10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tcBorders>
              <w:right w:val="single" w:sz="8" w:color="CCEEFF"/>
            </w:tcBorders>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Total fixed-maturity securities</w:t>
            </w: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$ 174,918,427</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59,877</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  (8,881,859)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 (11,381,282)</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$ 154,715,163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(20,203,264)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00" w:hanging="447"/>
        <w:spacing w:after="0" w:line="25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2022, KICO placed certain U.S. Treasury securities to fulfill the required collateral for a sale leaseback transaction in a designated custodian account (see Note 7 – Debt - “Equipment Financing”). As of June 30, 2023 and December 31, 2022, the amount of required collateral was approximately $7,986,000 and $8,691,000, respectively. As of June 30, 2023 and December 31, 2022, the estimated fair value of the eligible collateral was approximately $8,134,000 and $8,691,000, respectively.</w:t>
      </w:r>
    </w:p>
    <w:p>
      <w:pPr>
        <w:spacing w:after="0" w:line="2" w:lineRule="exact"/>
        <w:rPr>
          <w:rFonts w:ascii="Arial" w:cs="Arial" w:eastAsia="Arial" w:hAnsi="Arial"/>
          <w:sz w:val="18"/>
          <w:szCs w:val="18"/>
          <w:color w:val="auto"/>
        </w:rPr>
      </w:pPr>
    </w:p>
    <w:p>
      <w:pPr>
        <w:jc w:val="both"/>
        <w:ind w:left="900" w:hanging="447"/>
        <w:spacing w:after="0" w:line="252"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June 30, 2023 and December 31, 2022, the estimated fair value of the eligible investments was approximately $11,799,000 and $12,199,000, respectively. KICO will retain all rights regarding all securities if pledged as collateral. As of June 30, 2023 and December 31, 2022 there was no outstanding balance on the FHLBNY credit line.</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June 30, 2023 and December 31, 2022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8,423,779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8,326,751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16,359,100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16,307,991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47,874,105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45,362,923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18,605,987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14,085,113</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31,220,830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26,281,376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54,559,158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52,230,283</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16,954,508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13,168,701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31,796,918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26,469,581</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52,237,241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44,715,366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53,597,264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45,622,195</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156,710,463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137,855,117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174,918,427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154,715,163</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June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13,583,942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(3,122,556)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10,461,386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4,402,841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268,887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(722,632)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3,949,096</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17,986,783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(3,845,188)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14,410,482</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13,583,942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(3,589,313)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9,994,629</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4,502,758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158,635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(821,632)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3,839,761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18,086,700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(4,410,945)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13,834,390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 and estimated fair value of, and gross gains on, the Company’s other investments as of June 30, 2023 and December 31, 2022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June 30, 2023</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0"/>
              </w:rPr>
              <w:t>December 31, 2022</w:t>
            </w:r>
          </w:p>
        </w:tc>
      </w:tr>
      <w:tr>
        <w:trPr>
          <w:trHeight w:val="191"/>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Fair Value</w:t>
            </w:r>
          </w:p>
        </w:tc>
      </w:tr>
      <w:tr>
        <w:trPr>
          <w:trHeight w:val="426"/>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Investments:</w:t>
            </w: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$ 1,987,040</w:t>
            </w:r>
          </w:p>
        </w:tc>
        <w:tc>
          <w:tcPr>
            <w:tcW w:w="1200" w:type="dxa"/>
            <w:vAlign w:val="bottom"/>
            <w:tcBorders>
              <w:right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6"/>
              </w:rPr>
              <w:t>$ 1,562,500</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$ 3,549,540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$ 1,987,040</w:t>
            </w:r>
          </w:p>
        </w:tc>
        <w:tc>
          <w:tcPr>
            <w:tcW w:w="11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1"/>
              </w:rPr>
              <w:t>$  784,612</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$ 2,771,652</w:t>
            </w: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350" w:right="339" w:bottom="15"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cost or amortized cost and estimated fair value of, and unrealized gross gains and losses on, investments in held-to-maturity fixed-maturity securities as of June 30, 2023 and December 31, 2022 are summarized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Cost or</w:t>
            </w:r>
          </w:p>
        </w:tc>
        <w:tc>
          <w:tcPr>
            <w:tcW w:w="8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8"/>
                <w:szCs w:val="18"/>
                <w:color w:val="auto"/>
              </w:rPr>
            </w:pPr>
          </w:p>
        </w:tc>
        <w:tc>
          <w:tcPr>
            <w:tcW w:w="2300" w:type="dxa"/>
            <w:vAlign w:val="bottom"/>
            <w:gridSpan w:val="5"/>
          </w:tcPr>
          <w:p>
            <w:pPr>
              <w:ind w:left="60"/>
              <w:spacing w:after="0"/>
              <w:rPr>
                <w:sz w:val="20"/>
                <w:szCs w:val="20"/>
                <w:color w:val="auto"/>
              </w:rPr>
            </w:pPr>
            <w:r>
              <w:rPr>
                <w:rFonts w:ascii="Arial" w:cs="Arial" w:eastAsia="Arial" w:hAnsi="Arial"/>
                <w:sz w:val="18"/>
                <w:szCs w:val="18"/>
                <w:b w:val="1"/>
                <w:bCs w:val="1"/>
                <w:color w:val="auto"/>
              </w:rPr>
              <w:t>Gross Unrealized Losses</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Estimated</w:t>
            </w:r>
          </w:p>
        </w:tc>
        <w:tc>
          <w:tcPr>
            <w:tcW w:w="1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88"/>
              </w:rPr>
              <w:t>Less than</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5"/>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Amortized</w:t>
            </w:r>
          </w:p>
        </w:tc>
        <w:tc>
          <w:tcPr>
            <w:tcW w:w="8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1,228,708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1,220,047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498,902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498,760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304,111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(62,411)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 Industrial and</w:t>
            </w: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5,273,310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(963,148)</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4,305,608</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(967,702)</w:t>
            </w:r>
          </w:p>
        </w:tc>
        <w:tc>
          <w:tcPr>
            <w:tcW w:w="0" w:type="dxa"/>
            <w:vAlign w:val="bottom"/>
          </w:tcPr>
          <w:p>
            <w:pPr>
              <w:spacing w:after="0"/>
              <w:rPr>
                <w:sz w:val="1"/>
                <w:szCs w:val="1"/>
                <w:color w:val="auto"/>
              </w:rPr>
            </w:pPr>
          </w:p>
        </w:tc>
      </w:tr>
      <w:tr>
        <w:trPr>
          <w:trHeight w:val="217"/>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7,305,031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27,347</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(103,115)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(963,148)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6,266,115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(1,038,916)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Cost or</w:t>
            </w:r>
          </w:p>
        </w:tc>
        <w:tc>
          <w:tcPr>
            <w:tcW w:w="8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8"/>
                <w:szCs w:val="18"/>
                <w:color w:val="auto"/>
              </w:rPr>
            </w:pPr>
          </w:p>
        </w:tc>
        <w:tc>
          <w:tcPr>
            <w:tcW w:w="2300" w:type="dxa"/>
            <w:vAlign w:val="bottom"/>
            <w:gridSpan w:val="5"/>
          </w:tcPr>
          <w:p>
            <w:pPr>
              <w:ind w:left="60"/>
              <w:spacing w:after="0"/>
              <w:rPr>
                <w:sz w:val="20"/>
                <w:szCs w:val="20"/>
                <w:color w:val="auto"/>
              </w:rPr>
            </w:pPr>
            <w:r>
              <w:rPr>
                <w:rFonts w:ascii="Arial" w:cs="Arial" w:eastAsia="Arial" w:hAnsi="Arial"/>
                <w:sz w:val="18"/>
                <w:szCs w:val="18"/>
                <w:b w:val="1"/>
                <w:bCs w:val="1"/>
                <w:color w:val="auto"/>
              </w:rPr>
              <w:t>Gross Unrealized Losses</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Estimated</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Gains/</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1,222,883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498,638</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2,092</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500,730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304,111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(29,111)</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 Industrial and</w:t>
            </w: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5,734,831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36,968</w:t>
            </w:r>
          </w:p>
        </w:tc>
        <w:tc>
          <w:tcPr>
            <w:tcW w:w="2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(809,746)</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(360,278)</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4,601,775</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7"/>
              </w:rPr>
              <w:t>(1,133,056)</w:t>
            </w:r>
          </w:p>
        </w:tc>
        <w:tc>
          <w:tcPr>
            <w:tcW w:w="0" w:type="dxa"/>
            <w:vAlign w:val="bottom"/>
          </w:tcPr>
          <w:p>
            <w:pPr>
              <w:spacing w:after="0"/>
              <w:rPr>
                <w:sz w:val="1"/>
                <w:szCs w:val="1"/>
                <w:color w:val="auto"/>
              </w:rPr>
            </w:pPr>
          </w:p>
        </w:tc>
      </w:tr>
      <w:tr>
        <w:trPr>
          <w:trHeight w:val="217"/>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7,766,140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67,460</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(872,934)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(360,278)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6,600,388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(1,165,752)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held-to-maturity securities by contractual maturity as of June 30, 2023 and December 31, 2022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249,473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708,535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743,575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1,120,894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1,084,744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1,120,507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1,088,522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1,408,731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1,210,185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1,402,704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1,200,720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4,525,479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3,721,713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4,534,394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3,567,571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7,305,031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6,266,115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7,766,140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6,600,388</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21" w:lineRule="exact"/>
        <w:rPr>
          <w:sz w:val="20"/>
          <w:szCs w:val="20"/>
          <w:color w:val="auto"/>
        </w:rPr>
      </w:pPr>
    </w:p>
    <w:tbl>
      <w:tblPr>
        <w:tblLayout w:type="fixed"/>
        <w:tblInd w:w="6060" w:type="dxa"/>
        <w:tblCellMar>
          <w:top w:w="0" w:type="dxa"/>
          <w:left w:w="0" w:type="dxa"/>
          <w:bottom w:w="0" w:type="dxa"/>
          <w:right w:w="0" w:type="dxa"/>
        </w:tblCellMar>
      </w:tblPr>
      <w:tr>
        <w:trPr>
          <w:trHeight w:val="216"/>
        </w:trPr>
        <w:tc>
          <w:tcPr>
            <w:tcW w:w="2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18"/>
                <w:szCs w:val="18"/>
                <w:color w:val="auto"/>
              </w:rPr>
            </w:pPr>
          </w:p>
        </w:tc>
        <w:tc>
          <w:tcPr>
            <w:tcW w:w="2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71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730"/>
              <w:spacing w:after="0"/>
              <w:rPr>
                <w:sz w:val="20"/>
                <w:szCs w:val="20"/>
                <w:color w:val="auto"/>
              </w:rPr>
            </w:pPr>
            <w:r>
              <w:rPr>
                <w:rFonts w:ascii="Arial" w:cs="Arial" w:eastAsia="Arial" w:hAnsi="Arial"/>
                <w:sz w:val="18"/>
                <w:szCs w:val="18"/>
                <w:b w:val="1"/>
                <w:bCs w:val="1"/>
                <w:color w:val="auto"/>
                <w:w w:val="88"/>
              </w:rPr>
              <w:t>June 30,</w:t>
            </w:r>
          </w:p>
        </w:tc>
      </w:tr>
      <w:tr>
        <w:trPr>
          <w:trHeight w:val="209"/>
        </w:trPr>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715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1,319,511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457,941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2,737,220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1,598,130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176,893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279,562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353,770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624,730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39,394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r>
      <w:tr>
        <w:trPr>
          <w:trHeight w:val="20"/>
        </w:trPr>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1,535,798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740,486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3,163,242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2,226,026</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Investment expenses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84,442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106,161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170,394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232,601</w:t>
            </w:r>
          </w:p>
        </w:tc>
      </w:tr>
      <w:tr>
        <w:trPr>
          <w:trHeight w:val="20"/>
        </w:trPr>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1,451,356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634,325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2,992,848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1,993,425</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the redemption of fixed-maturity securities held-to-maturity were $500,000 and $1,000,000 for the six months ended June 30, 2023 and 2022,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the sale or maturity of fixed-maturity securities available-for-sale were $31,375,538 and $22,276,142 for the six months ended June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sale of equity securities were $81,054 and $7,644,267 for the six months ended June 30, 2023 and 2022,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7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060" w:type="dxa"/>
            <w:vAlign w:val="bottom"/>
            <w:gridSpan w:val="3"/>
          </w:tcPr>
          <w:p>
            <w:pPr>
              <w:spacing w:after="0"/>
              <w:rPr>
                <w:sz w:val="20"/>
                <w:szCs w:val="20"/>
                <w:color w:val="auto"/>
              </w:rPr>
            </w:pPr>
            <w:r>
              <w:rPr>
                <w:rFonts w:ascii="Arial" w:cs="Arial" w:eastAsia="Arial" w:hAnsi="Arial"/>
                <w:sz w:val="18"/>
                <w:szCs w:val="18"/>
                <w:color w:val="auto"/>
                <w:w w:val="97"/>
              </w:rPr>
              <w:t>The Company’s net gains (losses) on investments are summarized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Realized Gains (Losses)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102,411</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Gross realized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(10,907)</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(27,667)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(13,964)</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(154,091)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(13,020)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(51,680)</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29,047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477,353</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(307,352)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(636,573)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(278,305)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(159,220)</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Other Investments: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Gross realized losses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ind w:left="220"/>
              <w:spacing w:after="0"/>
              <w:rPr>
                <w:sz w:val="20"/>
                <w:szCs w:val="20"/>
                <w:color w:val="auto"/>
              </w:rPr>
            </w:pPr>
            <w:r>
              <w:rPr>
                <w:rFonts w:ascii="Arial" w:cs="Arial" w:eastAsia="Arial" w:hAnsi="Arial"/>
                <w:sz w:val="18"/>
                <w:szCs w:val="18"/>
                <w:color w:val="auto"/>
              </w:rPr>
              <w:t>Net realized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(10,381)</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(288,661)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(13,020)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(210,900)</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Unrealized Gains (Losses)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gains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657,145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Gross losses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(206,568)</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(2,856,411)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(6,417,045)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(206,568)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(2,856,411)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657,145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(6,417,045)</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Gross gains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414,091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777,888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losses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(1,372,301)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(2,287,833)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414,091</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1,372,301)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777,888</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(2,287,833)</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ind w:left="220"/>
              <w:spacing w:after="0"/>
              <w:rPr>
                <w:sz w:val="20"/>
                <w:szCs w:val="20"/>
                <w:color w:val="auto"/>
              </w:rPr>
            </w:pPr>
            <w:r>
              <w:rPr>
                <w:rFonts w:ascii="Arial" w:cs="Arial" w:eastAsia="Arial" w:hAnsi="Arial"/>
                <w:sz w:val="18"/>
                <w:szCs w:val="18"/>
                <w:color w:val="auto"/>
              </w:rPr>
              <w:t>Net unrealized gains (losses)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207,523</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(4,228,712)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1,435,033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(8,704,878)</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ind w:left="60"/>
              <w:spacing w:after="0"/>
              <w:rPr>
                <w:sz w:val="20"/>
                <w:szCs w:val="20"/>
                <w:color w:val="auto"/>
              </w:rPr>
            </w:pPr>
            <w:r>
              <w:rPr>
                <w:rFonts w:ascii="Arial" w:cs="Arial" w:eastAsia="Arial" w:hAnsi="Arial"/>
                <w:sz w:val="18"/>
                <w:szCs w:val="18"/>
                <w:color w:val="auto"/>
              </w:rPr>
              <w:t>Net gains (losses) on investments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197,142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(4,517,373)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1,422,013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(8,915,778)</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Allowance for Credit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available-for-sale fixed maturity securities, a credit loss exists if the present value of cash flows expected to be collected is less than the amortized cost basis. The allowance for credit loss related to available-for-sale fixed maturity securities is the difference between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Changes in the allowance are presented as a component of net gains (losses) on investments on the accompanying condensed consolidated statements of operations and comprehensive income (loss).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2023 and December 31, 2022, there were 146 and 155 fixed-maturity securities, respectively, that accounted for the gross unrealized losses. The Company determined that none of the unrealized losses were deemed to be credit losses for its portfolio of investments for the six months ended June 30, 2023 and 2022.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ectPr>
          <w:pgSz w:w="11900" w:h="16838" w:orient="portrait"/>
          <w:cols w:equalWidth="0" w:num="1">
            <w:col w:w="11240"/>
          </w:cols>
          <w:pgMar w:left="320" w:top="140" w:right="339" w:bottom="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June 30, 2023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8"/>
                <w:szCs w:val="18"/>
                <w:b w:val="1"/>
                <w:bCs w:val="1"/>
                <w:color w:val="auto"/>
              </w:rPr>
              <w:t>June 30, 2023</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Unrealized</w:t>
            </w:r>
          </w:p>
        </w:tc>
        <w:tc>
          <w:tcPr>
            <w:tcW w:w="0" w:type="dxa"/>
            <w:vAlign w:val="bottom"/>
          </w:tcPr>
          <w:p>
            <w:pPr>
              <w:spacing w:after="0"/>
              <w:rPr>
                <w:sz w:val="1"/>
                <w:szCs w:val="1"/>
                <w:color w:val="auto"/>
              </w:rPr>
            </w:pPr>
          </w:p>
        </w:tc>
      </w:tr>
      <w:tr>
        <w:trPr>
          <w:trHeight w:val="234"/>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Losses</w:t>
            </w:r>
          </w:p>
        </w:tc>
        <w:tc>
          <w:tcPr>
            <w:tcW w:w="0" w:type="dxa"/>
            <w:vAlign w:val="bottom"/>
          </w:tcPr>
          <w:p>
            <w:pPr>
              <w:spacing w:after="0"/>
              <w:rPr>
                <w:sz w:val="1"/>
                <w:szCs w:val="1"/>
                <w:color w:val="auto"/>
              </w:rPr>
            </w:pPr>
          </w:p>
        </w:tc>
      </w:tr>
      <w:tr>
        <w:trPr>
          <w:trHeight w:val="426"/>
        </w:trPr>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government corporations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5,927,580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(59,420)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5,927,580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(59,420)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13,448,464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3,489,849)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13,597,167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(3,492,501)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industrial and miscellaneous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6,860,908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(270,230)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64,548,129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(7,511,387)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71,409,037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(7,781,617)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101,701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(1,621)</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41,865,274</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(7,592,927)</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41,966,975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(7,594,548)</w:t>
            </w:r>
          </w:p>
        </w:tc>
        <w:tc>
          <w:tcPr>
            <w:tcW w:w="0" w:type="dxa"/>
            <w:vAlign w:val="bottom"/>
          </w:tcPr>
          <w:p>
            <w:pPr>
              <w:spacing w:after="0"/>
              <w:rPr>
                <w:sz w:val="1"/>
                <w:szCs w:val="1"/>
                <w:color w:val="auto"/>
              </w:rPr>
            </w:pPr>
          </w:p>
        </w:tc>
      </w:tr>
      <w:tr>
        <w:trPr>
          <w:trHeight w:val="217"/>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other 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Total fixed-maturity securities</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13,038,892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(333,923)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119,861,867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(18,594,163)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132,900,759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(18,928,086)</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w w:val="99"/>
              </w:rPr>
              <w:t>17</w:t>
            </w:r>
          </w:p>
        </w:tc>
        <w:tc>
          <w:tcPr>
            <w:tcW w:w="2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2022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December 31, 2022</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6"/>
          </w:tcPr>
          <w:p>
            <w:pPr>
              <w:jc w:val="right"/>
              <w:ind w:right="69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No. of</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88"/>
              </w:rPr>
              <w:t>Estimated</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180"/>
              <w:spacing w:after="0" w:line="191" w:lineRule="exact"/>
              <w:rPr>
                <w:sz w:val="20"/>
                <w:szCs w:val="20"/>
                <w:color w:val="auto"/>
              </w:rPr>
            </w:pPr>
            <w:r>
              <w:rPr>
                <w:rFonts w:ascii="Arial" w:cs="Arial" w:eastAsia="Arial" w:hAnsi="Arial"/>
                <w:sz w:val="18"/>
                <w:szCs w:val="18"/>
                <w:b w:val="1"/>
                <w:bCs w:val="1"/>
                <w:color w:val="auto"/>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Positions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Held</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obligations of U.S. government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$ 18,918,196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(6,928)</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18,918,196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Political subdivisions of States,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7,970,633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(2,195,273)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5,170,753</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(1,771,494)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13,141,386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(3,966,767)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56,910,104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(5,796,994)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15,172,381</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(2,458,985)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72,082,485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(8,255,979)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Residential mortgage and other</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10,145,880</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882,664)</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8"/>
              </w:rPr>
              <w:t>34,753,178</w:t>
            </w:r>
          </w:p>
        </w:tc>
        <w:tc>
          <w:tcPr>
            <w:tcW w:w="13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(7,150,803)</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44,899,058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(8,033,467)</w:t>
            </w:r>
          </w:p>
        </w:tc>
        <w:tc>
          <w:tcPr>
            <w:tcW w:w="0" w:type="dxa"/>
            <w:vAlign w:val="bottom"/>
          </w:tcPr>
          <w:p>
            <w:pPr>
              <w:spacing w:after="0"/>
              <w:rPr>
                <w:sz w:val="1"/>
                <w:szCs w:val="1"/>
                <w:color w:val="auto"/>
              </w:rPr>
            </w:pPr>
          </w:p>
        </w:tc>
      </w:tr>
      <w:tr>
        <w:trPr>
          <w:trHeight w:val="217"/>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$ 93,944,813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(8,881,859)</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55,096,312</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 (11,381,282)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149,041,125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(20,263,141)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11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the Company’s investments that are measured at fair value on a recurring basis at June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indicating the fair value hierarchy of the valuation inputs the Company utilized to determine such fair value:</w:t>
      </w:r>
    </w:p>
    <w:p>
      <w:pPr>
        <w:spacing w:after="0" w:line="20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232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6340"/>
        <w:spacing w:after="0"/>
        <w:tabs>
          <w:tab w:leader="none" w:pos="7640" w:val="left"/>
          <w:tab w:leader="none" w:pos="8960" w:val="left"/>
          <w:tab w:leader="none" w:pos="1036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63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40"/>
          </w:cols>
          <w:pgMar w:left="320" w:top="557" w:right="3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8,133,547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8,133,547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13,597,167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13,597,167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71,409,037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71,409,037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44,715,366</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44,715,366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79,542,584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58,312,533</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137,855,117</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14,410,482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14,410,482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93,953,066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58,312,533</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152,265,599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23,869,096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23,869,096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13,141,387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13,141,387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71,585,115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497,370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72,082,485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45,622,195</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45,622,195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95,454,211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59,260,952</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154,715,163</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13,834,390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13,834,390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109,288,601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59,260,952</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168,549,553</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55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4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7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Company’s investment in a hedge fund measured at Net Asset Value (“NAV”) per share as of June 30, 2023 and December 31, 2022. The Company measures this investment at fair value on a recurring basis. Fair value using NAV per share is as follows as of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8"/>
                <w:szCs w:val="18"/>
                <w:b w:val="1"/>
                <w:bCs w:val="1"/>
                <w:color w:val="auto"/>
              </w:rPr>
              <w:t>Other Investments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3,549,540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2,771,652</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income (loss) within net gains (losses) on investments.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fair value and the level of the fair value hierarchy of the Company’s long-term debt as of June 30, 2023 and December 31, 2022 not measured at fair value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8"/>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2024</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16,831,230</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16,831,230</w:t>
            </w:r>
          </w:p>
        </w:tc>
      </w:tr>
      <w:tr>
        <w:trPr>
          <w:trHeight w:val="648"/>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8"/>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2024</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15,829,096</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15,829,096</w:t>
            </w:r>
          </w:p>
        </w:tc>
      </w:tr>
      <w:tr>
        <w:trPr>
          <w:trHeight w:val="432"/>
        </w:trPr>
        <w:tc>
          <w:tcPr>
            <w:tcW w:w="5940" w:type="dxa"/>
            <w:vAlign w:val="bottom"/>
          </w:tcPr>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fair values of the Company’s financial instruments and real estate, including their fair value level as of June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Pr>
          <w:p>
            <w:pPr>
              <w:spacing w:after="0"/>
              <w:rPr>
                <w:sz w:val="20"/>
                <w:szCs w:val="20"/>
                <w:color w:val="auto"/>
              </w:rPr>
            </w:pPr>
          </w:p>
        </w:tc>
        <w:tc>
          <w:tcPr>
            <w:tcW w:w="240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6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6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securities-held-to maturity, Level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7,305,031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6,266,115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7,766,140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6,600,388</w:t>
            </w:r>
          </w:p>
        </w:tc>
      </w:tr>
    </w:tbl>
    <w:p>
      <w:pPr>
        <w:sectPr>
          <w:pgSz w:w="11900" w:h="16838" w:orient="portrait"/>
          <w:cols w:equalWidth="0" w:num="1">
            <w:col w:w="11240"/>
          </w:cols>
          <w:pgMar w:left="320" w:top="121"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Cash and cash equivalents, Level 1</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12,286,424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12,286,424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11,958,228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11,958,228</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receivable, net, Level 1</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12,572,834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12,572,834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13,880,504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13,880,504</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Reinsurance receivables, net, Level 3</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76,579,488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76,579,488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66,465,061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66,465,061</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net of accumulated depreciation, Level 3</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2,050,644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2,800,000</w:t>
            </w: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Reinsurance balances payable, Level 3</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13,684,595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13,684,595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13,061,966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13,061,966</w:t>
            </w:r>
          </w:p>
        </w:tc>
      </w:tr>
      <w:tr>
        <w:trPr>
          <w:trHeight w:val="634"/>
        </w:trPr>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44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Premiums Earned</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Direct</w:t>
            </w:r>
          </w:p>
        </w:tc>
        <w:tc>
          <w:tcPr>
            <w:tcW w:w="14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Assumed</w:t>
            </w:r>
          </w:p>
        </w:tc>
        <w:tc>
          <w:tcPr>
            <w:tcW w:w="16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Ceded</w:t>
            </w:r>
          </w:p>
        </w:tc>
        <w:tc>
          <w:tcPr>
            <w:tcW w:w="200" w:type="dxa"/>
            <w:vAlign w:val="bottom"/>
          </w:tcPr>
          <w:p>
            <w:pPr>
              <w:spacing w:after="0"/>
              <w:rPr>
                <w:sz w:val="24"/>
                <w:szCs w:val="2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r>
      <w:tr>
        <w:trPr>
          <w:trHeight w:val="425"/>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Six months ended June 30, 2023</w:t>
            </w:r>
          </w:p>
        </w:tc>
        <w:tc>
          <w:tcPr>
            <w:tcW w:w="1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95,244,390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(42,692,915)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52,551,475</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5,577,883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(366,209)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5,211,674</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100,822,273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(43,059,124)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57,763,149</w:t>
            </w:r>
          </w:p>
        </w:tc>
      </w:tr>
      <w:tr>
        <w:trPr>
          <w:trHeight w:val="197"/>
        </w:trPr>
        <w:tc>
          <w:tcPr>
            <w:tcW w:w="1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2022</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92,762,360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(37,818,392)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54,943,968</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unearned premiums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(393,353)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(368,520)</w:t>
            </w: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20" w:type="dxa"/>
            <w:vAlign w:val="bottom"/>
            <w:gridSpan w:val="3"/>
          </w:tcPr>
          <w:p>
            <w:pPr>
              <w:spacing w:after="0"/>
              <w:rPr>
                <w:sz w:val="20"/>
                <w:szCs w:val="20"/>
                <w:color w:val="auto"/>
              </w:rPr>
            </w:pPr>
            <w:r>
              <w:rPr>
                <w:rFonts w:ascii="Arial" w:cs="Arial" w:eastAsia="Arial" w:hAnsi="Arial"/>
                <w:sz w:val="18"/>
                <w:szCs w:val="18"/>
                <w:color w:val="auto"/>
              </w:rPr>
              <w:t>Premiums earned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92,369,007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(37,793,559)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54,575,448</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June 30, 2023</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47,646,944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(19,064,216)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28,582,728</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3,244,999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(2,319,531)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925,468</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50,891,943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(21,383,747)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29,508,196</w:t>
            </w:r>
          </w:p>
        </w:tc>
      </w:tr>
      <w:tr>
        <w:trPr>
          <w:trHeight w:val="196"/>
        </w:trPr>
        <w:tc>
          <w:tcPr>
            <w:tcW w:w="1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2022</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49,778,463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(19,752,683)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30,025,780</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unearned premiums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2,786,080)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662,368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(2,123,712)</w:t>
            </w: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20" w:type="dxa"/>
            <w:vAlign w:val="bottom"/>
            <w:gridSpan w:val="3"/>
          </w:tcPr>
          <w:p>
            <w:pPr>
              <w:spacing w:after="0"/>
              <w:rPr>
                <w:sz w:val="20"/>
                <w:szCs w:val="20"/>
                <w:color w:val="auto"/>
              </w:rPr>
            </w:pPr>
            <w:r>
              <w:rPr>
                <w:rFonts w:ascii="Arial" w:cs="Arial" w:eastAsia="Arial" w:hAnsi="Arial"/>
                <w:sz w:val="18"/>
                <w:szCs w:val="18"/>
                <w:color w:val="auto"/>
              </w:rPr>
              <w:t>Premiums earned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46,992,383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(19,090,315)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27,902,068</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June 30, 2023 and December 31, 2022 was $6,511,181 and $2,839,028,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118,339,513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94,948,745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(27,659,500)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(10,637,679)</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90,680,013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84,311,066</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year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44,639,365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41,326,838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270,401</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Total incurred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44,620,112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41,597,239</w:t>
            </w: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Paid related to: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22,840,144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23,188,157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Prior years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25,346,289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21,700,500</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paid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48,186,433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44,888,657</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87,113,692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81,019,648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30,447,918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17,883,412</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117,561,610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98,903,060</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5" w:right="339" w:bottom="19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Incurred losses and LAE are net of reinsurance recoveries under reinsurance contracts of $23,510,756 and $18,267,384 for the six months ended June 30, 2023 and 2022,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six months ended June 30, 2023 and 2022 was $19,253 favorable and $270,401 unfavorable, respectively. Management, on a quarterly basis, performs a review of open liability claims to assess carried case and incurred but not reported (“IBNR”) reserve levels, giving consideration to both Company and industry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Paid Loss Development </w:t>
      </w:r>
      <w:r>
        <w:rPr>
          <w:rFonts w:ascii="Arial" w:cs="Arial" w:eastAsia="Arial" w:hAnsi="Arial"/>
          <w:sz w:val="16"/>
          <w:szCs w:val="16"/>
          <w:color w:val="auto"/>
        </w:rPr>
        <w:t>– historical patterns of paid loss development are used to project future paid loss emergence in order to estimate required reserves.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incurred loss emergence in order to estimate required reserves.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Paid Bornhuetter-Ferguson (“BF”) </w:t>
      </w:r>
      <w:r>
        <w:rPr>
          <w:rFonts w:ascii="Arial" w:cs="Arial" w:eastAsia="Arial" w:hAnsi="Arial"/>
          <w:sz w:val="17"/>
          <w:szCs w:val="17"/>
          <w:color w:val="auto"/>
        </w:rPr>
        <w:t>– an estimated loss ratio for a particular accident year is determined, and is weighted against the portion of the accident</w:t>
      </w:r>
      <w:r>
        <w:rPr>
          <w:rFonts w:ascii="Arial" w:cs="Arial" w:eastAsia="Arial" w:hAnsi="Arial"/>
          <w:sz w:val="17"/>
          <w:szCs w:val="17"/>
          <w:i w:val="1"/>
          <w:iCs w:val="1"/>
          <w:color w:val="auto"/>
        </w:rPr>
        <w:t xml:space="preserve"> </w:t>
      </w:r>
      <w:r>
        <w:rPr>
          <w:rFonts w:ascii="Arial" w:cs="Arial" w:eastAsia="Arial" w:hAnsi="Arial"/>
          <w:sz w:val="17"/>
          <w:szCs w:val="17"/>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 reviewed</w:t>
      </w:r>
      <w:r>
        <w:rPr>
          <w:rFonts w:ascii="Arial" w:cs="Arial" w:eastAsia="Arial" w:hAnsi="Arial"/>
          <w:sz w:val="18"/>
          <w:szCs w:val="18"/>
          <w:i w:val="1"/>
          <w:iCs w:val="1"/>
          <w:color w:val="auto"/>
        </w:rPr>
        <w:t xml:space="preserve"> </w:t>
      </w:r>
      <w:r>
        <w:rPr>
          <w:rFonts w:ascii="Arial" w:cs="Arial" w:eastAsia="Arial" w:hAnsi="Arial"/>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Frequency / Severity Based Methods </w:t>
      </w:r>
      <w:r>
        <w:rPr>
          <w:rFonts w:ascii="Arial" w:cs="Arial" w:eastAsia="Arial" w:hAnsi="Arial"/>
          <w:sz w:val="18"/>
          <w:szCs w:val="18"/>
          <w:color w:val="auto"/>
        </w:rPr>
        <w:t>– historical measurements of claim frequency and average paid claim size (severity) are reviewed for more mature</w:t>
      </w:r>
      <w:r>
        <w:rPr>
          <w:rFonts w:ascii="Arial" w:cs="Arial" w:eastAsia="Arial" w:hAnsi="Arial"/>
          <w:sz w:val="18"/>
          <w:szCs w:val="18"/>
          <w:i w:val="1"/>
          <w:iCs w:val="1"/>
          <w:color w:val="auto"/>
        </w:rPr>
        <w:t xml:space="preserve"> </w:t>
      </w:r>
      <w:r>
        <w:rPr>
          <w:rFonts w:ascii="Arial" w:cs="Arial" w:eastAsia="Arial" w:hAnsi="Arial"/>
          <w:sz w:val="18"/>
          <w:szCs w:val="18"/>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w:t>
      </w:r>
    </w:p>
    <w:p>
      <w:pPr>
        <w:sectPr>
          <w:pgSz w:w="11900" w:h="16838" w:orient="portrait"/>
          <w:cols w:equalWidth="0" w:num="1">
            <w:col w:w="11240"/>
          </w:cols>
          <w:pgMar w:left="320" w:top="125" w:right="339" w:bottom="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trend, and mix of business. The severity assumptions used in the frequency / severity method are determined by reviewing historical average claim severity for older more mature accident periods, trended forward to less mature accident periods.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June 30, 2020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information about incurred and paid claims development as of June 30, 2023, net of reinsurance, as well as the cumulative reported claims by accident year and total IBNR reserves as of June 30, 2023 included in the net incurred loss and allocated expense amounts. The historical information regarding incurred and paid claims development for the years ended December 31, 2014 to December 31, 2022 is presented as supplementary unaudited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i w:val="1"/>
                <w:iCs w:val="1"/>
                <w:color w:val="0000EE"/>
                <w:w w:val="88"/>
              </w:rPr>
              <w:t>Table of Contents</w:t>
            </w:r>
          </w:p>
        </w:tc>
        <w:tc>
          <w:tcPr>
            <w:tcW w:w="26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320" w:type="dxa"/>
            <w:vAlign w:val="bottom"/>
            <w:gridSpan w:val="11"/>
          </w:tcPr>
          <w:p>
            <w:pPr>
              <w:spacing w:after="0"/>
              <w:rPr>
                <w:sz w:val="20"/>
                <w:szCs w:val="20"/>
                <w:color w:val="auto"/>
              </w:rPr>
            </w:pPr>
            <w:r>
              <w:rPr>
                <w:rFonts w:ascii="Arial" w:cs="Arial" w:eastAsia="Arial" w:hAnsi="Arial"/>
                <w:sz w:val="18"/>
                <w:szCs w:val="18"/>
                <w:b w:val="1"/>
                <w:bCs w:val="1"/>
                <w:color w:val="auto"/>
              </w:rPr>
              <w:t>All Lines of Business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gridSpan w:val="19"/>
          </w:tcPr>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4"/>
              </w:rPr>
              <w:t>As of</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780" w:type="dxa"/>
            <w:vAlign w:val="bottom"/>
            <w:gridSpan w:val="52"/>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9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80" w:type="dxa"/>
            <w:vAlign w:val="bottom"/>
            <w:gridSpan w:val="34"/>
          </w:tcPr>
          <w:p>
            <w:pPr>
              <w:jc w:val="right"/>
              <w:ind w:right="180"/>
              <w:spacing w:after="0"/>
              <w:rPr>
                <w:sz w:val="20"/>
                <w:szCs w:val="20"/>
                <w:color w:val="auto"/>
              </w:rPr>
            </w:pPr>
            <w:r>
              <w:rPr>
                <w:rFonts w:ascii="Arial" w:cs="Arial" w:eastAsia="Arial" w:hAnsi="Arial"/>
                <w:sz w:val="18"/>
                <w:szCs w:val="18"/>
                <w:b w:val="1"/>
                <w:bCs w:val="1"/>
                <w:color w:val="auto"/>
                <w:w w:val="94"/>
              </w:rPr>
              <w:t>Incurred Loss and Allocated Loss Adjustment Expenses, Net of Reinsurance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88"/>
              </w:rPr>
              <w:t>June 30, 2023</w:t>
            </w: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250"/>
              <w:spacing w:after="0" w:line="191" w:lineRule="exact"/>
              <w:rPr>
                <w:sz w:val="20"/>
                <w:szCs w:val="20"/>
                <w:color w:val="auto"/>
              </w:rPr>
            </w:pPr>
            <w:r>
              <w:rPr>
                <w:rFonts w:ascii="Arial" w:cs="Arial" w:eastAsia="Arial" w:hAnsi="Arial"/>
                <w:sz w:val="18"/>
                <w:szCs w:val="18"/>
                <w:b w:val="1"/>
                <w:bCs w:val="1"/>
                <w:color w:val="auto"/>
                <w:w w:val="88"/>
              </w:rPr>
              <w:t>Six</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150"/>
              <w:spacing w:after="0" w:line="191" w:lineRule="exact"/>
              <w:rPr>
                <w:sz w:val="20"/>
                <w:szCs w:val="20"/>
                <w:color w:val="auto"/>
              </w:rPr>
            </w:pPr>
            <w:r>
              <w:rPr>
                <w:rFonts w:ascii="Arial" w:cs="Arial" w:eastAsia="Arial" w:hAnsi="Arial"/>
                <w:sz w:val="18"/>
                <w:szCs w:val="18"/>
                <w:b w:val="1"/>
                <w:bCs w:val="1"/>
                <w:color w:val="auto"/>
                <w:w w:val="92"/>
              </w:rPr>
              <w:t>Cumulative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21"/>
            <w:vMerge w:val="restart"/>
          </w:tcPr>
          <w:p>
            <w:pPr>
              <w:jc w:val="center"/>
              <w:ind w:right="240"/>
              <w:spacing w:after="0"/>
              <w:rPr>
                <w:sz w:val="20"/>
                <w:szCs w:val="20"/>
                <w:color w:val="auto"/>
              </w:rPr>
            </w:pPr>
            <w:r>
              <w:rPr>
                <w:rFonts w:ascii="Arial" w:cs="Arial" w:eastAsia="Arial" w:hAnsi="Arial"/>
                <w:sz w:val="18"/>
                <w:szCs w:val="18"/>
                <w:b w:val="1"/>
                <w:bCs w:val="1"/>
                <w:color w:val="auto"/>
                <w:w w:val="90"/>
              </w:rPr>
              <w:t>For the Years Ended December 31,</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21"/>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Claims by</w:t>
            </w:r>
          </w:p>
        </w:tc>
        <w:tc>
          <w:tcPr>
            <w:tcW w:w="0" w:type="dxa"/>
            <w:vAlign w:val="bottom"/>
          </w:tcPr>
          <w:p>
            <w:pPr>
              <w:spacing w:after="0"/>
              <w:rPr>
                <w:sz w:val="1"/>
                <w:szCs w:val="1"/>
                <w:color w:val="auto"/>
              </w:rPr>
            </w:pPr>
          </w:p>
        </w:tc>
      </w:tr>
      <w:tr>
        <w:trPr>
          <w:trHeight w:val="191"/>
        </w:trPr>
        <w:tc>
          <w:tcPr>
            <w:tcW w:w="76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4"/>
              </w:rPr>
              <w:t>Accident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5"/>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Accident</w:t>
            </w:r>
          </w:p>
        </w:tc>
        <w:tc>
          <w:tcPr>
            <w:tcW w:w="0" w:type="dxa"/>
            <w:vAlign w:val="bottom"/>
          </w:tcPr>
          <w:p>
            <w:pPr>
              <w:spacing w:after="0"/>
              <w:rPr>
                <w:sz w:val="1"/>
                <w:szCs w:val="1"/>
                <w:color w:val="auto"/>
              </w:rPr>
            </w:pPr>
          </w:p>
        </w:tc>
      </w:tr>
      <w:tr>
        <w:trPr>
          <w:trHeight w:val="234"/>
        </w:trPr>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4"/>
              </w:rPr>
              <w:t>2014</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IBNR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8"/>
                <w:szCs w:val="18"/>
                <w:b w:val="1"/>
                <w:bCs w:val="1"/>
                <w:color w:val="auto"/>
                <w:w w:val="91"/>
              </w:rPr>
              <w:t>(Unaudited 2014 - 2022)</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60" w:type="dxa"/>
            <w:vAlign w:val="bottom"/>
            <w:gridSpan w:val="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w w:val="85"/>
              </w:rPr>
              <w:t>$ 14,193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$ 14,260</w:t>
            </w: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w w:val="88"/>
              </w:rPr>
              <w:t>$ 14,218</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2"/>
              </w:rPr>
              <w:t>$ 14,564</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8"/>
              </w:rPr>
              <w:t>$ 15,023</w:t>
            </w: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$ 16,381</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6"/>
              </w:rPr>
              <w:t>$ 16,428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$ 16,434</w:t>
            </w: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1"/>
              </w:rPr>
              <w:t>$ 16,486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16,486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89"/>
              </w:rPr>
              <w:t>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22,340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21,994</w:t>
            </w: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22,148</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22,491</w:t>
            </w:r>
          </w:p>
        </w:tc>
        <w:tc>
          <w:tcPr>
            <w:tcW w:w="880" w:type="dxa"/>
            <w:vAlign w:val="bottom"/>
            <w:gridSpan w:val="6"/>
          </w:tcPr>
          <w:p>
            <w:pPr>
              <w:jc w:val="right"/>
              <w:ind w:right="100"/>
              <w:spacing w:after="0"/>
              <w:rPr>
                <w:sz w:val="20"/>
                <w:szCs w:val="20"/>
                <w:color w:val="auto"/>
              </w:rPr>
            </w:pPr>
            <w:r>
              <w:rPr>
                <w:rFonts w:ascii="Arial" w:cs="Arial" w:eastAsia="Arial" w:hAnsi="Arial"/>
                <w:sz w:val="18"/>
                <w:szCs w:val="18"/>
                <w:color w:val="auto"/>
              </w:rPr>
              <w:t>23,386</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23,291</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23,528</w:t>
            </w:r>
          </w:p>
        </w:tc>
        <w:tc>
          <w:tcPr>
            <w:tcW w:w="4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23,533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23,528</w:t>
            </w:r>
          </w:p>
        </w:tc>
        <w:tc>
          <w:tcPr>
            <w:tcW w:w="40" w:type="dxa"/>
            <w:vAlign w:val="bottom"/>
          </w:tcPr>
          <w:p>
            <w:pPr>
              <w:spacing w:after="0"/>
              <w:rPr>
                <w:sz w:val="18"/>
                <w:szCs w:val="18"/>
                <w:color w:val="auto"/>
              </w:rPr>
            </w:pPr>
          </w:p>
        </w:tc>
        <w:tc>
          <w:tcPr>
            <w:tcW w:w="720" w:type="dxa"/>
            <w:vAlign w:val="bottom"/>
            <w:gridSpan w:val="4"/>
          </w:tcPr>
          <w:p>
            <w:pPr>
              <w:jc w:val="right"/>
              <w:ind w:right="130"/>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0"/>
              </w:rPr>
              <w:t>26,062</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24,941</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24,789</w:t>
            </w: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27,887</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27,966</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27,417</w:t>
            </w: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27,352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27,259</w:t>
            </w: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31,605</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32,169</w:t>
            </w:r>
          </w:p>
        </w:tc>
        <w:tc>
          <w:tcPr>
            <w:tcW w:w="880" w:type="dxa"/>
            <w:vAlign w:val="bottom"/>
            <w:gridSpan w:val="6"/>
          </w:tcPr>
          <w:p>
            <w:pPr>
              <w:jc w:val="right"/>
              <w:ind w:right="100"/>
              <w:spacing w:after="0"/>
              <w:rPr>
                <w:sz w:val="20"/>
                <w:szCs w:val="20"/>
                <w:color w:val="auto"/>
              </w:rPr>
            </w:pPr>
            <w:r>
              <w:rPr>
                <w:rFonts w:ascii="Arial" w:cs="Arial" w:eastAsia="Arial" w:hAnsi="Arial"/>
                <w:sz w:val="18"/>
                <w:szCs w:val="18"/>
                <w:color w:val="auto"/>
              </w:rPr>
              <w:t>35,304</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36,160</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36,532</w:t>
            </w:r>
          </w:p>
        </w:tc>
        <w:tc>
          <w:tcPr>
            <w:tcW w:w="4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36,502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36,499</w:t>
            </w:r>
          </w:p>
        </w:tc>
        <w:tc>
          <w:tcPr>
            <w:tcW w:w="40" w:type="dxa"/>
            <w:vAlign w:val="bottom"/>
          </w:tcPr>
          <w:p>
            <w:pPr>
              <w:spacing w:after="0"/>
              <w:rPr>
                <w:sz w:val="18"/>
                <w:szCs w:val="18"/>
                <w:color w:val="auto"/>
              </w:rPr>
            </w:pPr>
          </w:p>
        </w:tc>
        <w:tc>
          <w:tcPr>
            <w:tcW w:w="720" w:type="dxa"/>
            <w:vAlign w:val="bottom"/>
            <w:gridSpan w:val="4"/>
          </w:tcPr>
          <w:p>
            <w:pPr>
              <w:jc w:val="right"/>
              <w:ind w:right="130"/>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54,455</w:t>
            </w: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56,351</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58,441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59,404</w:t>
            </w: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61,237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61,064</w:t>
            </w: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1,203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6"/>
          </w:tcPr>
          <w:p>
            <w:pPr>
              <w:jc w:val="right"/>
              <w:ind w:right="100"/>
              <w:spacing w:after="0"/>
              <w:rPr>
                <w:sz w:val="20"/>
                <w:szCs w:val="20"/>
                <w:color w:val="auto"/>
              </w:rPr>
            </w:pPr>
            <w:r>
              <w:rPr>
                <w:rFonts w:ascii="Arial" w:cs="Arial" w:eastAsia="Arial" w:hAnsi="Arial"/>
                <w:sz w:val="18"/>
                <w:szCs w:val="18"/>
                <w:color w:val="auto"/>
              </w:rPr>
              <w:t>75,092</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72,368</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71,544</w:t>
            </w:r>
          </w:p>
        </w:tc>
        <w:tc>
          <w:tcPr>
            <w:tcW w:w="4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71,964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72,666</w:t>
            </w:r>
          </w:p>
        </w:tc>
        <w:tc>
          <w:tcPr>
            <w:tcW w:w="40" w:type="dxa"/>
            <w:vAlign w:val="bottom"/>
          </w:tcPr>
          <w:p>
            <w:pPr>
              <w:spacing w:after="0"/>
              <w:rPr>
                <w:sz w:val="18"/>
                <w:szCs w:val="18"/>
                <w:color w:val="auto"/>
              </w:rPr>
            </w:pPr>
          </w:p>
        </w:tc>
        <w:tc>
          <w:tcPr>
            <w:tcW w:w="720" w:type="dxa"/>
            <w:vAlign w:val="bottom"/>
            <w:gridSpan w:val="4"/>
          </w:tcPr>
          <w:p>
            <w:pPr>
              <w:jc w:val="right"/>
              <w:ind w:right="130"/>
              <w:spacing w:after="0"/>
              <w:rPr>
                <w:sz w:val="20"/>
                <w:szCs w:val="20"/>
                <w:color w:val="auto"/>
              </w:rPr>
            </w:pPr>
            <w:r>
              <w:rPr>
                <w:rFonts w:ascii="Arial" w:cs="Arial" w:eastAsia="Arial" w:hAnsi="Arial"/>
                <w:sz w:val="18"/>
                <w:szCs w:val="18"/>
                <w:color w:val="auto"/>
              </w:rPr>
              <w:t>1,343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63,083</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62,833</w:t>
            </w: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63,217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63,394</w:t>
            </w: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96,425</w:t>
            </w:r>
          </w:p>
        </w:tc>
        <w:tc>
          <w:tcPr>
            <w:tcW w:w="4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96,673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95,865</w:t>
            </w:r>
          </w:p>
        </w:tc>
        <w:tc>
          <w:tcPr>
            <w:tcW w:w="40" w:type="dxa"/>
            <w:vAlign w:val="bottom"/>
          </w:tcPr>
          <w:p>
            <w:pPr>
              <w:spacing w:after="0"/>
              <w:rPr>
                <w:sz w:val="18"/>
                <w:szCs w:val="18"/>
                <w:color w:val="auto"/>
              </w:rPr>
            </w:pPr>
          </w:p>
        </w:tc>
        <w:tc>
          <w:tcPr>
            <w:tcW w:w="720" w:type="dxa"/>
            <w:vAlign w:val="bottom"/>
            <w:gridSpan w:val="4"/>
          </w:tcPr>
          <w:p>
            <w:pPr>
              <w:jc w:val="right"/>
              <w:ind w:right="130"/>
              <w:spacing w:after="0"/>
              <w:rPr>
                <w:sz w:val="20"/>
                <w:szCs w:val="20"/>
                <w:color w:val="auto"/>
              </w:rPr>
            </w:pPr>
            <w:r>
              <w:rPr>
                <w:rFonts w:ascii="Arial" w:cs="Arial" w:eastAsia="Arial" w:hAnsi="Arial"/>
                <w:sz w:val="18"/>
                <w:szCs w:val="18"/>
                <w:color w:val="auto"/>
              </w:rPr>
              <w:t>4,903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79,835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80,137</w:t>
            </w: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9,336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42,521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right"/>
              <w:ind w:right="130"/>
              <w:spacing w:after="0"/>
              <w:rPr>
                <w:sz w:val="20"/>
                <w:szCs w:val="20"/>
                <w:color w:val="auto"/>
              </w:rPr>
            </w:pPr>
            <w:r>
              <w:rPr>
                <w:rFonts w:ascii="Arial" w:cs="Arial" w:eastAsia="Arial" w:hAnsi="Arial"/>
                <w:sz w:val="18"/>
                <w:szCs w:val="18"/>
                <w:color w:val="auto"/>
              </w:rPr>
              <w:t>9,917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519,418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320" w:type="dxa"/>
            <w:vAlign w:val="bottom"/>
            <w:tcBorders>
              <w:top w:val="single" w:sz="8" w:color="CCEEFF"/>
            </w:tcBorders>
            <w:gridSpan w:val="11"/>
          </w:tcPr>
          <w:p>
            <w:pPr>
              <w:spacing w:after="0"/>
              <w:rPr>
                <w:sz w:val="20"/>
                <w:szCs w:val="20"/>
                <w:color w:val="auto"/>
              </w:rPr>
            </w:pPr>
            <w:r>
              <w:rPr>
                <w:rFonts w:ascii="Arial" w:cs="Arial" w:eastAsia="Arial" w:hAnsi="Arial"/>
                <w:sz w:val="18"/>
                <w:szCs w:val="18"/>
                <w:b w:val="1"/>
                <w:bCs w:val="1"/>
                <w:color w:val="auto"/>
              </w:rPr>
              <w:t>All Lines of Business</w:t>
            </w: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4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40" w:type="dxa"/>
            <w:vAlign w:val="bottom"/>
            <w:gridSpan w:val="39"/>
            <w:vMerge w:val="restart"/>
          </w:tcPr>
          <w:p>
            <w:pPr>
              <w:jc w:val="right"/>
              <w:ind w:right="450"/>
              <w:spacing w:after="0"/>
              <w:rPr>
                <w:sz w:val="20"/>
                <w:szCs w:val="20"/>
                <w:color w:val="auto"/>
              </w:rPr>
            </w:pPr>
            <w:r>
              <w:rPr>
                <w:rFonts w:ascii="Arial" w:cs="Arial" w:eastAsia="Arial" w:hAnsi="Arial"/>
                <w:sz w:val="18"/>
                <w:szCs w:val="18"/>
                <w:b w:val="1"/>
                <w:bCs w:val="1"/>
                <w:color w:val="auto"/>
                <w:w w:val="89"/>
              </w:rPr>
              <w:t>Cumulative Paid Loss and Allocated Loss Adjustment Expenses, Net of Reinsurance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40" w:type="dxa"/>
            <w:vAlign w:val="bottom"/>
            <w:tcBorders>
              <w:bottom w:val="single" w:sz="8" w:color="auto"/>
            </w:tcBorders>
            <w:gridSpan w:val="39"/>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60" w:type="dxa"/>
            <w:vAlign w:val="bottom"/>
            <w:gridSpan w:val="58"/>
          </w:tcPr>
          <w:p>
            <w:pPr>
              <w:spacing w:after="0"/>
              <w:rPr>
                <w:sz w:val="20"/>
                <w:szCs w:val="20"/>
                <w:color w:val="auto"/>
              </w:rPr>
            </w:pPr>
            <w:r>
              <w:rPr>
                <w:rFonts w:ascii="Arial" w:cs="Arial" w:eastAsia="Arial" w:hAnsi="Arial"/>
                <w:sz w:val="18"/>
                <w:szCs w:val="18"/>
                <w:b w:val="1"/>
                <w:bCs w:val="1"/>
                <w:color w:val="auto"/>
              </w:rPr>
              <w:t>Six</w:t>
            </w:r>
          </w:p>
        </w:tc>
        <w:tc>
          <w:tcPr>
            <w:tcW w:w="0" w:type="dxa"/>
            <w:vAlign w:val="bottom"/>
          </w:tcPr>
          <w:p>
            <w:pPr>
              <w:spacing w:after="0"/>
              <w:rPr>
                <w:sz w:val="1"/>
                <w:szCs w:val="1"/>
                <w:color w:val="auto"/>
              </w:rPr>
            </w:pPr>
          </w:p>
        </w:tc>
      </w:tr>
      <w:tr>
        <w:trPr>
          <w:trHeight w:val="216"/>
        </w:trPr>
        <w:tc>
          <w:tcPr>
            <w:tcW w:w="11260" w:type="dxa"/>
            <w:vAlign w:val="bottom"/>
            <w:gridSpan w:val="58"/>
          </w:tcPr>
          <w:p>
            <w:pPr>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16"/>
            <w:vMerge w:val="restart"/>
          </w:tcPr>
          <w:p>
            <w:pPr>
              <w:jc w:val="center"/>
              <w:ind w:right="20"/>
              <w:spacing w:after="0"/>
              <w:rPr>
                <w:sz w:val="20"/>
                <w:szCs w:val="20"/>
                <w:color w:val="auto"/>
              </w:rPr>
            </w:pPr>
            <w:r>
              <w:rPr>
                <w:rFonts w:ascii="Arial" w:cs="Arial" w:eastAsia="Arial" w:hAnsi="Arial"/>
                <w:sz w:val="18"/>
                <w:szCs w:val="18"/>
                <w:b w:val="1"/>
                <w:bCs w:val="1"/>
                <w:color w:val="auto"/>
                <w:w w:val="90"/>
              </w:rPr>
              <w:t>For the Years Ended December 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16"/>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10"/>
        </w:trPr>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4"/>
              </w:rPr>
              <w:t>Accident Year</w:t>
            </w:r>
          </w:p>
        </w:tc>
        <w:tc>
          <w:tcPr>
            <w:tcW w:w="100" w:type="dxa"/>
            <w:vAlign w:val="bottom"/>
            <w:gridSpan w:val="2"/>
          </w:tcPr>
          <w:p>
            <w:pPr>
              <w:spacing w:after="0"/>
              <w:rPr>
                <w:sz w:val="18"/>
                <w:szCs w:val="18"/>
                <w:color w:val="auto"/>
              </w:rPr>
            </w:pPr>
          </w:p>
        </w:tc>
        <w:tc>
          <w:tcPr>
            <w:tcW w:w="20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13"/>
          </w:tcPr>
          <w:p>
            <w:pPr>
              <w:jc w:val="center"/>
              <w:ind w:right="480"/>
              <w:spacing w:after="0"/>
              <w:rPr>
                <w:sz w:val="20"/>
                <w:szCs w:val="20"/>
                <w:color w:val="auto"/>
              </w:rPr>
            </w:pPr>
            <w:r>
              <w:rPr>
                <w:rFonts w:ascii="Arial" w:cs="Arial" w:eastAsia="Arial" w:hAnsi="Arial"/>
                <w:sz w:val="18"/>
                <w:szCs w:val="18"/>
                <w:b w:val="1"/>
                <w:bCs w:val="1"/>
                <w:color w:val="auto"/>
                <w:w w:val="92"/>
              </w:rPr>
              <w:t>(Unaudited 2014 - 2022)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60" w:type="dxa"/>
            <w:vAlign w:val="bottom"/>
            <w:gridSpan w:val="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4"/>
              </w:rPr>
              <w:t>2014</w:t>
            </w:r>
          </w:p>
        </w:tc>
        <w:tc>
          <w:tcPr>
            <w:tcW w:w="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9,429</w:t>
            </w:r>
          </w:p>
        </w:tc>
        <w:tc>
          <w:tcPr>
            <w:tcW w:w="11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   10,738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11,770</w:t>
            </w: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13,819</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   14,901</w:t>
            </w: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15,491</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15,770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3"/>
          </w:tcPr>
          <w:p>
            <w:pPr>
              <w:ind w:left="440"/>
              <w:spacing w:after="0"/>
              <w:rPr>
                <w:sz w:val="20"/>
                <w:szCs w:val="20"/>
                <w:color w:val="auto"/>
              </w:rPr>
            </w:pPr>
            <w:r>
              <w:rPr>
                <w:rFonts w:ascii="Arial" w:cs="Arial" w:eastAsia="Arial" w:hAnsi="Arial"/>
                <w:sz w:val="18"/>
                <w:szCs w:val="18"/>
                <w:color w:val="auto"/>
                <w:w w:val="94"/>
              </w:rPr>
              <w:t>2015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12,295</w:t>
            </w:r>
          </w:p>
        </w:tc>
        <w:tc>
          <w:tcPr>
            <w:tcW w:w="1160" w:type="dxa"/>
            <w:vAlign w:val="bottom"/>
            <w:gridSpan w:val="6"/>
          </w:tcPr>
          <w:p>
            <w:pPr>
              <w:jc w:val="right"/>
              <w:ind w:right="220"/>
              <w:spacing w:after="0"/>
              <w:rPr>
                <w:sz w:val="20"/>
                <w:szCs w:val="20"/>
                <w:color w:val="auto"/>
              </w:rPr>
            </w:pPr>
            <w:r>
              <w:rPr>
                <w:rFonts w:ascii="Arial" w:cs="Arial" w:eastAsia="Arial" w:hAnsi="Arial"/>
                <w:sz w:val="18"/>
                <w:szCs w:val="18"/>
                <w:color w:val="auto"/>
              </w:rPr>
              <w:t>16,181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Arial" w:cs="Arial" w:eastAsia="Arial" w:hAnsi="Arial"/>
                <w:sz w:val="18"/>
                <w:szCs w:val="18"/>
                <w:color w:val="auto"/>
              </w:rPr>
              <w:t>18,266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19,984</w:t>
            </w:r>
          </w:p>
        </w:tc>
        <w:tc>
          <w:tcPr>
            <w:tcW w:w="14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21,067</w:t>
            </w: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22,104</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22,318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22,473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4"/>
              </w:rPr>
              <w:t>2016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15,364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19,001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21,106</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23,974</w:t>
            </w: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25,234</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3"/>
          </w:tcPr>
          <w:p>
            <w:pPr>
              <w:ind w:left="440"/>
              <w:spacing w:after="0"/>
              <w:rPr>
                <w:sz w:val="20"/>
                <w:szCs w:val="20"/>
                <w:color w:val="auto"/>
              </w:rPr>
            </w:pPr>
            <w:r>
              <w:rPr>
                <w:rFonts w:ascii="Arial" w:cs="Arial" w:eastAsia="Arial" w:hAnsi="Arial"/>
                <w:sz w:val="18"/>
                <w:szCs w:val="18"/>
                <w:color w:val="auto"/>
                <w:w w:val="94"/>
              </w:rPr>
              <w:t>2017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Arial" w:cs="Arial" w:eastAsia="Arial" w:hAnsi="Arial"/>
                <w:sz w:val="18"/>
                <w:szCs w:val="18"/>
                <w:color w:val="auto"/>
              </w:rPr>
              <w:t>16,704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24,820</w:t>
            </w:r>
          </w:p>
        </w:tc>
        <w:tc>
          <w:tcPr>
            <w:tcW w:w="14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28,693</w:t>
            </w: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31,393</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32,529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33,522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4"/>
              </w:rPr>
              <w:t>2018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32,383</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44,516</w:t>
            </w: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50,553</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52,025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3"/>
          </w:tcPr>
          <w:p>
            <w:pPr>
              <w:ind w:left="440"/>
              <w:spacing w:after="0"/>
              <w:rPr>
                <w:sz w:val="20"/>
                <w:szCs w:val="20"/>
                <w:color w:val="auto"/>
              </w:rPr>
            </w:pPr>
            <w:r>
              <w:rPr>
                <w:rFonts w:ascii="Arial" w:cs="Arial" w:eastAsia="Arial" w:hAnsi="Arial"/>
                <w:sz w:val="18"/>
                <w:szCs w:val="18"/>
                <w:color w:val="auto"/>
                <w:w w:val="94"/>
              </w:rPr>
              <w:t>2019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40,933</w:t>
            </w: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54,897</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58,055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60,374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4"/>
              </w:rPr>
              <w:t>2020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39,045</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50,719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53,432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3"/>
          </w:tcPr>
          <w:p>
            <w:pPr>
              <w:ind w:left="440"/>
              <w:spacing w:after="0"/>
              <w:rPr>
                <w:sz w:val="20"/>
                <w:szCs w:val="20"/>
                <w:color w:val="auto"/>
              </w:rPr>
            </w:pPr>
            <w:r>
              <w:rPr>
                <w:rFonts w:ascii="Arial" w:cs="Arial" w:eastAsia="Arial" w:hAnsi="Arial"/>
                <w:sz w:val="18"/>
                <w:szCs w:val="18"/>
                <w:color w:val="auto"/>
                <w:w w:val="94"/>
              </w:rPr>
              <w:t>2021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56,282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77,756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4"/>
              </w:rPr>
              <w:t>2022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54"/>
          </w:tcPr>
          <w:p>
            <w:pPr>
              <w:ind w:left="440"/>
              <w:spacing w:after="0"/>
              <w:rPr>
                <w:sz w:val="20"/>
                <w:szCs w:val="20"/>
                <w:color w:val="auto"/>
              </w:rPr>
            </w:pPr>
            <w:r>
              <w:rPr>
                <w:rFonts w:ascii="Arial" w:cs="Arial" w:eastAsia="Arial" w:hAnsi="Arial"/>
                <w:sz w:val="18"/>
                <w:szCs w:val="18"/>
                <w:color w:val="auto"/>
                <w:w w:val="94"/>
              </w:rPr>
              <w:t>2023</w:t>
            </w:r>
          </w:p>
        </w:tc>
        <w:tc>
          <w:tcPr>
            <w:tcW w:w="9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color w:val="auto"/>
              </w:rPr>
              <w:t>21,439</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Total</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4"/>
          </w:tcPr>
          <w:p>
            <w:pPr>
              <w:spacing w:after="0"/>
              <w:rPr>
                <w:sz w:val="18"/>
                <w:szCs w:val="18"/>
                <w:color w:val="auto"/>
              </w:rPr>
            </w:pPr>
          </w:p>
        </w:tc>
        <w:tc>
          <w:tcPr>
            <w:tcW w:w="1000" w:type="dxa"/>
            <w:vAlign w:val="bottom"/>
            <w:tcBorders>
              <w:top w:val="single" w:sz="8" w:color="CCEEFF"/>
            </w:tcBorders>
            <w:gridSpan w:val="5"/>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4"/>
          </w:tcPr>
          <w:p>
            <w:pPr>
              <w:spacing w:after="0"/>
              <w:rPr>
                <w:sz w:val="18"/>
                <w:szCs w:val="18"/>
                <w:color w:val="auto"/>
              </w:rPr>
            </w:pPr>
          </w:p>
        </w:tc>
        <w:tc>
          <w:tcPr>
            <w:tcW w:w="980" w:type="dxa"/>
            <w:vAlign w:val="bottom"/>
            <w:tcBorders>
              <w:top w:val="single" w:sz="8" w:color="CCEEFF"/>
            </w:tcBorders>
            <w:gridSpan w:val="5"/>
          </w:tcPr>
          <w:p>
            <w:pPr>
              <w:spacing w:after="0"/>
              <w:rPr>
                <w:sz w:val="18"/>
                <w:szCs w:val="18"/>
                <w:color w:val="auto"/>
              </w:rPr>
            </w:pPr>
          </w:p>
        </w:tc>
        <w:tc>
          <w:tcPr>
            <w:tcW w:w="220" w:type="dxa"/>
            <w:vAlign w:val="bottom"/>
            <w:tcBorders>
              <w:top w:val="single" w:sz="8" w:color="CCEEFF"/>
            </w:tcBorders>
            <w:gridSpan w:val="3"/>
          </w:tcPr>
          <w:p>
            <w:pPr>
              <w:spacing w:after="0"/>
              <w:rPr>
                <w:sz w:val="18"/>
                <w:szCs w:val="18"/>
                <w:color w:val="auto"/>
              </w:rPr>
            </w:pPr>
          </w:p>
        </w:tc>
        <w:tc>
          <w:tcPr>
            <w:tcW w:w="760" w:type="dxa"/>
            <w:vAlign w:val="bottom"/>
            <w:tcBorders>
              <w:top w:val="single" w:sz="8" w:color="CCEEFF"/>
            </w:tcBorders>
            <w:gridSpan w:val="3"/>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4"/>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60" w:type="dxa"/>
            <w:vAlign w:val="bottom"/>
            <w:gridSpan w:val="40"/>
            <w:shd w:val="clear" w:color="auto" w:fill="CCEEFF"/>
          </w:tcPr>
          <w:p>
            <w:pPr>
              <w:jc w:val="right"/>
              <w:spacing w:after="0"/>
              <w:rPr>
                <w:sz w:val="20"/>
                <w:szCs w:val="20"/>
                <w:color w:val="auto"/>
              </w:rPr>
            </w:pPr>
            <w:r>
              <w:rPr>
                <w:rFonts w:ascii="Arial" w:cs="Arial" w:eastAsia="Arial" w:hAnsi="Arial"/>
                <w:sz w:val="18"/>
                <w:szCs w:val="18"/>
                <w:color w:val="auto"/>
                <w:w w:val="94"/>
              </w:rPr>
              <w:t>Net liability for unpaid loss and allocated loss adjustment expenses for the accident years presented</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80" w:type="dxa"/>
            <w:vAlign w:val="bottom"/>
            <w:gridSpan w:val="22"/>
          </w:tcPr>
          <w:p>
            <w:pPr>
              <w:jc w:val="right"/>
              <w:spacing w:after="0"/>
              <w:rPr>
                <w:sz w:val="20"/>
                <w:szCs w:val="20"/>
                <w:color w:val="auto"/>
              </w:rPr>
            </w:pPr>
            <w:r>
              <w:rPr>
                <w:rFonts w:ascii="Arial" w:cs="Arial" w:eastAsia="Arial" w:hAnsi="Arial"/>
                <w:sz w:val="18"/>
                <w:szCs w:val="18"/>
                <w:color w:val="auto"/>
                <w:w w:val="99"/>
              </w:rPr>
              <w:t>All outstanding liabilities before 2014, net of reinsurance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760" w:type="dxa"/>
            <w:vAlign w:val="bottom"/>
            <w:gridSpan w:val="31"/>
            <w:shd w:val="clear" w:color="auto" w:fill="CCEEFF"/>
          </w:tcPr>
          <w:p>
            <w:pPr>
              <w:spacing w:after="0"/>
              <w:rPr>
                <w:sz w:val="20"/>
                <w:szCs w:val="20"/>
                <w:color w:val="auto"/>
              </w:rPr>
            </w:pPr>
            <w:r>
              <w:rPr>
                <w:rFonts w:ascii="Arial" w:cs="Arial" w:eastAsia="Arial" w:hAnsi="Arial"/>
                <w:sz w:val="18"/>
                <w:szCs w:val="18"/>
                <w:color w:val="auto"/>
                <w:w w:val="90"/>
              </w:rPr>
              <w:t>Liabilities for loss and allocated loss adjustment expenses, net of reinsurance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20" w:type="dxa"/>
            <w:vAlign w:val="bottom"/>
            <w:tcBorders>
              <w:top w:val="single" w:sz="8" w:color="CCEEFF"/>
            </w:tcBorders>
            <w:gridSpan w:val="54"/>
            <w:shd w:val="clear" w:color="auto" w:fill="CCEEFF"/>
          </w:tcPr>
          <w:p>
            <w:pPr>
              <w:spacing w:after="0" w:line="20" w:lineRule="exact"/>
              <w:rPr>
                <w:sz w:val="1"/>
                <w:szCs w:val="1"/>
                <w:color w:val="auto"/>
              </w:rPr>
            </w:pPr>
          </w:p>
        </w:tc>
        <w:tc>
          <w:tcPr>
            <w:tcW w:w="1020" w:type="dxa"/>
            <w:vAlign w:val="bottom"/>
            <w:tcBorders>
              <w:top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may not sum to totals due to rounding)</w:t>
      </w:r>
    </w:p>
    <w:p>
      <w:pPr>
        <w:sectPr>
          <w:pgSz w:w="11900" w:h="16838" w:orient="portrait"/>
          <w:cols w:equalWidth="0" w:num="1">
            <w:col w:w="11240"/>
          </w:cols>
          <w:pgMar w:left="320" w:top="125" w:right="339" w:bottom="20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the Disclosure of Incurred and Paid Loss Development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Liability for Loss and LAE Reserves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r>
      <w:tr>
        <w:trPr>
          <w:trHeight w:val="21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allocated loss and loss adjustment expenses, net of reinsurance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30,448</w:t>
            </w:r>
          </w:p>
        </w:tc>
        <w:tc>
          <w:tcPr>
            <w:tcW w:w="100" w:type="dxa"/>
            <w:vAlign w:val="bottom"/>
          </w:tcPr>
          <w:p>
            <w:pPr>
              <w:spacing w:after="0"/>
              <w:rPr>
                <w:sz w:val="18"/>
                <w:szCs w:val="18"/>
                <w:color w:val="auto"/>
              </w:rPr>
            </w:pPr>
          </w:p>
        </w:tc>
      </w:tr>
      <w:tr>
        <w:trPr>
          <w:trHeight w:val="21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117,562</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December 31, 2021, the Company entered into a quota share reinsurance treaty for its personal lines business, which primarily consists of homeowners’ and dwelling fire policies, covering the period from December 31, 2021 through January 1, 2023 (“2021/2023 Treaty”). Upon the expiration of the 2021/2023 Treaty on January 1, 2023, the Company entered into a new quota share reinsurance treaty for its personal lines business, covering the period from January 1, 2023 through January 1, 2024 (“2023/2024 Treaty”).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excess of loss and catastrophe reinsurance treaties expired on June 30, 2023 and the Company entered into new excess of loss and catastrophe reinsurance treaties effective July 1, 2023. Effective January 1, 2022, the Company entered into an underlying excess of loss reinsurance treaty (“Underlying XOL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 Material terms for reinsurance treaties in effect for the treaty years shown below are as follows: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5"/>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3"/>
              </w:rPr>
              <w:t>Treaty Period</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January 2,</w:t>
            </w:r>
          </w:p>
        </w:tc>
        <w:tc>
          <w:tcPr>
            <w:tcW w:w="100" w:type="dxa"/>
            <w:vAlign w:val="bottom"/>
          </w:tcPr>
          <w:p>
            <w:pPr>
              <w:spacing w:after="0"/>
              <w:rPr>
                <w:sz w:val="18"/>
                <w:szCs w:val="18"/>
                <w:color w:val="auto"/>
              </w:rPr>
            </w:pPr>
          </w:p>
        </w:tc>
        <w:tc>
          <w:tcPr>
            <w:tcW w:w="26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2023/2024 Treaty</w:t>
            </w:r>
          </w:p>
        </w:tc>
        <w:tc>
          <w:tcPr>
            <w:tcW w:w="100" w:type="dxa"/>
            <w:vAlign w:val="bottom"/>
          </w:tcPr>
          <w:p>
            <w:pPr>
              <w:spacing w:after="0"/>
              <w:rPr>
                <w:sz w:val="18"/>
                <w:szCs w:val="18"/>
                <w:color w:val="auto"/>
              </w:rPr>
            </w:pPr>
          </w:p>
        </w:tc>
        <w:tc>
          <w:tcPr>
            <w:tcW w:w="23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2021/2023 Treaty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July 1,</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January 1,</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July 1,</w:t>
            </w:r>
          </w:p>
        </w:tc>
        <w:tc>
          <w:tcPr>
            <w:tcW w:w="11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January 1,</w:t>
            </w:r>
          </w:p>
        </w:tc>
        <w:tc>
          <w:tcPr>
            <w:tcW w:w="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520" w:type="dxa"/>
            <w:vAlign w:val="bottom"/>
            <w:gridSpan w:val="5"/>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5"/>
          </w:tcPr>
          <w:p>
            <w:pPr>
              <w:spacing w:after="0"/>
              <w:rPr>
                <w:sz w:val="20"/>
                <w:szCs w:val="20"/>
                <w:color w:val="auto"/>
              </w:rPr>
            </w:pPr>
            <w:r>
              <w:rPr>
                <w:rFonts w:ascii="Arial" w:cs="Arial" w:eastAsia="Arial" w:hAnsi="Arial"/>
                <w:sz w:val="18"/>
                <w:szCs w:val="18"/>
                <w:color w:val="auto"/>
                <w:w w:val="97"/>
              </w:rPr>
              <w:t>Homeowners, dwelling fire and canine legal liability Quota</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5"/>
          </w:tcPr>
          <w:p>
            <w:pPr>
              <w:spacing w:after="0"/>
              <w:rPr>
                <w:sz w:val="20"/>
                <w:szCs w:val="20"/>
                <w:color w:val="auto"/>
              </w:rPr>
            </w:pPr>
            <w:r>
              <w:rPr>
                <w:rFonts w:ascii="Arial" w:cs="Arial" w:eastAsia="Arial" w:hAnsi="Arial"/>
                <w:sz w:val="18"/>
                <w:szCs w:val="18"/>
                <w:color w:val="auto"/>
              </w:rPr>
              <w:t>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rPr>
              <w:t>Percent ceded (7)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520" w:type="dxa"/>
            <w:vAlign w:val="bottom"/>
            <w:gridSpan w:val="5"/>
          </w:tcPr>
          <w:p>
            <w:pPr>
              <w:ind w:left="160"/>
              <w:spacing w:after="0"/>
              <w:rPr>
                <w:sz w:val="20"/>
                <w:szCs w:val="20"/>
                <w:color w:val="auto"/>
              </w:rPr>
            </w:pPr>
            <w:r>
              <w:rPr>
                <w:rFonts w:ascii="Arial" w:cs="Arial" w:eastAsia="Arial" w:hAnsi="Arial"/>
                <w:sz w:val="18"/>
                <w:szCs w:val="18"/>
                <w:color w:val="auto"/>
              </w:rPr>
              <w:t>Risk retained on initial $1,000,000 of losses (5) (6) (7)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02"/>
        </w:trPr>
        <w:tc>
          <w:tcPr>
            <w:tcW w:w="452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Losses per occurrence subject to quota share reinsurance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coverage</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gridSpan w:val="5"/>
            <w:shd w:val="clear" w:color="auto" w:fill="CCEEFF"/>
          </w:tcPr>
          <w:p>
            <w:pPr>
              <w:ind w:left="440"/>
              <w:spacing w:after="0" w:line="201" w:lineRule="exact"/>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January 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January 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January 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January 1,</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2"/>
        </w:trPr>
        <w:tc>
          <w:tcPr>
            <w:tcW w:w="452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6"/>
              </w:rPr>
              <w:t>Excess of loss coverage and facultative facility coverage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 (5) (6)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8,400,000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in excess of</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45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reinsurance coverage per occurrence (5) (6)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16"/>
        </w:trPr>
        <w:tc>
          <w:tcPr>
            <w:tcW w:w="4520" w:type="dxa"/>
            <w:vAlign w:val="bottom"/>
            <w:gridSpan w:val="5"/>
          </w:tcPr>
          <w:p>
            <w:pPr>
              <w:ind w:left="160"/>
              <w:spacing w:after="0"/>
              <w:rPr>
                <w:sz w:val="20"/>
                <w:szCs w:val="20"/>
                <w:color w:val="auto"/>
              </w:rPr>
            </w:pPr>
            <w:r>
              <w:rPr>
                <w:rFonts w:ascii="Arial" w:cs="Arial" w:eastAsia="Arial" w:hAnsi="Arial"/>
                <w:sz w:val="18"/>
                <w:szCs w:val="18"/>
                <w:color w:val="auto"/>
                <w:w w:val="98"/>
              </w:rPr>
              <w:t>Losses per occurrence subject to reinsurance coverage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45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Expiration date (6)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June 30, 2024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June 30, 2024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June 30, 2023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June 30, 2023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June 30, 2022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Catastrophe Reinsurance:</w:t>
            </w:r>
          </w:p>
        </w:tc>
        <w:tc>
          <w:tcPr>
            <w:tcW w:w="26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5"/>
          </w:tcPr>
          <w:p>
            <w:pPr>
              <w:ind w:left="160"/>
              <w:spacing w:after="0"/>
              <w:rPr>
                <w:sz w:val="20"/>
                <w:szCs w:val="20"/>
                <w:color w:val="auto"/>
              </w:rPr>
            </w:pPr>
            <w:r>
              <w:rPr>
                <w:rFonts w:ascii="Arial" w:cs="Arial" w:eastAsia="Arial" w:hAnsi="Arial"/>
                <w:sz w:val="18"/>
                <w:szCs w:val="18"/>
                <w:color w:val="auto"/>
                <w:w w:val="95"/>
              </w:rPr>
              <w:t>Initial loss subject to personal lines quota share treaty (6)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45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Risk retained per catastrophe occurrence (6) (7) (8)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7,400,000</w:t>
            </w:r>
          </w:p>
        </w:tc>
        <w:tc>
          <w:tcPr>
            <w:tcW w:w="0" w:type="dxa"/>
            <w:vAlign w:val="bottom"/>
          </w:tcPr>
          <w:p>
            <w:pPr>
              <w:spacing w:after="0"/>
              <w:rPr>
                <w:sz w:val="1"/>
                <w:szCs w:val="1"/>
                <w:color w:val="auto"/>
              </w:rPr>
            </w:pPr>
          </w:p>
        </w:tc>
      </w:tr>
      <w:tr>
        <w:trPr>
          <w:trHeight w:val="202"/>
        </w:trPr>
        <w:tc>
          <w:tcPr>
            <w:tcW w:w="4520" w:type="dxa"/>
            <w:vAlign w:val="bottom"/>
            <w:gridSpan w:val="5"/>
          </w:tcPr>
          <w:p>
            <w:pPr>
              <w:ind w:left="160"/>
              <w:spacing w:after="0" w:line="201" w:lineRule="exact"/>
              <w:rPr>
                <w:sz w:val="20"/>
                <w:szCs w:val="20"/>
                <w:color w:val="auto"/>
              </w:rPr>
            </w:pPr>
            <w:r>
              <w:rPr>
                <w:rFonts w:ascii="Arial" w:cs="Arial" w:eastAsia="Arial" w:hAnsi="Arial"/>
                <w:sz w:val="18"/>
                <w:szCs w:val="18"/>
                <w:color w:val="auto"/>
              </w:rPr>
              <w:t>Catastrophe loss coverage in excess of quota share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5"/>
          </w:tcPr>
          <w:p>
            <w:pPr>
              <w:spacing w:after="0"/>
              <w:rPr>
                <w:sz w:val="20"/>
                <w:szCs w:val="20"/>
                <w:color w:val="auto"/>
              </w:rPr>
            </w:pPr>
            <w:r>
              <w:rPr>
                <w:rFonts w:ascii="Arial" w:cs="Arial" w:eastAsia="Arial" w:hAnsi="Arial"/>
                <w:sz w:val="18"/>
                <w:szCs w:val="18"/>
                <w:color w:val="auto"/>
              </w:rPr>
              <w:t>coverage (2) (6)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315,000,000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315,000,000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335,000,000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335,000,000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490,000,000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5"/>
          </w:tcPr>
          <w:p>
            <w:pPr>
              <w:ind w:left="160"/>
              <w:spacing w:after="0"/>
              <w:rPr>
                <w:sz w:val="20"/>
                <w:szCs w:val="20"/>
                <w:color w:val="auto"/>
              </w:rPr>
            </w:pPr>
            <w:r>
              <w:rPr>
                <w:rFonts w:ascii="Arial" w:cs="Arial" w:eastAsia="Arial" w:hAnsi="Arial"/>
                <w:sz w:val="18"/>
                <w:szCs w:val="18"/>
                <w:color w:val="auto"/>
              </w:rPr>
              <w:t>Reinstatement premium protection (3) (4)</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00" w:hanging="447"/>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personal lines, includes the addition of an automatic facultative facility allowing KICO to obtain homeowners single risk coverage up to</w:t>
      </w:r>
    </w:p>
    <w:p>
      <w:pPr>
        <w:sectPr>
          <w:pgSz w:w="11900" w:h="16838" w:orient="portrait"/>
          <w:cols w:equalWidth="0" w:num="1">
            <w:col w:w="11240"/>
          </w:cols>
          <w:pgMar w:left="320" w:top="125" w:right="339" w:bottom="0" w:gutter="0" w:footer="0" w:header="0"/>
        </w:sectPr>
      </w:pPr>
    </w:p>
    <w:bookmarkStart w:id="17" w:name="page18"/>
    <w:bookmarkEnd w:id="17"/>
    <w:p>
      <w:pPr>
        <w:spacing w:after="0" w:line="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$9,000,000 in total insured value, which covers direct losses from $3,500,000 to $9,000,000 through June 30, 2024.</w:t>
      </w:r>
    </w:p>
    <w:p>
      <w:pPr>
        <w:spacing w:after="0" w:line="23" w:lineRule="exact"/>
        <w:rPr>
          <w:sz w:val="20"/>
          <w:szCs w:val="20"/>
          <w:color w:val="auto"/>
        </w:rPr>
      </w:pPr>
    </w:p>
    <w:p>
      <w:pPr>
        <w:ind w:left="900" w:hanging="447"/>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900" w:hanging="447"/>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period December 31, 2021 through June 30, 2022, reinstatement premium protection for $70,000,000 of catastrophe coverage in excess of $10,000,000.</w:t>
      </w:r>
    </w:p>
    <w:p>
      <w:pPr>
        <w:jc w:val="both"/>
        <w:ind w:left="900" w:hanging="447"/>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period July 1, 2022 through June 30, 2023, reinstatement premium protection for $9,800,000 of catastrophe coverage in excess of $10,000,000. For the period July 1, 2023 through June 30, 2024, reinstatement premium protection for $12,500,000 of catastrophe coverage in excess of $10,000,000</w:t>
      </w:r>
    </w:p>
    <w:p>
      <w:pPr>
        <w:spacing w:after="0" w:line="1"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period January 1, 2022 through January 1, 2024, underlying excess of loss treaty provides 50% reinsurance coverage for losses of $400,000 in excess of $600,000. Reduces retention to $500,000 from $700,000 under the 2021/2023 Treaty and 2023/2024 Treaty. Excludes losses from named storms.</w:t>
      </w:r>
    </w:p>
    <w:p>
      <w:pPr>
        <w:spacing w:after="0" w:line="1" w:lineRule="exact"/>
        <w:rPr>
          <w:rFonts w:ascii="Arial" w:cs="Arial" w:eastAsia="Arial" w:hAnsi="Arial"/>
          <w:sz w:val="18"/>
          <w:szCs w:val="18"/>
          <w:color w:val="auto"/>
        </w:rPr>
      </w:pPr>
    </w:p>
    <w:p>
      <w:pPr>
        <w:jc w:val="both"/>
        <w:ind w:left="900" w:right="20" w:hanging="447"/>
        <w:spacing w:after="0" w:line="28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Personal lines quota share (homeowners, dwelling fire and canine liability) and underlying excess of loss reinsurance will expire on January 1, 2024; reinsurance coverage in effect from January 2, 2024 through June 30, 2024 is only for excess of loss and catastrophe reinsurance treaties.</w:t>
      </w:r>
    </w:p>
    <w:p>
      <w:pPr>
        <w:spacing w:after="0" w:line="1" w:lineRule="exact"/>
        <w:rPr>
          <w:rFonts w:ascii="Arial" w:cs="Arial" w:eastAsia="Arial" w:hAnsi="Arial"/>
          <w:sz w:val="16"/>
          <w:szCs w:val="16"/>
          <w:color w:val="auto"/>
        </w:rPr>
      </w:pPr>
    </w:p>
    <w:p>
      <w:pPr>
        <w:ind w:left="900" w:hanging="447"/>
        <w:spacing w:after="0" w:line="26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2021/2023 Treaty, 4% of the 30% total of losses ceded under this treaty are excluded from a named catastrophe event. For the 2023/2024 Treaty, 17.5% of the 30% total of losses ceded under this treaty are excluded from a named catastrophe event.</w:t>
      </w: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gridSpan w:val="4"/>
          </w:tcPr>
          <w:p>
            <w:pPr>
              <w:spacing w:after="0"/>
              <w:rPr>
                <w:sz w:val="20"/>
                <w:szCs w:val="20"/>
                <w:color w:val="auto"/>
              </w:rPr>
            </w:pPr>
            <w:r>
              <w:rPr>
                <w:rFonts w:ascii="Arial" w:cs="Arial" w:eastAsia="Arial" w:hAnsi="Arial"/>
                <w:sz w:val="18"/>
                <w:szCs w:val="18"/>
                <w:i w:val="1"/>
                <w:iCs w:val="1"/>
                <w:color w:val="0000EE"/>
              </w:rPr>
              <w:t>Table of Contents</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Treaty Year</w:t>
            </w:r>
          </w:p>
        </w:tc>
      </w:tr>
      <w:tr>
        <w:trPr>
          <w:trHeight w:val="191"/>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2022</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98"/>
              </w:rPr>
              <w:t>July 1, 2021</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b w:val="1"/>
                <w:bCs w:val="1"/>
                <w:color w:val="auto"/>
              </w:rPr>
              <w:t>to</w:t>
            </w:r>
          </w:p>
        </w:tc>
      </w:tr>
      <w:tr>
        <w:trPr>
          <w:trHeight w:val="234"/>
        </w:trPr>
        <w:tc>
          <w:tcPr>
            <w:tcW w:w="8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2023</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2022</w:t>
            </w:r>
          </w:p>
        </w:tc>
        <w:tc>
          <w:tcPr>
            <w:tcW w:w="160" w:type="dxa"/>
            <w:vAlign w:val="bottom"/>
          </w:tcPr>
          <w:p>
            <w:pPr>
              <w:spacing w:after="0"/>
              <w:rPr>
                <w:sz w:val="20"/>
                <w:szCs w:val="20"/>
                <w:color w:val="auto"/>
              </w:rPr>
            </w:pPr>
          </w:p>
        </w:tc>
      </w:tr>
      <w:tr>
        <w:trPr>
          <w:trHeight w:val="385"/>
        </w:trPr>
        <w:tc>
          <w:tcPr>
            <w:tcW w:w="860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8600" w:type="dxa"/>
            <w:vAlign w:val="bottom"/>
            <w:gridSpan w:val="4"/>
          </w:tcPr>
          <w:p>
            <w:pPr>
              <w:ind w:left="60"/>
              <w:spacing w:after="0"/>
              <w:rPr>
                <w:sz w:val="20"/>
                <w:szCs w:val="20"/>
                <w:color w:val="auto"/>
              </w:rPr>
            </w:pPr>
            <w:r>
              <w:rPr>
                <w:rFonts w:ascii="Arial" w:cs="Arial" w:eastAsia="Arial" w:hAnsi="Arial"/>
                <w:sz w:val="18"/>
                <w:szCs w:val="18"/>
                <w:color w:val="auto"/>
              </w:rPr>
              <w:t>Personal Umbrella</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8600" w:type="dxa"/>
            <w:vAlign w:val="bottom"/>
            <w:gridSpan w:val="4"/>
          </w:tcPr>
          <w:p>
            <w:pPr>
              <w:ind w:left="220"/>
              <w:spacing w:after="0"/>
              <w:rPr>
                <w:sz w:val="20"/>
                <w:szCs w:val="20"/>
                <w:color w:val="auto"/>
              </w:rPr>
            </w:pPr>
            <w:r>
              <w:rPr>
                <w:rFonts w:ascii="Arial" w:cs="Arial" w:eastAsia="Arial" w:hAnsi="Arial"/>
                <w:sz w:val="18"/>
                <w:szCs w:val="18"/>
                <w:color w:val="auto"/>
              </w:rPr>
              <w:t>Quota share treaty:</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Percent ceded - first $1,000,000 of coverage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8600" w:type="dxa"/>
            <w:vAlign w:val="bottom"/>
            <w:gridSpan w:val="4"/>
          </w:tcPr>
          <w:p>
            <w:pPr>
              <w:ind w:left="540"/>
              <w:spacing w:after="0"/>
              <w:rPr>
                <w:sz w:val="20"/>
                <w:szCs w:val="20"/>
                <w:color w:val="auto"/>
              </w:rPr>
            </w:pPr>
            <w:r>
              <w:rPr>
                <w:rFonts w:ascii="Arial" w:cs="Arial" w:eastAsia="Arial" w:hAnsi="Arial"/>
                <w:sz w:val="18"/>
                <w:szCs w:val="18"/>
                <w:color w:val="auto"/>
              </w:rPr>
              <w:t>Percent ceded - excess of $1,000,000 dollars of coverage</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86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Risk retained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16"/>
        </w:trPr>
        <w:tc>
          <w:tcPr>
            <w:tcW w:w="8600" w:type="dxa"/>
            <w:vAlign w:val="bottom"/>
            <w:gridSpan w:val="4"/>
          </w:tcPr>
          <w:p>
            <w:pPr>
              <w:ind w:left="540"/>
              <w:spacing w:after="0"/>
              <w:rPr>
                <w:sz w:val="20"/>
                <w:szCs w:val="20"/>
                <w:color w:val="auto"/>
              </w:rPr>
            </w:pPr>
            <w:r>
              <w:rPr>
                <w:rFonts w:ascii="Arial" w:cs="Arial" w:eastAsia="Arial" w:hAnsi="Arial"/>
                <w:sz w:val="18"/>
                <w:szCs w:val="18"/>
                <w:color w:val="auto"/>
              </w:rPr>
              <w:t>Total reinsurance coverage per occurrence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4,700,000</w:t>
            </w:r>
          </w:p>
        </w:tc>
      </w:tr>
      <w:tr>
        <w:trPr>
          <w:trHeight w:val="216"/>
        </w:trPr>
        <w:tc>
          <w:tcPr>
            <w:tcW w:w="86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8600" w:type="dxa"/>
            <w:vAlign w:val="bottom"/>
            <w:gridSpan w:val="4"/>
          </w:tcPr>
          <w:p>
            <w:pPr>
              <w:ind w:left="220"/>
              <w:spacing w:after="0"/>
              <w:rPr>
                <w:sz w:val="20"/>
                <w:szCs w:val="20"/>
                <w:color w:val="auto"/>
              </w:rPr>
            </w:pPr>
            <w:r>
              <w:rPr>
                <w:rFonts w:ascii="Arial" w:cs="Arial" w:eastAsia="Arial" w:hAnsi="Arial"/>
                <w:sz w:val="18"/>
                <w:szCs w:val="18"/>
                <w:color w:val="auto"/>
              </w:rPr>
              <w:t>Expiration date</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2023</w:t>
            </w:r>
          </w:p>
        </w:tc>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9"/>
              </w:rPr>
              <w:t>June 30, 2022</w:t>
            </w:r>
          </w:p>
        </w:tc>
      </w:tr>
      <w:tr>
        <w:trPr>
          <w:trHeight w:val="216"/>
        </w:trPr>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Commercial Lines (1)</w:t>
      </w:r>
    </w:p>
    <w:p>
      <w:pPr>
        <w:spacing w:after="0" w:line="211" w:lineRule="exact"/>
        <w:rPr>
          <w:sz w:val="20"/>
          <w:szCs w:val="20"/>
          <w:color w:val="auto"/>
        </w:rPr>
      </w:pPr>
    </w:p>
    <w:p>
      <w:pPr>
        <w:ind w:left="900" w:hanging="447"/>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Coverage on all commercial lines policies expired in September 2020; reinsurance coverage is based on treaties in effect on the date of loss.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earned ceding commission revenue under the 2023/2024 Treaty for the three months and six months ended June 30, 2023, and under the 2021/2023 Treaty for the three months and six months ended June 30, 2022, based on a fixed provisional commission rate at which provisional ceding commissions are earned. The Company earned ceding commission revenue under its expired quota share reinsurance agreements based on: (i) a fixed provisional commission rate at which provisional ceding commissions were earned, and (ii)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2"/>
        </w:trPr>
        <w:tc>
          <w:tcPr>
            <w:tcW w:w="6060" w:type="dxa"/>
            <w:vAlign w:val="bottom"/>
            <w:gridSpan w:val="2"/>
          </w:tcPr>
          <w:p>
            <w:pPr>
              <w:spacing w:after="0"/>
              <w:rPr>
                <w:sz w:val="20"/>
                <w:szCs w:val="20"/>
                <w:color w:val="auto"/>
              </w:rPr>
            </w:pPr>
            <w:r>
              <w:rPr>
                <w:rFonts w:ascii="Arial" w:cs="Arial" w:eastAsia="Arial" w:hAnsi="Arial"/>
                <w:sz w:val="18"/>
                <w:szCs w:val="18"/>
                <w:color w:val="auto"/>
              </w:rPr>
              <w:t>Ceding commission revenue consists of the following: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3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5,294,025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4,692,931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10,740,833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9,234,464</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118,185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22,656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116,784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162,519</w:t>
            </w: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1280" w:type="dxa"/>
            <w:vAlign w:val="bottom"/>
            <w:shd w:val="clear" w:color="auto" w:fill="CCEEFF"/>
          </w:tcPr>
          <w:p>
            <w:pPr>
              <w:spacing w:after="0"/>
              <w:rPr>
                <w:sz w:val="19"/>
                <w:szCs w:val="19"/>
                <w:color w:val="auto"/>
              </w:rPr>
            </w:pPr>
          </w:p>
        </w:tc>
        <w:tc>
          <w:tcPr>
            <w:tcW w:w="47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5,412,210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4,715,587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10,857,617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9,396,983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June 30, 2023 and December 31, 2022, net contingent ceding</w:t>
      </w:r>
    </w:p>
    <w:p>
      <w:pPr>
        <w:sectPr>
          <w:pgSz w:w="11900" w:h="16909" w:orient="portrait"/>
          <w:cols w:equalWidth="0" w:num="1">
            <w:col w:w="11240"/>
          </w:cols>
          <w:pgMar w:left="320" w:top="125" w:right="339" w:bottom="0" w:gutter="0" w:footer="0" w:header="0"/>
        </w:sectPr>
      </w:pPr>
    </w:p>
    <w:bookmarkStart w:id="18" w:name="page19"/>
    <w:bookmarkEnd w:id="18"/>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commissions payable to reinsurers under all treaties was approximately $2,551,000 and $2,667,000, respectively, which is recorded in reinsurance balances payable on the accompanying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Expected Credit Losses – Uncollectible Reinsurance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on reinsurance receivables is the financial strength rating of the reinsurer sourced from major rating agencies. Changes in the allowance are presented as a component of other underwriting expenses on the condensed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KICO became a member of, and invested in, the Federal Home Loan Bank of New York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June 30, 2023 and December 31, 2022,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one year of borrowing. KICO is currently able to borrow on an overnight basis. If KICO has collateral, based on KICO’s net admitted assets, the maximum allowable advance as of June 30, 2023 and December 31, 2022 was approximately $13,268,000 and $13,192,000, respectively. Available collateral as of June 30, 2023 and December 31, 2022 was approximately $11,799,000 and $12,228,000, respectively. Advances are limited to 85% of the amount of available collateral. There were no borrowings under this facility during the three months ended June 30, 2023 and 2022.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i w:val="1"/>
                <w:iCs w:val="1"/>
                <w:color w:val="0000EE"/>
                <w:w w:val="88"/>
              </w:rPr>
              <w:t>Table of Contents</w:t>
            </w: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2"/>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Debt</w:t>
            </w:r>
          </w:p>
        </w:tc>
        <w:tc>
          <w:tcPr>
            <w:tcW w:w="83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700" w:type="dxa"/>
            <w:vAlign w:val="bottom"/>
            <w:gridSpan w:val="3"/>
          </w:tcPr>
          <w:p>
            <w:pPr>
              <w:spacing w:after="0"/>
              <w:rPr>
                <w:sz w:val="20"/>
                <w:szCs w:val="20"/>
                <w:color w:val="auto"/>
              </w:rPr>
            </w:pPr>
            <w:r>
              <w:rPr>
                <w:rFonts w:ascii="Arial" w:cs="Arial" w:eastAsia="Arial" w:hAnsi="Arial"/>
                <w:sz w:val="18"/>
                <w:szCs w:val="18"/>
                <w:color w:val="auto"/>
              </w:rPr>
              <w:t>Debt as of June 30, 2023 and December 31, 2022 consists of the following:</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2022 Notes,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17,832,408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17,252,868</w:t>
            </w: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Equipment financing</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7,369,418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7,905,655</w:t>
            </w: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25,201,826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25,158,523</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and Warrant Exchange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9, 2022, the Company entered into a Note and Warrant Exchange Agreement (the “Exchange Agreement”) with several holders (the “Exchanging Noteholders”) of the Company’s outstanding 5.50% Senior Notes due 2022 (the “2017 Notes”). On the date of the Exchange Agreement, the Exchanging Noteholders held 2017 Notes in the aggregate principal amount of $21,545,000 of the $30,000,000 aggregate principal amount of the 2017 Notes then outstanding. Pursuant to the Exchange Agreement, on December 15, 2022, the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at an exercise price of $1.00 per share (the “Warrants”). The remaining $8,455,000 principal amount of the 2017 Notes, together with accrued interest thereon, was paid on the maturity date of the 2017 Notes of December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15, 2022, the Company issued $19,950,000 of its 2022 Notes pursuant to the Exchange Agreement. Interest is payable semi-annually in arrears on June 30 and December 30 of each year, which will begin on June 30, 2023 at the rate of 12.0% per annum. Warrants were issued with a fair value of $993,200 (see Note 8 – Stockholders’ Equity) and transaction costs were $1,758,112, for an effective yield of 13.92% per annum. The balance of the 2022 Notes as of June 30, 2023 and December 31, 2022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12.0% Senior Unsecured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19,950,000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19,950,000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Warrants</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(816,403)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(979,684)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(1,301,189)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(1,717,448)</w:t>
            </w:r>
          </w:p>
        </w:tc>
      </w:tr>
      <w:tr>
        <w:trPr>
          <w:trHeight w:val="209"/>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2022 Notes,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17,832,408</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17,252,868</w:t>
            </w:r>
          </w:p>
        </w:tc>
        <w:tc>
          <w:tcPr>
            <w:tcW w:w="100" w:type="dxa"/>
            <w:vAlign w:val="bottom"/>
            <w:tcBorders>
              <w:top w:val="single" w:sz="8" w:color="CCEEFF"/>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required to make a mandatory redemption of the 2022 Notes on December 30, 2023, in an amount such that the aggregate principal amount of the 2022 Notes to be redeemed plus accrued and unpaid interest thereon shall be equal to the amount by which the maximum Ordinary Dividend Paying Capacity of KICO (as defined below) measured as of December 15, 2023 exceeds the Company’s Holding Company Expenses (as defined below) for the calendar year ended December 31, 2023. “Ordinary Dividend Paying Capacity” means the sum, as measured on December 15, 2023, of (i) the maximum allowable amount of dividends that KICO is permitted to pay without seeking any regulatory approval in accordance with New York insurance</w:t>
      </w:r>
    </w:p>
    <w:p>
      <w:pPr>
        <w:sectPr>
          <w:pgSz w:w="11900" w:h="16931" w:orient="portrait"/>
          <w:cols w:equalWidth="0" w:num="1">
            <w:col w:w="11240"/>
          </w:cols>
          <w:pgMar w:left="320" w:top="125" w:right="339" w:bottom="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7"/>
          <w:szCs w:val="17"/>
          <w:color w:val="auto"/>
        </w:rPr>
        <w:t>regulations based on its statutory annual and quarterly financial statements filed with the National Association of Insurance Commissioners as of and for the thirty-six (36) month period ended September 30, 2023 plus (ii) any dividends paid by KICO to the Company during the period beginning January 1, 2023 and ending September 30, 2023. “Holding Company Expenses” means the sum of (i) cash interest expense paid or to be paid during the calendar year ended December 31, 2023 on the 2022 Notes, intercompany loans and any other indebtedness of the holding company on a stand-alone basis and (ii) other cash operating expenses, including taxes, paid or to be paid by the holding company during the calendar year ended December 31, 2023. The amount of other operating expenses paid in cash in the preceding clause (ii) shall not exceed $2.5 million. Holding Company Expenses will be determined based on the actual Holding Company Expenses for the nine months ending September 30, 2023, and an estimate of Holding Company Expenses for the three months ending December 30, 2023.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2022 Notes are unsecured obligations of the Company and are not the obligations of or guaranteed by any of the Company’s subsidiaries. The 2022 Notes rank senior in right of payment to any of the Company’s existing and future indebtedness that is by its terms expressly subordinated or junior in right of payment to the 2022 Notes. The Notes rank equally in right of payment to all of the Company’s existing and future senior indebtedness, but are effectively subordinated to any secured indebtedness to the extent of the value of the collateral securing such secured indebtedness. In addition, the 2022 Notes are structurally subordinated to the indebtedness and other obligations of the Company’s subsidiaries.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2022 Notes are redeemable, at the Company’s option, in whole or in part, at any time or in part from time to time, upon not less than fifteen (15) nor more than sixty (60) days’ notice, at the following redemption prices (expressed as percentages of the principal amount thereof) if redeemed during the respective period set forth below, plus, in each case, accrued and unpaid interest, if any, to the date of redemption (subject to the right of holders of record on the relevant record date to receive interest due on the relevant interest payment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Percentage</w:t>
            </w:r>
          </w:p>
        </w:tc>
      </w:tr>
      <w:tr>
        <w:trPr>
          <w:trHeight w:val="210"/>
        </w:trPr>
        <w:tc>
          <w:tcPr>
            <w:tcW w:w="9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December 30, 2022 to December 29, 2023</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102.00%</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December 30, 2023 to September 29, 2024</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101.00%</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2024 to December 29, 2024</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end of each calendar quarter, commencing with the calendar quarter ending December 31, 2022, the Company is subject to a leverage maintenance test (“Leverage Maintenance Test”), which requires that the Total Consolidated Indebtedness (as defined below) of the Company not be greater than 30% of Total Consolidated Capitalization (as defined below). As of June 30, 2023 and December 31, 2022, the ratio as defined under the Leverage Maintenance Test was 29.8% and 26.7%, respectively. “Total Consolidated Indebtedness” is the aggregate principal amount (or accreted value in the case of any Indebtedness issued with more than de minimis original issue discount) of all outstanding long-term of the Company except for the sale leaseback transaction described below under “Equipment Financing”, any refinancing or any future sale leaseback transaction. “Total Consolidated Capitalization” is the amount equal to the sum of (x) Total Consolidated Indebtedness outstanding as of such date and (y) the total consolidated shareholders’ equity of the Company, excluding accumulated other comprehensive (loss) income, as recorded on the Company’s condensed consolidated balance sheet.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27, 2022, KICO entered into a sale leaseback transaction, whereby KICO sold $8,096,824 of fixed assets to a bank. Under GAAP, the sale 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87" w:lineRule="exact"/>
        <w:rPr>
          <w:sz w:val="20"/>
          <w:szCs w:val="20"/>
          <w:color w:val="auto"/>
        </w:rPr>
      </w:pPr>
    </w:p>
    <w:p>
      <w:pPr>
        <w:ind w:left="920" w:hanging="467"/>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end of the lease, KICO may purchase the fixed assets for a purchase price of $2,024,206, which is 25% of the original fixed asset cost of $8,096,824; or</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KICO may renew the lease for 16 months at the same rental rate, which totals $2,030,036.</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provision of the Financing requires KICO to pledge collateral for the lease obligation. As of June 30, 2023 and December 31, 2022, the amount of required collateral was approximately $7,845,000 and $8,691,000, respectively. As of June 30, 2023 and December 31, 2022, the fair value of KICO’s pledged collateral was approximately $8,134,000 and $8,691,000, respectively, in United States Treasury securities.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Future contractual payment obligations under the Financing as of June 30, 2023 are as follows: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920" w:type="dxa"/>
            <w:vAlign w:val="bottom"/>
          </w:tcPr>
          <w:p>
            <w:pPr>
              <w:ind w:left="4480"/>
              <w:spacing w:after="0"/>
              <w:rPr>
                <w:sz w:val="20"/>
                <w:szCs w:val="20"/>
                <w:color w:val="auto"/>
              </w:rPr>
            </w:pPr>
            <w:r>
              <w:rPr>
                <w:rFonts w:ascii="Arial" w:cs="Arial" w:eastAsia="Arial" w:hAnsi="Arial"/>
                <w:sz w:val="18"/>
                <w:szCs w:val="18"/>
                <w:b w:val="1"/>
                <w:bCs w:val="1"/>
                <w:color w:val="auto"/>
              </w:rPr>
              <w:t>For the Year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20" w:type="dxa"/>
            <w:vAlign w:val="bottom"/>
          </w:tcPr>
          <w:p>
            <w:pPr>
              <w:ind w:left="4700"/>
              <w:spacing w:after="0"/>
              <w:rPr>
                <w:sz w:val="20"/>
                <w:szCs w:val="20"/>
                <w:color w:val="auto"/>
              </w:rPr>
            </w:pPr>
            <w:r>
              <w:rPr>
                <w:rFonts w:ascii="Arial" w:cs="Arial" w:eastAsia="Arial" w:hAnsi="Arial"/>
                <w:sz w:val="18"/>
                <w:szCs w:val="18"/>
                <w:b w:val="1"/>
                <w:bCs w:val="1"/>
                <w:color w:val="auto"/>
              </w:rPr>
              <w:t>Ending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920" w:type="dxa"/>
            <w:vAlign w:val="bottom"/>
            <w:tcBorders>
              <w:bottom w:val="single" w:sz="8" w:color="auto"/>
            </w:tcBorders>
          </w:tcPr>
          <w:p>
            <w:pPr>
              <w:ind w:left="446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552,135</w:t>
            </w:r>
          </w:p>
        </w:tc>
        <w:tc>
          <w:tcPr>
            <w:tcW w:w="10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1,153,862</w:t>
            </w:r>
          </w:p>
        </w:tc>
        <w:tc>
          <w:tcPr>
            <w:tcW w:w="10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1,223,293</w:t>
            </w:r>
          </w:p>
        </w:tc>
        <w:tc>
          <w:tcPr>
            <w:tcW w:w="10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1,296,901</w:t>
            </w:r>
          </w:p>
        </w:tc>
        <w:tc>
          <w:tcPr>
            <w:tcW w:w="100" w:type="dxa"/>
            <w:vAlign w:val="bottom"/>
          </w:tcPr>
          <w:p>
            <w:pPr>
              <w:spacing w:after="0"/>
              <w:rPr>
                <w:sz w:val="18"/>
                <w:szCs w:val="18"/>
                <w:color w:val="auto"/>
              </w:rPr>
            </w:pPr>
          </w:p>
        </w:tc>
      </w:tr>
      <w:tr>
        <w:trPr>
          <w:trHeight w:val="216"/>
        </w:trPr>
        <w:tc>
          <w:tcPr>
            <w:tcW w:w="9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5,345,212</w:t>
            </w:r>
          </w:p>
        </w:tc>
        <w:tc>
          <w:tcPr>
            <w:tcW w:w="100" w:type="dxa"/>
            <w:vAlign w:val="bottom"/>
          </w:tcPr>
          <w:p>
            <w:pPr>
              <w:spacing w:after="0"/>
              <w:rPr>
                <w:sz w:val="18"/>
                <w:szCs w:val="18"/>
                <w:color w:val="auto"/>
              </w:rPr>
            </w:pPr>
          </w:p>
        </w:tc>
      </w:tr>
      <w:tr>
        <w:trPr>
          <w:trHeight w:val="216"/>
        </w:trPr>
        <w:tc>
          <w:tcPr>
            <w:tcW w:w="9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 purchase price</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2,024,206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920" w:type="dxa"/>
            <w:vAlign w:val="bottom"/>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7,369,418</w:t>
            </w:r>
          </w:p>
        </w:tc>
        <w:tc>
          <w:tcPr>
            <w:tcW w:w="100" w:type="dxa"/>
            <w:vAlign w:val="bottom"/>
          </w:tcPr>
          <w:p>
            <w:pPr>
              <w:spacing w:after="0"/>
              <w:rPr>
                <w:sz w:val="18"/>
                <w:szCs w:val="18"/>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20" w:name="page21"/>
    <w:bookmarkEnd w:id="20"/>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declared and paid on Common Stock were $-0- and $851,266 for the six months ended June 30, 2023 and 2022, respectively. On November 11, 2022, the Company’s Board of Directors determined to suspend regular quarterly dividends. Future dividend policy will be subject to the discretion of the Company’s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Equity Participation Plan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 On August 9, 2023, the Company’s stockholders approved an amendment to the 2014 Plan to increase the maximum number of shares of Common Stock of the Company that are authorized to be issued pursuant to the 2014 Plan to 1,900,000 (see Note 13 – Subsequent Events).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results of operations for the three months ended June 30, 2023 and 2022 include stock-based compensation expense for stock options totaling approximately $-0- and $2,000, respectively. The results of operations for the six months ended June 30, 2023 and 2022 include stock-based compensation expense for stock options totaling approximately $-0- and $8,000, respectively. Stock-based compensation expense related to stock options for the six months ended June 30, 2022 is net of estimated forfeitures of approximately 18%. Such amounts have been included in the condensed consolidated statements of operations and comprehensive income (loss) within other operating expenses.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options were granted during the six months ended June 30, 2023 and 2022. The fair value of stock options at the grant date are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for the six months ended June 30,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 per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40" w:type="dxa"/>
            <w:vAlign w:val="bottom"/>
          </w:tcPr>
          <w:p>
            <w:pPr>
              <w:ind w:left="244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2023</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5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June 30, 2023</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of options outstanding and options exercisable at June 30, 2023 is calculated as the difference between the exercise price of the underlying options and the market price of the Company’s Common Stock for the options that had exercise prices that were lower than the $1.17 closing price of the Company’s Common Stock on June 30, 2023. No options were exercised, forfeited or expired during the six months ended June 30, 2023. The total intrinsic value of options when forfeited are determined as of the date of forfeiture. The total intrinsic value of options when expired are determined as of the date of expiration.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or by exchanging a number of shares owned for a period of greater than one year having a fair market value equal to the exercise price of the option being exercised.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there were no unvested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there were 85,778 shares reserved for grants under the 2014 Plan.</w:t>
      </w:r>
    </w:p>
    <w:p>
      <w:pPr>
        <w:sectPr>
          <w:pgSz w:w="11900" w:h="16841" w:orient="portrait"/>
          <w:cols w:equalWidth="0" w:num="1">
            <w:col w:w="11240"/>
          </w:cols>
          <w:pgMar w:left="320" w:top="121" w:right="3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Arial" w:cs="Arial" w:eastAsia="Arial" w:hAnsi="Arial"/>
                <w:sz w:val="18"/>
                <w:szCs w:val="18"/>
                <w:color w:val="auto"/>
              </w:rPr>
              <w:t>Restricted Stock Awards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3"/>
        </w:trPr>
        <w:tc>
          <w:tcPr>
            <w:tcW w:w="8880" w:type="dxa"/>
            <w:vAlign w:val="bottom"/>
            <w:gridSpan w:val="5"/>
          </w:tcPr>
          <w:p>
            <w:pPr>
              <w:spacing w:after="0"/>
              <w:rPr>
                <w:sz w:val="20"/>
                <w:szCs w:val="20"/>
                <w:color w:val="auto"/>
              </w:rPr>
            </w:pPr>
            <w:r>
              <w:rPr>
                <w:rFonts w:ascii="Arial" w:cs="Arial" w:eastAsia="Arial" w:hAnsi="Arial"/>
                <w:sz w:val="18"/>
                <w:szCs w:val="18"/>
                <w:color w:val="auto"/>
                <w:w w:val="91"/>
              </w:rPr>
              <w:t>A summary of the restricted Common Stock activity under the 2014 Plan for six months ended June 30, 2023 is as follows: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4"/>
        </w:trPr>
        <w:tc>
          <w:tcPr>
            <w:tcW w:w="17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Grant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Date Fair</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Aggregate</w:t>
            </w:r>
          </w:p>
        </w:tc>
      </w:tr>
      <w:tr>
        <w:trPr>
          <w:trHeight w:val="234"/>
        </w:trPr>
        <w:tc>
          <w:tcPr>
            <w:tcW w:w="178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Restricted Stock Awards</w:t>
            </w:r>
          </w:p>
        </w:tc>
        <w:tc>
          <w:tcPr>
            <w:tcW w:w="12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Fair Value</w:t>
            </w:r>
          </w:p>
        </w:tc>
      </w:tr>
      <w:tr>
        <w:trPr>
          <w:trHeight w:val="209"/>
        </w:trPr>
        <w:tc>
          <w:tcPr>
            <w:tcW w:w="17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366,597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2,555,181</w:t>
            </w:r>
          </w:p>
        </w:tc>
      </w:tr>
      <w:tr>
        <w:trPr>
          <w:trHeight w:val="216"/>
        </w:trPr>
        <w:tc>
          <w:tcPr>
            <w:tcW w:w="17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272,682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373,499</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(56,977)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(380,199)</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(35,214)</w:t>
            </w:r>
          </w:p>
        </w:tc>
      </w:tr>
      <w:tr>
        <w:trPr>
          <w:trHeight w:val="209"/>
        </w:trPr>
        <w:tc>
          <w:tcPr>
            <w:tcW w:w="178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256"/>
        </w:trPr>
        <w:tc>
          <w:tcPr>
            <w:tcW w:w="7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575,287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2,203,349</w:t>
            </w: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was calculated using the closing price of the Company’s Common Stock on the grant date. For the three months ended June 30, 2023 and 2022, stock-based compensation for these grants was approximately $212,000 and $479,000, respectively, which is included in other operating expenses on the accompanying condensed consolidated statements of operations and comprehensive income (loss). For the six months ended June 30, 2023 and 2022, stock-based compensation for these grants was approximately $429,000 and $998,000, respectively, which is included in other operating expenses on the accompanying condensed consolidated statements of operations and comprehensive income (loss). These amounts reflect the Company’s accounting expense and do not correspond to the actual value that will be recognized by the directors, executives and employees.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offering period under the ESPP was from November 1, 2021 through October 31, 2022 (“2021/2022 Offering”). There is currently no offering pursuant to the ESPP subsequent to October 31, 2022. For the three months and six months ended June 30, 2022, stock-based compensation under the 2021/2022 Offering was approximately $5,000 and 11,000, respectively, which is included in other operating expenses on the accompanying condensed consolidated statements of operations and comprehensive income (loss).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the 2021/2022 Offering period, 33,222 shares of Common Stock were issued at $1.82 per share to participating employees for a total purchase price of $60,464.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Exchange Agreement (see Note 7 – Debt – “Note and Warrant Exchange”), as additional consideration, on December 15, 2022, the Company issued warrants to the Exchanging Noteholders to purchase 969,525 shares of Common Stock. The fair value of the warrants, using the Black-Scholes valuation formula, was $993,200, which has been capitalized as a deferred financing cost of the 2022 Notes. The fair value of the warrants is being amortized over the life of the warrants, which is 36.5 months.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are exercisable through December 30, 2025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all warrants for the purchase of an aggregate of 969,525 shares of Common Stock were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warrants were granted during the six months ended June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ectPr>
          <w:pgSz w:w="11900" w:h="16838" w:orient="portrait"/>
          <w:cols w:equalWidth="0" w:num="1">
            <w:col w:w="11240"/>
          </w:cols>
          <w:pgMar w:left="320" w:top="324" w:right="3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8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26"/>
        </w:trPr>
        <w:tc>
          <w:tcPr>
            <w:tcW w:w="8700" w:type="dxa"/>
            <w:vAlign w:val="bottom"/>
          </w:tcPr>
          <w:p>
            <w:pPr>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carryovers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5,108,128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3,828,947</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Claims reserve discount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1,189,834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1,238,544</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3,574,840</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Deferred ceding commission revenue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2,034,934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2,230,109</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losses on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4,191,215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4,920,837</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794,410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503,692</w:t>
            </w:r>
          </w:p>
        </w:tc>
        <w:tc>
          <w:tcPr>
            <w:tcW w:w="100" w:type="dxa"/>
            <w:vAlign w:val="bottom"/>
          </w:tcPr>
          <w:p>
            <w:pPr>
              <w:spacing w:after="0"/>
              <w:rPr>
                <w:sz w:val="18"/>
                <w:szCs w:val="18"/>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16,828,701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16,296,969</w:t>
            </w:r>
          </w:p>
        </w:tc>
      </w:tr>
      <w:tr>
        <w:trPr>
          <w:trHeight w:val="209"/>
        </w:trPr>
        <w:tc>
          <w:tcPr>
            <w:tcW w:w="87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Investment in KICO (2)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759,543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759,543</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acquisition costs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4,502,433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5,002,085</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105,000</w:t>
            </w:r>
          </w:p>
        </w:tc>
      </w:tr>
      <w:tr>
        <w:trPr>
          <w:trHeight w:val="216"/>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123,249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5,490,225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5,965,811</w:t>
            </w:r>
          </w:p>
        </w:tc>
      </w:tr>
      <w:tr>
        <w:trPr>
          <w:trHeight w:val="210"/>
        </w:trPr>
        <w:tc>
          <w:tcPr>
            <w:tcW w:w="87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Net deferred income tax asset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11,338,476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10,331,158</w:t>
            </w:r>
          </w:p>
        </w:tc>
      </w:tr>
      <w:tr>
        <w:trPr>
          <w:trHeight w:val="20"/>
        </w:trPr>
        <w:tc>
          <w:tcPr>
            <w:tcW w:w="8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deferred tax assets from net operating loss carryovers (“NOL”)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60" w:type="dxa"/>
            <w:vAlign w:val="bottom"/>
          </w:tcPr>
          <w:p>
            <w:pPr>
              <w:ind w:left="2280"/>
              <w:spacing w:after="0"/>
              <w:rPr>
                <w:sz w:val="20"/>
                <w:szCs w:val="20"/>
                <w:color w:val="auto"/>
              </w:rPr>
            </w:pPr>
            <w:r>
              <w:rPr>
                <w:rFonts w:ascii="Arial" w:cs="Arial" w:eastAsia="Arial" w:hAnsi="Arial"/>
                <w:sz w:val="18"/>
                <w:szCs w:val="18"/>
                <w:b w:val="1"/>
                <w:bCs w:val="1"/>
                <w:color w:val="auto"/>
              </w:rPr>
              <w:t>Type of NOL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r>
      <w:tr>
        <w:trPr>
          <w:trHeight w:val="210"/>
        </w:trPr>
        <w:tc>
          <w:tcPr>
            <w:tcW w:w="5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Federal only, NOL from 2021 - 2023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5,108,128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3,828,947</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None</w:t>
            </w:r>
          </w:p>
        </w:tc>
      </w:tr>
      <w:tr>
        <w:trPr>
          <w:trHeight w:val="209"/>
        </w:trPr>
        <w:tc>
          <w:tcPr>
            <w:tcW w:w="5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State only (A)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2,479,077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2,276,595</w:t>
            </w: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2027 - December 2043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(2,479,077)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(2,276,595)</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5,108,128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3,828,947</w:t>
            </w: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96" w:lineRule="auto"/>
        <w:tabs>
          <w:tab w:leader="none" w:pos="297" w:val="left"/>
        </w:tabs>
        <w:numPr>
          <w:ilvl w:val="0"/>
          <w:numId w:val="9"/>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June 30, 2023 and December 31, 2022 was approximately $38,140,000 and $35,025,000, respectively. KICO, the Company’s insurance underwriting subsidiary, is not subject to state income taxes. KICO’s state tax obligations are paid through a gross premiums tax, which is included in the condensed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2043.</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(2)</w:t>
        <w:tab/>
        <w:t>Deferred tax liability – Investment in KICO</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2023 and 2022. If any had been recognized these would have been reported in income tax expense.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2019 through December 31, 2021 remain subject to 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Loss Per Common Share</w:t>
      </w:r>
    </w:p>
    <w:p>
      <w:pPr>
        <w:sectPr>
          <w:pgSz w:w="11900" w:h="16838" w:orient="portrait"/>
          <w:cols w:equalWidth="0" w:num="1">
            <w:col w:w="11240"/>
          </w:cols>
          <w:pgMar w:left="320" w:top="125" w:right="339" w:bottom="0" w:gutter="0" w:footer="0" w:header="0"/>
        </w:sectPr>
      </w:pPr>
    </w:p>
    <w:bookmarkStart w:id="23" w:name="page24"/>
    <w:bookmarkEnd w:id="23"/>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per common share is computed by dividing net loss by the weighted-average number of shares of Common Stock outstanding. Diluted loss per common share reflects, in periods in which it has a dilutive effect, the impact of common shares issuable upon exercise of stock options and warrants as well as non-vested restricted stock awards. The computation of diluted loss per common share excludes those options and warrants with an exercise price in excess of the average market price of the Company’s Common Stock during the periods presented.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computation of diluted loss per common share excludes outstanding options, warrants and non-vested restricted stock awards in periods where the exercise of such options and warrants or vesting of such restricted stock awards would be anti-dilutive. For the three months and six months ended June 30, 2023 and 2022, no options, warrants or restricted stock awards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 warrants and non-vested restricted stock awards.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weighted average number of shares of Common Stock used in the calculation of basic and diluted loss per common share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Three months ended</w:t>
            </w:r>
          </w:p>
        </w:tc>
        <w:tc>
          <w:tcPr>
            <w:tcW w:w="25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10,755,848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10,644,578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10,753,974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10,637,553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w w:val="93"/>
              </w:rPr>
              <w:t>Weighted average number of shares outstanding, used for computing diluted loss</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10,755,848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0"/>
              </w:rPr>
              <w:t>10,644,578</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10,753,974</w:t>
            </w:r>
          </w:p>
        </w:tc>
        <w:tc>
          <w:tcPr>
            <w:tcW w:w="28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0"/>
              </w:rPr>
              <w:t>10,637,553</w:t>
            </w:r>
          </w:p>
        </w:tc>
        <w:tc>
          <w:tcPr>
            <w:tcW w:w="0" w:type="dxa"/>
            <w:vAlign w:val="bottom"/>
          </w:tcPr>
          <w:p>
            <w:pPr>
              <w:spacing w:after="0"/>
              <w:rPr>
                <w:sz w:val="1"/>
                <w:szCs w:val="1"/>
                <w:color w:val="auto"/>
              </w:rPr>
            </w:pPr>
          </w:p>
        </w:tc>
      </w:tr>
      <w:tr>
        <w:trPr>
          <w:trHeight w:val="190"/>
        </w:trPr>
        <w:tc>
          <w:tcPr>
            <w:tcW w:w="6060" w:type="dxa"/>
            <w:vAlign w:val="bottom"/>
          </w:tcPr>
          <w:p>
            <w:pPr>
              <w:spacing w:after="0" w:line="190" w:lineRule="exact"/>
              <w:rPr>
                <w:sz w:val="20"/>
                <w:szCs w:val="20"/>
                <w:color w:val="auto"/>
              </w:rPr>
            </w:pPr>
            <w:r>
              <w:rPr>
                <w:rFonts w:ascii="Arial" w:cs="Arial" w:eastAsia="Arial" w:hAnsi="Arial"/>
                <w:sz w:val="18"/>
                <w:szCs w:val="18"/>
                <w:color w:val="auto"/>
              </w:rPr>
              <w:t>per share</w:t>
            </w: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had a term of seven years and two months expiring December 31, 2026. During January 2022, pursuant to a mutual agreement with the landlord at a cost of $40,000, the Cosi lease was terminated effective as of January 31,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p>
      <w:pPr>
        <w:spacing w:after="0" w:line="225" w:lineRule="exact"/>
        <w:rPr>
          <w:sz w:val="20"/>
          <w:szCs w:val="20"/>
          <w:color w:val="auto"/>
        </w:rPr>
      </w:pPr>
    </w:p>
    <w:p>
      <w:pPr>
        <w:ind w:left="900" w:right="20" w:hanging="447"/>
        <w:spacing w:after="0" w:line="25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KICO rent expense is included in the condensed consolidated statements of operations and comprehensive income (loss) within other underwriting expenses.</w:t>
      </w:r>
    </w:p>
    <w:p>
      <w:pPr>
        <w:spacing w:after="0" w:line="1" w:lineRule="exact"/>
        <w:rPr>
          <w:rFonts w:ascii="Arial" w:cs="Arial" w:eastAsia="Arial" w:hAnsi="Arial"/>
          <w:sz w:val="18"/>
          <w:szCs w:val="18"/>
          <w:color w:val="auto"/>
        </w:rPr>
      </w:pPr>
    </w:p>
    <w:p>
      <w:pPr>
        <w:ind w:left="900" w:hanging="447"/>
        <w:spacing w:after="0" w:line="26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Cosi rent expense is included in the condensed consolidated statements of operations and comprehensive income (loss) within other 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Lease cost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41,342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41,342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82,684</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89,810</w:t>
            </w:r>
          </w:p>
        </w:tc>
        <w:tc>
          <w:tcPr>
            <w:tcW w:w="0" w:type="dxa"/>
            <w:vAlign w:val="bottom"/>
          </w:tcPr>
          <w:p>
            <w:pPr>
              <w:spacing w:after="0"/>
              <w:rPr>
                <w:sz w:val="1"/>
                <w:szCs w:val="1"/>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Total lease cost (1) (2)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41,342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41,342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82,684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89,810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included in the measurement of lease liability reported in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49,145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47,483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96,629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100,486</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24" w:name="page25"/>
    <w:bookmarkEnd w:id="24"/>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3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Discount rate</w:t>
            </w:r>
          </w:p>
        </w:tc>
        <w:tc>
          <w:tcPr>
            <w:tcW w:w="3160" w:type="dxa"/>
            <w:vAlign w:val="bottom"/>
          </w:tcPr>
          <w:p>
            <w:pPr>
              <w:ind w:left="2240"/>
              <w:spacing w:after="0"/>
              <w:rPr>
                <w:sz w:val="20"/>
                <w:szCs w:val="20"/>
                <w:color w:val="auto"/>
              </w:rPr>
            </w:pPr>
            <w:r>
              <w:rPr>
                <w:rFonts w:ascii="Arial" w:cs="Arial" w:eastAsia="Arial" w:hAnsi="Arial"/>
                <w:sz w:val="18"/>
                <w:szCs w:val="18"/>
                <w:color w:val="auto"/>
              </w:rPr>
              <w:t>5.50%</w:t>
            </w:r>
          </w:p>
        </w:tc>
        <w:tc>
          <w:tcPr>
            <w:tcW w:w="1380" w:type="dxa"/>
            <w:vAlign w:val="bottom"/>
          </w:tcPr>
          <w:p>
            <w:pPr>
              <w:ind w:left="440"/>
              <w:spacing w:after="0"/>
              <w:rPr>
                <w:sz w:val="20"/>
                <w:szCs w:val="20"/>
                <w:color w:val="auto"/>
              </w:rPr>
            </w:pPr>
            <w:r>
              <w:rPr>
                <w:rFonts w:ascii="Arial" w:cs="Arial" w:eastAsia="Arial" w:hAnsi="Arial"/>
                <w:sz w:val="18"/>
                <w:szCs w:val="18"/>
                <w:color w:val="auto"/>
              </w:rPr>
              <w:t>5.50%</w:t>
            </w:r>
          </w:p>
        </w:tc>
        <w:tc>
          <w:tcPr>
            <w:tcW w:w="1360" w:type="dxa"/>
            <w:vAlign w:val="bottom"/>
          </w:tcPr>
          <w:p>
            <w:pPr>
              <w:ind w:left="440"/>
              <w:spacing w:after="0"/>
              <w:rPr>
                <w:sz w:val="20"/>
                <w:szCs w:val="20"/>
                <w:color w:val="auto"/>
              </w:rPr>
            </w:pPr>
            <w:r>
              <w:rPr>
                <w:rFonts w:ascii="Arial" w:cs="Arial" w:eastAsia="Arial" w:hAnsi="Arial"/>
                <w:sz w:val="18"/>
                <w:szCs w:val="18"/>
                <w:color w:val="auto"/>
              </w:rPr>
              <w:t>5.50%</w:t>
            </w:r>
          </w:p>
        </w:tc>
        <w:tc>
          <w:tcPr>
            <w:tcW w:w="940" w:type="dxa"/>
            <w:vAlign w:val="bottom"/>
          </w:tcPr>
          <w:p>
            <w:pPr>
              <w:ind w:left="460"/>
              <w:spacing w:after="0"/>
              <w:rPr>
                <w:sz w:val="20"/>
                <w:szCs w:val="20"/>
                <w:color w:val="auto"/>
              </w:rPr>
            </w:pPr>
            <w:r>
              <w:rPr>
                <w:rFonts w:ascii="Arial" w:cs="Arial" w:eastAsia="Arial" w:hAnsi="Arial"/>
                <w:sz w:val="18"/>
                <w:szCs w:val="18"/>
                <w:color w:val="auto"/>
                <w:w w:val="90"/>
              </w:rPr>
              <w:t>5.50%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Remaining lease term in years</w:t>
            </w:r>
          </w:p>
        </w:tc>
        <w:tc>
          <w:tcPr>
            <w:tcW w:w="316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0.75</w:t>
            </w:r>
          </w:p>
        </w:tc>
        <w:tc>
          <w:tcPr>
            <w:tcW w:w="1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1.75</w:t>
            </w:r>
          </w:p>
        </w:tc>
        <w:tc>
          <w:tcPr>
            <w:tcW w:w="1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0.75</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1.75</w:t>
            </w:r>
          </w:p>
        </w:tc>
      </w:tr>
    </w:tbl>
    <w:p>
      <w:pPr>
        <w:spacing w:after="0" w:line="202" w:lineRule="exact"/>
        <w:rPr>
          <w:sz w:val="20"/>
          <w:szCs w:val="20"/>
          <w:color w:val="auto"/>
        </w:rPr>
      </w:pPr>
    </w:p>
    <w:p>
      <w:pPr>
        <w:ind w:left="900" w:right="900" w:hanging="447"/>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operating lease liability is recorded in accounts payable, accrued expenses and other liabilities in the accompanying 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June 30, 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92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Six Months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2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98,291</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49,145</w:t>
            </w:r>
          </w:p>
        </w:tc>
        <w:tc>
          <w:tcPr>
            <w:tcW w:w="100" w:type="dxa"/>
            <w:vAlign w:val="bottom"/>
          </w:tcPr>
          <w:p>
            <w:pPr>
              <w:spacing w:after="0"/>
              <w:rPr>
                <w:sz w:val="18"/>
                <w:szCs w:val="18"/>
                <w:color w:val="auto"/>
              </w:rPr>
            </w:pPr>
          </w:p>
        </w:tc>
      </w:tr>
      <w:tr>
        <w:trPr>
          <w:trHeight w:val="209"/>
        </w:trPr>
        <w:tc>
          <w:tcPr>
            <w:tcW w:w="9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147,436</w:t>
            </w: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10,115</w:t>
            </w:r>
          </w:p>
        </w:tc>
        <w:tc>
          <w:tcPr>
            <w:tcW w:w="100" w:type="dxa"/>
            <w:vAlign w:val="bottom"/>
          </w:tcPr>
          <w:p>
            <w:pPr>
              <w:spacing w:after="0"/>
              <w:rPr>
                <w:sz w:val="18"/>
                <w:szCs w:val="18"/>
                <w:color w:val="auto"/>
              </w:rPr>
            </w:pPr>
          </w:p>
        </w:tc>
      </w:tr>
      <w:tr>
        <w:trPr>
          <w:trHeight w:val="249"/>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liability (1)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137,321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900" w:hanging="447"/>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operating lease liability is recorded in accounts payable, accrued expenses and other liabilities in the accompanying condensed consolidated balance sheets.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for the three months ended June 30, 2023 and 2022 amounted to $41,342 for both periods and is included in the accompanying condensed consolidated statements of operations and comprehensive income (loss) within other underwriting expenses. Rent expense for the six months ended June 30, 2023 and 2022 amounted to $82,684 and $89,810, respectively, and is included in the accompanying condensed consolidated statements of operations and comprehensive income (loss) within other underwriting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14, 2019, the Company and Barry B. Goldstein, the Company’s President, Chief Executive Officer and Executive Chairman of the Board, entered into a Second Amended and Restated Employment Agreement (the “Second Amended Goldstein Employment Agreement”). The Second Amended Goldstein Employment Agreement became effective as of January 1, 2020 and expired on December 31, 2022. The Second Amended Goldstein Employment Agreement extended the expiration date of the employment agreement in effect for Mr. Goldstein from December 31, 2021 to December 31, 2022.</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Second Amended Goldstein Employment Agreement, Mr. Goldstein was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award of between $945,000 and $2,835,000 based on a specified minimum increase in the Company’s adjusted book value per share (as defined in the Second Amended Goldstein Employment Agreement) as of December 31, 2022 as compared to December 31, 2019 (with the maximum LTC payment being due if the average per annum increase was at least 14%). Pursuant to the Third Amended Goldstein Employment Agreement (discussed below), Mr. Goldstein relinquished the right to receive the LTC. Pursuant to the Second Amended Goldstein Employment Agreement, in the event that Mr. Goldstein’s employment was terminated by the Company without cause or he resigned for good reason (each as defined in the Second Amended Goldstein Employment Agreement), Mr. Goldstein would have been entitled to receive his base salary and the 6% bonus for the remainder of the term. In addition, in the event of Mr. Goldstein’s death, his estate would have been entitled to receive his base salary and accrued bonus through the date of death. Further, in the event that Mr. Goldstein’s employment was terminated by the Company without cause or he resigned for good reason, or, in the event of the termination of Mr. Goldstein’s employment due to disability or death, Mr. Goldstein’s granted but unvested restricted stock awards would have vested. Mr. Goldstein would have been entitled, under certain circumstances, to a payment equal to 3.82 times his then annual salary and his accrued 6% bonus in the event of the termination of his employment within eighteen months following a change of control of the Company.</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Second Amended Goldstein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Also pursuant to the Second Amended Goldstein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will vest with respect to one-fourth of the award on each of December 29, 2023 and December 30, 2024 based on the continued provision of services through such dates. Further, pursuant to the Second Amended Goldstein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In January 2021, Mr. Goldstein was granted 21,000 shares of restricted stock pursuant to this provision. This grant vested with respect to one-half of the award on the first anniversary of the grant date and will vest with respect to one-fourth of the award on each of December 29, 2023 and December 30, 2024 based on the continued provision of services through such dates. In January 2022, Mr. Goldstein was granted 27,300 shares of restricted stock pursuant to this provision. This grant will vest with respect to one-half of the award on each of December 29, 2023 and December 30, 2024 based on the continued provision of services through such dates. Pursuant to the 2014</w:t>
      </w:r>
    </w:p>
    <w:p>
      <w:pPr>
        <w:sectPr>
          <w:pgSz w:w="11900" w:h="16865" w:orient="portrait"/>
          <w:cols w:equalWidth="0" w:num="1">
            <w:col w:w="11240"/>
          </w:cols>
          <w:pgMar w:left="320" w:top="140" w:right="339" w:bottom="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Plan, Mr. Goldstein’s unvested restricted stock awards will vest in the event of a change in control of the Company. In addition, in the event of the termination of Mr. Goldstein’s employment with the Company for any reason, his unvested restricted stock will vest.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27, 2022, the Company and Mr. Goldstein entered into a third amended and restated employment agreement which took effect as of January 1, 2023, and expires on December 31, 2024 (the “Third Amended Goldstein Employment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Third Amended Goldstein Employment Agreement, Mr. Goldstein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his base salary. 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Note 13 – Subsequent Events-Management Succession.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16, 2019, the Company and Meryl Golden entered into an employment agreement (the “Golden Employment Agreement”) pursuant to which Ms. Golden serves as the Company’s Chief Operating Officer. Ms. Golden also serves as KICO’s President and Chief Operating Officer. The Golden Employment Agreement became effective as of September 25, 2019 (amended on December 24, 2020) and expired on December 31, 2022.</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Golden Employment Agreement, Ms. Golden was entitled to receive an annual salary of $500,000. The Golden Employment Agreement also provided for the grant on the effective date of a five year option for the purchase of 50,000 shares of the Company’s Common Stock pursuant to the 2014 Plan. The options granted vested in four equal installments, with the first installment vesting on the grant date, and the remaining installments vesting on the first, second, and third anniversaries of the grant date.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 Pursuant to the 2014 Plan, Ms. Golden’s outstanding stock options and restricted stock awards will vest in the event of a change in control of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2023</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27, 2022, the Company and Ms. Golden entered into a second amended and restated employment agreement which took effect as of January 1, 2023, and expires on December 31, 2024 (the “Second Amended Golden Employment Agreement”).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Second Amended Golden Employment Agreement, Ms. Golden is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is entitled to receive a grant, under the terms of the 2014 Plan, during each of January 2023 and January 2024, under certain circumstances, of a number of shares of restricted stock determined by dividing $136,500 by the fair market value of the Company’s Common Stock on the date of grant. In January 2023, Ms. Golden was granted 101,111 shares of restricted stock pursuant to this provision. The 2023 grant will vest with respect to one-half of the award on the first anniversary of the grant date and one-half of the award on December 31, 2024, based on the continued provision of services through such dates. The 2024 grant will vest on December 31, 2024, based on the continued provision of services through such date. In the event that the Company is precluded from making a grant in 2024, then instead Ms. Golden shall be entitled to receive a cash bonus of $136,500 for such year.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See Note 13 – Subsequent Events-Management Succession.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Bonus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2023 and 2022 the Company did not accrue for, or pay, bonuses related to an employee bonus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401(k) Plan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$75,000 and $74,000, respectively, of expense for the three months ended June 30, 2023 and 2022, related to the 401(k) Plan, which is recorded in other underwriting expenses on the accompanying condensed consolidated statements of operations and comprehensive income (loss). The Company incurred</w:t>
      </w:r>
    </w:p>
    <w:p>
      <w:pPr>
        <w:sectPr>
          <w:pgSz w:w="11900" w:h="16838" w:orient="portrait"/>
          <w:cols w:equalWidth="0" w:num="1">
            <w:col w:w="11240"/>
          </w:cols>
          <w:pgMar w:left="320" w:top="125" w:right="339" w:bottom="0" w:gutter="0" w:footer="0" w:header="0"/>
        </w:sectPr>
      </w:pPr>
    </w:p>
    <w:bookmarkStart w:id="26" w:name="page27"/>
    <w:bookmarkEnd w:id="26"/>
    <w:p>
      <w:pPr>
        <w:jc w:val="both"/>
        <w:spacing w:after="0" w:line="342" w:lineRule="auto"/>
        <w:rPr>
          <w:sz w:val="20"/>
          <w:szCs w:val="20"/>
          <w:color w:val="auto"/>
        </w:rPr>
      </w:pPr>
      <w:r>
        <w:rPr>
          <w:rFonts w:ascii="Arial" w:cs="Arial" w:eastAsia="Arial" w:hAnsi="Arial"/>
          <w:sz w:val="16"/>
          <w:szCs w:val="16"/>
          <w:color w:val="auto"/>
        </w:rPr>
        <w:t>approximately $159,000 and $136,000, respectively, of expense for the six months ended June 30, 2023 and 2022, related to the 401(k) Plan, which is recorded in other underwriting expenses on the accompanying condensed consolidated statements of operations and comprehensive income (loss).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18, 2018, the Company adopted the Kingstone Companies, Inc. Deferred Compensation Plan (the "Deferred Compensation Plan"). Effective December 22, 2022, the Company terminated the Deferred Compensation Plan. The assets of the Deferred Compensation Plan will be liquidated by making payments to Participants in full satisfaction of their interest in the Deferred Compensation Plan (“Termination Payments”), which Termination Payments will be made no earlier than December 22, 2023 and will be completed no later than December 22, 2024.</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deferred compensation liability as of June 30, 2023 and December 31, 2022 amounted to $898,790 and $1,155,860, respectively, and is recorded in accounts payable, accrued expenses and other liabilities in the accompanying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events that occurred subsequent to June 30, 2023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July 1, 2023, the Company entered into new excess of loss and catastrophe reinsurance treaties (see Note 6 – Property and Casualty Insurance Activity - “Reinsurance”).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 Best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July 6, 2023, A.M. Best withdrew KICO’s ratings as KICO requested to no longer participate in A.M. Best’s interactive rating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Participation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9, 2023, the Company’s stockholders approved an amendment to the 2014 Plan to increase the maximum number of shares of Common Stock of the Company that are authorized to be issued pursuant to the 2014 Plan to 1,900,000 (see Note 8 –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Succession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9, 2023, the Company announced that, effective as of October 1, 2023, Meryl Golden, the Company’s Chief Operating Officer, has been appointed to the position of President and Chief Executive Officer of the Company to succeed Barry Goldstein and that Mr. Goldstein will continue as the Chairman of the Board of the Company.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description of the management succession does not purport to be complete and is qualified in its entirety by reference to the full texts of Amendment No. 1 to the Third Amended and Restated Employment Agreement, dated June 27, 2022, between the Company and Mr. Goldstein, and Amendment No. 2 to the Third Amended and Restated Employment Agreement, dated June 27, 2022 between KICO and Mr. Goldstein, which are filed herewith as Exhibits 10(a) and 10(b),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offer property and casualty insurance products through our wholly owned subsidiary, Kingstone Insurance Company (“KICO”). KICO’s insureds are located primarily in downstate New York, consisting of New York City, Long Island and Westchester County, although we are writing business in New Jersey, Rhode Island, Connecticut and Massachusetts. We are licensed in the States of New York, New Jersey, Rhode Island, Connecticut, Massachusetts, Pennsylvania, Maine, and New Hampshire. For the three months and six months ended June 30, 2023, respectively, 88.6% and 87.8% of KICO’s direct written premiums came from the New York policies.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pacing w:after="0" w:line="16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w:t>
      </w:r>
    </w:p>
    <w:p>
      <w:pPr>
        <w:sectPr>
          <w:pgSz w:w="11900" w:h="16838" w:orient="portrait"/>
          <w:cols w:equalWidth="0" w:num="1">
            <w:col w:w="11240"/>
          </w:cols>
          <w:pgMar w:left="320" w:top="125" w:right="339" w:bottom="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operating expenses include our corporate expenses as a holding company. These corporate expenses include legal and auditing fees, executive employment costs, and other costs directly associated with being a public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June 30, 2023 and December 31, 2022, there were no commercial liability policies in-force. As of June 30, 2023 and December 31, 2022, these expired policies represent approximately 16.3% and 17.9%, respectively, of loss and LAE reserves net of reinsurance recoverables. See discussion below under “Additional Financial Information”.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is the ratio of net losses and LAE incurred to net premiums earned.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 See the Critical Accounting Policies and Estimates section within Item 7 “Management’s Discussion and Analysis of Financial Condition and Results of Operations” of our Annual Report on Form 10-K for the year ended December 31, 2022 for further information.</w:t>
      </w:r>
    </w:p>
    <w:p>
      <w:pPr>
        <w:sectPr>
          <w:pgSz w:w="11900" w:h="16838" w:orient="portrait"/>
          <w:cols w:equalWidth="0" w:num="1">
            <w:col w:w="11240"/>
          </w:cols>
          <w:pgMar w:left="320" w:top="125" w:right="339" w:bottom="130" w:gutter="0" w:footer="0" w:header="0"/>
        </w:sectPr>
      </w:pPr>
    </w:p>
    <w:bookmarkStart w:id="28" w:name="page29"/>
    <w:bookmarkEnd w:id="28"/>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most critical accounting policies relate to the reporting of reserves for loss and LAE, including losses that have occurred but have not been reported prior to the reporting date, amounts recoverable from third party reinsurers, deferred income taxes, allowance for credit losses of investment securities, and the valuation of warrants. See Note 2 to the consolidated financial statements in our Annual Report on Form 10-K for the year ended December 31, 2022 and Note 2 of the condensed consolidated financial statements included in this Quarterly Report for accounting policies regarding the adoption of ASU 2016-13 effective January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Kingstone 2.0 (completed) and Kingstone 3.0 (underway)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in the fourth quarter of 2019, a series of strategic initiatives, coined “Kingstone 2.0” were commenced to modernize our Company. The pillars of the new strategy were as follows:</w:t>
      </w:r>
    </w:p>
    <w:p>
      <w:pPr>
        <w:spacing w:after="0" w:line="170" w:lineRule="exact"/>
        <w:rPr>
          <w:sz w:val="20"/>
          <w:szCs w:val="20"/>
          <w:color w:val="auto"/>
        </w:rPr>
      </w:pPr>
    </w:p>
    <w:p>
      <w:pPr>
        <w:ind w:left="920" w:hanging="467"/>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Strengthen the management team by adding highly qualified professionals with deep domain experience and diverse backgrounds;</w:t>
      </w:r>
    </w:p>
    <w:p>
      <w:pPr>
        <w:spacing w:after="0" w:line="236" w:lineRule="exact"/>
        <w:rPr>
          <w:rFonts w:ascii="Arial" w:cs="Arial" w:eastAsia="Arial" w:hAnsi="Arial"/>
          <w:sz w:val="17"/>
          <w:szCs w:val="17"/>
          <w:color w:val="auto"/>
        </w:rPr>
      </w:pPr>
    </w:p>
    <w:p>
      <w:pPr>
        <w:ind w:left="92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expenses and increase efficiency by embracing technology including converting to a new policy management system, retiring multiple legacy systems and starting up a new claims system, among other technology initiatives;</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implement a new, more highly segmented product suite (Kingstone Select) which better matches rate to risk using advanced analytics and an abundance of data; and</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Better manage the Company’s catastrophe exposure in order to reduce loss cost and the growth rate of our Probable Maximum Loss (“PML”) in order to mitigate the impact of the emerging “hard market” in catastrophe reinsurance.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announced the substantive completion of Kingstone 2.0 in late 2022 and embarked on a new strategy to optimize our in-force business, which we coined as “Kingstone 3.0”. The four pillars of this new strategy entail:</w:t>
      </w:r>
    </w:p>
    <w:p>
      <w:pPr>
        <w:spacing w:after="0" w:line="170" w:lineRule="exact"/>
        <w:rPr>
          <w:sz w:val="20"/>
          <w:szCs w:val="20"/>
          <w:color w:val="auto"/>
        </w:rPr>
      </w:pPr>
    </w:p>
    <w:p>
      <w:pPr>
        <w:jc w:val="both"/>
        <w:ind w:left="920" w:hanging="467"/>
        <w:spacing w:after="0" w:line="263"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Aggressively reducing the book of business in non-New York states, which has had a disproportionately negative impact on underwriting results, by slowing new business, re-underwriting the book, culling the agent base, reducing commissions, or other means, subject to regulatory constraints;</w:t>
      </w:r>
    </w:p>
    <w:p>
      <w:pPr>
        <w:spacing w:after="0" w:line="183"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Adjusting pricing to stay ahead of loss trends, including inflation, by filing the maximum annual rate change that can be supported in each state and product and ensuring all policyholders are insured to value;</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Tightly managing reinsurance requirements and costs, using risk selection and other underwriting capabilities to manage the growth rate of our PML; and</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expense reduction focus with a goal of reducing the net expense ratio to 33% by year-end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actions taken will have the intended effect and will result in a return to profitability for the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88"/>
              </w:rPr>
              <w:t>Six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92,762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21,949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50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2,135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4,875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52,551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54,944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(2,393)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5,971</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87"/>
              </w:rPr>
              <w:t>na %</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Ceded to quota share treaties (1)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5,580</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100,822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92,369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8,453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(43,059)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3,188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Ceding commission revenue (1)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10,858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9,397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ectPr>
          <w:pgSz w:w="11900" w:h="16891" w:orient="portrait"/>
          <w:cols w:equalWidth="0" w:num="1">
            <w:col w:w="11240"/>
          </w:cols>
          <w:pgMar w:left="320" w:top="125" w:right="3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Net gains (losses) on investments</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1,422</w:t>
            </w: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(8,916)</w:t>
            </w:r>
          </w:p>
        </w:tc>
        <w:tc>
          <w:tcPr>
            <w:tcW w:w="34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10,338</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73,348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57,530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15,819</w:t>
            </w: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60,256</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52,832</w:t>
            </w: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7,424</w:t>
            </w: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from catastrophes (2)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340"/>
              <w:spacing w:after="0"/>
              <w:rPr>
                <w:sz w:val="20"/>
                <w:szCs w:val="20"/>
                <w:color w:val="auto"/>
              </w:rPr>
            </w:pPr>
            <w:r>
              <w:rPr>
                <w:rFonts w:ascii="Arial" w:cs="Arial" w:eastAsia="Arial" w:hAnsi="Arial"/>
                <w:sz w:val="18"/>
                <w:szCs w:val="18"/>
                <w:color w:val="auto"/>
              </w:rPr>
              <w:t>Total direct and assumed loss and loss adjustment expenses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68,131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59,864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8,267</w:t>
            </w: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0"/>
        </w:trPr>
        <w:tc>
          <w:tcPr>
            <w:tcW w:w="59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rPr>
              <w:t>Ceded loss and loss adjustment expenses: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20,761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14,367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6,394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rPr>
              <w:t>Losses from catastrophes (2)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(1,152)</w:t>
            </w: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ceded loss and loss adjustment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5,242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9"/>
        </w:trPr>
        <w:tc>
          <w:tcPr>
            <w:tcW w:w="59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and loss adjustment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39,494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38,465</w:t>
            </w: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1,029</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from catastrophes (2)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1,994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340"/>
              <w:spacing w:after="0"/>
              <w:rPr>
                <w:sz w:val="20"/>
                <w:szCs w:val="20"/>
                <w:color w:val="auto"/>
              </w:rPr>
            </w:pPr>
            <w:r>
              <w:rPr>
                <w:rFonts w:ascii="Arial" w:cs="Arial" w:eastAsia="Arial" w:hAnsi="Arial"/>
                <w:sz w:val="18"/>
                <w:szCs w:val="18"/>
                <w:color w:val="auto"/>
              </w:rPr>
              <w:t>Net loss and loss adjustment expenses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41,597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3,023</w:t>
            </w: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59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17,011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16,832</w:t>
            </w: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179</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1,426</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1,548</w:t>
            </w:r>
          </w:p>
        </w:tc>
        <w:tc>
          <w:tcPr>
            <w:tcW w:w="3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(122)</w:t>
            </w: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1,103</w:t>
            </w:r>
          </w:p>
        </w:tc>
        <w:tc>
          <w:tcPr>
            <w:tcW w:w="104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4,237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59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taxes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(18,448)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(1,290)</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(3,871)</w:t>
            </w: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2,581</w:t>
            </w: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(14,577)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ind w:left="920" w:hanging="467"/>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December 31, 2021, we entered into a 30% personal lines quota share treaty.</w:t>
      </w:r>
    </w:p>
    <w:p>
      <w:pPr>
        <w:spacing w:after="0" w:line="225" w:lineRule="exact"/>
        <w:rPr>
          <w:rFonts w:ascii="Arial" w:cs="Arial" w:eastAsia="Arial" w:hAnsi="Arial"/>
          <w:sz w:val="18"/>
          <w:szCs w:val="18"/>
          <w:color w:val="auto"/>
        </w:rPr>
      </w:pPr>
    </w:p>
    <w:p>
      <w:pPr>
        <w:jc w:val="both"/>
        <w:ind w:left="920" w:hanging="467"/>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six months ended June 30, 2023 and 2022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w w:val="95"/>
              </w:rPr>
              <w:t>Six months ended June 30,</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Percentage</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Point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00" w:type="dxa"/>
            <w:vAlign w:val="bottom"/>
          </w:tcPr>
          <w:p>
            <w:pPr>
              <w:jc w:val="right"/>
              <w:ind w:right="274"/>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100" w:type="dxa"/>
            <w:vAlign w:val="bottom"/>
          </w:tcPr>
          <w:p>
            <w:pPr>
              <w:jc w:val="right"/>
              <w:ind w:right="273"/>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Change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425"/>
        </w:trPr>
        <w:tc>
          <w:tcPr>
            <w:tcW w:w="5840" w:type="dxa"/>
            <w:vAlign w:val="bottom"/>
            <w:gridSpan w:val="2"/>
          </w:tcPr>
          <w:p>
            <w:pPr>
              <w:spacing w:after="0"/>
              <w:rPr>
                <w:sz w:val="20"/>
                <w:szCs w:val="20"/>
                <w:color w:val="auto"/>
              </w:rPr>
            </w:pPr>
            <w:r>
              <w:rPr>
                <w:rFonts w:ascii="Arial" w:cs="Arial" w:eastAsia="Arial" w:hAnsi="Arial"/>
                <w:sz w:val="18"/>
                <w:szCs w:val="18"/>
                <w:color w:val="auto"/>
              </w:rPr>
              <w:t>Key ratios:</w:t>
            </w: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combined ratio</w:t>
            </w:r>
          </w:p>
        </w:tc>
        <w:tc>
          <w:tcPr>
            <w:tcW w:w="1380" w:type="dxa"/>
            <w:vAlign w:val="bottom"/>
            <w:gridSpan w:val="2"/>
            <w:shd w:val="clear" w:color="auto" w:fill="CCEEFF"/>
          </w:tcPr>
          <w:p>
            <w:pPr>
              <w:jc w:val="right"/>
              <w:ind w:right="120"/>
              <w:spacing w:after="0" w:line="230" w:lineRule="exact"/>
              <w:rPr>
                <w:sz w:val="20"/>
                <w:szCs w:val="20"/>
                <w:color w:val="auto"/>
              </w:rPr>
            </w:pPr>
            <w:r>
              <w:rPr>
                <w:rFonts w:ascii="Arial" w:cs="Arial" w:eastAsia="Arial" w:hAnsi="Arial"/>
                <w:sz w:val="15"/>
                <w:szCs w:val="15"/>
                <w:color w:val="auto"/>
              </w:rPr>
              <w:t>110.8</w:t>
            </w:r>
            <w:r>
              <w:rPr>
                <w:rFonts w:ascii="Arial" w:cs="Arial" w:eastAsia="Arial" w:hAnsi="Arial"/>
                <w:sz w:val="26"/>
                <w:szCs w:val="26"/>
                <w:color w:val="auto"/>
                <w:vertAlign w:val="subscript"/>
              </w:rPr>
              <w:t>%</w:t>
            </w:r>
          </w:p>
        </w:tc>
        <w:tc>
          <w:tcPr>
            <w:tcW w:w="1380" w:type="dxa"/>
            <w:vAlign w:val="bottom"/>
            <w:gridSpan w:val="2"/>
            <w:shd w:val="clear" w:color="auto" w:fill="CCEEFF"/>
          </w:tcPr>
          <w:p>
            <w:pPr>
              <w:jc w:val="right"/>
              <w:ind w:right="120"/>
              <w:spacing w:after="0" w:line="230" w:lineRule="exact"/>
              <w:rPr>
                <w:sz w:val="20"/>
                <w:szCs w:val="20"/>
                <w:color w:val="auto"/>
              </w:rPr>
            </w:pPr>
            <w:r>
              <w:rPr>
                <w:rFonts w:ascii="Arial" w:cs="Arial" w:eastAsia="Arial" w:hAnsi="Arial"/>
                <w:sz w:val="15"/>
                <w:szCs w:val="15"/>
                <w:color w:val="auto"/>
              </w:rPr>
              <w:t>113.6</w:t>
            </w:r>
            <w:r>
              <w:rPr>
                <w:rFonts w:ascii="Arial" w:cs="Arial" w:eastAsia="Arial" w:hAnsi="Arial"/>
                <w:sz w:val="26"/>
                <w:szCs w:val="26"/>
                <w:color w:val="auto"/>
                <w:vertAlign w:val="subscript"/>
              </w:rPr>
              <w:t>%</w:t>
            </w:r>
          </w:p>
        </w:tc>
        <w:tc>
          <w:tcPr>
            <w:tcW w:w="1320" w:type="dxa"/>
            <w:vAlign w:val="bottom"/>
            <w:gridSpan w:val="2"/>
            <w:shd w:val="clear" w:color="auto" w:fill="CCEEFF"/>
          </w:tcPr>
          <w:p>
            <w:pPr>
              <w:jc w:val="right"/>
              <w:ind w:right="160"/>
              <w:spacing w:after="0" w:line="230" w:lineRule="exact"/>
              <w:rPr>
                <w:sz w:val="20"/>
                <w:szCs w:val="20"/>
                <w:color w:val="auto"/>
              </w:rPr>
            </w:pPr>
            <w:r>
              <w:rPr>
                <w:rFonts w:ascii="Arial" w:cs="Arial" w:eastAsia="Arial" w:hAnsi="Arial"/>
                <w:sz w:val="15"/>
                <w:szCs w:val="15"/>
                <w:color w:val="auto"/>
              </w:rPr>
              <w:t>(2.8</w:t>
            </w:r>
            <w:r>
              <w:rPr>
                <w:rFonts w:ascii="Arial" w:cs="Arial" w:eastAsia="Arial" w:hAnsi="Arial"/>
                <w:sz w:val="26"/>
                <w:szCs w:val="26"/>
                <w:color w:val="auto"/>
                <w:vertAlign w:val="subscript"/>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28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Direct written premiums during the six months ended June 30, 2023 (“Six Months 2023”) were $95,244,000 compared to $92,762,000 during the six months ended June 30, 2022 (“Six Months 2022”). The increase of $2,482,000, or 2.7%, was primarily due to an increase in premiums from our personal lines business.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Direct written premiums from our personal lines business for Six Months 2023 were $88,182,000, an increase of $1,227,000, or 1.4%, from $86,955,000 in Six Months 2022. The 1.4% increase in premiums from our personal lines business was primarily due to rate increases offset by the decrease in premiums associated with a 8.6% decrease in policies in force as of June 30, 2023 compared to June 30, 2022. The rate increases achieved along with a decrease in policies in force is in accordance with both our Kingstone 2.0 and Kingstone 3.0 strategic plans.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Direct written premiums from our livery physical damage business for Six Months 2023 were $7,016,000, an increase of $1,289,000, or 22.5%, from $5,727,000 in Six Months 2022. The increase in livery physical damage direct written premiums was due to an increasing number of policies and an increase in the values of the autos insured.</w:t>
      </w:r>
    </w:p>
    <w:p>
      <w:pPr>
        <w:spacing w:after="0" w:line="184" w:lineRule="exact"/>
        <w:rPr>
          <w:sz w:val="20"/>
          <w:szCs w:val="20"/>
          <w:color w:val="auto"/>
        </w:rPr>
      </w:pPr>
    </w:p>
    <w:p>
      <w:pPr>
        <w:jc w:val="both"/>
        <w:ind w:firstLine="742"/>
        <w:spacing w:after="0" w:line="296" w:lineRule="auto"/>
        <w:rPr>
          <w:sz w:val="20"/>
          <w:szCs w:val="20"/>
          <w:color w:val="auto"/>
        </w:rPr>
      </w:pPr>
      <w:r>
        <w:rPr>
          <w:rFonts w:ascii="Arial" w:cs="Arial" w:eastAsia="Arial" w:hAnsi="Arial"/>
          <w:sz w:val="16"/>
          <w:szCs w:val="16"/>
          <w:color w:val="auto"/>
        </w:rPr>
        <w:t>Beginning in 2017, we started writing personal lines policies in New Jersey. Through 2019 we expanded to Rhode Island, Massachusetts and Connecticut. We refer to our New York business as our “Core” business and the business outside of New York as our “non-New York” business. Direct written premiums from our Core business were $83,639,000 in Six Months 2023 compared to $74,382,000 in Six Months 2022, an increase of $9,257,000, or 12.4%. Policies in force from our Core business decreased by 1.6% in Six Months 2023 compared to Six Months 2022. Direct written premiums from our non-New York business were $11,605,000 in Six Months 2023 down from $18,380,000 in Six Months 2022, a decrease of $6,775,000, or 36.9%.</w:t>
      </w:r>
    </w:p>
    <w:p>
      <w:pPr>
        <w:sectPr>
          <w:pgSz w:w="11900" w:h="16838" w:orient="portrait"/>
          <w:cols w:equalWidth="0" w:num="1">
            <w:col w:w="11240"/>
          </w:cols>
          <w:pgMar w:left="320" w:top="125" w:right="339" w:bottom="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8"/>
          <w:szCs w:val="18"/>
          <w:color w:val="auto"/>
        </w:rPr>
        <w:t>Policies in force from our non-New York business decreased by 27% in Six Months 2023 compared to Six Months 2022. The increase in our Core business and the decrease in our non-New Yok business is consistent with a key pillar of our Kingstone 3.0 strategy to reduce our non-New York business due to profitability concerns.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December 31, 2021, we entered into a quota share reinsurance treaty for our personal lines business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 Net written premiums decreased $2,393,000, or 4.4%, to $52,551,000 in Six Months 2023 from $54,944,000 in Six Months 2022. Net written premiums include direct premiums, less the amount of written premiums ceded under our reinsurance treaties (quota share, excess of loss, and catastrophe). In Six Months 2023, our premiums ceded under quota share treaties increased by $4,673,000 in comparison to ceded premiums in Six Months 2022 (see table above). The increase in Six Months 2023 was attributable to the runoff of an 8.5% portion of the 30% 2021/2023 Treaty. The remainder of the 2021/2023 Treaty was on a cutoff basis and the new 2023/2024 Treaty was placed for 30% on January 1, 2023. Our personal lines business was subject to the 2023/2024 Treaty in Six Months 2023, and the 2021-2023 Treaty in Six Months 2022.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Six Months 2023, our ceded excess of loss reinsurance premiums increased by $392,000 over the comparable ceded premiums for Six Months 2022. The increase was due to an increase in subject premiums and the heightened cost of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An increase in our personal lines business results in an increase in premiums ceded under our catastrophe treaties if reinsurance rates are stable or are increasing. In accordance with our Kingstone 2.0 and Kingstone 3.0 goals, we have reduced our PML, and in the Six Months 2023, our premiums ceded under catastrophe treaties decreased by $190,000 as compared to the comparable ceded premiums in Six Months 2022, in spite of a large catastrophe reinsurance rate increase on our book effective July 1, 2022.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premiums earned increased $3,188,000, or 5.8%, to $57,763,000 in Six Months 2023 from $54,575,000 in Six Months 2022. The increase was due in part to the 2.7% increase in direct written premiums during Six Months 2023, but also from the increased premiums written in prior periods due to rate increases and increased replacement costs. The run-off of a portion of the 2021-2023 Treaty increased the premiums ceded and reduced the growth of net premiums earned.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88"/>
              </w:rPr>
              <w:t>Six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10,858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9,397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Ceding commission revenue was $10,858,000 in Six Months 2023 compared to $9,397,000 in Six Months 2022. The increase of $1,461,000 was due to an increase in provisional ceding commissions earned offset by a decrease in contingent ceding commissions earned. See below for a discussion of provisional ceding commissions earned and contingent ceding commissions earned.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Six Months 2023 we earned provisional ceding commissions of $10,741,000 from personal lines earned premiums ceded under the 2023/2024 Treaty, and in Six Months 2022 we earned provisional ceding commissions of $9,234,000 from personal lines earned premiums ceded under the 2021/2023 Treaty. The increase of $1,507,000 in provisional ceding commissions earned was due to the increase premiums ceded under these treaties during Six Months 2023 compared to Six Months 2022.</w:t>
      </w:r>
    </w:p>
    <w:p>
      <w:pPr>
        <w:sectPr>
          <w:pgSz w:w="11900" w:h="16838" w:orient="portrait"/>
          <w:cols w:equalWidth="0" w:num="1">
            <w:col w:w="11240"/>
          </w:cols>
          <w:pgMar w:left="320" w:top="125" w:right="339" w:bottom="0" w:gutter="0" w:footer="0" w:header="0"/>
        </w:sectPr>
      </w:pPr>
    </w:p>
    <w:bookmarkStart w:id="31" w:name="page32"/>
    <w:bookmarkEnd w:id="31"/>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structure of the 2023/2024 Treaty and the 2021/2023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investment income was $2,993,000 in Six Months 2023 compared to $1,993,000 in Six Months 2022, an increase of $1,000,000, or 50.2%. The increase in investment income is attributable to a $766,000 reversal in Six Months 2022 of prior years’ estimated accrued interest income stemming from an error in third party investment reporting. The increase was also due to higher interest rates earned on cash balances. The average yield on non-cash invested assets was 3.63% as of June 30, 2023 compared to 3.51% as of June 30, 2022.</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Cash and invested assets were $175,407,000 as of June 30, 2023 compared to $193,784,000 as of June 30, 2022. The $18,377,000 decrease in cash and invested assets was primarily attributable to increased disbursements of losses in connection with higher severity and inflation’s impact on losses along with catastrophe losses incurred in 2023 and prior periods. An increase in unrealized losses on our investment portfolio also contributed to the reduction.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(Losses) on Investments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gains on investments were $1,422,000 in Six Months 2023 compared to net (losses) of $(8,916,000) in Six Months 2022. Unrealized gains on our equity securities and other investments in Six Months 2023 were $1,435,000, compared to net unrealized (losses) of $(8,705,000) in Six Months 2022. Realized (losses) on sales of investments were $(13,000) in Six Months 2023 compared to realized (losses) of $211,000 in Six Months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income was $312,000 in Six Months 2023 compared to $480,000 in Six Months 2022, a decrease of $168,000, or 35.0%.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loss and LAE was $44,620,000 for Six Months 2023 compared to $41,597,000 for Six Months 2022. The net loss ratio was 77.2% in Six Months 2023 compared to 76.2% in Six Months 2022, an increase of 1.0 percentage point.</w:t>
      </w:r>
    </w:p>
    <w:p>
      <w:pPr>
        <w:spacing w:after="0" w:line="170" w:lineRule="exact"/>
        <w:rPr>
          <w:sz w:val="20"/>
          <w:szCs w:val="20"/>
          <w:color w:val="auto"/>
        </w:rPr>
      </w:pPr>
    </w:p>
    <w:p>
      <w:pPr>
        <w:ind w:left="620" w:right="20" w:firstLine="48"/>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943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72"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00EE"/>
        </w:rPr>
        <w:t>Table of Contents</w:t>
      </w:r>
    </w:p>
    <w:p>
      <w:pPr>
        <w:sectPr>
          <w:pgSz w:w="11900" w:h="16872" w:orient="portrait"/>
          <w:cols w:equalWidth="0" w:num="1">
            <w:col w:w="11240"/>
          </w:cols>
          <w:pgMar w:left="320" w:top="125" w:right="339" w:bottom="0" w:gutter="0" w:footer="0" w:header="0"/>
          <w:type w:val="continuous"/>
        </w:sectPr>
      </w:pPr>
    </w:p>
    <w:bookmarkStart w:id="32" w:name="page33"/>
    <w:bookmarkEnd w:id="32"/>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Six Months 2023, the net loss ratio was higher than for Six Months 2022 mainly due to a bigger impact from catastrophe losses.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catastrophe losses were $5,125,000 for Six Months 2023, which contributed 8.9 points to the loss ratio. There were two winter storm events and three wind events classified as catastrophe for Six Months 2023, including a major freezing event at the beginning of February. As a comparison, catastrophe events had a loss ratio impact of 5.7 points for Six Months 2022.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underlying loss ratio (loss ratio excluding the impact of catastrophe and prior year development) was 68.4% for Six Months 2023, a decrease of 1.6 points from the 70.0% underlying loss ratio recorded for Six Months 2022. The underlying loss experience in Six Months 2023 was improved due to lower frequency but was offset by increasing severity resulting from an elevated number of large losses.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year development was stable for Six Months 2023. There was an overall favorable development of $19,000, which had marginal impact on the loss ratio.</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Commission expense was $17,011,000 in Six Months 2023 or 16.9% of direct earned premiums. Commission expense was $16,832,000 in Six Months 2022 or 18.2% of direct earned premiums. The increase of $179,000 was primarily due to an increase in direct earned premiums of $8,453,000 to $100,822,000 but offset in part by a reduction of commission rates on our legacy policies in accordance with Kingstone 3.0 as well as the lower commission rate paid on Select products as compared to legacy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underwriting expenses were $13,555,000, or 13.4% of direct earned premiums, in Six Months 2023 compared to $13,441,000, or 14.6% of direct earned premiums, in Six Months 2022. The increase of $114,000, or 0.8%, was primarily due to increases in expenses related to our growth in direct earned premiums and salaries, partially offset by decreases in professional fees, credit card fees and policy management system fees as result of the completion of our policy management system conversion, allowing us to eliminate multiple legacy systems.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largest single component of other underwriting expenses is salaries and employment costs, with costs of $5,875,000 in Six Months 2023 compared to $5,066,000 in Six Months 2022. The increase of $809,000, or 16.0%, is greater than the 2.7% increase in direct written premiums. In the periods following Six Months 2022, we continued to strengthen our professional team by investing in the hiring of higher-level and higher compensated managers and staff needed to manage the business consistent with our Kingstone 2.0 and Kingstone 3.0 strategies.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net underwriting expense ratio in Six Months 2023 was 33.6% compared to 37.4% in Six Months 2022. The following table shows the individual components of our net underwriting expense ratio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10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7"/>
              </w:rPr>
              <w:t>Six months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Percentage</w:t>
            </w:r>
          </w:p>
        </w:tc>
        <w:tc>
          <w:tcPr>
            <w:tcW w:w="0" w:type="dxa"/>
            <w:vAlign w:val="bottom"/>
          </w:tcPr>
          <w:p>
            <w:pPr>
              <w:spacing w:after="0"/>
              <w:rPr>
                <w:sz w:val="1"/>
                <w:szCs w:val="1"/>
                <w:color w:val="auto"/>
              </w:rPr>
            </w:pPr>
          </w:p>
        </w:tc>
      </w:tr>
      <w:tr>
        <w:trPr>
          <w:trHeight w:val="210"/>
        </w:trPr>
        <w:tc>
          <w:tcPr>
            <w:tcW w:w="7280" w:type="dxa"/>
            <w:vAlign w:val="bottom"/>
            <w:vMerge w:val="restart"/>
          </w:tcPr>
          <w:p>
            <w:pPr>
              <w:spacing w:after="0"/>
              <w:rPr>
                <w:sz w:val="20"/>
                <w:szCs w:val="20"/>
                <w:color w:val="auto"/>
              </w:rPr>
            </w:pPr>
            <w:r>
              <w:rPr>
                <w:rFonts w:ascii="Arial" w:cs="Arial" w:eastAsia="Arial" w:hAnsi="Arial"/>
                <w:sz w:val="18"/>
                <w:szCs w:val="18"/>
                <w:color w:val="auto"/>
              </w:rPr>
              <w:t>Other underwriting expenses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Point Change</w:t>
            </w:r>
          </w:p>
        </w:tc>
        <w:tc>
          <w:tcPr>
            <w:tcW w:w="0" w:type="dxa"/>
            <w:vAlign w:val="bottom"/>
          </w:tcPr>
          <w:p>
            <w:pPr>
              <w:spacing w:after="0"/>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Employment costs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10.2%</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420"/>
              <w:spacing w:after="0"/>
              <w:rPr>
                <w:sz w:val="20"/>
                <w:szCs w:val="20"/>
                <w:color w:val="auto"/>
              </w:rPr>
            </w:pPr>
            <w:r>
              <w:rPr>
                <w:rFonts w:ascii="Arial" w:cs="Arial" w:eastAsia="Arial" w:hAnsi="Arial"/>
                <w:sz w:val="18"/>
                <w:szCs w:val="18"/>
                <w:color w:val="auto"/>
              </w:rPr>
              <w:t>Underwriting fees (inspections/surveys)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IT expenses</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420"/>
              <w:spacing w:after="0"/>
              <w:rPr>
                <w:sz w:val="20"/>
                <w:szCs w:val="20"/>
                <w:color w:val="auto"/>
              </w:rPr>
            </w:pPr>
            <w:r>
              <w:rPr>
                <w:rFonts w:ascii="Arial" w:cs="Arial" w:eastAsia="Arial" w:hAnsi="Arial"/>
                <w:sz w:val="18"/>
                <w:szCs w:val="18"/>
                <w:color w:val="auto"/>
              </w:rPr>
              <w:t>Professional fees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2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tcPr>
          <w:p>
            <w:pPr>
              <w:ind w:left="220"/>
              <w:spacing w:after="0"/>
              <w:rPr>
                <w:sz w:val="20"/>
                <w:szCs w:val="20"/>
                <w:color w:val="auto"/>
              </w:rPr>
            </w:pPr>
            <w:r>
              <w:rPr>
                <w:rFonts w:ascii="Arial" w:cs="Arial" w:eastAsia="Arial" w:hAnsi="Arial"/>
                <w:sz w:val="18"/>
                <w:szCs w:val="18"/>
                <w:color w:val="auto"/>
              </w:rPr>
              <w:t>Total other underwriting expenses</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Commission expense</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30.8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Ceding commission revenue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Provisional</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(18.6)</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Contingent</w:t>
            </w:r>
          </w:p>
        </w:tc>
        <w:tc>
          <w:tcPr>
            <w:tcW w:w="7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ceding commission revenue</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(18.8)</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7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33.6%</w:t>
            </w:r>
          </w:p>
        </w:tc>
        <w:tc>
          <w:tcPr>
            <w:tcW w:w="7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37.4%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0" w:type="dxa"/>
            <w:vAlign w:val="bottom"/>
            <w:gridSpan w:val="2"/>
          </w:tcPr>
          <w:p>
            <w:pPr>
              <w:ind w:left="3720"/>
              <w:spacing w:after="0"/>
              <w:rPr>
                <w:sz w:val="20"/>
                <w:szCs w:val="20"/>
                <w:color w:val="auto"/>
              </w:rPr>
            </w:pPr>
            <w:r>
              <w:rPr>
                <w:rFonts w:ascii="Arial" w:cs="Arial" w:eastAsia="Arial" w:hAnsi="Arial"/>
                <w:sz w:val="18"/>
                <w:szCs w:val="18"/>
                <w:i w:val="1"/>
                <w:iCs w:val="1"/>
                <w:color w:val="auto"/>
              </w:rPr>
              <w:t>(Components may not sum to totals due to rounding)</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Other operating expenses, related to the expenses of our holding company and Cosi, were $1,426,000 for Six Months 2023 compared to $1,548,000 for Six Months 2022. The following table shows a breakdown of the significant components of other operating expenses for the periods</w:t>
      </w:r>
    </w:p>
    <w:p>
      <w:pPr>
        <w:sectPr>
          <w:pgSz w:w="11900" w:h="16960" w:orient="portrait"/>
          <w:cols w:equalWidth="0" w:num="1">
            <w:col w:w="11240"/>
          </w:cols>
          <w:pgMar w:left="320" w:top="341" w:right="339" w:bottom="0" w:gutter="0" w:footer="0" w:header="0"/>
        </w:sectPr>
      </w:pPr>
    </w:p>
    <w:bookmarkStart w:id="33" w:name="page34"/>
    <w:bookmarkEnd w:id="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9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Employement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Bonuses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Professional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Directors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other 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1,426</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1,548</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Six Months 2023 of $122,000, or 7.9%, as compared to Six Months 2022 was primarily due to a decrease in equity compensation, partially offset by an increase in employment costs. The increase in employment costs was due to the hiring of our new Chief Financial Officer in Six Months 2023 and fluctuations in deferred compensation liability related to changes in the underlying invested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Depreciation and amortization was $1,587,000 in Six Months 2023 compared to $1,647,000 in Six Months 2022. The decrease of $60,000,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3.6%, in depreciation and amortization was primarily due to the completion and deployment of our customized policy management software as planned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Kingstone 2.0, now allowing us to consolidate multiple legacy systems into one efficient system and retire those older more costly and less reliable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systems. Depreciation on older assets that were retired, which had a shorter useful life, is greater than the depreciation on newly acquired assets which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longer useful life.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in Six Months 2023 was $2,016,000 compared to $913,000 in Six Months 2022, an increase of $1,103,000 or 120.8%. In Six Months 2023, as disclosed in Note 7 to the condensed consolidated financial statements, we incurred increased interest expense in connection with the 2022 Notes, which provide for interest at the rate of 12% per annum, and the 2022 equipment financing. In Six Months 2022, we incurred interest expense in connection with the 2017 Notes, our $30.0 million issuance of long-term debt in December 2017, which provided for interest at the rate of 5.5% per annum.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Income tax benefit in Six Months 2023 was $1,290,000, which resulted in an effective tax benefit rate of 18.8%. Income tax benefit in Six Months 2022 was $3,871,000, which resulted in an effective tax rate of 21.0%. Loss before taxes was $6,867,000 in Six Months 2023 compared to $18,448,000 in Six Months 2022. The difference in effective tax rate is due to the effect of permanent differences in Six Months 2023 compared to Six Months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was $5,577,000 in Six Months 2023 compared to $14,577,000 in Six Months 2022. The decrease in net loss of $9,000,000 was due to the circumstances described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w w:val="91"/>
              </w:rPr>
              <w:t>Three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47,647</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49,778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940" w:type="dxa"/>
            <w:vAlign w:val="bottom"/>
            <w:gridSpan w:val="2"/>
          </w:tcPr>
          <w:p>
            <w:pPr>
              <w:ind w:left="50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28,583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30,026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Ceded to quota share treaties (1)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(2,320)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(2,983)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65"/>
        </w:trPr>
        <w:tc>
          <w:tcPr>
            <w:tcW w:w="5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34" w:name="page35"/>
    <w:bookmarkEnd w:id="34"/>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net unearned premiums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(2,123)</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0"/>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earned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rPr>
              <w:t>Direct and assumed</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50,892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46,992</w:t>
            </w: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3,900</w:t>
            </w: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Ceded to reinsurance treaties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(21,384)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(19,090)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29,508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27,902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1,606</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Ceding commission revenue (1)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5,412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4,716</w:t>
            </w: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696</w:t>
            </w: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Net gains (losses) on investments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(4,517)</w:t>
            </w: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4,714</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28,979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7,739</w:t>
            </w: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and assumed: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28,346</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26,323</w:t>
            </w: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2,023</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from catastrophes (2)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1,176.4%</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340"/>
              <w:spacing w:after="0"/>
              <w:rPr>
                <w:sz w:val="20"/>
                <w:szCs w:val="20"/>
                <w:color w:val="auto"/>
              </w:rPr>
            </w:pPr>
            <w:r>
              <w:rPr>
                <w:rFonts w:ascii="Arial" w:cs="Arial" w:eastAsia="Arial" w:hAnsi="Arial"/>
                <w:sz w:val="18"/>
                <w:szCs w:val="18"/>
                <w:color w:val="auto"/>
              </w:rPr>
              <w:t>Total direct and assumed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30,835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26,519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4,317</w:t>
            </w: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0"/>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rPr>
              <w:t>Ceded loss and loss adjustment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2,368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rPr>
              <w:t>Losses from catastrophes (2)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1,024</w:t>
            </w:r>
          </w:p>
        </w:tc>
        <w:tc>
          <w:tcPr>
            <w:tcW w:w="1120" w:type="dxa"/>
            <w:vAlign w:val="bottom"/>
          </w:tcPr>
          <w:p>
            <w:pPr>
              <w:jc w:val="right"/>
              <w:spacing w:after="0"/>
              <w:rPr>
                <w:sz w:val="20"/>
                <w:szCs w:val="20"/>
                <w:color w:val="auto"/>
              </w:rPr>
            </w:pPr>
            <w:r>
              <w:rPr>
                <w:rFonts w:ascii="Arial" w:cs="Arial" w:eastAsia="Arial" w:hAnsi="Arial"/>
                <w:sz w:val="18"/>
                <w:szCs w:val="18"/>
                <w:color w:val="auto"/>
              </w:rPr>
              <w:t>1,233.7%</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ceded loss and loss adjustment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3,392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9"/>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18,198</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18,544</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(346)</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from catastrophes (2)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34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925</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9"/>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8,471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8,481</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6,625</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97</w:t>
            </w: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549</w:t>
            </w:r>
          </w:p>
        </w:tc>
        <w:tc>
          <w:tcPr>
            <w:tcW w:w="1120" w:type="dxa"/>
            <w:vAlign w:val="bottom"/>
          </w:tcPr>
          <w:p>
            <w:pPr>
              <w:jc w:val="right"/>
              <w:spacing w:after="0"/>
              <w:rPr>
                <w:sz w:val="20"/>
                <w:szCs w:val="20"/>
                <w:color w:val="auto"/>
              </w:rPr>
            </w:pPr>
            <w:r>
              <w:rPr>
                <w:rFonts w:ascii="Arial" w:cs="Arial" w:eastAsia="Arial" w:hAnsi="Arial"/>
                <w:sz w:val="18"/>
                <w:szCs w:val="18"/>
                <w:color w:val="auto"/>
              </w:rPr>
              <w:t>120.1%</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taxes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(6,782)</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(1,403)</w:t>
            </w:r>
          </w:p>
        </w:tc>
        <w:tc>
          <w:tcPr>
            <w:tcW w:w="3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1,362</w:t>
            </w:r>
          </w:p>
        </w:tc>
        <w:tc>
          <w:tcPr>
            <w:tcW w:w="112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December 31, 2021, we entered into a 30% personal lines quota share treaty.</w:t>
      </w:r>
    </w:p>
    <w:p>
      <w:pPr>
        <w:spacing w:after="0" w:line="23" w:lineRule="exact"/>
        <w:rPr>
          <w:rFonts w:ascii="Arial" w:cs="Arial" w:eastAsia="Arial" w:hAnsi="Arial"/>
          <w:sz w:val="18"/>
          <w:szCs w:val="18"/>
          <w:color w:val="auto"/>
        </w:rPr>
      </w:pPr>
    </w:p>
    <w:p>
      <w:pPr>
        <w:jc w:val="both"/>
        <w:ind w:left="460" w:hanging="452"/>
        <w:spacing w:after="0" w:line="25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three months ended June 30, 2023 and 2022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1"/>
              </w:rPr>
              <w:t>Three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5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8"/>
              </w:rPr>
              <w:t>Percentage</w:t>
            </w:r>
          </w:p>
        </w:tc>
        <w:tc>
          <w:tcPr>
            <w:tcW w:w="1100" w:type="dxa"/>
            <w:vAlign w:val="bottom"/>
          </w:tcPr>
          <w:p>
            <w:pPr>
              <w:ind w:left="260"/>
              <w:spacing w:after="0" w:line="191"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Point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426"/>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66.4%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32.5%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5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combined ratio</w:t>
            </w: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98.9%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Direct written premiums during the three months ended June 30, 2023 (“Three Months 2023”) were $47,647,000 compared to $49,778,000 during the three months ended June 30, 2022 (“Three Months 2022”). The decrease of $2,131,000, or 4.3%, was primarily due to an increase in premiums from our personal lines business, partially offset by an increase in premiums from our livery physical damage business.</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Direct written premiums from our personal lines business for Three Months 2023 were $44,011,000, a decrease of $2,781,000, or 5.9%, from $46,792,000 in Three Months 2022. The 5.9% decrease in premiums from our personal lines business was primarily due to decrease in premiums associated with a 8.6% decrease in policies in force as of June 30, 2023 compared to June 30, 2022, offset by rate increases. The rate increases achieved along with a decrease in policies in force is in accordance with both our Kingstone 2.0 and Kingstone 3.0 strategic plans.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Direct written premiums from our livery physical damage business for Three Months 2023 were $3,610,000, an increase of $655,000, or 22.2%, from $2,954,000 in Three Months 2022. The increase in livery physical damage direct written premiums was due to an increasing number of policies and</w:t>
      </w:r>
    </w:p>
    <w:p>
      <w:pPr>
        <w:sectPr>
          <w:pgSz w:w="11900" w:h="16915" w:orient="portrait"/>
          <w:cols w:equalWidth="0" w:num="1">
            <w:col w:w="11240"/>
          </w:cols>
          <w:pgMar w:left="320" w:top="140" w:right="339" w:bottom="0" w:gutter="0" w:footer="0" w:header="0"/>
        </w:sectPr>
      </w:pPr>
    </w:p>
    <w:bookmarkStart w:id="35" w:name="page36"/>
    <w:bookmarkEnd w:id="35"/>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values of the autos insured.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Beginning in 2017, we started writing personal lines policies in New Jersey. Through 2019 we expanded to Rhode Island, Massachusetts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Connecticut. We refer to our New York business as our “Core” business and the business outside of New York as our “non-New York” business.  Direct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written premiums from our Core business were $42,211,000 in Three Months 2023 compared to $39,734,000 in Three Months 2022,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$2,478,000, or 6.2%. Policies in force from our Core business decreased by 1.6% in Three Months 2023 compared to Three Months 2022. Direct written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premiums from our non-New York business were $5,435,000 in Three Months 2023 down from $10,044,000 in Three Months 2022, a decrease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$4,609,000, or 45.9%. Policies in force from our non-New York business decreased by 27% in Three Months 2023 compared to Three Months 2022.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direct written premiums in our Core business and the decrease in our non-New Yok business is consistent with a key pillar of our Kingstone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strategy to reduce our non-New York business due to profitability concerns.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Effective December 31, 2021, we entered into a quota share reinsurance treaty for our personal lines business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 Net written premiums decreased $1,443,000, or 4.8%, to $28,583,000 in Three Months 2023 from $30,026,000 in Three Months 2022. Net written premiums include direct premiums, less the amount of written premiums ceded under our reinsurance treaties (quota share, excess of loss, and catastrophe). In Three Months 2023, our premiums ceded under quota share treaties decreased by $769,000 in comparison to ceded premiums in Three Months 2022 (see table above). The increase in Three Months 2023 was attributable to the runoff of an 8.5% portion of the 30% 2021/2023 Treaty, partially offset by a decrease in premiums subject to quota share treaties as a result of the decrease in direct written premiums discussed above. The remainder of the 2021/2023 Treaty was on a cutoff basis and the new 2023/2024 Treaty was placed for 30% on January 1, 2023. Our personal lines business was subject to the 2023/2024 Treaty in Three Months 2023, and the 2021-2023 Treaty in Three Months 2022.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Three Months 2023, our ceded excess of loss reinsurance premiums increased by $176,000 over the comparable ceded premiums for Three Months 2022. The increase was due to an increase in subject premiums and the heightened cost of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An increase in our personal lines business results in an increase in premiums ceded under our catastrophe treaties if reinsurance rates are stable or are increasing. In accordance with our Kingstone 2.0 and Kingstone 3.0 goals, we have reduced our PML, and in the Three Months 2023, our premiums ceded under catastrophe treaties decreased by $94,000 as compared to the comparable ceded premiums in Three Months 2022, in spite of a large catastrophe reinsurance rate increase on our book effective July 1, 2022.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premiums earned increased $1,606,000, or 5.8%, to $29,508,000 in Three Months 2023 from $27,902,000 in Three Months 2022. The increase was due to the increased premiums written in prior periods due to rate increases and increased replacement costs, offset by the 4.3% decrease in direct written premiums during Three Months 2023. In addition, the run-off of a portion of the 2021-2023 Treaty increased the premiums ceded and reduced the growth of net premiums earned.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5,412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Ceding commission revenue was $5,412,000 in Three Months 2023 compared to $4,716,000 in Three Months 2022. The increase of $696,000 was due to an increase in provisional ceding commissions earned and an increase in contingent ceding commissions earned. See below for a discussion of provisional ceding commissions earned and contingent ceding commissions earned.</w:t>
      </w:r>
    </w:p>
    <w:p>
      <w:pPr>
        <w:sectPr>
          <w:pgSz w:w="11900" w:h="16855" w:orient="portrait"/>
          <w:cols w:equalWidth="0" w:num="1">
            <w:col w:w="11240"/>
          </w:cols>
          <w:pgMar w:left="320" w:top="125" w:right="339" w:bottom="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Three Months 2023 we earned provisional ceding commissions of $5,294,000 from personal lines earned premiums ceded under the 2023/2024 Treaty, and in Three Months 2022 we earned provisional ceding commissions of $4,693,000 from personal lines earned premiums ceded under the 2021/2023 Treaty. The increase of $601,000 in provisional ceding commissions earned was due to the runoff of an 8.5% portion of the 30% 2021/2023 Treaty, partially offset by a decrease in premiums subject to quota share treaties as a result of the decrease in direct written premiums discussed above.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structure of the 2023/2024 Treaty and the 2021/2023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investment income was $1,451,000 in Three Months 2023 compared to $634,000 in Three Months 2022, an increase of $817,000, or 128.9%. The increase in investment income is attributable to a $766,000 reversal in Three Months 2022 of prior years’ estimated accrued interest income stemming from an error in third party investment reporting. The increase was also due to higher interest rates earned on cash balances. The average yield on non-cash invested assets was 3.63% as of June 30, 2023 compared to 3.51% as of June 30, 2022.</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Cash and invested assets were $175,407,000 as of June 30, 2023 compared to $193,784,000 as of June 30, 2022. The $18,377,000 decrease in cash and invested assets was primarily attributable to increased disbursements of losses in connection with higher severity and inflation’s impact on losses along with catastrophe losses incurred in 2023 and prior periods. An increase in unrealized losses on our investment portfolio also contributed to the reduction.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(Losses) on Investments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gains on investments were $197,000 in Three Months 2023 compared to net (losses) of $(4,517,000) in Three Months 2022. Unrealized gains on our equity securities and other investments in Three Months 2023 were $207,000, compared to net unrealized (losses) of $(4,229,000) in Three Months 2022. Realized (losses) on sales of investments were $(10,000) in Three Months 2023 compared to realized (losses) of $289,000 in Three Months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income was $151,000 in Three Months 2023 compared to $245,000 in Three Months 2022, a decrease of $94,000, or 38.4%.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and LAE was $19,581,000 for Three Months 2023 compared to $18,656,000 for Three Months 2022. The net loss ratio was 66.4% in Three Months 2023 compared to 66.9% in Three Months 2022, a decrease of 0.5 percentage point.</w:t>
      </w:r>
    </w:p>
    <w:p>
      <w:pPr>
        <w:spacing w:after="0" w:line="170" w:lineRule="exact"/>
        <w:rPr>
          <w:sz w:val="20"/>
          <w:szCs w:val="20"/>
          <w:color w:val="auto"/>
        </w:rPr>
      </w:pPr>
    </w:p>
    <w:p>
      <w:pPr>
        <w:jc w:val="both"/>
        <w:ind w:firstLine="604"/>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931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71770" cy="393192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378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Three Months 2023, the loss ratio was slightly lower than Three Months 2022. While the underlying loss ratio (loss ratio excluding the impact of catastrophe and prior year development) was improved for Three Months 2023 compared to Three Months 2022, the catastrophe loss had a bigger impact for Three Months 2023.</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were three wind events classified as catastrophe for Three Months 2023. The total net catastrophe losses for the calendar quarter were $1,383,000, which contributed 4.7 points to the loss ratio. This compares to a 0.4-point impact from catastrophe events for Three Months 2022.</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underlying loss ratio was 61.7% for Three Months 2023, a decrease of 3.8 points from the 65.5% underlying loss ratio recorded for Three Months 2022. The underlying loss experience for Three Months 2023 was improved due to lower frequency which is believed to be the result of the Company’s new product rollout as well as the Company’s active efforts to manage less profitable segments. Such improvement in loss experience was offset by an elevated number of large losses, similar to what was observed in the first three months of 2023.</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year development was stable for Three Months 2023. There was an overall favorable development of $16,000, which had marginal impact on the loss ratio.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Commission expense was $8,471,000 in Three Months 2023 or 16.6% of direct earned premiums. Commission expense was $8,481,000 in Three Months 2022 or 18.0% of direct earned premiums. The decrease of $10,000 was primarily due to a reduction of commission rates on our legacy policies in accordance with Kingstone 3.0 as well as the lower commission rate paid on Select products as compared to legacy products, but offset by an increase in direct earned premiums of $3,899,000 to $50,892,000.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underwriting expenses were $6,684,000, or 13.1% of direct earned premiums, in Three Months 2023 compared to $6,625,000, or 14.1% of direct earned premiums, in Three Months 2022. The increase of $59,000, or 0.9%, was primarily due to increases in expenses related to our growth in direct earned premiums and salaries, partially offset by decreases in professional fees, credit card fees and policy management system fees as result of the completion of our policy management system conversion, allowing us to eliminate multiple legacy systems.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largest single component of other underwriting expenses is salaries and employment costs, with costs of $2,942,000 in Three Months 2023 compared to $2,518,000 in Three Months 2022. The increase of $424,000, or 16.8%, compared unfavorably to the 4.3% decrease in direct written premiums. In the periods following Three Months 2022, we continued to strengthen our professional team by investing in the hiring of higher-level and higher compensated managers and staff needed to manage the business consistent with our Kingstone 2.0 and Kingstone 3.0 strategies.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net underwriting expense ratio in Three Months 2023 was 32.5% compared to 36.4% in Three Months 2022. The following table shows the individual components of our net underwriting expense ratio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10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89"/>
              </w:rPr>
              <w:t>Three months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Percentage</w:t>
            </w:r>
          </w:p>
        </w:tc>
        <w:tc>
          <w:tcPr>
            <w:tcW w:w="0" w:type="dxa"/>
            <w:vAlign w:val="bottom"/>
          </w:tcPr>
          <w:p>
            <w:pPr>
              <w:spacing w:after="0"/>
              <w:rPr>
                <w:sz w:val="1"/>
                <w:szCs w:val="1"/>
                <w:color w:val="auto"/>
              </w:rPr>
            </w:pPr>
          </w:p>
        </w:tc>
      </w:tr>
      <w:tr>
        <w:trPr>
          <w:trHeight w:val="210"/>
        </w:trPr>
        <w:tc>
          <w:tcPr>
            <w:tcW w:w="7280" w:type="dxa"/>
            <w:vAlign w:val="bottom"/>
            <w:vMerge w:val="restart"/>
          </w:tcPr>
          <w:p>
            <w:pPr>
              <w:spacing w:after="0"/>
              <w:rPr>
                <w:sz w:val="20"/>
                <w:szCs w:val="20"/>
                <w:color w:val="auto"/>
              </w:rPr>
            </w:pPr>
            <w:r>
              <w:rPr>
                <w:rFonts w:ascii="Arial" w:cs="Arial" w:eastAsia="Arial" w:hAnsi="Arial"/>
                <w:sz w:val="18"/>
                <w:szCs w:val="18"/>
                <w:color w:val="auto"/>
              </w:rPr>
              <w:t>Other underwriting expenses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Point Change</w:t>
            </w:r>
          </w:p>
        </w:tc>
        <w:tc>
          <w:tcPr>
            <w:tcW w:w="0" w:type="dxa"/>
            <w:vAlign w:val="bottom"/>
          </w:tcPr>
          <w:p>
            <w:pPr>
              <w:spacing w:after="0"/>
              <w:rPr>
                <w:sz w:val="1"/>
                <w:szCs w:val="1"/>
                <w:color w:val="auto"/>
              </w:rPr>
            </w:pPr>
          </w:p>
        </w:tc>
      </w:tr>
      <w:tr>
        <w:trPr>
          <w:trHeight w:val="209"/>
        </w:trPr>
        <w:tc>
          <w:tcPr>
            <w:tcW w:w="7280" w:type="dxa"/>
            <w:vAlign w:val="bottom"/>
            <w:vMerge w:val="continue"/>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Employment costs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Underwriting fees (inspections/surveys)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IT expenses</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Professional fees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2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tcPr>
          <w:p>
            <w:pPr>
              <w:ind w:left="180"/>
              <w:spacing w:after="0"/>
              <w:rPr>
                <w:sz w:val="20"/>
                <w:szCs w:val="20"/>
                <w:color w:val="auto"/>
              </w:rPr>
            </w:pPr>
            <w:r>
              <w:rPr>
                <w:rFonts w:ascii="Arial" w:cs="Arial" w:eastAsia="Arial" w:hAnsi="Arial"/>
                <w:sz w:val="18"/>
                <w:szCs w:val="18"/>
                <w:color w:val="auto"/>
              </w:rPr>
              <w:t>Total other underwriting expenses</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Commission expense</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28.7</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Ceding commission revenue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Provisional</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(17.9)</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Contingent</w:t>
            </w:r>
          </w:p>
        </w:tc>
        <w:tc>
          <w:tcPr>
            <w:tcW w:w="7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ceding commission revenue</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(18.3)</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7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32.5%</w:t>
            </w:r>
          </w:p>
        </w:tc>
        <w:tc>
          <w:tcPr>
            <w:tcW w:w="7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36.4%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tcPr>
          <w:p>
            <w:pPr>
              <w:ind w:left="3720"/>
              <w:spacing w:after="0"/>
              <w:rPr>
                <w:sz w:val="20"/>
                <w:szCs w:val="20"/>
                <w:color w:val="auto"/>
              </w:rPr>
            </w:pPr>
            <w:r>
              <w:rPr>
                <w:rFonts w:ascii="Arial" w:cs="Arial" w:eastAsia="Arial" w:hAnsi="Arial"/>
                <w:sz w:val="18"/>
                <w:szCs w:val="18"/>
                <w:i w:val="1"/>
                <w:iCs w:val="1"/>
                <w:color w:val="auto"/>
              </w:rPr>
              <w:t>(Components may not sum to totals due to rounding)</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0" w:gutter="0" w:footer="0" w:header="0"/>
        </w:sectPr>
      </w:pPr>
    </w:p>
    <w:bookmarkStart w:id="38" w:name="page39"/>
    <w:bookmarkEnd w:id="38"/>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 operating expenses, related to the expenses of our holding company and Cosi, were $763,000 for Three Months 2023 compared to $666,000 for Three Months 2022. The following table shows a breakdown of the significant components of other operating expenses for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vMerge w:val="restart"/>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vMerge w:val="restart"/>
          </w:tcPr>
          <w:p>
            <w:pPr>
              <w:spacing w:after="0"/>
              <w:rPr>
                <w:sz w:val="20"/>
                <w:szCs w:val="20"/>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Percent</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00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Employement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83"/>
              </w:rPr>
              <w:t>na%</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20"/>
              <w:spacing w:after="0"/>
              <w:rPr>
                <w:sz w:val="20"/>
                <w:szCs w:val="20"/>
                <w:color w:val="auto"/>
              </w:rPr>
            </w:pPr>
            <w:r>
              <w:rPr>
                <w:rFonts w:ascii="Arial" w:cs="Arial" w:eastAsia="Arial" w:hAnsi="Arial"/>
                <w:sz w:val="18"/>
                <w:szCs w:val="18"/>
                <w:color w:val="auto"/>
              </w:rPr>
              <w:t>Bonuses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20"/>
              <w:spacing w:after="0"/>
              <w:rPr>
                <w:sz w:val="20"/>
                <w:szCs w:val="20"/>
                <w:color w:val="auto"/>
              </w:rPr>
            </w:pPr>
            <w:r>
              <w:rPr>
                <w:rFonts w:ascii="Arial" w:cs="Arial" w:eastAsia="Arial" w:hAnsi="Arial"/>
                <w:sz w:val="18"/>
                <w:szCs w:val="18"/>
                <w:color w:val="auto"/>
              </w:rPr>
              <w:t>Professional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Directors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20"/>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gridSpan w:val="2"/>
          </w:tcPr>
          <w:p>
            <w:pPr>
              <w:ind w:left="240"/>
              <w:spacing w:after="0"/>
              <w:rPr>
                <w:sz w:val="20"/>
                <w:szCs w:val="20"/>
                <w:color w:val="auto"/>
              </w:rPr>
            </w:pPr>
            <w:r>
              <w:rPr>
                <w:rFonts w:ascii="Arial" w:cs="Arial" w:eastAsia="Arial" w:hAnsi="Arial"/>
                <w:sz w:val="18"/>
                <w:szCs w:val="18"/>
                <w:color w:val="auto"/>
              </w:rPr>
              <w:t>Total other 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Three Months 2023 of $97,000, or 14.6%, as compared to Three Months 2022 was primarily due to an increase in employment costs attributable to the hiring of our new Chief Financial Officer in January 2023 and fluctuations in deferred compensation liability related to changes in the underlying invested portfolio. The increase was partially offset by a decrease in equity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Depreciation and amortization was $779,000 in Three Months 2023 compared to $877,000 in Three Months 2022. The decrease of $98,000, or 11.2%, in depreciation and amortization was primarily due to the completion and deployment of our customized policy management software as planned for in Kingstone 2.0, now allowing us to consolidate multiple legacy systems into one efficient system and retire those older more costly and less reliable systems. Depreciation on older assets that were retired, which had a shorter useful life, is greater than the depreciation on newly acquired assets which have a longer useful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in Three Months 2023 was $1,006,000 compared to $457,000 in Three Months 2022, an increase of $549,000 or 120.1%. In Three Months 2023, as disclosed in Note 7 to the condensed consolidated financial statements, we incurred increased interest expense in connection with the 2022 Notes, which provide for interest at the rate of 12% per annum, and the 2022 equipment financing. In Three Months 2022, we incurred interest expense in connection with the 2017 Notes, our $30.0 million issuance of long-term debt in December 2017, which provided for interest at the rate of 5.5% per annum.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benefit in Three Months 2023 was $41,000, which resulted in an effective tax benefit rate of 7.3%. Income tax benefit in Three Months 2022 was $1,403,000, which resulted in an effective tax rate of 20.7%. Loss before taxes was $563,000 in Three Months 2023 compared to $6,782,000 in Three Months 2022. The difference in effective tax rate is due to the effect of permanent differences in Three Months 2023 compared to Three Months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was $522,000 in Three Months 2023 compared to $5,380,000 in Three Months 2022. The decrease in net loss of $4,858,000 was due to the circumstances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6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Gross premiums written:</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44,011,176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46,792,267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88,182,114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86,955,416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3,609,832</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2,953,588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7,015,500</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5,726,868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25,936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32,608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46,776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80,076</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8" w:orient="portrait"/>
          <w:cols w:equalWidth="0" w:num="1">
            <w:col w:w="11240"/>
          </w:cols>
          <w:pgMar w:left="320" w:top="341" w:right="339" w:bottom="0" w:gutter="0" w:footer="0" w:header="0"/>
        </w:sectPr>
      </w:pPr>
    </w:p>
    <w:bookmarkStart w:id="39" w:name="page40"/>
    <w:bookmarkEnd w:id="3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Total gross premiums written</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47,646,944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49,778,463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95,244,390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92,762,360</w:t>
            </w:r>
          </w:p>
        </w:tc>
      </w:tr>
      <w:tr>
        <w:trPr>
          <w:trHeight w:val="20"/>
        </w:trPr>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Net premiums written:</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24,954,271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27,048,585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45,505,958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49,159,250</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3,609,832</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2,953,588</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7,015,500</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5,726,868</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18,625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23,607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30,017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57,850</w:t>
            </w:r>
          </w:p>
        </w:tc>
      </w:tr>
      <w:tr>
        <w:trPr>
          <w:trHeight w:val="20"/>
        </w:trPr>
        <w:tc>
          <w:tcPr>
            <w:tcW w:w="128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Total net premiums written</w:t>
            </w:r>
          </w:p>
        </w:tc>
        <w:tc>
          <w:tcPr>
            <w:tcW w:w="1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28,582,728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30,025,780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52,551,475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54,943,968</w:t>
            </w:r>
          </w:p>
        </w:tc>
      </w:tr>
      <w:tr>
        <w:trPr>
          <w:trHeight w:val="20"/>
        </w:trPr>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Net premiums earned:</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26,075,876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25,178,854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51,094,961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49,339,070</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3,409,779</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2,687,273</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6,621,613</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5,161,838</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22,541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35,941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46,575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74,540</w:t>
            </w:r>
          </w:p>
        </w:tc>
      </w:tr>
      <w:tr>
        <w:trPr>
          <w:trHeight w:val="20"/>
        </w:trPr>
        <w:tc>
          <w:tcPr>
            <w:tcW w:w="128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Total net premiums earned</w:t>
            </w:r>
          </w:p>
        </w:tc>
        <w:tc>
          <w:tcPr>
            <w:tcW w:w="1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29,508,196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27,902,068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57,763,149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54,575,448</w:t>
            </w:r>
          </w:p>
        </w:tc>
      </w:tr>
      <w:tr>
        <w:trPr>
          <w:trHeight w:val="20"/>
        </w:trPr>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Net loss and loss adjustment expenses(3):</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17,925,971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16,540,604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40,495,580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37,576,758</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894,026</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1,180,223</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2,279,167</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2,010,792</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151,643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(24,367)</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Unallocated loss adjustment expenses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828,963</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980,984</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1,720,053</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1,950,377</w:t>
            </w:r>
          </w:p>
        </w:tc>
      </w:tr>
      <w:tr>
        <w:trPr>
          <w:trHeight w:val="20"/>
        </w:trPr>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without commercial lines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19,648,996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18,700,844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44,646,443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41,513,560</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Commercial lines (in run-off effective July 2019)(2)</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(68,294)</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(44,803)</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(26,331)</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83,679</w:t>
            </w:r>
          </w:p>
        </w:tc>
      </w:tr>
      <w:tr>
        <w:trPr>
          <w:trHeight w:val="20"/>
        </w:trPr>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net loss and loss adjustment expenses</w:t>
            </w: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19,580,702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18,656,041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44,620,112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41,597,239</w:t>
            </w:r>
          </w:p>
        </w:tc>
      </w:tr>
      <w:tr>
        <w:trPr>
          <w:trHeight w:val="197"/>
        </w:trPr>
        <w:tc>
          <w:tcPr>
            <w:tcW w:w="1280" w:type="dxa"/>
            <w:vAlign w:val="bottom"/>
            <w:tcBorders>
              <w:top w:val="single" w:sz="8" w:color="CCEEFF"/>
            </w:tcBorders>
          </w:tcPr>
          <w:p>
            <w:pPr>
              <w:spacing w:after="0"/>
              <w:rPr>
                <w:sz w:val="17"/>
                <w:szCs w:val="17"/>
                <w:color w:val="auto"/>
              </w:rPr>
            </w:pPr>
          </w:p>
        </w:tc>
        <w:tc>
          <w:tcPr>
            <w:tcW w:w="338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ratio(3):</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Other(1)</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325.6%</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r>
      <w:tr>
        <w:trPr>
          <w:trHeight w:val="216"/>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without commercial lines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Commercial lines (in run-off effective July 2019)(2)</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r>
      <w:tr>
        <w:trPr>
          <w:trHeight w:val="648"/>
        </w:trPr>
        <w:tc>
          <w:tcPr>
            <w:tcW w:w="1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29" w:lineRule="exact"/>
        <w:rPr>
          <w:sz w:val="20"/>
          <w:szCs w:val="20"/>
          <w:color w:val="auto"/>
        </w:rPr>
      </w:pPr>
    </w:p>
    <w:p>
      <w:pPr>
        <w:ind w:left="460" w:right="20" w:hanging="452"/>
        <w:spacing w:after="0" w:line="25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discussion above with regard to “Net Loss and LAE”, as to catastrophe losses in the three months and six months ended June 30, 2023 and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29,508,196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27,902,068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57,763,149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54,575,448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5,412,210</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4,715,587</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10,857,617</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9,396,983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1,451,356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634,325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2,992,848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1,993,425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gains (losses) on investments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146,377</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(4,379,853)</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1,330,625</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(8,731,597)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149,245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242,620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308,071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471,127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36,667,384</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29,114,747</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73,252,310</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57,705,386</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19,580,702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18,656,041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44,620,112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41,597,239</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8,471,182</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8,481,031</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17,010,944</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16,832,117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6,683,638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6,624,997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13,555,257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13,440,946</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778,502</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867,186</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1,586,632</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1,627,201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110,554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225,026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35,624,578</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34,629,255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76,997,971</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73,497,503</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1,042,806</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(5,514,508)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(3,745,661)</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(15,792,117)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277,231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(1,170,035)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(660,992)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(3,357,294)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765,575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(4,344,473)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(3,084,669)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(12,434,823)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Key Measures: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combined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r>
      <w:tr>
        <w:trPr>
          <w:trHeight w:val="196"/>
        </w:trPr>
        <w:tc>
          <w:tcPr>
            <w:tcW w:w="58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171"/>
        </w:trPr>
        <w:tc>
          <w:tcPr>
            <w:tcW w:w="58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bl>
    <w:p>
      <w:pPr>
        <w:sectPr>
          <w:pgSz w:w="11900" w:h="16900" w:orient="portrait"/>
          <w:cols w:equalWidth="0" w:num="1">
            <w:col w:w="11240"/>
          </w:cols>
          <w:pgMar w:left="320" w:top="125" w:right="339" w:bottom="0" w:gutter="0" w:footer="0" w:header="0"/>
        </w:sectPr>
      </w:pPr>
    </w:p>
    <w:bookmarkStart w:id="40" w:name="page41"/>
    <w:bookmarkEnd w:id="40"/>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Reconciliation of net underwriting expense ratio:</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Acquisition costs and other</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underwriting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15,154,820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15,106,028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30,566,201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30,273,063</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Less: 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(5,412,210)</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(4,715,587)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(10,857,617)</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(9,396,983)</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(149,245)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(242,620)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(308,071)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(471,127)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Net underwriting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9,593,365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10,147,821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19,400,513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20,404,953</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29,508,196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27,902,068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57,763,149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54,575,448</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37.4%</w:t>
            </w:r>
          </w:p>
        </w:tc>
      </w:tr>
      <w:tr>
        <w:trPr>
          <w:trHeight w:val="20"/>
        </w:trPr>
        <w:tc>
          <w:tcPr>
            <w:tcW w:w="5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vMerge w:val="restart"/>
          </w:tcPr>
          <w:p>
            <w:pPr>
              <w:jc w:val="center"/>
              <w:ind w:right="3290"/>
              <w:spacing w:after="0"/>
              <w:rPr>
                <w:sz w:val="20"/>
                <w:szCs w:val="20"/>
                <w:color w:val="auto"/>
              </w:rPr>
            </w:pPr>
            <w:r>
              <w:rPr>
                <w:rFonts w:ascii="Arial" w:cs="Arial" w:eastAsia="Arial" w:hAnsi="Arial"/>
                <w:sz w:val="18"/>
                <w:szCs w:val="18"/>
                <w:b w:val="1"/>
                <w:bCs w:val="1"/>
                <w:color w:val="auto"/>
                <w:w w:val="88"/>
              </w:rPr>
              <w:t>Six months ended June 30, 2023</w:t>
            </w:r>
          </w:p>
        </w:tc>
        <w:tc>
          <w:tcPr>
            <w:tcW w:w="14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Direct</w:t>
            </w:r>
          </w:p>
        </w:tc>
        <w:tc>
          <w:tcPr>
            <w:tcW w:w="14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Assumed</w:t>
            </w:r>
          </w:p>
        </w:tc>
        <w:tc>
          <w:tcPr>
            <w:tcW w:w="16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Ceded</w:t>
            </w:r>
          </w:p>
        </w:tc>
        <w:tc>
          <w:tcPr>
            <w:tcW w:w="180" w:type="dxa"/>
            <w:vAlign w:val="bottom"/>
          </w:tcPr>
          <w:p>
            <w:pPr>
              <w:spacing w:after="0"/>
              <w:rPr>
                <w:sz w:val="20"/>
                <w:szCs w:val="2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95,244,390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(42,692,915)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52,551,475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5,577,883</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(366,209)</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5,211,674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100,822,273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(43,059,124)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57,763,149</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excluding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270"/>
              <w:spacing w:after="0"/>
              <w:rPr>
                <w:sz w:val="20"/>
                <w:szCs w:val="20"/>
                <w:color w:val="auto"/>
              </w:rPr>
            </w:pPr>
            <w:r>
              <w:rPr>
                <w:rFonts w:ascii="Arial" w:cs="Arial" w:eastAsia="Arial" w:hAnsi="Arial"/>
                <w:sz w:val="18"/>
                <w:szCs w:val="18"/>
                <w:color w:val="auto"/>
                <w:w w:val="89"/>
              </w:rPr>
              <w:t>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60,255,984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(20,761,334)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39,494,650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7,874,884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(2,749,422)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5,125,462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68,130,868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(23,510,756)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44,620,112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290"/>
              <w:spacing w:after="0"/>
              <w:rPr>
                <w:sz w:val="20"/>
                <w:szCs w:val="20"/>
                <w:color w:val="auto"/>
              </w:rPr>
            </w:pPr>
            <w:r>
              <w:rPr>
                <w:rFonts w:ascii="Arial" w:cs="Arial" w:eastAsia="Arial" w:hAnsi="Arial"/>
                <w:sz w:val="18"/>
                <w:szCs w:val="18"/>
                <w:b w:val="1"/>
                <w:bCs w:val="1"/>
                <w:color w:val="auto"/>
                <w:w w:val="88"/>
              </w:rPr>
              <w:t>Six months ended June 30, 2022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92,762,360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(37,818,392)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54,943,968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(393,353)</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24,833</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(368,520)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92,369,007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(37,793,559)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54,575,448</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excluding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270"/>
              <w:spacing w:after="0"/>
              <w:rPr>
                <w:sz w:val="20"/>
                <w:szCs w:val="20"/>
                <w:color w:val="auto"/>
              </w:rPr>
            </w:pPr>
            <w:r>
              <w:rPr>
                <w:rFonts w:ascii="Arial" w:cs="Arial" w:eastAsia="Arial" w:hAnsi="Arial"/>
                <w:sz w:val="18"/>
                <w:szCs w:val="18"/>
                <w:color w:val="auto"/>
                <w:w w:val="89"/>
              </w:rPr>
              <w:t>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52,832,153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(14,366,628)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38,465,525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7,032,470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(3,900,756)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3,131,714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59,864,623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(18,267,384)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41,597,239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Three months ended June 30,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47,646,944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(19,064,216)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28,582,728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3,244,999</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(2,319,531)</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925,468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50,891,943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(21,383,747)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29,508,196</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excluding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270"/>
              <w:spacing w:after="0"/>
              <w:rPr>
                <w:sz w:val="20"/>
                <w:szCs w:val="20"/>
                <w:color w:val="auto"/>
              </w:rPr>
            </w:pPr>
            <w:r>
              <w:rPr>
                <w:rFonts w:ascii="Arial" w:cs="Arial" w:eastAsia="Arial" w:hAnsi="Arial"/>
                <w:sz w:val="18"/>
                <w:szCs w:val="18"/>
                <w:color w:val="auto"/>
                <w:w w:val="89"/>
              </w:rPr>
              <w:t>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28,345,979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(10,147,791)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18,198,188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2,489,053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(1,106,539)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1,382,514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30,835,032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(11,254,330)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19,580,702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Three months ended June 30, 2022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49,778,463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(19,752,683)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30,025,780</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(2,786,080)</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662,368</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(2,123,712)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46,992,383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(19,090,315)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27,902,068</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excluding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270"/>
              <w:spacing w:after="0"/>
              <w:rPr>
                <w:sz w:val="20"/>
                <w:szCs w:val="20"/>
                <w:color w:val="auto"/>
              </w:rPr>
            </w:pPr>
            <w:r>
              <w:rPr>
                <w:rFonts w:ascii="Arial" w:cs="Arial" w:eastAsia="Arial" w:hAnsi="Arial"/>
                <w:sz w:val="18"/>
                <w:szCs w:val="18"/>
                <w:color w:val="auto"/>
                <w:w w:val="89"/>
              </w:rPr>
              <w:t>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26,323,489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(7,779,738)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18,543,751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195,070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(82,780)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112,290</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26,518,559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(7,862,518)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18,656,041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4" w:orient="portrait"/>
          <w:cols w:equalWidth="0" w:num="1">
            <w:col w:w="11240"/>
          </w:cols>
          <w:pgMar w:left="320" w:top="140" w:right="339" w:bottom="0" w:gutter="0" w:footer="0" w:header="0"/>
        </w:sectPr>
      </w:pPr>
    </w:p>
    <w:bookmarkStart w:id="41" w:name="page42"/>
    <w:bookmarkEnd w:id="41"/>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Loss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56.4%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66.9%</w:t>
            </w:r>
          </w:p>
        </w:tc>
      </w:tr>
      <w:tr>
        <w:trPr>
          <w:trHeight w:val="20"/>
        </w:trPr>
        <w:tc>
          <w:tcPr>
            <w:tcW w:w="5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29,508,196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27,902,068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57,763,149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54,575,448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5,412,210</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4,715,587</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10,857,617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9,396,983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149,245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242,620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308,071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471,127</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19,580,702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18,656,041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44,620,112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41,597,239</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8,471,182</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8,481,031</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17,010,944</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16,832,117</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6,683,638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6,624,997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13,555,257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13,440,946</w:t>
            </w:r>
          </w:p>
        </w:tc>
      </w:tr>
      <w:tr>
        <w:trPr>
          <w:trHeight w:val="209"/>
        </w:trPr>
        <w:tc>
          <w:tcPr>
            <w:tcW w:w="5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acquisition costs and other</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15,154,820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15,106,028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30,566,201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30,273,063</w:t>
            </w:r>
          </w:p>
        </w:tc>
      </w:tr>
      <w:tr>
        <w:trPr>
          <w:trHeight w:val="210"/>
        </w:trPr>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334,129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(901,794)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(6,257,476)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(7,426,744)</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Key Measures: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catastrophe loss on net loss ratio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Net 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77.2%</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r>
      <w:tr>
        <w:trPr>
          <w:trHeight w:val="210"/>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underwriting expense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catastrophe loss on net underwriting expense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r>
      <w:tr>
        <w:trPr>
          <w:trHeight w:val="210"/>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combined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catastrophe loss on net combined ratio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Net combined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113.6%</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Reconciliation of net underwriting expense ratio:</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15,154,820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15,106,028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30,566,201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30,273,063</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Less: 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(5,412,210)</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(4,715,587)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(10,857,617)</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(9,396,983)</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(149,245)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(242,620)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(308,071)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(471,127)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9,593,365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10,147,821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19,400,513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20,404,953</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earned premium</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29,508,196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27,902,068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57,763,149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54,575,448</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Underwriting Expense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6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three months ended June 30, 2023 and 2022, includes the sum of net catastrophe losses and loss adjustment expenses of $1,382,514 and $112,290, respectively. For the six months ended June 30, 2023 and 2022, includes the sum of net catastrophe losses and loss adjustment expenses of $5,125,462 and $3,131,714,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presents a breakdown of the amortized cost, estimated fair value, and gross unrealized gains and losses of our investments in fixed-maturity securities classified as available-for-sale for which an allowance for credit loss has not been recorded, as of June 30, 2023 and December 31, 2022:</w:t>
      </w:r>
    </w:p>
    <w:p>
      <w:pPr>
        <w:spacing w:after="0" w:line="180"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June 30, 2023</w:t>
      </w:r>
    </w:p>
    <w:p>
      <w:pPr>
        <w:spacing w:after="0" w:line="27" w:lineRule="exact"/>
        <w:rPr>
          <w:sz w:val="20"/>
          <w:szCs w:val="20"/>
          <w:color w:val="auto"/>
        </w:rPr>
      </w:pPr>
    </w:p>
    <w:tbl>
      <w:tblPr>
        <w:tblLayout w:type="fixed"/>
        <w:tblInd w:w="3980" w:type="dxa"/>
        <w:tblCellMar>
          <w:top w:w="0" w:type="dxa"/>
          <w:left w:w="0" w:type="dxa"/>
          <w:bottom w:w="0" w:type="dxa"/>
          <w:right w:w="0" w:type="dxa"/>
        </w:tblCellMar>
      </w:tblPr>
      <w:tr>
        <w:trPr>
          <w:trHeight w:val="209"/>
        </w:trPr>
        <w:tc>
          <w:tcPr>
            <w:tcW w:w="11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Cost or</w:t>
            </w:r>
          </w:p>
        </w:tc>
        <w:tc>
          <w:tcPr>
            <w:tcW w:w="13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22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3"/>
              </w:rPr>
              <w:t>Gross Unrealized Losses</w:t>
            </w:r>
          </w:p>
        </w:tc>
        <w:tc>
          <w:tcPr>
            <w:tcW w:w="13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Estimated</w:t>
            </w:r>
          </w:p>
        </w:tc>
        <w:tc>
          <w:tcPr>
            <w:tcW w:w="112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4"/>
              </w:rPr>
              <w:t>% of</w:t>
            </w:r>
          </w:p>
        </w:tc>
      </w:tr>
      <w:tr>
        <w:trPr>
          <w:trHeight w:val="228"/>
        </w:trPr>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Amortized</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1140" w:type="dxa"/>
            <w:vAlign w:val="bottom"/>
          </w:tcPr>
          <w:p>
            <w:pPr>
              <w:ind w:left="20"/>
              <w:spacing w:after="0"/>
              <w:rPr>
                <w:sz w:val="20"/>
                <w:szCs w:val="20"/>
                <w:color w:val="auto"/>
              </w:rPr>
            </w:pPr>
            <w:r>
              <w:rPr>
                <w:rFonts w:ascii="Arial" w:cs="Arial" w:eastAsia="Arial" w:hAnsi="Arial"/>
                <w:sz w:val="18"/>
                <w:szCs w:val="18"/>
                <w:b w:val="1"/>
                <w:bCs w:val="1"/>
                <w:color w:val="auto"/>
              </w:rPr>
              <w:t>Less than 12</w:t>
            </w:r>
          </w:p>
        </w:tc>
        <w:tc>
          <w:tcPr>
            <w:tcW w:w="1080" w:type="dxa"/>
            <w:vAlign w:val="bottom"/>
          </w:tcPr>
          <w:p>
            <w:pPr>
              <w:ind w:left="160"/>
              <w:spacing w:after="0"/>
              <w:rPr>
                <w:sz w:val="20"/>
                <w:szCs w:val="20"/>
                <w:color w:val="auto"/>
              </w:rPr>
            </w:pPr>
            <w:r>
              <w:rPr>
                <w:rFonts w:ascii="Arial" w:cs="Arial" w:eastAsia="Arial" w:hAnsi="Arial"/>
                <w:sz w:val="18"/>
                <w:szCs w:val="18"/>
                <w:b w:val="1"/>
                <w:bCs w:val="1"/>
                <w:color w:val="auto"/>
              </w:rPr>
              <w:t>More than</w:t>
            </w:r>
          </w:p>
        </w:tc>
        <w:tc>
          <w:tcPr>
            <w:tcW w:w="1320" w:type="dxa"/>
            <w:vAlign w:val="bottom"/>
          </w:tcPr>
          <w:p>
            <w:pPr>
              <w:jc w:val="center"/>
              <w:ind w:left="30"/>
              <w:spacing w:after="0"/>
              <w:rPr>
                <w:sz w:val="20"/>
                <w:szCs w:val="20"/>
                <w:color w:val="auto"/>
              </w:rPr>
            </w:pPr>
            <w:r>
              <w:rPr>
                <w:rFonts w:ascii="Arial" w:cs="Arial" w:eastAsia="Arial" w:hAnsi="Arial"/>
                <w:sz w:val="18"/>
                <w:szCs w:val="18"/>
                <w:b w:val="1"/>
                <w:bCs w:val="1"/>
                <w:color w:val="auto"/>
                <w:w w:val="96"/>
              </w:rPr>
              <w:t>Fair</w:t>
            </w:r>
          </w:p>
        </w:tc>
        <w:tc>
          <w:tcPr>
            <w:tcW w:w="11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Estimated</w:t>
            </w:r>
          </w:p>
        </w:tc>
      </w:tr>
    </w:tbl>
    <w:p>
      <w:pPr>
        <w:sectPr>
          <w:pgSz w:w="11900" w:h="16838" w:orient="portrait"/>
          <w:cols w:equalWidth="0" w:num="1">
            <w:col w:w="11240"/>
          </w:cols>
          <w:pgMar w:left="320" w:top="125" w:right="339" w:bottom="0" w:gutter="0" w:footer="0" w:header="0"/>
        </w:sectPr>
      </w:pPr>
    </w:p>
    <w:bookmarkStart w:id="42" w:name="page43"/>
    <w:bookmarkEnd w:id="4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Months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09"/>
        </w:trPr>
        <w:tc>
          <w:tcPr>
            <w:tcW w:w="3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8,192,900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8,133,547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17,089,668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(3,489,849)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13,597,167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 Industrial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79,190,654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(270,230)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(7,511,387)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71,409,037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 other asset backed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52,237,241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72,673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(7,592,927)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44,715,366</w:t>
            </w:r>
          </w:p>
        </w:tc>
        <w:tc>
          <w:tcPr>
            <w:tcW w:w="1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securities (2)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180"/>
              <w:spacing w:after="0"/>
              <w:rPr>
                <w:sz w:val="20"/>
                <w:szCs w:val="20"/>
                <w:color w:val="auto"/>
              </w:rPr>
            </w:pPr>
            <w:r>
              <w:rPr>
                <w:rFonts w:ascii="Arial" w:cs="Arial" w:eastAsia="Arial" w:hAnsi="Arial"/>
                <w:sz w:val="18"/>
                <w:szCs w:val="18"/>
                <w:color w:val="auto"/>
              </w:rPr>
              <w:t>Total fixed-maturity securities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156,710,463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72,740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(333,923)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(18,594,163)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137,855,117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Cost or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87"/>
              </w:rPr>
              <w:t>Gross Unrealized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5"/>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Months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government corporations and agencies (1)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23,874,545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23,869,096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17,108,154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(2,195,273)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(1,771,494)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13,141,387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 Industrial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80,338,464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(5,796,994)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(2,458,985)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72,082,485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 other asset backed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53,597,264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58,398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(882,664)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(7,150,803)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45,622,195</w:t>
            </w:r>
          </w:p>
        </w:tc>
        <w:tc>
          <w:tcPr>
            <w:tcW w:w="1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securities (2)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ind w:left="180"/>
              <w:spacing w:after="0"/>
              <w:rPr>
                <w:sz w:val="20"/>
                <w:szCs w:val="20"/>
                <w:color w:val="auto"/>
              </w:rPr>
            </w:pPr>
            <w:r>
              <w:rPr>
                <w:rFonts w:ascii="Arial" w:cs="Arial" w:eastAsia="Arial" w:hAnsi="Arial"/>
                <w:sz w:val="18"/>
                <w:szCs w:val="18"/>
                <w:color w:val="auto"/>
              </w:rPr>
              <w:t>Total fixed-maturity securities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174,918,427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59,877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(8,881,859)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(11,381,282)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154,715,163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4"/>
        <w:spacing w:after="0" w:line="259"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October 2022, KICO placed certain U.S. Treasury securities to fulfill the required collateral for a sale leaseback transaction in a designated custodian account (see Note 7 – Debt - “Equipment Financing”). As of June 30, 2023 and December 31, 2022, the amount of required collateral was approximately $7,986,000 and $8,691,000, respectively. As of June 30, 2023 and December 31, 2022, the estimated fair value of the eligible collateral was approximately $8,134,000 and $8,691,000, respectively.</w:t>
      </w:r>
    </w:p>
    <w:p>
      <w:pPr>
        <w:spacing w:after="0" w:line="186" w:lineRule="exact"/>
        <w:rPr>
          <w:rFonts w:ascii="Arial" w:cs="Arial" w:eastAsia="Arial" w:hAnsi="Arial"/>
          <w:sz w:val="18"/>
          <w:szCs w:val="18"/>
          <w:color w:val="auto"/>
        </w:rPr>
      </w:pPr>
    </w:p>
    <w:p>
      <w:pPr>
        <w:jc w:val="both"/>
        <w:ind w:left="660" w:hanging="4"/>
        <w:spacing w:after="0" w:line="255"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June 30, 2023 and December 31, 2022, the estimated fair value of the eligible investments was approximately $11,799,000 and $12,228,000, respectively. KICO will retain all rights regarding all securities if pledged as collateral. As of June 30, 2023 and December 31, 2022 there was no outstanding balance on the FHLBNY credit 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and losses on, investments in equity securities as of June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13,583,942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(3,122,556)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10,461,386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4,402,841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268,887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(722,632)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3,949,096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17,986,783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268,887</w:t>
            </w:r>
          </w:p>
        </w:tc>
        <w:tc>
          <w:tcPr>
            <w:tcW w:w="42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(3,845,188)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14,410,482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13,583,942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(3,589,313)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9,994,629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4,502,758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158,635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(821,632)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3,839,761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r>
      <w:tr>
        <w:trPr>
          <w:trHeight w:val="97"/>
        </w:trPr>
        <w:tc>
          <w:tcPr>
            <w:tcW w:w="4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bl>
    <w:p>
      <w:pPr>
        <w:sectPr>
          <w:pgSz w:w="11900" w:h="16900" w:orient="portrait"/>
          <w:cols w:equalWidth="0" w:num="1">
            <w:col w:w="11240"/>
          </w:cols>
          <w:pgMar w:left="320" w:top="121" w:right="339" w:bottom="0" w:gutter="0" w:footer="0" w:header="0"/>
        </w:sectPr>
      </w:pPr>
    </w:p>
    <w:bookmarkStart w:id="43" w:name="page44"/>
    <w:bookmarkEnd w:id="43"/>
    <w:p>
      <w:pPr>
        <w:spacing w:after="0"/>
        <w:tabs>
          <w:tab w:leader="none" w:pos="4660" w:val="left"/>
          <w:tab w:leader="none" w:pos="4960" w:val="left"/>
          <w:tab w:leader="none" w:pos="5980" w:val="left"/>
          <w:tab w:leader="none" w:pos="6500" w:val="left"/>
          <w:tab w:leader="none" w:pos="7300" w:val="left"/>
          <w:tab w:leader="none" w:pos="7640" w:val="left"/>
          <w:tab w:leader="none" w:pos="8620" w:val="left"/>
          <w:tab w:leader="none" w:pos="8920" w:val="left"/>
          <w:tab w:leader="none" w:pos="1066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18,086,700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158,635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(4,410,945)</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13,834,390</w:t>
      </w:r>
      <w:r>
        <w:rPr>
          <w:sz w:val="20"/>
          <w:szCs w:val="20"/>
          <w:color w:val="auto"/>
        </w:rPr>
        <w:tab/>
      </w:r>
      <w:r>
        <w:rPr>
          <w:rFonts w:ascii="Arial" w:cs="Arial" w:eastAsia="Arial" w:hAnsi="Arial"/>
          <w:sz w:val="15"/>
          <w:szCs w:val="15"/>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breakdown of the cost and estimated fair value of, and gross gains on our other investments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June 30, 2023</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0"/>
              </w:rPr>
              <w:t>December 31, 2022</w:t>
            </w:r>
          </w:p>
        </w:tc>
      </w:tr>
      <w:tr>
        <w:trPr>
          <w:trHeight w:val="191"/>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8"/>
              </w:rPr>
              <w:t>Gross</w:t>
            </w:r>
          </w:p>
        </w:tc>
        <w:tc>
          <w:tcPr>
            <w:tcW w:w="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Gains</w:t>
            </w:r>
          </w:p>
        </w:tc>
        <w:tc>
          <w:tcPr>
            <w:tcW w:w="6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Fair Value</w:t>
            </w:r>
          </w:p>
        </w:tc>
      </w:tr>
      <w:tr>
        <w:trPr>
          <w:trHeight w:val="426"/>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Investments:</w:t>
            </w: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$ 1,987,040</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$ 1,562,500</w:t>
            </w:r>
          </w:p>
        </w:tc>
        <w:tc>
          <w:tcPr>
            <w:tcW w:w="10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$ 3,549,540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$ 1,987,040</w:t>
            </w:r>
          </w:p>
        </w:tc>
        <w:tc>
          <w:tcPr>
            <w:tcW w:w="11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1"/>
              </w:rPr>
              <w:t>$  784,612</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$ 2,771,652</w:t>
            </w:r>
          </w:p>
        </w:tc>
      </w:tr>
      <w:tr>
        <w:trPr>
          <w:trHeight w:val="628"/>
        </w:trPr>
        <w:tc>
          <w:tcPr>
            <w:tcW w:w="4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67</w:t>
            </w: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and estimated fair value of, and gross unrealized gains and losses on, investments in held-to-maturity securities as of June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Gross Unrealized Losses</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8"/>
                <w:szCs w:val="18"/>
                <w:color w:val="auto"/>
              </w:rPr>
            </w:pPr>
          </w:p>
        </w:tc>
      </w:tr>
      <w:tr>
        <w:trPr>
          <w:trHeight w:val="191"/>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Months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1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1,228,708</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1,220,047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498,902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498,760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03"/>
        </w:trPr>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Exchange traded debt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304,111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(62,411)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241,700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03"/>
        </w:trPr>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5,273,310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(963,148)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4,305,608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w:t>
            </w:r>
          </w:p>
        </w:tc>
      </w:tr>
      <w:tr>
        <w:trPr>
          <w:trHeight w:val="196"/>
        </w:trPr>
        <w:tc>
          <w:tcPr>
            <w:tcW w:w="3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7,305,031</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(963,148)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6,266,115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 2022</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Gross Unrealized Losses</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8"/>
                <w:szCs w:val="18"/>
                <w:color w:val="auto"/>
              </w:rPr>
            </w:pPr>
          </w:p>
        </w:tc>
      </w:tr>
      <w:tr>
        <w:trPr>
          <w:trHeight w:val="191"/>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Months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1,228,560</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1,222,883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r>
      <w:tr>
        <w:trPr>
          <w:trHeight w:val="216"/>
        </w:trPr>
        <w:tc>
          <w:tcPr>
            <w:tcW w:w="4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498,638</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500,730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4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Exchange traded debt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304,111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(29,111)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275,000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4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5,734,831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36,968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(809,746)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(360,278)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4,601,775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r>
      <w:tr>
        <w:trPr>
          <w:trHeight w:val="209"/>
        </w:trPr>
        <w:tc>
          <w:tcPr>
            <w:tcW w:w="40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7,766,140</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(872,934)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6,600,388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amortized cost and fair value of our investments in held-to-maturity securities by contractual maturity as of June 30, 2023 and December 31, 2022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20"/>
                <w:szCs w:val="20"/>
                <w:color w:val="auto"/>
              </w:rPr>
            </w:pPr>
          </w:p>
        </w:tc>
        <w:tc>
          <w:tcPr>
            <w:tcW w:w="24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110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112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Estimated</w:t>
            </w:r>
          </w:p>
        </w:tc>
      </w:tr>
      <w:tr>
        <w:trPr>
          <w:trHeight w:val="234"/>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Fair Value</w:t>
            </w:r>
          </w:p>
        </w:tc>
      </w:tr>
    </w:tbl>
    <w:p>
      <w:pPr>
        <w:sectPr>
          <w:pgSz w:w="11900" w:h="16838" w:orient="portrait"/>
          <w:cols w:equalWidth="0" w:num="1">
            <w:col w:w="11240"/>
          </w:cols>
          <w:pgMar w:left="320" w:top="125" w:right="3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249,927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249,473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708,535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743,575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One to five years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1,120,894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1,084,744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1,120,507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1,088,522</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1,408,731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1,210,185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1,402,704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1,200,720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More than 10 years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4,525,479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3,721,713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4,534,394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3,567,571</w:t>
            </w:r>
          </w:p>
        </w:tc>
      </w:tr>
      <w:tr>
        <w:trPr>
          <w:trHeight w:val="20"/>
        </w:trPr>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7,305,031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6,266,115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7,766,140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6,600,388</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June 30, 2023 and December 31, 2022 as rated by Standard &amp; Poor’s (or, if unavailable from Standard &amp; Poor’s, then Moody’s, Fitch, or Kroll):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Pr>
          <w:p>
            <w:pPr>
              <w:spacing w:after="0"/>
              <w:rPr>
                <w:sz w:val="20"/>
                <w:szCs w:val="20"/>
                <w:color w:val="auto"/>
              </w:rPr>
            </w:pPr>
          </w:p>
        </w:tc>
        <w:tc>
          <w:tcPr>
            <w:tcW w:w="24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5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Rating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8,133,548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23,869,096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AAA</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1,877,254</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1,824,478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10,066,478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9,785,908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32,050,700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31,099,075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18,070,287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16,682,159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BBB</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21,283,056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19,664,051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4,516,713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Total corporate and municipal bonds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83,347,775</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83,572,384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w w:val="93"/>
              </w:rPr>
              <w:t>Residential mortgage backed, asset backed, and other collateralized obligations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16,186,523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16,497,621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22,491,096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23,062,233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6,808,837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6,722,902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BBB+</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16,457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20,067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CCC</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435,351</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457,683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CC</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95,270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40,474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 rated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340,260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373,103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40" w:type="dxa"/>
            <w:vAlign w:val="bottom"/>
            <w:gridSpan w:val="2"/>
          </w:tcPr>
          <w:p>
            <w:pPr>
              <w:ind w:left="340"/>
              <w:spacing w:after="0" w:line="195" w:lineRule="exact"/>
              <w:rPr>
                <w:sz w:val="20"/>
                <w:szCs w:val="20"/>
                <w:color w:val="auto"/>
              </w:rPr>
            </w:pPr>
            <w:r>
              <w:rPr>
                <w:rFonts w:ascii="Arial" w:cs="Arial" w:eastAsia="Arial" w:hAnsi="Arial"/>
                <w:sz w:val="18"/>
                <w:szCs w:val="18"/>
                <w:color w:val="auto"/>
                <w:w w:val="95"/>
              </w:rPr>
              <w:t>Total residential mortgage backed, asset backed, and other collateralized</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46,373,794</w:t>
            </w:r>
          </w:p>
        </w:tc>
        <w:tc>
          <w:tcPr>
            <w:tcW w:w="220" w:type="dxa"/>
            <w:vAlign w:val="bottom"/>
            <w:vMerge w:val="restart"/>
          </w:tcPr>
          <w:p>
            <w:pPr>
              <w:spacing w:after="0"/>
              <w:rPr>
                <w:sz w:val="16"/>
                <w:szCs w:val="16"/>
                <w:color w:val="auto"/>
              </w:rPr>
            </w:pP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47,273,683</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7"/>
        </w:trPr>
        <w:tc>
          <w:tcPr>
            <w:tcW w:w="5940" w:type="dxa"/>
            <w:vAlign w:val="bottom"/>
            <w:gridSpan w:val="2"/>
          </w:tcPr>
          <w:p>
            <w:pPr>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137,855,117</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154,715,163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average yield by type of fixed-maturity security as of June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82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5"/>
              </w:rPr>
              <w:t>June 30, 2023</w:t>
            </w:r>
          </w:p>
        </w:tc>
        <w:tc>
          <w:tcPr>
            <w:tcW w:w="14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corporations and agencies</w:t>
            </w:r>
          </w:p>
        </w:tc>
        <w:tc>
          <w:tcPr>
            <w:tcW w:w="1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r>
      <w:tr>
        <w:trPr>
          <w:trHeight w:val="418"/>
        </w:trPr>
        <w:tc>
          <w:tcPr>
            <w:tcW w:w="11240" w:type="dxa"/>
            <w:vAlign w:val="bottom"/>
            <w:gridSpan w:val="10"/>
          </w:tcPr>
          <w:p>
            <w:pPr>
              <w:ind w:left="660"/>
              <w:spacing w:after="0"/>
              <w:rPr>
                <w:sz w:val="20"/>
                <w:szCs w:val="20"/>
                <w:color w:val="auto"/>
              </w:rPr>
            </w:pPr>
            <w:r>
              <w:rPr>
                <w:rFonts w:ascii="Arial" w:cs="Arial" w:eastAsia="Arial" w:hAnsi="Arial"/>
                <w:sz w:val="18"/>
                <w:szCs w:val="18"/>
                <w:color w:val="auto"/>
                <w:w w:val="95"/>
              </w:rPr>
              <w:t>The table below lists the weighted average maturity and effective duration in years on our fixed-maturity securities as of June 30, 2023 and</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December 31,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18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78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18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78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18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240"/>
          </w:cols>
          <w:pgMar w:left="320" w:top="356" w:right="339" w:bottom="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2023 and December 31, 2022, 62% and 65%, respectively, of the investment portfolio recorded at fair value was priced based upon quoted market prices.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June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8"/>
                <w:szCs w:val="18"/>
                <w:b w:val="1"/>
                <w:bCs w:val="1"/>
                <w:color w:val="auto"/>
              </w:rPr>
              <w:t>June 30, 2023</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10"/>
          </w:tcPr>
          <w:p>
            <w:pPr>
              <w:jc w:val="right"/>
              <w:ind w:right="90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9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Fair</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Held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28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U.S. Treasury securities and</w:t>
            </w:r>
          </w:p>
        </w:tc>
        <w:tc>
          <w:tcPr>
            <w:tcW w:w="10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U.S.</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government corporations and</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5,927,580</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(59,420)</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5,927,580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(59,420)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w:t>
            </w:r>
          </w:p>
        </w:tc>
        <w:tc>
          <w:tcPr>
            <w:tcW w:w="10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Possessions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148,703</w:t>
            </w: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(2,652)</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13,448,464</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(3,489,849)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13,597,167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(3,492,501)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10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industrial and miscellaneous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6,860,908</w:t>
            </w: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(270,230)</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64,548,129</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(7,511,387)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71,409,037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(7,781,617)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w:t>
            </w:r>
          </w:p>
        </w:tc>
        <w:tc>
          <w:tcPr>
            <w:tcW w:w="10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101,701</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(1,621)</w:t>
            </w: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41,865,274</w:t>
            </w:r>
          </w:p>
        </w:tc>
        <w:tc>
          <w:tcPr>
            <w:tcW w:w="2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(7,592,927)</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41,966,975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(7,594,548)</w:t>
            </w:r>
          </w:p>
        </w:tc>
        <w:tc>
          <w:tcPr>
            <w:tcW w:w="0" w:type="dxa"/>
            <w:vAlign w:val="bottom"/>
          </w:tcPr>
          <w:p>
            <w:pPr>
              <w:spacing w:after="0"/>
              <w:rPr>
                <w:sz w:val="1"/>
                <w:szCs w:val="1"/>
                <w:color w:val="auto"/>
              </w:rPr>
            </w:pPr>
          </w:p>
        </w:tc>
      </w:tr>
      <w:tr>
        <w:trPr>
          <w:trHeight w:val="217"/>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other asset backed securities</w:t>
            </w: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Total fixed-maturity securities</w:t>
            </w:r>
          </w:p>
        </w:tc>
        <w:tc>
          <w:tcPr>
            <w:tcW w:w="100" w:type="dxa"/>
            <w:vAlign w:val="bottom"/>
            <w:tcBorders>
              <w:right w:val="single" w:sz="8" w:color="CCEEFF"/>
            </w:tcBorders>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$ 13,038,892</w:t>
            </w:r>
          </w:p>
        </w:tc>
        <w:tc>
          <w:tcPr>
            <w:tcW w:w="8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  (333,923)</w:t>
            </w:r>
          </w:p>
        </w:tc>
        <w:tc>
          <w:tcPr>
            <w:tcW w:w="12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$ 119,861,867</w:t>
            </w: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(18,594,163)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132,900,759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(18,928,086)</w:t>
            </w:r>
          </w:p>
        </w:tc>
        <w:tc>
          <w:tcPr>
            <w:tcW w:w="0" w:type="dxa"/>
            <w:vAlign w:val="bottom"/>
          </w:tcPr>
          <w:p>
            <w:pPr>
              <w:spacing w:after="0"/>
              <w:rPr>
                <w:sz w:val="1"/>
                <w:szCs w:val="1"/>
                <w:color w:val="auto"/>
              </w:rPr>
            </w:pPr>
          </w:p>
        </w:tc>
      </w:tr>
      <w:tr>
        <w:trPr>
          <w:trHeight w:val="629"/>
        </w:trPr>
        <w:tc>
          <w:tcPr>
            <w:tcW w:w="12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w w:val="99"/>
              </w:rPr>
              <w:t>71</w:t>
            </w:r>
          </w:p>
        </w:tc>
        <w:tc>
          <w:tcPr>
            <w:tcW w:w="2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28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rPr>
              <w:t>December 31, 2022</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88"/>
              </w:rPr>
              <w:t>Less than 12 months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12 months or more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6"/>
                <w:szCs w:val="16"/>
                <w:color w:val="auto"/>
              </w:rPr>
            </w:pPr>
          </w:p>
        </w:tc>
        <w:tc>
          <w:tcPr>
            <w:tcW w:w="11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Estimated</w:t>
            </w: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Losses</w:t>
            </w:r>
          </w:p>
        </w:tc>
        <w:tc>
          <w:tcPr>
            <w:tcW w:w="100" w:type="dxa"/>
            <w:vAlign w:val="bottom"/>
          </w:tcPr>
          <w:p>
            <w:pPr>
              <w:spacing w:after="0"/>
              <w:rPr>
                <w:sz w:val="20"/>
                <w:szCs w:val="2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426"/>
        </w:trPr>
        <w:tc>
          <w:tcPr>
            <w:tcW w:w="22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U.S. Treasury securities and</w:t>
            </w:r>
          </w:p>
        </w:tc>
        <w:tc>
          <w:tcPr>
            <w:tcW w:w="10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obligations of U.S. government</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$ 18,918,196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(6,928)</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18,918,196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Political subdivisions of States,</w:t>
            </w:r>
          </w:p>
        </w:tc>
        <w:tc>
          <w:tcPr>
            <w:tcW w:w="10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7,970,633</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(2,195,273)</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5,170,753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(1,771,494)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13,141,386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(3,966,767)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10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industrial and miscellaneous</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56,910,104</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(5,796,994)</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15,172,381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(2,458,985)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72,082,485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(8,255,979)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89"/>
              </w:rPr>
              <w:t>Residential mortgage and other</w:t>
            </w:r>
          </w:p>
        </w:tc>
        <w:tc>
          <w:tcPr>
            <w:tcW w:w="100" w:type="dxa"/>
            <w:vAlign w:val="bottom"/>
            <w:tcBorders>
              <w:right w:val="single" w:sz="8" w:color="CCEEFF"/>
            </w:tcBorders>
            <w:vMerge w:val="restart"/>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10,145,880</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(882,664)</w:t>
            </w:r>
          </w:p>
        </w:tc>
        <w:tc>
          <w:tcPr>
            <w:tcW w:w="98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8"/>
              </w:rPr>
              <w:t>34,753,178</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(7,150,803)</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44,899,058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(8,033,467)</w:t>
            </w:r>
          </w:p>
        </w:tc>
        <w:tc>
          <w:tcPr>
            <w:tcW w:w="0" w:type="dxa"/>
            <w:vAlign w:val="bottom"/>
          </w:tcPr>
          <w:p>
            <w:pPr>
              <w:spacing w:after="0"/>
              <w:rPr>
                <w:sz w:val="1"/>
                <w:szCs w:val="1"/>
                <w:color w:val="auto"/>
              </w:rPr>
            </w:pPr>
          </w:p>
        </w:tc>
      </w:tr>
      <w:tr>
        <w:trPr>
          <w:trHeight w:val="217"/>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980" w:type="dxa"/>
            <w:vAlign w:val="bottom"/>
            <w:tcBorders>
              <w:right w:val="single" w:sz="8" w:color="CCEEFF"/>
            </w:tcBorders>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Total fixed-maturity securities</w:t>
            </w:r>
          </w:p>
        </w:tc>
        <w:tc>
          <w:tcPr>
            <w:tcW w:w="100" w:type="dxa"/>
            <w:vAlign w:val="bottom"/>
            <w:tcBorders>
              <w:right w:val="single" w:sz="8" w:color="CCEEFF"/>
            </w:tcBorders>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$ 93,944,813</w:t>
            </w:r>
          </w:p>
        </w:tc>
        <w:tc>
          <w:tcPr>
            <w:tcW w:w="11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8"/>
              </w:rPr>
              <w:t>$ (8,881,859)</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5"/>
              </w:rPr>
              <w:t>$ 55,096,312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(11,381,282)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149,041,125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(20,263,141)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w w:val="99"/>
              </w:rPr>
              <w:t>72</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10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5" w:gutter="0" w:footer="0" w:header="0"/>
        </w:sectPr>
      </w:pPr>
    </w:p>
    <w:bookmarkStart w:id="46" w:name="page47"/>
    <w:bookmarkEnd w:id="46"/>
    <w:p>
      <w:pPr>
        <w:spacing w:after="0" w:line="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were 146 securities at June 30, 2023 that accounted for the gross unrealized loss of our fixed-maturity securities available-for-sale, none of which were deemed to be credit losses by us. There were 155 securities at December 31, 2022 that accounted for the gross unrealized loss of our fixed-maturity securities available-for-sale, none of which were deemed to be credit losses by us.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source of cash flow for our holding company are dividends received from KICO, which are subject to statutory restrictions. For the six months ended June 30, 2023, KICO paid a dividend of $1,250,000 to us. As of June 30, 2023, KICO had a negative unassigned surplus and currently will not be able to pay any distributions to us without prior regulatory approval.</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March 31, 2023, and are due and payable within 90 days of borrowing. The maximum allowable advance as of June 30, 2023, based on the net admitted assets as of March 31, 2023, was approximately $13,268,000. Available collateral as of June 30, 2023 was approximately $11,799,000. Advances are limited to 85% of the amount of available collateral. There were no borrowings under this facility during the six months ended June 30, 2023.</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15, 2022, we issued $19,950,000 of our 2022 Notes pursuant to the Exchange Agreement. We are required to make a mandatory redemption payment with regard to the 2022 Notes on December 30, 2023 in an amount discussed in Note 7 – Debt of the condensed consolidated financial statements included in this Quarterly Report. We are also required to make semi-annual interest payments in arrears on June 30 and December 30 of each year, commencing on June 30, 2023. The maturity date of the 2022 Notes is December 30, 2024.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Six Months ended June 30,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8"/>
                <w:szCs w:val="18"/>
                <w:color w:val="auto"/>
              </w:rPr>
              <w:t>Cash flows (used in) provided by: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(17,009,995)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(13,716,630)</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17,890,127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3,857,225</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(551,936)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(1,231,065)</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328,196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(11,090,470)</w:t>
            </w:r>
          </w:p>
        </w:tc>
      </w:tr>
      <w:tr>
        <w:trPr>
          <w:trHeight w:val="216"/>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11,958,228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24,290,598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12,286,424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13,200,128</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07"/>
        <w:spacing w:after="0" w:line="293" w:lineRule="auto"/>
        <w:rPr>
          <w:sz w:val="20"/>
          <w:szCs w:val="20"/>
          <w:color w:val="auto"/>
        </w:rPr>
      </w:pPr>
      <w:r>
        <w:rPr>
          <w:rFonts w:ascii="Arial" w:cs="Arial" w:eastAsia="Arial" w:hAnsi="Arial"/>
          <w:sz w:val="16"/>
          <w:szCs w:val="16"/>
          <w:color w:val="auto"/>
        </w:rPr>
        <w:t>Net cash used in operating activities was $17,010,000 in Six Months 2023 as compared to $13,717,000 used in operating activities in Six Months 2022. The $3,293,000 increase in cash flows used in operating activities in Six Months 2023 as compared to Six Months 2022 was primarily the result of an increase in cash arising from net fluctuations in operating assets and liabilities, partially offset by net income (adjusted for non-cash items) of $412,000. The increase in cash used in operating activities is also partially offset by the payment of $13,245,000 to reinsurers in Six Months 2022 pursuant to the inception of our quota share reinsurance treaty, effective December 31, 2021. The net fluctuations in assets and liabilities are related to operating activities of KICO as affected by growth or declines in its operations, payments on claims and other changes, which are described above.</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investing activities was $17,890,000 in Six Months 2023 compared to $3,857,000 provided by investing activities in Six Months 2022 resulting in a $14,033,000 increase in net cash provided by investing activities. In Six Months 2023, we had net cash provided by our investment portfolio of $18,789,000, compared to $6,398,000 used in Six Months 2022. In addition, we decreased our acquisition of fixed assets by $1,642,000 in Six Months 2023 compared to Six Months 2022.</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cash used in financing activities was $552,000 in Six Months 2023 compared to $1,231,000 used in Six Months 2022. The $679,000 decrease in net cash used in financing activities was attributable to no dividends being paid to shareholders in Six Months 2023 compared to $851,000 being paid in Six Months 2022 and a $378,000 decrease in withholding taxes paid on the vesting of restricted stock awards. The decreases in cash used in financing activities were partially offset by $536,000 of principal payments on the equipment financing in connection with KICO’s sale-leaseback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December 31, 2021, we entered into a quota share reinsurance treaty for our personal lines business, which primarily consists of homeowners’ and dwelling fire policies,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w:t>
      </w:r>
    </w:p>
    <w:p>
      <w:pPr>
        <w:sectPr>
          <w:pgSz w:w="11900" w:h="16852" w:orient="portrait"/>
          <w:cols w:equalWidth="0" w:num="1">
            <w:col w:w="11240"/>
          </w:cols>
          <w:pgMar w:left="320" w:top="125" w:right="339" w:bottom="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entered into new excess of loss and catastrophe reinsurance treaties effective July 1, 2023. Effective January 1, 2022, we entered into an underlying excess of loss reinsurance treaty (“Underlying XOL Treaty”) covering the period from January 1, 2022 through January 1, 2023. The Underlying XOL Treaty provides 50% reinsurance coverage for losses of $400,000 in excess of $600,000. Losses from named storms are excluded from the Underlying XOL Treaty. Effective January 1, 2023, the Underlying XOL Treaty was renewed covering the period from January 1, 2023 through January 1, 2024. Material terms for our reinsurance treaties in effect for the treaty years shown below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3"/>
              </w:rPr>
              <w:t>Treaty Period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January 2,</w:t>
            </w:r>
          </w:p>
        </w:tc>
        <w:tc>
          <w:tcPr>
            <w:tcW w:w="100" w:type="dxa"/>
            <w:vAlign w:val="bottom"/>
          </w:tcPr>
          <w:p>
            <w:pPr>
              <w:spacing w:after="0"/>
              <w:rPr>
                <w:sz w:val="18"/>
                <w:szCs w:val="18"/>
                <w:color w:val="auto"/>
              </w:rPr>
            </w:pPr>
          </w:p>
        </w:tc>
        <w:tc>
          <w:tcPr>
            <w:tcW w:w="26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2023/2024 Treaty</w:t>
            </w:r>
          </w:p>
        </w:tc>
        <w:tc>
          <w:tcPr>
            <w:tcW w:w="100" w:type="dxa"/>
            <w:vAlign w:val="bottom"/>
          </w:tcPr>
          <w:p>
            <w:pPr>
              <w:spacing w:after="0"/>
              <w:rPr>
                <w:sz w:val="18"/>
                <w:szCs w:val="18"/>
                <w:color w:val="auto"/>
              </w:rPr>
            </w:pPr>
          </w:p>
        </w:tc>
        <w:tc>
          <w:tcPr>
            <w:tcW w:w="23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2021/2023 Treaty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July 1,</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January 1,</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July 1,</w:t>
            </w:r>
          </w:p>
        </w:tc>
        <w:tc>
          <w:tcPr>
            <w:tcW w:w="11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January 1,</w:t>
            </w:r>
          </w:p>
        </w:tc>
        <w:tc>
          <w:tcPr>
            <w:tcW w:w="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52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4"/>
          </w:tcPr>
          <w:p>
            <w:pPr>
              <w:spacing w:after="0"/>
              <w:rPr>
                <w:sz w:val="20"/>
                <w:szCs w:val="20"/>
                <w:color w:val="auto"/>
              </w:rPr>
            </w:pPr>
            <w:r>
              <w:rPr>
                <w:rFonts w:ascii="Arial" w:cs="Arial" w:eastAsia="Arial" w:hAnsi="Arial"/>
                <w:sz w:val="18"/>
                <w:szCs w:val="18"/>
                <w:color w:val="auto"/>
                <w:w w:val="97"/>
              </w:rPr>
              <w:t>Homeowners, dwelling fire and canine legal liability Quota</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4"/>
          </w:tcPr>
          <w:p>
            <w:pPr>
              <w:spacing w:after="0"/>
              <w:rPr>
                <w:sz w:val="20"/>
                <w:szCs w:val="20"/>
                <w:color w:val="auto"/>
              </w:rPr>
            </w:pPr>
            <w:r>
              <w:rPr>
                <w:rFonts w:ascii="Arial" w:cs="Arial" w:eastAsia="Arial" w:hAnsi="Arial"/>
                <w:sz w:val="18"/>
                <w:szCs w:val="18"/>
                <w:color w:val="auto"/>
              </w:rPr>
              <w:t>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Percent ceded (7)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Risk retained on initial $1,000,000 of losses (5) (6) (7)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02"/>
        </w:trPr>
        <w:tc>
          <w:tcPr>
            <w:tcW w:w="452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3"/>
              </w:rPr>
              <w:t>Losses per occurrence subject to quota share reinsurance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4"/>
          </w:tcPr>
          <w:p>
            <w:pPr>
              <w:spacing w:after="0"/>
              <w:rPr>
                <w:sz w:val="20"/>
                <w:szCs w:val="20"/>
                <w:color w:val="auto"/>
              </w:rPr>
            </w:pPr>
            <w:r>
              <w:rPr>
                <w:rFonts w:ascii="Arial" w:cs="Arial" w:eastAsia="Arial" w:hAnsi="Arial"/>
                <w:sz w:val="18"/>
                <w:szCs w:val="18"/>
                <w:color w:val="auto"/>
              </w:rPr>
              <w:t>coverage</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2"/>
        </w:trPr>
        <w:tc>
          <w:tcPr>
            <w:tcW w:w="4520" w:type="dxa"/>
            <w:vAlign w:val="bottom"/>
            <w:gridSpan w:val="4"/>
            <w:shd w:val="clear" w:color="auto" w:fill="CCEEFF"/>
          </w:tcPr>
          <w:p>
            <w:pPr>
              <w:ind w:left="440"/>
              <w:spacing w:after="0" w:line="201" w:lineRule="exact"/>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January 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January 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January 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January 1,</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2"/>
        </w:trPr>
        <w:tc>
          <w:tcPr>
            <w:tcW w:w="452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6"/>
              </w:rPr>
              <w:t>Excess of loss coverage and facultative facility coverage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 (5) (6)</w:t>
            </w: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8,400,000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in excess of</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4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reinsurance coverage per occurrence (5) (6)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16"/>
        </w:trPr>
        <w:tc>
          <w:tcPr>
            <w:tcW w:w="4520" w:type="dxa"/>
            <w:vAlign w:val="bottom"/>
            <w:gridSpan w:val="4"/>
          </w:tcPr>
          <w:p>
            <w:pPr>
              <w:ind w:left="160"/>
              <w:spacing w:after="0"/>
              <w:rPr>
                <w:sz w:val="20"/>
                <w:szCs w:val="20"/>
                <w:color w:val="auto"/>
              </w:rPr>
            </w:pPr>
            <w:r>
              <w:rPr>
                <w:rFonts w:ascii="Arial" w:cs="Arial" w:eastAsia="Arial" w:hAnsi="Arial"/>
                <w:sz w:val="18"/>
                <w:szCs w:val="18"/>
                <w:color w:val="auto"/>
                <w:w w:val="98"/>
              </w:rPr>
              <w:t>Losses per occurrence subject to reinsurance coverage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4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Expiration date (6)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June 30, 2024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June 30, 2024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June 30, 2023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June 30, 2023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June 30, 2022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Catastrophe Reinsurance:</w:t>
            </w:r>
          </w:p>
        </w:tc>
        <w:tc>
          <w:tcPr>
            <w:tcW w:w="26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4"/>
          </w:tcPr>
          <w:p>
            <w:pPr>
              <w:ind w:left="160"/>
              <w:spacing w:after="0"/>
              <w:rPr>
                <w:sz w:val="20"/>
                <w:szCs w:val="20"/>
                <w:color w:val="auto"/>
              </w:rPr>
            </w:pPr>
            <w:r>
              <w:rPr>
                <w:rFonts w:ascii="Arial" w:cs="Arial" w:eastAsia="Arial" w:hAnsi="Arial"/>
                <w:sz w:val="18"/>
                <w:szCs w:val="18"/>
                <w:color w:val="auto"/>
                <w:w w:val="95"/>
              </w:rPr>
              <w:t>Initial loss subject to personal lines quota share treaty (6)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4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Risk retained per catastrophe occurrence (6) (7) (8)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7,400,000</w:t>
            </w:r>
          </w:p>
        </w:tc>
        <w:tc>
          <w:tcPr>
            <w:tcW w:w="0" w:type="dxa"/>
            <w:vAlign w:val="bottom"/>
          </w:tcPr>
          <w:p>
            <w:pPr>
              <w:spacing w:after="0"/>
              <w:rPr>
                <w:sz w:val="1"/>
                <w:szCs w:val="1"/>
                <w:color w:val="auto"/>
              </w:rPr>
            </w:pPr>
          </w:p>
        </w:tc>
      </w:tr>
      <w:tr>
        <w:trPr>
          <w:trHeight w:val="202"/>
        </w:trPr>
        <w:tc>
          <w:tcPr>
            <w:tcW w:w="452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Catastrophe loss coverage in excess of quota share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4"/>
          </w:tcPr>
          <w:p>
            <w:pPr>
              <w:spacing w:after="0"/>
              <w:rPr>
                <w:sz w:val="20"/>
                <w:szCs w:val="20"/>
                <w:color w:val="auto"/>
              </w:rPr>
            </w:pPr>
            <w:r>
              <w:rPr>
                <w:rFonts w:ascii="Arial" w:cs="Arial" w:eastAsia="Arial" w:hAnsi="Arial"/>
                <w:sz w:val="18"/>
                <w:szCs w:val="18"/>
                <w:color w:val="auto"/>
              </w:rPr>
              <w:t>coverage (2) (6)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315,000,000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315,000,000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335,000,000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335,000,000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490,000,000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4"/>
          </w:tcPr>
          <w:p>
            <w:pPr>
              <w:ind w:left="160"/>
              <w:spacing w:after="0"/>
              <w:rPr>
                <w:sz w:val="20"/>
                <w:szCs w:val="20"/>
                <w:color w:val="auto"/>
              </w:rPr>
            </w:pPr>
            <w:r>
              <w:rPr>
                <w:rFonts w:ascii="Arial" w:cs="Arial" w:eastAsia="Arial" w:hAnsi="Arial"/>
                <w:sz w:val="18"/>
                <w:szCs w:val="18"/>
                <w:color w:val="auto"/>
              </w:rPr>
              <w:t>Reinstatement premium protection (3) (4)</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20" w:hanging="452"/>
        <w:spacing w:after="0" w:line="25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2024.</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ind w:lef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period December 31, 2021 through June 30, 2022, reinstatement premium protection for $70,000,000 of catastrophe coverage in excess of $10,000,000.</w:t>
      </w:r>
    </w:p>
    <w:p>
      <w:pPr>
        <w:jc w:val="both"/>
        <w:ind w:left="46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period July 1, 2022 through June 30, 2023, reinstatement premium protection for $9,800,000 of catastrophe coverage in excess of $10,000,000. For the period July 1, 2023 through June 30, 2024, reinstatement premium protection for $12,500,000 of catastrophe coverage in excess of $10,000,000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left="460" w:right="20" w:hanging="452"/>
        <w:spacing w:after="0" w:line="255"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period January 1, 2022 through January 1, 2024, underlying excess of loss treaty provides 50% reinsurance coverage for losses of $400,000 in excess of $600,000. Reduces retention to $500,000 from $700,000 under the 2021/2023 Treaty and 2022/2023 Treaty. Excludes losses from named storms.</w:t>
      </w:r>
    </w:p>
    <w:p>
      <w:pPr>
        <w:spacing w:after="0" w:line="2"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Personal lines quota share (homeowners, dwelling fire and canine liability) and underlying excess of loss reinsurance will expire on January 1, 2024; reinsurance coverage in effect from January 2, 2024 through June 30, 2024 is only for excess of loss and catastrophe reinsurance treaties.</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 For the 2023/2024 Treaty, 17.5% of the 30% total of losses ceded under this treaty are excluded from a named catastrophe event.</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Treaty Year</w:t>
            </w:r>
          </w:p>
        </w:tc>
      </w:tr>
      <w:tr>
        <w:trPr>
          <w:trHeight w:val="191"/>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July 1, 2022</w:t>
            </w:r>
          </w:p>
        </w:tc>
        <w:tc>
          <w:tcPr>
            <w:tcW w:w="28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July 1, 2021</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to</w:t>
            </w: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 2023</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 2022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Personal Lines:</w:t>
      </w:r>
    </w:p>
    <w:p>
      <w:pPr>
        <w:sectPr>
          <w:pgSz w:w="11900" w:h="16838" w:orient="portrait"/>
          <w:cols w:equalWidth="0" w:num="1">
            <w:col w:w="11240"/>
          </w:cols>
          <w:pgMar w:left="320" w:top="557" w:right="33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Personal Umbrella</w:t>
            </w: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Quota share treaty:</w:t>
            </w:r>
          </w:p>
        </w:tc>
        <w:tc>
          <w:tcPr>
            <w:tcW w:w="1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6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Percent ceded - first $1,000,000 of coverage</w:t>
            </w:r>
          </w:p>
        </w:tc>
        <w:tc>
          <w:tcPr>
            <w:tcW w:w="1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940" w:type="dxa"/>
            <w:vAlign w:val="bottom"/>
          </w:tcPr>
          <w:p>
            <w:pPr>
              <w:ind w:left="500"/>
              <w:spacing w:after="0"/>
              <w:rPr>
                <w:sz w:val="20"/>
                <w:szCs w:val="20"/>
                <w:color w:val="auto"/>
              </w:rPr>
            </w:pPr>
            <w:r>
              <w:rPr>
                <w:rFonts w:ascii="Arial" w:cs="Arial" w:eastAsia="Arial" w:hAnsi="Arial"/>
                <w:sz w:val="18"/>
                <w:szCs w:val="18"/>
                <w:color w:val="auto"/>
              </w:rPr>
              <w:t>Percent ceded - excess of $1,000,000 dollars of coverage</w:t>
            </w:r>
          </w:p>
        </w:tc>
        <w:tc>
          <w:tcPr>
            <w:tcW w:w="1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6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Risk retained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300,000</w:t>
            </w:r>
          </w:p>
        </w:tc>
      </w:tr>
      <w:tr>
        <w:trPr>
          <w:trHeight w:val="216"/>
        </w:trPr>
        <w:tc>
          <w:tcPr>
            <w:tcW w:w="6940" w:type="dxa"/>
            <w:vAlign w:val="bottom"/>
          </w:tcPr>
          <w:p>
            <w:pPr>
              <w:ind w:left="500"/>
              <w:spacing w:after="0"/>
              <w:rPr>
                <w:sz w:val="20"/>
                <w:szCs w:val="20"/>
                <w:color w:val="auto"/>
              </w:rPr>
            </w:pPr>
            <w:r>
              <w:rPr>
                <w:rFonts w:ascii="Arial" w:cs="Arial" w:eastAsia="Arial" w:hAnsi="Arial"/>
                <w:sz w:val="18"/>
                <w:szCs w:val="18"/>
                <w:color w:val="auto"/>
              </w:rPr>
              <w:t>Total reinsurance coverage per occurrence</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4,700,000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4,700,000</w:t>
            </w:r>
          </w:p>
        </w:tc>
      </w:tr>
      <w:tr>
        <w:trPr>
          <w:trHeight w:val="216"/>
        </w:trPr>
        <w:tc>
          <w:tcPr>
            <w:tcW w:w="6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5,000,000</w:t>
            </w: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Expiration date</w:t>
            </w:r>
          </w:p>
        </w:tc>
        <w:tc>
          <w:tcPr>
            <w:tcW w:w="176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w w:val="85"/>
              </w:rPr>
              <w:t>June 30, 2023</w:t>
            </w:r>
          </w:p>
        </w:tc>
        <w:tc>
          <w:tcPr>
            <w:tcW w:w="1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87"/>
              </w:rPr>
              <w:t>June 30, 2022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Lines (1)</w:t>
      </w:r>
    </w:p>
    <w:p>
      <w:pPr>
        <w:spacing w:after="0" w:line="22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Coverage on all commercial lines policies expired in September 2020; reinsurance coverage is based on treaties in effect on the date of loss.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71" w:lineRule="exact"/>
        <w:rPr>
          <w:sz w:val="20"/>
          <w:szCs w:val="20"/>
          <w:color w:val="auto"/>
        </w:rPr>
      </w:pPr>
    </w:p>
    <w:p>
      <w:pPr>
        <w:jc w:val="both"/>
        <w:ind w:firstLine="609"/>
        <w:spacing w:after="0" w:line="27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Six Months 2023 included continuing economic inflation, which resulted in a sustained increase in interest rates, a widening of credit spreads, lower public equity valuations, and significant financial market volatility. The higher interest rates and widening of credit spreads previously reduced the value of our fixed income securities, saw a reversal which had previously lowered our stockholders’ equity materially in prior quarters. For Six Months 2023, the continuing economic inflation impacted our loss and loss adjustment expenses as well; should these trends continue in the near-term, it would in all likelihood negatively impact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595"/>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702"/>
        <w:spacing w:after="0" w:line="275" w:lineRule="auto"/>
        <w:rPr>
          <w:sz w:val="20"/>
          <w:szCs w:val="20"/>
          <w:color w:val="auto"/>
        </w:rPr>
      </w:pPr>
      <w:r>
        <w:rPr>
          <w:rFonts w:ascii="Arial" w:cs="Arial" w:eastAsia="Arial" w:hAnsi="Arial"/>
          <w:sz w:val="17"/>
          <w:szCs w:val="17"/>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 This action has led, and may continue to lead, to a slowdown in premium growth, particularly in new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June 30, 2023,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June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ectPr>
          <w:pgSz w:w="11900" w:h="16838" w:orient="portrait"/>
          <w:cols w:equalWidth="0" w:num="1">
            <w:col w:w="11240"/>
          </w:cols>
          <w:pgMar w:left="320" w:top="125" w:right="339" w:bottom="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Inherent Limitation on Effectiveness of Controls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2" w:lineRule="exact"/>
        <w:rPr>
          <w:sz w:val="20"/>
          <w:szCs w:val="20"/>
          <w:color w:val="auto"/>
        </w:rPr>
      </w:pPr>
    </w:p>
    <w:p>
      <w:pPr>
        <w:jc w:val="both"/>
        <w:ind w:firstLine="8"/>
        <w:spacing w:after="0" w:line="295" w:lineRule="auto"/>
        <w:tabs>
          <w:tab w:leader="none" w:pos="2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1" w:lineRule="exact"/>
        <w:rPr>
          <w:sz w:val="20"/>
          <w:szCs w:val="20"/>
          <w:color w:val="auto"/>
        </w:rPr>
      </w:pPr>
    </w:p>
    <w:p>
      <w:pPr>
        <w:jc w:val="both"/>
        <w:ind w:firstLine="74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a discussion of the Company’s potential risks and uncertainties, see Part I, Item 1A— “Risk Factors” and Part II, Item 7— “Management’s Discussion and Analysis of Financial Condition and Results of Operations” in the Company’s 2022 Annual Report filed with the SEC, and Part I, Item 2 —“Management’s Discussion and Analysis of Financial Condition and Results of Operations” herein, in each case as updated by the Company's periodic filings with the SEC. There have been no material changes to the risk factors disclosed in Part I, Item 1A of the Company’s 2022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ind w:left="900" w:hanging="240"/>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20" w:hanging="260"/>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0"/>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u w:val="single" w:color="auto"/>
          <w:color w:val="auto"/>
        </w:rPr>
        <w:t>Mine Safety Disclosures</w:t>
      </w:r>
      <w:r>
        <w:rPr>
          <w:rFonts w:ascii="Arial" w:cs="Arial" w:eastAsia="Arial" w:hAnsi="Arial"/>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gridSpan w:val="2"/>
            <w:shd w:val="clear" w:color="auto" w:fill="CCEEFF"/>
          </w:tcPr>
          <w:p>
            <w:pPr>
              <w:spacing w:after="0"/>
              <w:rPr>
                <w:rFonts w:ascii="Arial" w:cs="Arial" w:eastAsia="Arial" w:hAnsi="Arial"/>
                <w:sz w:val="18"/>
                <w:szCs w:val="18"/>
                <w:color w:val="0000EE"/>
                <w:w w:val="87"/>
              </w:rPr>
            </w:pPr>
            <w:hyperlink r:id="rId103">
              <w:r>
                <w:rPr>
                  <w:rFonts w:ascii="Arial" w:cs="Arial" w:eastAsia="Arial" w:hAnsi="Arial"/>
                  <w:sz w:val="18"/>
                  <w:szCs w:val="18"/>
                  <w:color w:val="0000EE"/>
                  <w:w w:val="87"/>
                </w:rPr>
                <w:t>3(a)</w:t>
              </w:r>
            </w:hyperlink>
          </w:p>
        </w:tc>
        <w:tc>
          <w:tcPr>
            <w:tcW w:w="700" w:type="dxa"/>
            <w:vAlign w:val="bottom"/>
            <w:gridSpan w:val="4"/>
            <w:shd w:val="clear" w:color="auto" w:fill="CCEEFF"/>
          </w:tcPr>
          <w:p>
            <w:pPr>
              <w:spacing w:after="0"/>
              <w:rPr>
                <w:sz w:val="18"/>
                <w:szCs w:val="18"/>
                <w:color w:val="auto"/>
              </w:rPr>
            </w:pPr>
          </w:p>
        </w:tc>
        <w:tc>
          <w:tcPr>
            <w:tcW w:w="10240" w:type="dxa"/>
            <w:vAlign w:val="bottom"/>
            <w:gridSpan w:val="9"/>
            <w:shd w:val="clear" w:color="auto" w:fill="CCEEFF"/>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Restated Certificate of Incorporation, as amended (incorporated by reference to Exhibit 3(a) to the Company’s Quarterly Report on Form 10-</w:t>
              </w:r>
            </w:hyperlink>
          </w:p>
        </w:tc>
      </w:tr>
      <w:tr>
        <w:trPr>
          <w:trHeight w:val="216"/>
        </w:trPr>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Q for the period ended March 31, 2014 filed on May 15, 2014).</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6"/>
            <w:shd w:val="clear" w:color="auto" w:fill="CCEEFF"/>
          </w:tcPr>
          <w:p>
            <w:pPr>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3(b)</w:t>
              </w:r>
            </w:hyperlink>
          </w:p>
        </w:tc>
        <w:tc>
          <w:tcPr>
            <w:tcW w:w="10240" w:type="dxa"/>
            <w:vAlign w:val="bottom"/>
            <w:gridSpan w:val="9"/>
            <w:shd w:val="clear" w:color="auto" w:fill="CCEEFF"/>
          </w:tcPr>
          <w:p>
            <w:pPr>
              <w:spacing w:after="0" w:line="17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By-laws, as amended (incorporated by reference to Exhibit 3.1 to the Company’s Current Report on Form 8-K filed on November 9, 2009).</w:t>
              </w:r>
            </w:hyperlink>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5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10 (a)</w:t>
            </w:r>
          </w:p>
        </w:tc>
        <w:tc>
          <w:tcPr>
            <w:tcW w:w="102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w w:val="94"/>
              </w:rPr>
              <w:t>Amendment No. 1, dated as of August 9, 2023, to the Third Amended and Restated Employment Agreement between the Company and</w:t>
            </w:r>
          </w:p>
        </w:tc>
      </w:tr>
      <w:tr>
        <w:trPr>
          <w:trHeight w:val="217"/>
        </w:trPr>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240" w:type="dxa"/>
            <w:vAlign w:val="bottom"/>
            <w:tcBorders>
              <w:top w:val="single" w:sz="8" w:color="0000EE"/>
            </w:tcBorders>
            <w:gridSpan w:val="9"/>
            <w:shd w:val="clear" w:color="auto" w:fill="CCEEFF"/>
          </w:tcPr>
          <w:p>
            <w:pPr>
              <w:spacing w:after="0" w:line="196" w:lineRule="exact"/>
              <w:rPr>
                <w:sz w:val="20"/>
                <w:szCs w:val="20"/>
                <w:color w:val="auto"/>
              </w:rPr>
            </w:pPr>
            <w:r>
              <w:rPr>
                <w:rFonts w:ascii="Arial" w:cs="Arial" w:eastAsia="Arial" w:hAnsi="Arial"/>
                <w:sz w:val="18"/>
                <w:szCs w:val="18"/>
                <w:color w:val="0000EE"/>
              </w:rPr>
              <w:t>Barry B. Goldstein.</w:t>
            </w:r>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10 (b)</w:t>
            </w:r>
          </w:p>
        </w:tc>
        <w:tc>
          <w:tcPr>
            <w:tcW w:w="102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w w:val="92"/>
              </w:rPr>
              <w:t>Amendment No. 2, dated as of August 9, 2023, to the Third Amended and Restated Employment Agreement between Kingstone Insurance</w:t>
            </w:r>
          </w:p>
        </w:tc>
      </w:tr>
      <w:tr>
        <w:trPr>
          <w:trHeight w:val="216"/>
        </w:trPr>
        <w:tc>
          <w:tcPr>
            <w:tcW w:w="2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240" w:type="dxa"/>
            <w:vAlign w:val="bottom"/>
            <w:tcBorders>
              <w:top w:val="single" w:sz="8" w:color="0000EE"/>
            </w:tcBorders>
            <w:gridSpan w:val="9"/>
            <w:shd w:val="clear" w:color="auto" w:fill="CCEEFF"/>
          </w:tcPr>
          <w:p>
            <w:pPr>
              <w:spacing w:after="0" w:line="196" w:lineRule="exact"/>
              <w:rPr>
                <w:sz w:val="20"/>
                <w:szCs w:val="20"/>
                <w:color w:val="auto"/>
              </w:rPr>
            </w:pPr>
            <w:r>
              <w:rPr>
                <w:rFonts w:ascii="Arial" w:cs="Arial" w:eastAsia="Arial" w:hAnsi="Arial"/>
                <w:sz w:val="18"/>
                <w:szCs w:val="18"/>
                <w:color w:val="0000EE"/>
              </w:rPr>
              <w:t>Company and Barry B. Goldstein.</w:t>
            </w:r>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31(a)</w:t>
            </w:r>
          </w:p>
        </w:tc>
        <w:tc>
          <w:tcPr>
            <w:tcW w:w="102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w w:val="94"/>
              </w:rPr>
              <w:t>Rule 13a-14(a)/15d-14(a) Certification of Chief Executive Officer as adopted pursuant to Section 302 of the Sarbanes-Oxley Act of 2002</w:t>
            </w:r>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5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31(b)</w:t>
            </w:r>
          </w:p>
        </w:tc>
        <w:tc>
          <w:tcPr>
            <w:tcW w:w="102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w w:val="95"/>
              </w:rPr>
              <w:t>Rule 13a-14(a)/15d-14(a) Certification of Chief Financial Officer as adopted pursuant to Section 302 of the Sarbanes-Oxley Act of 2002</w:t>
            </w:r>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5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1"/>
              </w:rPr>
              <w:t>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w w:val="92"/>
              </w:rPr>
              <w:t>Certification of Chief Executive Officer and Chief Financial Officer Pursuant to 18 U.S.C. Section 1350, as Adopted Pursuant to Section 906</w:t>
            </w:r>
          </w:p>
        </w:tc>
      </w:tr>
      <w:tr>
        <w:trPr>
          <w:trHeight w:val="196"/>
        </w:trPr>
        <w:tc>
          <w:tcPr>
            <w:tcW w:w="2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0000EE"/>
            </w:tcBorders>
            <w:gridSpan w:val="8"/>
            <w:shd w:val="clear" w:color="auto" w:fill="CCEEFF"/>
          </w:tcPr>
          <w:p>
            <w:pPr>
              <w:spacing w:after="0" w:line="196" w:lineRule="exact"/>
              <w:rPr>
                <w:sz w:val="20"/>
                <w:szCs w:val="20"/>
                <w:color w:val="auto"/>
              </w:rPr>
            </w:pPr>
            <w:r>
              <w:rPr>
                <w:rFonts w:ascii="Arial" w:cs="Arial" w:eastAsia="Arial" w:hAnsi="Arial"/>
                <w:sz w:val="18"/>
                <w:szCs w:val="18"/>
                <w:color w:val="0000EE"/>
              </w:rPr>
              <w:t>of the Sarbanes-Oxley Act of 2002</w:t>
            </w: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101.SCH XBRL Taxonomy Extension Schema.</w:t>
            </w:r>
          </w:p>
        </w:tc>
      </w:tr>
      <w:tr>
        <w:trPr>
          <w:trHeight w:val="216"/>
        </w:trPr>
        <w:tc>
          <w:tcPr>
            <w:tcW w:w="84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101.CAL XBRL Taxonomy Extension Calculation Linkbase.</w:t>
            </w:r>
          </w:p>
        </w:tc>
      </w:tr>
      <w:tr>
        <w:trPr>
          <w:trHeight w:val="216"/>
        </w:trPr>
        <w:tc>
          <w:tcPr>
            <w:tcW w:w="84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101.DEF XBRL Taxonomy Extension Definition Linkbase.</w:t>
            </w:r>
          </w:p>
        </w:tc>
      </w:tr>
      <w:tr>
        <w:trPr>
          <w:trHeight w:val="216"/>
        </w:trPr>
        <w:tc>
          <w:tcPr>
            <w:tcW w:w="84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101.LAB XBRL Taxonomy Extension Label Linkbase.</w:t>
            </w:r>
          </w:p>
        </w:tc>
      </w:tr>
      <w:tr>
        <w:trPr>
          <w:trHeight w:val="216"/>
        </w:trPr>
        <w:tc>
          <w:tcPr>
            <w:tcW w:w="84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101.PRE XBRL Taxonomy Extension Presentation Linkbase.</w:t>
            </w:r>
          </w:p>
        </w:tc>
      </w:tr>
    </w:tbl>
    <w:p>
      <w:pPr>
        <w:spacing w:after="0" w:line="202" w:lineRule="exact"/>
        <w:rPr>
          <w:sz w:val="20"/>
          <w:szCs w:val="20"/>
          <w:color w:val="auto"/>
        </w:rPr>
      </w:pPr>
    </w:p>
    <w:p>
      <w:pPr>
        <w:jc w:val="both"/>
        <w:ind w:firstLine="8"/>
        <w:spacing w:after="0" w:line="263" w:lineRule="auto"/>
        <w:tabs>
          <w:tab w:leader="none" w:pos="1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6260" w:type="dxa"/>
            <w:vAlign w:val="bottom"/>
            <w:gridSpan w:val="2"/>
          </w:tcPr>
          <w:p>
            <w:pPr>
              <w:ind w:left="2000"/>
              <w:spacing w:after="0"/>
              <w:rPr>
                <w:sz w:val="20"/>
                <w:szCs w:val="20"/>
                <w:color w:val="auto"/>
              </w:rPr>
            </w:pPr>
            <w:r>
              <w:rPr>
                <w:rFonts w:ascii="Arial" w:cs="Arial" w:eastAsia="Arial" w:hAnsi="Arial"/>
                <w:sz w:val="18"/>
                <w:szCs w:val="18"/>
                <w:b w:val="1"/>
                <w:bCs w:val="1"/>
                <w:color w:val="auto"/>
              </w:rPr>
              <w:t>KINGSTONE COMPANIES, INC.</w:t>
            </w:r>
          </w:p>
        </w:tc>
        <w:tc>
          <w:tcPr>
            <w:tcW w:w="134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14, 2023</w:t>
            </w:r>
          </w:p>
        </w:tc>
        <w:tc>
          <w:tcPr>
            <w:tcW w:w="6260" w:type="dxa"/>
            <w:vAlign w:val="bottom"/>
            <w:gridSpan w:val="2"/>
          </w:tcPr>
          <w:p>
            <w:pPr>
              <w:ind w:left="2000"/>
              <w:spacing w:after="0"/>
              <w:rPr>
                <w:sz w:val="20"/>
                <w:szCs w:val="20"/>
                <w:color w:val="auto"/>
              </w:rPr>
            </w:pPr>
            <w:r>
              <w:rPr>
                <w:rFonts w:ascii="Arial" w:cs="Arial" w:eastAsia="Arial" w:hAnsi="Arial"/>
                <w:sz w:val="18"/>
                <w:szCs w:val="18"/>
                <w:color w:val="auto"/>
              </w:rPr>
              <w:t>By:  /s/ Barry B. Goldstein</w:t>
            </w:r>
          </w:p>
        </w:tc>
        <w:tc>
          <w:tcPr>
            <w:tcW w:w="134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B. Goldstein</w:t>
            </w:r>
          </w:p>
        </w:tc>
        <w:tc>
          <w:tcPr>
            <w:tcW w:w="13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14, 2023</w:t>
            </w:r>
          </w:p>
        </w:tc>
        <w:tc>
          <w:tcPr>
            <w:tcW w:w="6260" w:type="dxa"/>
            <w:vAlign w:val="bottom"/>
            <w:gridSpan w:val="2"/>
          </w:tcPr>
          <w:p>
            <w:pPr>
              <w:ind w:left="2000"/>
              <w:spacing w:after="0"/>
              <w:rPr>
                <w:sz w:val="20"/>
                <w:szCs w:val="20"/>
                <w:color w:val="auto"/>
              </w:rPr>
            </w:pPr>
            <w:r>
              <w:rPr>
                <w:rFonts w:ascii="Arial" w:cs="Arial" w:eastAsia="Arial" w:hAnsi="Arial"/>
                <w:sz w:val="18"/>
                <w:szCs w:val="18"/>
                <w:color w:val="auto"/>
              </w:rPr>
              <w:t>By:  /s/ Jennifer Gravelle</w:t>
            </w:r>
          </w:p>
        </w:tc>
        <w:tc>
          <w:tcPr>
            <w:tcW w:w="134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Jennifer Gravelle</w:t>
            </w:r>
          </w:p>
        </w:tc>
        <w:tc>
          <w:tcPr>
            <w:tcW w:w="13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40" w:type="dxa"/>
            <w:vAlign w:val="bottom"/>
          </w:tcPr>
          <w:p>
            <w:pPr>
              <w:spacing w:after="0"/>
              <w:rPr>
                <w:sz w:val="20"/>
                <w:szCs w:val="20"/>
                <w:color w:val="auto"/>
              </w:rPr>
            </w:pPr>
          </w:p>
        </w:tc>
      </w:tr>
      <w:tr>
        <w:trPr>
          <w:trHeight w:val="648"/>
        </w:trPr>
        <w:tc>
          <w:tcPr>
            <w:tcW w:w="3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80</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6" w:right="339" w:bottom="1440" w:gutter="0" w:footer="0" w:header="0"/>
        </w:sectPr>
      </w:pPr>
    </w:p>
    <w:bookmarkStart w:id="51" w:name="page52"/>
    <w:bookmarkEnd w:id="51"/>
    <w:p>
      <w:pPr>
        <w:ind w:left="10080"/>
        <w:spacing w:after="0"/>
        <w:rPr>
          <w:sz w:val="20"/>
          <w:szCs w:val="20"/>
          <w:color w:val="auto"/>
        </w:rPr>
      </w:pPr>
      <w:r>
        <w:rPr>
          <w:rFonts w:ascii="Arial" w:cs="Arial" w:eastAsia="Arial" w:hAnsi="Arial"/>
          <w:sz w:val="18"/>
          <w:szCs w:val="18"/>
          <w:b w:val="1"/>
          <w:bCs w:val="1"/>
          <w:color w:val="auto"/>
        </w:rPr>
        <w:t>EXHIBIT 10.A</w:t>
      </w:r>
    </w:p>
    <w:p>
      <w:pPr>
        <w:spacing w:after="0" w:line="225"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8"/>
          <w:szCs w:val="18"/>
          <w:b w:val="1"/>
          <w:bCs w:val="1"/>
          <w:color w:val="auto"/>
        </w:rPr>
        <w:t>AMENDMENT NO. 1</w:t>
      </w:r>
      <w:r>
        <w:rPr>
          <w:rFonts w:ascii="Arial" w:cs="Arial" w:eastAsia="Arial" w:hAnsi="Arial"/>
          <w:sz w:val="18"/>
          <w:szCs w:val="18"/>
          <w:color w:val="auto"/>
        </w:rPr>
        <w:t>, dated as of August 9, 2023, to</w:t>
      </w:r>
      <w:r>
        <w:rPr>
          <w:rFonts w:ascii="Arial" w:cs="Arial" w:eastAsia="Arial" w:hAnsi="Arial"/>
          <w:sz w:val="18"/>
          <w:szCs w:val="18"/>
          <w:b w:val="1"/>
          <w:bCs w:val="1"/>
          <w:color w:val="auto"/>
        </w:rPr>
        <w:t xml:space="preserve"> THIRD AMENDED AND RESTATED EMPLOYMENT AGREEMENT</w:t>
      </w:r>
      <w:r>
        <w:rPr>
          <w:rFonts w:ascii="Arial" w:cs="Arial" w:eastAsia="Arial" w:hAnsi="Arial"/>
          <w:sz w:val="18"/>
          <w:szCs w:val="18"/>
          <w:color w:val="auto"/>
        </w:rPr>
        <w:t>, dated June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27, 2022 (the “Amendment”), by and between </w:t>
      </w:r>
      <w:r>
        <w:rPr>
          <w:rFonts w:ascii="Arial" w:cs="Arial" w:eastAsia="Arial" w:hAnsi="Arial"/>
          <w:sz w:val="18"/>
          <w:szCs w:val="18"/>
          <w:b w:val="1"/>
          <w:bCs w:val="1"/>
          <w:color w:val="auto"/>
        </w:rPr>
        <w:t>KINGSTONE COMPANIES, INC.</w:t>
      </w:r>
      <w:r>
        <w:rPr>
          <w:rFonts w:ascii="Arial" w:cs="Arial" w:eastAsia="Arial" w:hAnsi="Arial"/>
          <w:sz w:val="18"/>
          <w:szCs w:val="18"/>
          <w:color w:val="auto"/>
        </w:rPr>
        <w:t xml:space="preserve">, a Delaware corporation (the “Company”), and </w:t>
      </w:r>
      <w:r>
        <w:rPr>
          <w:rFonts w:ascii="Arial" w:cs="Arial" w:eastAsia="Arial" w:hAnsi="Arial"/>
          <w:sz w:val="18"/>
          <w:szCs w:val="18"/>
          <w:b w:val="1"/>
          <w:bCs w:val="1"/>
          <w:color w:val="auto"/>
        </w:rPr>
        <w:t>BARRY B.</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GOLDSTEIN </w:t>
      </w:r>
      <w:r>
        <w:rPr>
          <w:rFonts w:ascii="Arial" w:cs="Arial" w:eastAsia="Arial" w:hAnsi="Arial"/>
          <w:sz w:val="18"/>
          <w:szCs w:val="18"/>
          <w:color w:val="auto"/>
        </w:rPr>
        <w:t>(the “Employee”).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are parties to a Third Amended and Restated Employment Agreement, dated June 27, 2022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which sets forth the terms and conditions upon which the Employee is employed by the Company and upon which the Company compensates the Employee.</w:t>
      </w:r>
    </w:p>
    <w:p>
      <w:pPr>
        <w:spacing w:after="0" w:line="176" w:lineRule="exact"/>
        <w:rPr>
          <w:sz w:val="20"/>
          <w:szCs w:val="20"/>
          <w:color w:val="auto"/>
        </w:rPr>
      </w:pPr>
    </w:p>
    <w:p>
      <w:pPr>
        <w:jc w:val="both"/>
        <w:ind w:firstLine="60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desire to amend the Employment Agreement to reduce the responsibilities of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effective as of October 1, 2023, and provide for certain other changes.</w:t>
      </w:r>
    </w:p>
    <w:p>
      <w:pPr>
        <w:spacing w:after="0" w:line="162" w:lineRule="exact"/>
        <w:rPr>
          <w:sz w:val="20"/>
          <w:szCs w:val="20"/>
          <w:color w:val="auto"/>
        </w:rPr>
      </w:pPr>
    </w:p>
    <w:p>
      <w:pPr>
        <w:jc w:val="both"/>
        <w:ind w:firstLine="60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the receipt and sufficiency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intending to be legally bound, hereby agree as follows:</w:t>
      </w:r>
    </w:p>
    <w:p>
      <w:pPr>
        <w:spacing w:after="0" w:line="166" w:lineRule="exact"/>
        <w:rPr>
          <w:sz w:val="20"/>
          <w:szCs w:val="20"/>
          <w:color w:val="auto"/>
        </w:rPr>
      </w:pPr>
    </w:p>
    <w:p>
      <w:pPr>
        <w:ind w:firstLine="615"/>
        <w:spacing w:after="0" w:line="277" w:lineRule="auto"/>
        <w:tabs>
          <w:tab w:leader="none" w:pos="7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Sections 1.1 and 2.1 of the Employment Agreement are amended to provide that, effective as of October 1, 2023, the Employee shall no longer serve as President and Chief Executive Officer of the Company and Cosi Agency, Inc.</w:t>
      </w:r>
    </w:p>
    <w:p>
      <w:pPr>
        <w:spacing w:after="0" w:line="170" w:lineRule="exact"/>
        <w:rPr>
          <w:rFonts w:ascii="Arial" w:cs="Arial" w:eastAsia="Arial" w:hAnsi="Arial"/>
          <w:sz w:val="18"/>
          <w:szCs w:val="18"/>
          <w:color w:val="auto"/>
        </w:rPr>
      </w:pPr>
    </w:p>
    <w:p>
      <w:pPr>
        <w:jc w:val="both"/>
        <w:ind w:firstLine="615"/>
        <w:spacing w:after="0" w:line="263" w:lineRule="auto"/>
        <w:tabs>
          <w:tab w:leader="none" w:pos="8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1.1 of the Employment Agreement is amended to provide that the term “Expiration Date” shall mean the earlier of (a) December 31, 2024 or (b) in the event the Employee is not re-elected as Chairman of the Board of the Company following its 2024 annual meeting of stockholders (the “Annual Meeting’), then the date of the Annual Meeting</w:t>
      </w:r>
    </w:p>
    <w:p>
      <w:pPr>
        <w:spacing w:after="0" w:line="183" w:lineRule="exact"/>
        <w:rPr>
          <w:rFonts w:ascii="Arial" w:cs="Arial" w:eastAsia="Arial" w:hAnsi="Arial"/>
          <w:sz w:val="18"/>
          <w:szCs w:val="18"/>
          <w:color w:val="auto"/>
        </w:rPr>
      </w:pPr>
    </w:p>
    <w:p>
      <w:pPr>
        <w:ind w:left="800" w:hanging="18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as of October 1, 2023, Section 4.2 of the Employment Agreement is amended to read as follows:</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“4.2 The Employee shall be entitled to receive a salary at the rate of three hundred thousand dollars ($300,000) for each of the calendar years of the Term (the “Base Salary”); provided, however, the Base Salary shall be reduced on a dollar-for-dollar basis to the extent of the salary payable by KICO to the Employee pursuant to the KICO Employment Agreement for the same period.”</w:t>
      </w:r>
    </w:p>
    <w:p>
      <w:pPr>
        <w:spacing w:after="0" w:line="184" w:lineRule="exact"/>
        <w:rPr>
          <w:sz w:val="20"/>
          <w:szCs w:val="20"/>
          <w:color w:val="auto"/>
        </w:rPr>
      </w:pPr>
    </w:p>
    <w:p>
      <w:pPr>
        <w:ind w:left="800" w:hanging="18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4.3 of the Employment Agreement is deleted in its entirety and is of no further force or effect.</w:t>
      </w:r>
    </w:p>
    <w:p>
      <w:pPr>
        <w:spacing w:after="0" w:line="225" w:lineRule="exact"/>
        <w:rPr>
          <w:rFonts w:ascii="Arial" w:cs="Arial" w:eastAsia="Arial" w:hAnsi="Arial"/>
          <w:sz w:val="18"/>
          <w:szCs w:val="18"/>
          <w:color w:val="auto"/>
        </w:rPr>
      </w:pPr>
    </w:p>
    <w:p>
      <w:pPr>
        <w:ind w:left="800" w:hanging="18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as of October 1, 2023, Section 5.3 is deleted in its entirety and, as of such date, will be of no further force or effect.</w:t>
      </w:r>
    </w:p>
    <w:p>
      <w:pPr>
        <w:spacing w:after="0" w:line="225" w:lineRule="exact"/>
        <w:rPr>
          <w:rFonts w:ascii="Arial" w:cs="Arial" w:eastAsia="Arial" w:hAnsi="Arial"/>
          <w:sz w:val="18"/>
          <w:szCs w:val="18"/>
          <w:color w:val="auto"/>
        </w:rPr>
      </w:pPr>
    </w:p>
    <w:p>
      <w:pPr>
        <w:ind w:firstLine="615"/>
        <w:spacing w:after="0" w:line="277" w:lineRule="auto"/>
        <w:tabs>
          <w:tab w:leader="none" w:pos="8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as of October 1, 2023, the Employee shall be responsible for the employee share of all medical, dental and other health insurance premiums, as applicable to other employees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00" w:hanging="185"/>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amended hereby, the Employment Agreement shall continue in full force and effect in accordance with its terms.</w:t>
      </w:r>
    </w:p>
    <w:p>
      <w:pPr>
        <w:spacing w:after="0" w:line="225" w:lineRule="exact"/>
        <w:rPr>
          <w:rFonts w:ascii="Arial" w:cs="Arial" w:eastAsia="Arial" w:hAnsi="Arial"/>
          <w:sz w:val="18"/>
          <w:szCs w:val="18"/>
          <w:color w:val="auto"/>
        </w:rPr>
      </w:pPr>
    </w:p>
    <w:p>
      <w:pPr>
        <w:ind w:firstLine="615"/>
        <w:spacing w:after="0" w:line="277" w:lineRule="auto"/>
        <w:tabs>
          <w:tab w:leader="none" w:pos="7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Amendment shall be governed by, and interpreted and construed in accordance with, the laws of the State of New York, excluding choice of law principles thereof.</w:t>
      </w:r>
    </w:p>
    <w:p>
      <w:pPr>
        <w:spacing w:after="0" w:line="170" w:lineRule="exact"/>
        <w:rPr>
          <w:rFonts w:ascii="Arial" w:cs="Arial" w:eastAsia="Arial" w:hAnsi="Arial"/>
          <w:sz w:val="18"/>
          <w:szCs w:val="18"/>
          <w:color w:val="auto"/>
        </w:rPr>
      </w:pPr>
    </w:p>
    <w:p>
      <w:pPr>
        <w:ind w:firstLine="615"/>
        <w:spacing w:after="0" w:line="277" w:lineRule="auto"/>
        <w:tabs>
          <w:tab w:leader="none" w:pos="7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and all of which taken together shall constitute one and the same instrument.</w:t>
      </w:r>
    </w:p>
    <w:p>
      <w:pPr>
        <w:spacing w:after="0" w:line="170" w:lineRule="exact"/>
        <w:rPr>
          <w:rFonts w:ascii="Arial" w:cs="Arial" w:eastAsia="Arial" w:hAnsi="Arial"/>
          <w:sz w:val="18"/>
          <w:szCs w:val="18"/>
          <w:color w:val="auto"/>
        </w:rPr>
      </w:pPr>
    </w:p>
    <w:p>
      <w:pPr>
        <w:ind w:left="880" w:hanging="265"/>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Signatures hereon which are transmitted via facsimile or email shall be deemed original 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and the Employee have executed this Amendment as of the date first above written.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KINGSTONE COMPANIES, INC.</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Meryl Golden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Operating Officer</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27089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362" w:gutter="0" w:footer="0" w:header="0"/>
        </w:sectPr>
      </w:pPr>
    </w:p>
    <w:bookmarkStart w:id="52" w:name="page53"/>
    <w:bookmarkEnd w:id="52"/>
    <w:p>
      <w:pPr>
        <w:ind w:left="10080"/>
        <w:spacing w:after="0"/>
        <w:rPr>
          <w:sz w:val="20"/>
          <w:szCs w:val="20"/>
          <w:color w:val="auto"/>
        </w:rPr>
      </w:pPr>
      <w:r>
        <w:rPr>
          <w:rFonts w:ascii="Arial" w:cs="Arial" w:eastAsia="Arial" w:hAnsi="Arial"/>
          <w:sz w:val="18"/>
          <w:szCs w:val="18"/>
          <w:b w:val="1"/>
          <w:bCs w:val="1"/>
          <w:color w:val="auto"/>
        </w:rPr>
        <w:t>EXHIBIT 10.B</w:t>
      </w:r>
    </w:p>
    <w:p>
      <w:pPr>
        <w:spacing w:after="0" w:line="225"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8"/>
          <w:szCs w:val="18"/>
          <w:b w:val="1"/>
          <w:bCs w:val="1"/>
          <w:color w:val="auto"/>
        </w:rPr>
        <w:t>AMENDMENT NO. 2</w:t>
      </w:r>
      <w:r>
        <w:rPr>
          <w:rFonts w:ascii="Arial" w:cs="Arial" w:eastAsia="Arial" w:hAnsi="Arial"/>
          <w:sz w:val="18"/>
          <w:szCs w:val="18"/>
          <w:color w:val="auto"/>
        </w:rPr>
        <w:t>, dated as of August 9, 2023, to</w:t>
      </w:r>
      <w:r>
        <w:rPr>
          <w:rFonts w:ascii="Arial" w:cs="Arial" w:eastAsia="Arial" w:hAnsi="Arial"/>
          <w:sz w:val="18"/>
          <w:szCs w:val="18"/>
          <w:b w:val="1"/>
          <w:bCs w:val="1"/>
          <w:color w:val="auto"/>
        </w:rPr>
        <w:t xml:space="preserve"> THIRD AMENDED AND RESTATED EMPLOYMENT AGREEMENT</w:t>
      </w:r>
      <w:r>
        <w:rPr>
          <w:rFonts w:ascii="Arial" w:cs="Arial" w:eastAsia="Arial" w:hAnsi="Arial"/>
          <w:sz w:val="18"/>
          <w:szCs w:val="18"/>
          <w:color w:val="auto"/>
        </w:rPr>
        <w:t>, dated June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27, 2022 (the “Amendment”), by and between </w:t>
      </w:r>
      <w:r>
        <w:rPr>
          <w:rFonts w:ascii="Arial" w:cs="Arial" w:eastAsia="Arial" w:hAnsi="Arial"/>
          <w:sz w:val="18"/>
          <w:szCs w:val="18"/>
          <w:b w:val="1"/>
          <w:bCs w:val="1"/>
          <w:color w:val="auto"/>
        </w:rPr>
        <w:t>KINGSTONE INSURANCE COMPANY</w:t>
      </w:r>
      <w:r>
        <w:rPr>
          <w:rFonts w:ascii="Arial" w:cs="Arial" w:eastAsia="Arial" w:hAnsi="Arial"/>
          <w:sz w:val="18"/>
          <w:szCs w:val="18"/>
          <w:color w:val="auto"/>
        </w:rPr>
        <w:t xml:space="preserve">, a New York stock property and casualty insurance company (the “Company”), and </w:t>
      </w:r>
      <w:r>
        <w:rPr>
          <w:rFonts w:ascii="Arial" w:cs="Arial" w:eastAsia="Arial" w:hAnsi="Arial"/>
          <w:sz w:val="18"/>
          <w:szCs w:val="18"/>
          <w:b w:val="1"/>
          <w:bCs w:val="1"/>
          <w:color w:val="auto"/>
        </w:rPr>
        <w:t>BARRY B. GOLDSTEIN</w:t>
      </w:r>
      <w:r>
        <w:rPr>
          <w:rFonts w:ascii="Arial" w:cs="Arial" w:eastAsia="Arial" w:hAnsi="Arial"/>
          <w:sz w:val="18"/>
          <w:szCs w:val="18"/>
          <w:color w:val="auto"/>
        </w:rPr>
        <w:t xml:space="preserve"> (the “Employee”).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are parties to a Third Amended and Restated Employment Agreement, dated June 27, 2022,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“Employment Agreement”), which sets forth the terms and conditions upon which the Employee is employed by the Company and upon which the Company compensates the Employee.</w:t>
      </w:r>
    </w:p>
    <w:p>
      <w:pPr>
        <w:spacing w:after="0" w:line="176"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desire to amend the Employment Agreement to reduce the responsibilities of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effective as of October 1, 2023, modify the Employee’s Base Salary (as defined therein) effective as of October 1, 2023, and provide for certain other changes.</w:t>
      </w:r>
    </w:p>
    <w:p>
      <w:pPr>
        <w:spacing w:after="0" w:line="176" w:lineRule="exact"/>
        <w:rPr>
          <w:sz w:val="20"/>
          <w:szCs w:val="20"/>
          <w:color w:val="auto"/>
        </w:rPr>
      </w:pPr>
    </w:p>
    <w:p>
      <w:pPr>
        <w:jc w:val="both"/>
        <w:ind w:firstLine="60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the receipt and sufficiency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intending to be legally bound, hereby agree as follows:</w:t>
      </w:r>
    </w:p>
    <w:p>
      <w:pPr>
        <w:spacing w:after="0" w:line="166" w:lineRule="exact"/>
        <w:rPr>
          <w:sz w:val="20"/>
          <w:szCs w:val="20"/>
          <w:color w:val="auto"/>
        </w:rPr>
      </w:pPr>
    </w:p>
    <w:p>
      <w:pPr>
        <w:jc w:val="both"/>
        <w:ind w:firstLine="615"/>
        <w:spacing w:after="0" w:line="279" w:lineRule="auto"/>
        <w:tabs>
          <w:tab w:leader="none" w:pos="793"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Sections 1.1 and 2.1 of the Employment Agreement are amended to provide that, effective as of October 1, 2023, the Employee shall no longer serve as Chief Investment Officer of the Company. In his role as Chairman of the Board of the Company, in addition to the responsibilities set forth in Section 2.1 of the Employment Agreement, the Employee shall provide advisory services to the Chief Executive Officer and Chief Financial Officer of the Company in connection with the operations of the Company, including with regard to the Company’s investments.</w:t>
      </w:r>
    </w:p>
    <w:p>
      <w:pPr>
        <w:spacing w:after="0" w:line="171" w:lineRule="exact"/>
        <w:rPr>
          <w:rFonts w:ascii="Arial" w:cs="Arial" w:eastAsia="Arial" w:hAnsi="Arial"/>
          <w:sz w:val="17"/>
          <w:szCs w:val="17"/>
          <w:color w:val="auto"/>
        </w:rPr>
      </w:pPr>
    </w:p>
    <w:p>
      <w:pPr>
        <w:ind w:right="20" w:firstLine="615"/>
        <w:spacing w:after="0" w:line="277" w:lineRule="auto"/>
        <w:tabs>
          <w:tab w:leader="none" w:pos="7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4.2 of the Employment Agreement is amended to provide that, effective as of October 1, 2023, the Employee’s Base Salary is decreased to two hundred fifty thousand dollars ($250,000) per annum.</w:t>
      </w:r>
    </w:p>
    <w:p>
      <w:pPr>
        <w:spacing w:after="0" w:line="170" w:lineRule="exact"/>
        <w:rPr>
          <w:rFonts w:ascii="Arial" w:cs="Arial" w:eastAsia="Arial" w:hAnsi="Arial"/>
          <w:sz w:val="18"/>
          <w:szCs w:val="18"/>
          <w:color w:val="auto"/>
        </w:rPr>
      </w:pPr>
    </w:p>
    <w:p>
      <w:pPr>
        <w:jc w:val="both"/>
        <w:ind w:firstLine="615"/>
        <w:spacing w:after="0" w:line="263" w:lineRule="auto"/>
        <w:tabs>
          <w:tab w:leader="none" w:pos="8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1.1 of the Employment Agreement is amended to provide that the term “Expiration Date” shall mean the earlier of (a) December 31, 2024 or (b) in the event the Employee is not re-elected as Chairman of the Board of Kingstone Companies, Inc. (“KINS”) following KINS’ 2024 annual meeting of stockholders (the “Annual Meeting”), then the date of the Annual Meeting.</w:t>
      </w:r>
    </w:p>
    <w:p>
      <w:pPr>
        <w:spacing w:after="0" w:line="183" w:lineRule="exact"/>
        <w:rPr>
          <w:rFonts w:ascii="Arial" w:cs="Arial" w:eastAsia="Arial" w:hAnsi="Arial"/>
          <w:sz w:val="18"/>
          <w:szCs w:val="18"/>
          <w:color w:val="auto"/>
        </w:rPr>
      </w:pPr>
    </w:p>
    <w:p>
      <w:pPr>
        <w:ind w:firstLine="615"/>
        <w:spacing w:after="0" w:line="277" w:lineRule="auto"/>
        <w:tabs>
          <w:tab w:leader="none" w:pos="7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legal counsel incurred by the Employee in connection with the negotiation of this Amendment up to a maximum of $5,000.</w:t>
      </w:r>
    </w:p>
    <w:p>
      <w:pPr>
        <w:spacing w:after="0" w:line="170" w:lineRule="exact"/>
        <w:rPr>
          <w:rFonts w:ascii="Arial" w:cs="Arial" w:eastAsia="Arial" w:hAnsi="Arial"/>
          <w:sz w:val="18"/>
          <w:szCs w:val="18"/>
          <w:color w:val="auto"/>
        </w:rPr>
      </w:pPr>
    </w:p>
    <w:p>
      <w:pPr>
        <w:ind w:left="800" w:hanging="18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amended hereby, the Employment Agreement shall continue in full force and effect in accordance with its terms.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15"/>
        <w:spacing w:after="0" w:line="277" w:lineRule="auto"/>
        <w:tabs>
          <w:tab w:leader="none" w:pos="7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Amendment shall be governed by, and interpreted and construed in accordance with, the laws of the State of New York, excluding choice of law principles thereof.</w:t>
      </w:r>
    </w:p>
    <w:p>
      <w:pPr>
        <w:spacing w:after="0" w:line="170" w:lineRule="exact"/>
        <w:rPr>
          <w:rFonts w:ascii="Arial" w:cs="Arial" w:eastAsia="Arial" w:hAnsi="Arial"/>
          <w:sz w:val="18"/>
          <w:szCs w:val="18"/>
          <w:color w:val="auto"/>
        </w:rPr>
      </w:pPr>
    </w:p>
    <w:p>
      <w:pPr>
        <w:ind w:firstLine="615"/>
        <w:spacing w:after="0" w:line="277" w:lineRule="auto"/>
        <w:tabs>
          <w:tab w:leader="none" w:pos="7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and all of which taken together shall constitute one and the same instrument.</w:t>
      </w:r>
    </w:p>
    <w:p>
      <w:pPr>
        <w:spacing w:after="0" w:line="170" w:lineRule="exact"/>
        <w:rPr>
          <w:rFonts w:ascii="Arial" w:cs="Arial" w:eastAsia="Arial" w:hAnsi="Arial"/>
          <w:sz w:val="18"/>
          <w:szCs w:val="18"/>
          <w:color w:val="auto"/>
        </w:rPr>
      </w:pPr>
    </w:p>
    <w:p>
      <w:pPr>
        <w:ind w:left="800" w:hanging="185"/>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Signatures hereon which are transmitted via facsimile or email shall be deemed original 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and the Employee have executed this Amendment as of the date first above written.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KINGSTONE INSURANCE COMPANY</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24942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Meryl S. Golden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27089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Jennifer Gravelle, certify that:</w:t>
      </w:r>
    </w:p>
    <w:p>
      <w:pPr>
        <w:spacing w:after="0" w:line="22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Jennifer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Jennifer Gravelle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2023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2023</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5031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Jennifer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5031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Jennifer Gravelle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upperLetter"/>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5"/>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lowerRoman"/>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4"/>
    </w:lvl>
  </w:abstractNum>
  <w:abstractNum w:abstractNumId="27">
    <w:nsid w:val="8138641"/>
    <w:multiLevelType w:val="hybridMultilevel"/>
    <w:lvl w:ilvl="0">
      <w:lvlJc w:val="left"/>
      <w:lvlText w:val="%1."/>
      <w:numFmt w:val="decimal"/>
      <w:start w:val="7"/>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6"/>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03" Type="http://schemas.openxmlformats.org/officeDocument/2006/relationships/hyperlink" Target="http://www.sec.gov/Archives/edgar/data/33992/000135448814002619/kins_ex3a.htm" TargetMode="External"/><Relationship Id="rId104"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2023-08-14T13:15:31Z</dcterms:created>
  <dcterms:modified xsi:type="dcterms:W3CDTF">2023-08-14T13:15:31Z</dcterms:modified>
</cp:coreProperties>
</file>