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455930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5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9" w:lineRule="exact"/>
        <w:rPr>
          <w:sz w:val="24"/>
          <w:szCs w:val="24"/>
          <w:color w:val="auto"/>
        </w:rPr>
      </w:pPr>
    </w:p>
    <w:p>
      <w:pPr>
        <w:ind w:left="460" w:hanging="331"/>
        <w:spacing w:after="0"/>
        <w:tabs>
          <w:tab w:leader="none" w:pos="4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33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2025</w:t>
      </w:r>
    </w:p>
    <w:p>
      <w:pPr>
        <w:spacing w:after="0" w:line="2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79" w:lineRule="exact"/>
        <w:rPr>
          <w:sz w:val="24"/>
          <w:szCs w:val="24"/>
          <w:color w:val="auto"/>
        </w:rPr>
      </w:pPr>
    </w:p>
    <w:p>
      <w:pPr>
        <w:ind w:left="460" w:hanging="316"/>
        <w:spacing w:after="0"/>
        <w:tabs>
          <w:tab w:leader="none" w:pos="46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20"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_________to _________</w:t>
      </w:r>
    </w:p>
    <w:p>
      <w:pPr>
        <w:spacing w:after="0" w:line="2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0-1665</w:t>
      </w:r>
    </w:p>
    <w:p>
      <w:pPr>
        <w:spacing w:after="0" w:line="2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KINGSTONE COMPANIES,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1050925</wp:posOffset>
            </wp:positionH>
            <wp:positionV relativeFrom="paragraph">
              <wp:posOffset>45085</wp:posOffset>
            </wp:positionV>
            <wp:extent cx="50406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40630" cy="8255"/>
                    </a:xfrm>
                    <a:prstGeom prst="rect">
                      <a:avLst/>
                    </a:prstGeom>
                    <a:noFill/>
                  </pic:spPr>
                </pic:pic>
              </a:graphicData>
            </a:graphic>
          </wp:anchor>
        </w:drawing>
      </w:r>
    </w:p>
    <w:p>
      <w:pPr>
        <w:spacing w:after="0" w:line="6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06" w:lineRule="exact"/>
        <w:rPr>
          <w:sz w:val="24"/>
          <w:szCs w:val="24"/>
          <w:color w:val="auto"/>
        </w:rPr>
      </w:pPr>
    </w:p>
    <w:tbl>
      <w:tblPr>
        <w:tblLayout w:type="fixed"/>
        <w:tblInd w:w="880" w:type="dxa"/>
        <w:tblCellMar>
          <w:top w:w="0" w:type="dxa"/>
          <w:left w:w="0" w:type="dxa"/>
          <w:bottom w:w="0" w:type="dxa"/>
          <w:right w:w="0" w:type="dxa"/>
        </w:tblCellMar>
      </w:tblPr>
      <w:tr>
        <w:trPr>
          <w:trHeight w:val="245"/>
        </w:trPr>
        <w:tc>
          <w:tcPr>
            <w:tcW w:w="4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36-2476480</w:t>
            </w:r>
          </w:p>
        </w:tc>
      </w:tr>
      <w:tr>
        <w:trPr>
          <w:trHeight w:val="175"/>
        </w:trPr>
        <w:tc>
          <w:tcPr>
            <w:tcW w:w="468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100" w:type="dxa"/>
            <w:vAlign w:val="bottom"/>
          </w:tcPr>
          <w:p>
            <w:pPr>
              <w:spacing w:after="0"/>
              <w:rPr>
                <w:sz w:val="15"/>
                <w:szCs w:val="15"/>
                <w:color w:val="auto"/>
              </w:rPr>
            </w:pPr>
          </w:p>
        </w:tc>
        <w:tc>
          <w:tcPr>
            <w:tcW w:w="472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25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120 Wood Road</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Kingston, NY 12401</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16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(845) 802-7900</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0" w:lineRule="exact"/>
        <w:rPr>
          <w:sz w:val="24"/>
          <w:szCs w:val="24"/>
          <w:color w:val="auto"/>
        </w:rPr>
      </w:pPr>
    </w:p>
    <w:tbl>
      <w:tblPr>
        <w:tblLayout w:type="fixed"/>
        <w:tblInd w:w="10" w:type="dxa"/>
        <w:tblCellMar>
          <w:top w:w="0" w:type="dxa"/>
          <w:left w:w="0" w:type="dxa"/>
          <w:bottom w:w="0" w:type="dxa"/>
          <w:right w:w="0" w:type="dxa"/>
        </w:tblCellMar>
      </w:tblPr>
      <w:tr>
        <w:trPr>
          <w:trHeight w:val="264"/>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5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 per share</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KINS</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252"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76"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76"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0" w:lineRule="exact"/>
        <w:rPr>
          <w:sz w:val="24"/>
          <w:szCs w:val="24"/>
          <w:color w:val="auto"/>
        </w:rPr>
      </w:pPr>
    </w:p>
    <w:tbl>
      <w:tblPr>
        <w:tblLayout w:type="fixed"/>
        <w:tblInd w:w="740"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660" w:type="dxa"/>
            <w:vAlign w:val="bottom"/>
          </w:tcPr>
          <w:p>
            <w:pPr>
              <w:ind w:left="600"/>
              <w:spacing w:after="0"/>
              <w:rPr>
                <w:sz w:val="20"/>
                <w:szCs w:val="20"/>
                <w:color w:val="auto"/>
              </w:rPr>
            </w:pPr>
            <w:r>
              <w:rPr>
                <w:rFonts w:ascii="Wingdings" w:cs="Wingdings" w:eastAsia="Wingdings" w:hAnsi="Wingdings"/>
                <w:sz w:val="18"/>
                <w:szCs w:val="18"/>
                <w:b w:val="1"/>
                <w:bCs w:val="1"/>
                <w:color w:val="auto"/>
              </w:rPr>
              <w:t>o</w:t>
            </w:r>
          </w:p>
        </w:tc>
        <w:tc>
          <w:tcPr>
            <w:tcW w:w="32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Accelerated filer</w:t>
            </w:r>
          </w:p>
        </w:tc>
        <w:tc>
          <w:tcPr>
            <w:tcW w:w="600" w:type="dxa"/>
            <w:vAlign w:val="bottom"/>
          </w:tcPr>
          <w:p>
            <w:pPr>
              <w:ind w:left="420"/>
              <w:spacing w:after="0"/>
              <w:rPr>
                <w:sz w:val="20"/>
                <w:szCs w:val="20"/>
                <w:color w:val="auto"/>
              </w:rPr>
            </w:pPr>
            <w:r>
              <w:rPr>
                <w:rFonts w:ascii="Wingdings" w:cs="Wingdings" w:eastAsia="Wingdings" w:hAnsi="Wingdings"/>
                <w:sz w:val="18"/>
                <w:szCs w:val="18"/>
                <w:b w:val="1"/>
                <w:bCs w:val="1"/>
                <w:color w:val="auto"/>
                <w:w w:val="99"/>
              </w:rPr>
              <w:t>o</w:t>
            </w:r>
          </w:p>
        </w:tc>
      </w:tr>
      <w:tr>
        <w:trPr>
          <w:trHeight w:val="25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660" w:type="dxa"/>
            <w:vAlign w:val="bottom"/>
          </w:tcPr>
          <w:p>
            <w:pPr>
              <w:ind w:left="600"/>
              <w:spacing w:after="0"/>
              <w:rPr>
                <w:sz w:val="20"/>
                <w:szCs w:val="20"/>
                <w:color w:val="auto"/>
              </w:rPr>
            </w:pPr>
            <w:r>
              <w:rPr>
                <w:rFonts w:ascii="Wingdings" w:cs="Wingdings" w:eastAsia="Wingdings" w:hAnsi="Wingdings"/>
                <w:sz w:val="18"/>
                <w:szCs w:val="18"/>
                <w:b w:val="1"/>
                <w:bCs w:val="1"/>
                <w:color w:val="auto"/>
              </w:rPr>
              <w:t>x</w:t>
            </w:r>
          </w:p>
        </w:tc>
        <w:tc>
          <w:tcPr>
            <w:tcW w:w="32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00" w:type="dxa"/>
            <w:vAlign w:val="bottom"/>
          </w:tcPr>
          <w:p>
            <w:pPr>
              <w:ind w:left="420"/>
              <w:spacing w:after="0"/>
              <w:rPr>
                <w:sz w:val="20"/>
                <w:szCs w:val="20"/>
                <w:color w:val="auto"/>
              </w:rPr>
            </w:pPr>
            <w:r>
              <w:rPr>
                <w:rFonts w:ascii="Wingdings" w:cs="Wingdings" w:eastAsia="Wingdings" w:hAnsi="Wingdings"/>
                <w:sz w:val="18"/>
                <w:szCs w:val="18"/>
                <w:b w:val="1"/>
                <w:bCs w:val="1"/>
                <w:color w:val="auto"/>
                <w:w w:val="83"/>
              </w:rPr>
              <w:t>x</w:t>
            </w:r>
          </w:p>
        </w:tc>
      </w:tr>
      <w:tr>
        <w:trPr>
          <w:trHeight w:val="256"/>
        </w:trPr>
        <w:tc>
          <w:tcPr>
            <w:tcW w:w="22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2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Emerging growth company</w:t>
            </w:r>
          </w:p>
        </w:tc>
        <w:tc>
          <w:tcPr>
            <w:tcW w:w="600" w:type="dxa"/>
            <w:vAlign w:val="bottom"/>
          </w:tcPr>
          <w:p>
            <w:pPr>
              <w:ind w:left="420"/>
              <w:spacing w:after="0"/>
              <w:rPr>
                <w:sz w:val="20"/>
                <w:szCs w:val="20"/>
                <w:color w:val="auto"/>
              </w:rPr>
            </w:pPr>
            <w:r>
              <w:rPr>
                <w:rFonts w:ascii="Wingdings" w:cs="Wingdings" w:eastAsia="Wingdings" w:hAnsi="Wingdings"/>
                <w:sz w:val="18"/>
                <w:szCs w:val="18"/>
                <w:b w:val="1"/>
                <w:bCs w:val="1"/>
                <w:color w:val="auto"/>
                <w:w w:val="99"/>
              </w:rPr>
              <w:t>o</w:t>
            </w:r>
          </w:p>
        </w:tc>
      </w:tr>
    </w:tbl>
    <w:p>
      <w:pPr>
        <w:spacing w:after="0" w:line="306"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November 6, 2025, there were 14,147,428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844550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27" w:right="319" w:bottom="1001"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600" w:type="dxa"/>
            <w:vAlign w:val="bottom"/>
            <w:gridSpan w:val="7"/>
          </w:tcPr>
          <w:p>
            <w:pPr>
              <w:spacing w:after="0"/>
              <w:rPr>
                <w:sz w:val="20"/>
                <w:szCs w:val="20"/>
                <w:color w:val="auto"/>
              </w:rPr>
            </w:pPr>
            <w:r>
              <w:rPr>
                <w:rFonts w:ascii="Times New Roman" w:cs="Times New Roman" w:eastAsia="Times New Roman" w:hAnsi="Times New Roman"/>
                <w:sz w:val="18"/>
                <w:szCs w:val="18"/>
                <w:i w:val="1"/>
                <w:iCs w:val="1"/>
                <w:color w:val="0000FF"/>
              </w:rPr>
              <w:t>Table of Contents</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8"/>
        </w:trPr>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380" w:type="dxa"/>
            <w:vAlign w:val="bottom"/>
            <w:gridSpan w:val="9"/>
          </w:tcPr>
          <w:p>
            <w:pPr>
              <w:jc w:val="center"/>
              <w:ind w:right="2980"/>
              <w:spacing w:after="0"/>
              <w:rPr>
                <w:sz w:val="20"/>
                <w:szCs w:val="20"/>
                <w:color w:val="auto"/>
              </w:rPr>
            </w:pPr>
            <w:r>
              <w:rPr>
                <w:rFonts w:ascii="Times New Roman" w:cs="Times New Roman" w:eastAsia="Times New Roman" w:hAnsi="Times New Roman"/>
                <w:sz w:val="18"/>
                <w:szCs w:val="18"/>
                <w:b w:val="1"/>
                <w:bCs w:val="1"/>
                <w:color w:val="auto"/>
                <w:w w:val="99"/>
              </w:rPr>
              <w:t>KINGSTONE COMPANIES, INC.</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00" w:type="dxa"/>
            <w:vAlign w:val="bottom"/>
            <w:gridSpan w:val="8"/>
          </w:tcPr>
          <w:p>
            <w:pPr>
              <w:jc w:val="center"/>
              <w:ind w:right="384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0280" w:type="dxa"/>
            <w:vAlign w:val="bottom"/>
            <w:gridSpan w:val="27"/>
          </w:tcPr>
          <w:p>
            <w:pPr>
              <w:spacing w:after="0"/>
              <w:rPr>
                <w:sz w:val="20"/>
                <w:szCs w:val="20"/>
                <w:color w:val="auto"/>
              </w:rPr>
            </w:pPr>
            <w:r>
              <w:rPr>
                <w:rFonts w:ascii="Times New Roman" w:cs="Times New Roman" w:eastAsia="Times New Roman" w:hAnsi="Times New Roman"/>
                <w:sz w:val="18"/>
                <w:szCs w:val="18"/>
                <w:b w:val="1"/>
                <w:bCs w:val="1"/>
                <w:color w:val="0000FF"/>
              </w:rPr>
              <w:t>PART I — FINANCIAL INFORMATION</w:t>
            </w:r>
          </w:p>
        </w:tc>
        <w:tc>
          <w:tcPr>
            <w:tcW w:w="9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1 —</w:t>
            </w:r>
          </w:p>
        </w:tc>
        <w:tc>
          <w:tcPr>
            <w:tcW w:w="870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Financial Statements</w:t>
            </w:r>
          </w:p>
        </w:tc>
        <w:tc>
          <w:tcPr>
            <w:tcW w:w="90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4</w:t>
            </w:r>
          </w:p>
        </w:tc>
        <w:tc>
          <w:tcPr>
            <w:tcW w:w="4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70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Balance Sheets at September 30, 2025 (Unaudited) and December 31, 2024</w:t>
            </w:r>
          </w:p>
        </w:tc>
        <w:tc>
          <w:tcPr>
            <w:tcW w:w="9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5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70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Income and Comprehensive Income (Unaudited) for the three months and nine</w:t>
            </w:r>
          </w:p>
        </w:tc>
        <w:tc>
          <w:tcPr>
            <w:tcW w:w="9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4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3200" w:type="dxa"/>
            <w:vAlign w:val="bottom"/>
            <w:tcBorders>
              <w:top w:val="single" w:sz="8" w:color="0000FF"/>
              <w:bottom w:val="single" w:sz="8" w:color="0000FF"/>
            </w:tcBorders>
            <w:gridSpan w:val="13"/>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FF"/>
              </w:rPr>
              <w:t>months ended September 30, 2025 and 2024</w:t>
            </w:r>
          </w:p>
        </w:tc>
        <w:tc>
          <w:tcPr>
            <w:tcW w:w="1140" w:type="dxa"/>
            <w:vAlign w:val="bottom"/>
            <w:tcBorders>
              <w:top w:val="single" w:sz="8" w:color="0000FF"/>
              <w:bottom w:val="single" w:sz="8" w:color="CCEEFF"/>
            </w:tcBorders>
            <w:shd w:val="clear" w:color="auto" w:fill="CCEEFF"/>
          </w:tcPr>
          <w:p>
            <w:pPr>
              <w:spacing w:after="0"/>
              <w:rPr>
                <w:sz w:val="17"/>
                <w:szCs w:val="17"/>
                <w:color w:val="auto"/>
              </w:rPr>
            </w:pPr>
          </w:p>
        </w:tc>
        <w:tc>
          <w:tcPr>
            <w:tcW w:w="560" w:type="dxa"/>
            <w:vAlign w:val="bottom"/>
            <w:tcBorders>
              <w:top w:val="single" w:sz="8" w:color="0000FF"/>
              <w:bottom w:val="single" w:sz="8" w:color="CCEEFF"/>
            </w:tcBorders>
            <w:shd w:val="clear" w:color="auto" w:fill="CCEEFF"/>
          </w:tcPr>
          <w:p>
            <w:pPr>
              <w:spacing w:after="0"/>
              <w:rPr>
                <w:sz w:val="17"/>
                <w:szCs w:val="17"/>
                <w:color w:val="auto"/>
              </w:rPr>
            </w:pPr>
          </w:p>
        </w:tc>
        <w:tc>
          <w:tcPr>
            <w:tcW w:w="1540" w:type="dxa"/>
            <w:vAlign w:val="bottom"/>
            <w:tcBorders>
              <w:top w:val="single" w:sz="8" w:color="0000FF"/>
              <w:bottom w:val="single" w:sz="8" w:color="CCEEFF"/>
            </w:tcBorders>
            <w:shd w:val="clear" w:color="auto" w:fill="CCEEFF"/>
          </w:tcPr>
          <w:p>
            <w:pPr>
              <w:spacing w:after="0"/>
              <w:rPr>
                <w:sz w:val="17"/>
                <w:szCs w:val="17"/>
                <w:color w:val="auto"/>
              </w:rPr>
            </w:pPr>
          </w:p>
        </w:tc>
        <w:tc>
          <w:tcPr>
            <w:tcW w:w="1900" w:type="dxa"/>
            <w:vAlign w:val="bottom"/>
            <w:tcBorders>
              <w:top w:val="single" w:sz="8" w:color="0000FF"/>
              <w:bottom w:val="single" w:sz="8" w:color="CCEEFF"/>
            </w:tcBorders>
            <w:gridSpan w:val="2"/>
            <w:shd w:val="clear" w:color="auto" w:fill="CCEEFF"/>
          </w:tcPr>
          <w:p>
            <w:pPr>
              <w:spacing w:after="0"/>
              <w:rPr>
                <w:sz w:val="17"/>
                <w:szCs w:val="17"/>
                <w:color w:val="auto"/>
              </w:rPr>
            </w:pPr>
          </w:p>
        </w:tc>
        <w:tc>
          <w:tcPr>
            <w:tcW w:w="160" w:type="dxa"/>
            <w:vAlign w:val="bottom"/>
            <w:tcBorders>
              <w:top w:val="single" w:sz="8" w:color="0000FF"/>
              <w:bottom w:val="single" w:sz="8" w:color="CCEEFF"/>
            </w:tcBorders>
            <w:shd w:val="clear" w:color="auto" w:fill="CCEEFF"/>
          </w:tcPr>
          <w:p>
            <w:pPr>
              <w:spacing w:after="0"/>
              <w:rPr>
                <w:sz w:val="17"/>
                <w:szCs w:val="17"/>
                <w:color w:val="auto"/>
              </w:rPr>
            </w:pPr>
          </w:p>
        </w:tc>
        <w:tc>
          <w:tcPr>
            <w:tcW w:w="40" w:type="dxa"/>
            <w:vAlign w:val="bottom"/>
            <w:tcBorders>
              <w:top w:val="single" w:sz="8" w:color="0000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CCEEFF"/>
              <w:bottom w:val="single" w:sz="8" w:color="CCEEFF"/>
            </w:tcBorders>
            <w:gridSpan w:val="3"/>
            <w:vMerge w:val="continue"/>
            <w:shd w:val="clear" w:color="auto" w:fill="CCEEFF"/>
          </w:tcPr>
          <w:p>
            <w:pPr>
              <w:spacing w:after="0"/>
              <w:rPr>
                <w:sz w:val="17"/>
                <w:szCs w:val="17"/>
                <w:color w:val="auto"/>
              </w:rPr>
            </w:pPr>
          </w:p>
        </w:tc>
        <w:tc>
          <w:tcPr>
            <w:tcW w:w="4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6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8700" w:type="dxa"/>
            <w:vAlign w:val="bottom"/>
            <w:tcBorders>
              <w:top w:val="single" w:sz="8" w:color="CCEEFF"/>
            </w:tcBorders>
            <w:gridSpan w:val="21"/>
          </w:tcPr>
          <w:p>
            <w:pPr>
              <w:spacing w:after="0" w:line="183"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 (Unaudited) for the three months and nine months ended</w:t>
            </w:r>
          </w:p>
        </w:tc>
        <w:tc>
          <w:tcPr>
            <w:tcW w:w="800" w:type="dxa"/>
            <w:vAlign w:val="bottom"/>
            <w:tcBorders>
              <w:top w:val="single" w:sz="8" w:color="CCEEFF"/>
            </w:tcBorders>
            <w:gridSpan w:val="2"/>
            <w:vMerge w:val="restart"/>
          </w:tcPr>
          <w:p>
            <w:pPr>
              <w:spacing w:after="0"/>
              <w:rPr>
                <w:sz w:val="15"/>
                <w:szCs w:val="15"/>
                <w:color w:val="auto"/>
              </w:rPr>
            </w:pPr>
          </w:p>
        </w:tc>
        <w:tc>
          <w:tcPr>
            <w:tcW w:w="100" w:type="dxa"/>
            <w:vAlign w:val="bottom"/>
            <w:tcBorders>
              <w:top w:val="single" w:sz="8" w:color="0000FF"/>
            </w:tcBorders>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500" w:type="dxa"/>
            <w:vAlign w:val="bottom"/>
            <w:tcBorders>
              <w:top w:val="single" w:sz="8" w:color="0000FF"/>
            </w:tcBorders>
            <w:gridSpan w:val="19"/>
          </w:tcPr>
          <w:p>
            <w:pPr>
              <w:spacing w:after="0" w:line="142" w:lineRule="exact"/>
              <w:rPr>
                <w:sz w:val="20"/>
                <w:szCs w:val="20"/>
                <w:color w:val="auto"/>
              </w:rPr>
            </w:pPr>
            <w:r>
              <w:rPr>
                <w:rFonts w:ascii="Times New Roman" w:cs="Times New Roman" w:eastAsia="Times New Roman" w:hAnsi="Times New Roman"/>
                <w:sz w:val="16"/>
                <w:szCs w:val="16"/>
                <w:color w:val="0000FF"/>
              </w:rPr>
              <w:t>September 30, 2025 and 2024</w:t>
            </w:r>
          </w:p>
        </w:tc>
        <w:tc>
          <w:tcPr>
            <w:tcW w:w="200" w:type="dxa"/>
            <w:vAlign w:val="bottom"/>
            <w:gridSpan w:val="2"/>
          </w:tcPr>
          <w:p>
            <w:pPr>
              <w:spacing w:after="0"/>
              <w:rPr>
                <w:sz w:val="13"/>
                <w:szCs w:val="13"/>
                <w:color w:val="auto"/>
              </w:rPr>
            </w:pPr>
          </w:p>
        </w:tc>
        <w:tc>
          <w:tcPr>
            <w:tcW w:w="800" w:type="dxa"/>
            <w:vAlign w:val="bottom"/>
            <w:tcBorders>
              <w:top w:val="single" w:sz="8" w:color="CCEEFF"/>
            </w:tcBorders>
            <w:gridSpan w:val="2"/>
            <w:vMerge w:val="continue"/>
          </w:tcPr>
          <w:p>
            <w:pPr>
              <w:spacing w:after="0"/>
              <w:rPr>
                <w:sz w:val="13"/>
                <w:szCs w:val="13"/>
                <w:color w:val="auto"/>
              </w:rPr>
            </w:pPr>
          </w:p>
        </w:tc>
        <w:tc>
          <w:tcPr>
            <w:tcW w:w="100" w:type="dxa"/>
            <w:vAlign w:val="bottom"/>
            <w:tcBorders>
              <w:top w:val="single" w:sz="8" w:color="0000FF"/>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700" w:type="dxa"/>
            <w:vAlign w:val="bottom"/>
            <w:gridSpan w:val="21"/>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0000FF"/>
              </w:rPr>
              <w:t>Condensed Consolidated Statements of Cash Flows (Unaudited) for the nine months ended September 30, 2025 and</w:t>
            </w:r>
          </w:p>
        </w:tc>
        <w:tc>
          <w:tcPr>
            <w:tcW w:w="720" w:type="dxa"/>
            <w:vAlign w:val="bottom"/>
            <w:vMerge w:val="restart"/>
            <w:shd w:val="clear" w:color="auto" w:fill="CCEEFF"/>
          </w:tcPr>
          <w:p>
            <w:pPr>
              <w:spacing w:after="0"/>
              <w:rPr>
                <w:sz w:val="17"/>
                <w:szCs w:val="17"/>
                <w:color w:val="auto"/>
              </w:rPr>
            </w:pP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w w:val="88"/>
              </w:rPr>
              <w:t>11</w:t>
            </w:r>
          </w:p>
        </w:tc>
        <w:tc>
          <w:tcPr>
            <w:tcW w:w="4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0000FF"/>
              <w:bottom w:val="single" w:sz="8" w:color="0000FF"/>
            </w:tcBorders>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FF"/>
              </w:rPr>
              <w:t>2024</w:t>
            </w:r>
          </w:p>
        </w:tc>
        <w:tc>
          <w:tcPr>
            <w:tcW w:w="240" w:type="dxa"/>
            <w:vAlign w:val="bottom"/>
            <w:tcBorders>
              <w:top w:val="single" w:sz="8" w:color="0000FF"/>
              <w:bottom w:val="single" w:sz="8" w:color="CCEEFF"/>
            </w:tcBorders>
            <w:shd w:val="clear" w:color="auto" w:fill="CCEEFF"/>
          </w:tcPr>
          <w:p>
            <w:pPr>
              <w:spacing w:after="0"/>
              <w:rPr>
                <w:sz w:val="17"/>
                <w:szCs w:val="17"/>
                <w:color w:val="auto"/>
              </w:rPr>
            </w:pPr>
          </w:p>
        </w:tc>
        <w:tc>
          <w:tcPr>
            <w:tcW w:w="160" w:type="dxa"/>
            <w:vAlign w:val="bottom"/>
            <w:tcBorders>
              <w:top w:val="single" w:sz="8" w:color="0000FF"/>
              <w:bottom w:val="single" w:sz="8" w:color="CCEEFF"/>
            </w:tcBorders>
            <w:shd w:val="clear" w:color="auto" w:fill="CCEEFF"/>
          </w:tcPr>
          <w:p>
            <w:pPr>
              <w:spacing w:after="0"/>
              <w:rPr>
                <w:sz w:val="17"/>
                <w:szCs w:val="17"/>
                <w:color w:val="auto"/>
              </w:rPr>
            </w:pPr>
          </w:p>
        </w:tc>
        <w:tc>
          <w:tcPr>
            <w:tcW w:w="140" w:type="dxa"/>
            <w:vAlign w:val="bottom"/>
            <w:tcBorders>
              <w:top w:val="single" w:sz="8" w:color="0000FF"/>
              <w:bottom w:val="single" w:sz="8" w:color="CCEEFF"/>
            </w:tcBorders>
            <w:shd w:val="clear" w:color="auto" w:fill="CCEEFF"/>
          </w:tcPr>
          <w:p>
            <w:pPr>
              <w:spacing w:after="0"/>
              <w:rPr>
                <w:sz w:val="17"/>
                <w:szCs w:val="17"/>
                <w:color w:val="auto"/>
              </w:rPr>
            </w:pPr>
          </w:p>
        </w:tc>
        <w:tc>
          <w:tcPr>
            <w:tcW w:w="40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60" w:type="dxa"/>
            <w:vAlign w:val="bottom"/>
            <w:tcBorders>
              <w:top w:val="single" w:sz="8" w:color="0000FF"/>
              <w:bottom w:val="single" w:sz="8" w:color="CCEEFF"/>
            </w:tcBorders>
            <w:shd w:val="clear" w:color="auto" w:fill="CCEEFF"/>
          </w:tcPr>
          <w:p>
            <w:pPr>
              <w:spacing w:after="0"/>
              <w:rPr>
                <w:sz w:val="17"/>
                <w:szCs w:val="17"/>
                <w:color w:val="auto"/>
              </w:rPr>
            </w:pPr>
          </w:p>
        </w:tc>
        <w:tc>
          <w:tcPr>
            <w:tcW w:w="120" w:type="dxa"/>
            <w:vAlign w:val="bottom"/>
            <w:tcBorders>
              <w:top w:val="single" w:sz="8" w:color="0000FF"/>
              <w:bottom w:val="single" w:sz="8" w:color="CCEEFF"/>
            </w:tcBorders>
            <w:shd w:val="clear" w:color="auto" w:fill="CCEEFF"/>
          </w:tcPr>
          <w:p>
            <w:pPr>
              <w:spacing w:after="0"/>
              <w:rPr>
                <w:sz w:val="17"/>
                <w:szCs w:val="17"/>
                <w:color w:val="auto"/>
              </w:rPr>
            </w:pPr>
          </w:p>
        </w:tc>
        <w:tc>
          <w:tcPr>
            <w:tcW w:w="180" w:type="dxa"/>
            <w:vAlign w:val="bottom"/>
            <w:tcBorders>
              <w:top w:val="single" w:sz="8" w:color="0000FF"/>
              <w:bottom w:val="single" w:sz="8" w:color="CCEEFF"/>
            </w:tcBorders>
            <w:shd w:val="clear" w:color="auto" w:fill="CCEEFF"/>
          </w:tcPr>
          <w:p>
            <w:pPr>
              <w:spacing w:after="0"/>
              <w:rPr>
                <w:sz w:val="17"/>
                <w:szCs w:val="17"/>
                <w:color w:val="auto"/>
              </w:rPr>
            </w:pPr>
          </w:p>
        </w:tc>
        <w:tc>
          <w:tcPr>
            <w:tcW w:w="80" w:type="dxa"/>
            <w:vAlign w:val="bottom"/>
            <w:tcBorders>
              <w:top w:val="single" w:sz="8" w:color="0000FF"/>
              <w:bottom w:val="single" w:sz="8" w:color="CCEEFF"/>
            </w:tcBorders>
            <w:shd w:val="clear" w:color="auto" w:fill="CCEEFF"/>
          </w:tcPr>
          <w:p>
            <w:pPr>
              <w:spacing w:after="0"/>
              <w:rPr>
                <w:sz w:val="17"/>
                <w:szCs w:val="17"/>
                <w:color w:val="auto"/>
              </w:rPr>
            </w:pPr>
          </w:p>
        </w:tc>
        <w:tc>
          <w:tcPr>
            <w:tcW w:w="380" w:type="dxa"/>
            <w:vAlign w:val="bottom"/>
            <w:tcBorders>
              <w:top w:val="single" w:sz="8" w:color="0000FF"/>
              <w:bottom w:val="single" w:sz="8" w:color="CCEEFF"/>
            </w:tcBorders>
            <w:shd w:val="clear" w:color="auto" w:fill="CCEEFF"/>
          </w:tcPr>
          <w:p>
            <w:pPr>
              <w:spacing w:after="0"/>
              <w:rPr>
                <w:sz w:val="17"/>
                <w:szCs w:val="17"/>
                <w:color w:val="auto"/>
              </w:rPr>
            </w:pPr>
          </w:p>
        </w:tc>
        <w:tc>
          <w:tcPr>
            <w:tcW w:w="180" w:type="dxa"/>
            <w:vAlign w:val="bottom"/>
            <w:tcBorders>
              <w:top w:val="single" w:sz="8" w:color="0000FF"/>
              <w:bottom w:val="single" w:sz="8" w:color="CCEEFF"/>
            </w:tcBorders>
            <w:shd w:val="clear" w:color="auto" w:fill="CCEEFF"/>
          </w:tcPr>
          <w:p>
            <w:pPr>
              <w:spacing w:after="0"/>
              <w:rPr>
                <w:sz w:val="17"/>
                <w:szCs w:val="17"/>
                <w:color w:val="auto"/>
              </w:rPr>
            </w:pPr>
          </w:p>
        </w:tc>
        <w:tc>
          <w:tcPr>
            <w:tcW w:w="880" w:type="dxa"/>
            <w:vAlign w:val="bottom"/>
            <w:tcBorders>
              <w:top w:val="single" w:sz="8" w:color="0000FF"/>
              <w:bottom w:val="single" w:sz="8" w:color="CCEEFF"/>
            </w:tcBorders>
            <w:shd w:val="clear" w:color="auto" w:fill="CCEEFF"/>
          </w:tcPr>
          <w:p>
            <w:pPr>
              <w:spacing w:after="0"/>
              <w:rPr>
                <w:sz w:val="17"/>
                <w:szCs w:val="17"/>
                <w:color w:val="auto"/>
              </w:rPr>
            </w:pPr>
          </w:p>
        </w:tc>
        <w:tc>
          <w:tcPr>
            <w:tcW w:w="1140" w:type="dxa"/>
            <w:vAlign w:val="bottom"/>
            <w:tcBorders>
              <w:top w:val="single" w:sz="8" w:color="0000FF"/>
              <w:bottom w:val="single" w:sz="8" w:color="CCEEFF"/>
            </w:tcBorders>
            <w:shd w:val="clear" w:color="auto" w:fill="CCEEFF"/>
          </w:tcPr>
          <w:p>
            <w:pPr>
              <w:spacing w:after="0"/>
              <w:rPr>
                <w:sz w:val="17"/>
                <w:szCs w:val="17"/>
                <w:color w:val="auto"/>
              </w:rPr>
            </w:pPr>
          </w:p>
        </w:tc>
        <w:tc>
          <w:tcPr>
            <w:tcW w:w="560" w:type="dxa"/>
            <w:vAlign w:val="bottom"/>
            <w:tcBorders>
              <w:top w:val="single" w:sz="8" w:color="0000FF"/>
              <w:bottom w:val="single" w:sz="8" w:color="CCEEFF"/>
            </w:tcBorders>
            <w:shd w:val="clear" w:color="auto" w:fill="CCEEFF"/>
          </w:tcPr>
          <w:p>
            <w:pPr>
              <w:spacing w:after="0"/>
              <w:rPr>
                <w:sz w:val="17"/>
                <w:szCs w:val="17"/>
                <w:color w:val="auto"/>
              </w:rPr>
            </w:pPr>
          </w:p>
        </w:tc>
        <w:tc>
          <w:tcPr>
            <w:tcW w:w="1540" w:type="dxa"/>
            <w:vAlign w:val="bottom"/>
            <w:tcBorders>
              <w:top w:val="single" w:sz="8" w:color="0000FF"/>
              <w:bottom w:val="single" w:sz="8" w:color="CCEEFF"/>
            </w:tcBorders>
            <w:shd w:val="clear" w:color="auto" w:fill="CCEEFF"/>
          </w:tcPr>
          <w:p>
            <w:pPr>
              <w:spacing w:after="0"/>
              <w:rPr>
                <w:sz w:val="17"/>
                <w:szCs w:val="17"/>
                <w:color w:val="auto"/>
              </w:rPr>
            </w:pPr>
          </w:p>
        </w:tc>
        <w:tc>
          <w:tcPr>
            <w:tcW w:w="820" w:type="dxa"/>
            <w:vAlign w:val="bottom"/>
            <w:tcBorders>
              <w:top w:val="single" w:sz="8" w:color="0000FF"/>
              <w:bottom w:val="single" w:sz="8" w:color="CCEEFF"/>
            </w:tcBorders>
            <w:shd w:val="clear" w:color="auto" w:fill="CCEEFF"/>
          </w:tcPr>
          <w:p>
            <w:pPr>
              <w:spacing w:after="0"/>
              <w:rPr>
                <w:sz w:val="17"/>
                <w:szCs w:val="17"/>
                <w:color w:val="auto"/>
              </w:rPr>
            </w:pPr>
          </w:p>
        </w:tc>
        <w:tc>
          <w:tcPr>
            <w:tcW w:w="1080" w:type="dxa"/>
            <w:vAlign w:val="bottom"/>
            <w:tcBorders>
              <w:top w:val="single" w:sz="8" w:color="0000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CCEEFF"/>
              <w:bottom w:val="single" w:sz="8" w:color="CCEEFF"/>
            </w:tcBorders>
            <w:vMerge w:val="continue"/>
            <w:shd w:val="clear" w:color="auto" w:fill="CCEEFF"/>
          </w:tcPr>
          <w:p>
            <w:pPr>
              <w:spacing w:after="0"/>
              <w:rPr>
                <w:sz w:val="17"/>
                <w:szCs w:val="17"/>
                <w:color w:val="auto"/>
              </w:rPr>
            </w:pPr>
          </w:p>
        </w:tc>
        <w:tc>
          <w:tcPr>
            <w:tcW w:w="180" w:type="dxa"/>
            <w:vAlign w:val="bottom"/>
            <w:tcBorders>
              <w:top w:val="single" w:sz="8" w:color="CCEEFF"/>
              <w:bottom w:val="single" w:sz="8" w:color="0000FF"/>
            </w:tcBorders>
            <w:gridSpan w:val="2"/>
            <w:vMerge w:val="continue"/>
            <w:shd w:val="clear" w:color="auto" w:fill="CCEEFF"/>
          </w:tcPr>
          <w:p>
            <w:pPr>
              <w:spacing w:after="0"/>
              <w:rPr>
                <w:sz w:val="17"/>
                <w:szCs w:val="17"/>
                <w:color w:val="auto"/>
              </w:rPr>
            </w:pPr>
          </w:p>
        </w:tc>
        <w:tc>
          <w:tcPr>
            <w:tcW w:w="4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700" w:type="dxa"/>
            <w:vAlign w:val="bottom"/>
            <w:gridSpan w:val="21"/>
          </w:tcPr>
          <w:p>
            <w:pPr>
              <w:spacing w:after="0" w:line="183" w:lineRule="exact"/>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900" w:type="dxa"/>
            <w:vAlign w:val="bottom"/>
            <w:gridSpan w:val="3"/>
          </w:tcPr>
          <w:p>
            <w:pPr>
              <w:jc w:val="right"/>
              <w:spacing w:after="0" w:line="183" w:lineRule="exact"/>
              <w:rPr>
                <w:sz w:val="20"/>
                <w:szCs w:val="20"/>
                <w:color w:val="auto"/>
              </w:rPr>
            </w:pPr>
            <w:r>
              <w:rPr>
                <w:rFonts w:ascii="Times New Roman" w:cs="Times New Roman" w:eastAsia="Times New Roman" w:hAnsi="Times New Roman"/>
                <w:sz w:val="18"/>
                <w:szCs w:val="18"/>
                <w:color w:val="0000FF"/>
              </w:rPr>
              <w:t>12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2 —</w:t>
            </w:r>
          </w:p>
        </w:tc>
        <w:tc>
          <w:tcPr>
            <w:tcW w:w="870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0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43</w:t>
            </w:r>
          </w:p>
        </w:tc>
        <w:tc>
          <w:tcPr>
            <w:tcW w:w="4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5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5"/>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3 —</w:t>
            </w:r>
          </w:p>
        </w:tc>
        <w:tc>
          <w:tcPr>
            <w:tcW w:w="870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78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4 —</w:t>
            </w:r>
          </w:p>
        </w:tc>
        <w:tc>
          <w:tcPr>
            <w:tcW w:w="870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90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78</w:t>
            </w:r>
          </w:p>
        </w:tc>
        <w:tc>
          <w:tcPr>
            <w:tcW w:w="4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20" w:type="dxa"/>
            <w:vAlign w:val="bottom"/>
          </w:tcPr>
          <w:p>
            <w:pPr>
              <w:spacing w:after="0"/>
              <w:rPr>
                <w:sz w:val="24"/>
                <w:szCs w:val="24"/>
                <w:color w:val="auto"/>
              </w:rPr>
            </w:pPr>
          </w:p>
        </w:tc>
        <w:tc>
          <w:tcPr>
            <w:tcW w:w="10280" w:type="dxa"/>
            <w:vAlign w:val="bottom"/>
            <w:gridSpan w:val="27"/>
          </w:tcPr>
          <w:p>
            <w:pPr>
              <w:spacing w:after="0"/>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Item 1 —</w:t>
            </w:r>
          </w:p>
        </w:tc>
        <w:tc>
          <w:tcPr>
            <w:tcW w:w="640" w:type="dxa"/>
            <w:vAlign w:val="bottom"/>
            <w:gridSpan w:val="3"/>
            <w:shd w:val="clear" w:color="auto" w:fill="CCEEFF"/>
          </w:tcPr>
          <w:p>
            <w:pPr>
              <w:spacing w:after="0"/>
              <w:rPr>
                <w:sz w:val="16"/>
                <w:szCs w:val="16"/>
                <w:color w:val="auto"/>
              </w:rPr>
            </w:pPr>
          </w:p>
        </w:tc>
        <w:tc>
          <w:tcPr>
            <w:tcW w:w="870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90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80</w:t>
            </w:r>
          </w:p>
        </w:tc>
        <w:tc>
          <w:tcPr>
            <w:tcW w:w="4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FF"/>
              </w:rPr>
              <w:t>Item 1A —</w:t>
            </w:r>
          </w:p>
        </w:tc>
        <w:tc>
          <w:tcPr>
            <w:tcW w:w="870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9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80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Item 2 —</w:t>
            </w:r>
          </w:p>
        </w:tc>
        <w:tc>
          <w:tcPr>
            <w:tcW w:w="640" w:type="dxa"/>
            <w:vAlign w:val="bottom"/>
            <w:gridSpan w:val="3"/>
            <w:shd w:val="clear" w:color="auto" w:fill="CCEEFF"/>
          </w:tcPr>
          <w:p>
            <w:pPr>
              <w:spacing w:after="0"/>
              <w:rPr>
                <w:sz w:val="16"/>
                <w:szCs w:val="16"/>
                <w:color w:val="auto"/>
              </w:rPr>
            </w:pPr>
          </w:p>
        </w:tc>
        <w:tc>
          <w:tcPr>
            <w:tcW w:w="434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360" w:type="dxa"/>
            <w:vAlign w:val="bottom"/>
            <w:gridSpan w:val="7"/>
            <w:shd w:val="clear" w:color="auto" w:fill="CCEEFF"/>
          </w:tcPr>
          <w:p>
            <w:pPr>
              <w:spacing w:after="0"/>
              <w:rPr>
                <w:sz w:val="16"/>
                <w:szCs w:val="16"/>
                <w:color w:val="auto"/>
              </w:rPr>
            </w:pPr>
          </w:p>
        </w:tc>
        <w:tc>
          <w:tcPr>
            <w:tcW w:w="90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80</w:t>
            </w:r>
          </w:p>
        </w:tc>
        <w:tc>
          <w:tcPr>
            <w:tcW w:w="4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FF"/>
                <w:w w:val="98"/>
              </w:rPr>
              <w:t>Item 3 —</w:t>
            </w:r>
          </w:p>
        </w:tc>
        <w:tc>
          <w:tcPr>
            <w:tcW w:w="640" w:type="dxa"/>
            <w:vAlign w:val="bottom"/>
            <w:gridSpan w:val="3"/>
          </w:tcPr>
          <w:p>
            <w:pPr>
              <w:spacing w:after="0"/>
              <w:rPr>
                <w:sz w:val="16"/>
                <w:szCs w:val="16"/>
                <w:color w:val="auto"/>
              </w:rPr>
            </w:pPr>
          </w:p>
        </w:tc>
        <w:tc>
          <w:tcPr>
            <w:tcW w:w="434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4360" w:type="dxa"/>
            <w:vAlign w:val="bottom"/>
            <w:gridSpan w:val="7"/>
          </w:tcPr>
          <w:p>
            <w:pPr>
              <w:spacing w:after="0"/>
              <w:rPr>
                <w:sz w:val="16"/>
                <w:szCs w:val="16"/>
                <w:color w:val="auto"/>
              </w:rPr>
            </w:pPr>
          </w:p>
        </w:tc>
        <w:tc>
          <w:tcPr>
            <w:tcW w:w="9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80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Item 4 —</w:t>
            </w:r>
          </w:p>
        </w:tc>
        <w:tc>
          <w:tcPr>
            <w:tcW w:w="640" w:type="dxa"/>
            <w:vAlign w:val="bottom"/>
            <w:gridSpan w:val="3"/>
            <w:shd w:val="clear" w:color="auto" w:fill="CCEEFF"/>
          </w:tcPr>
          <w:p>
            <w:pPr>
              <w:spacing w:after="0"/>
              <w:rPr>
                <w:sz w:val="16"/>
                <w:szCs w:val="16"/>
                <w:color w:val="auto"/>
              </w:rPr>
            </w:pPr>
          </w:p>
        </w:tc>
        <w:tc>
          <w:tcPr>
            <w:tcW w:w="870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90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80</w:t>
            </w:r>
          </w:p>
        </w:tc>
        <w:tc>
          <w:tcPr>
            <w:tcW w:w="4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FF"/>
                <w:w w:val="98"/>
              </w:rPr>
              <w:t>Item 5 —</w:t>
            </w:r>
          </w:p>
        </w:tc>
        <w:tc>
          <w:tcPr>
            <w:tcW w:w="640" w:type="dxa"/>
            <w:vAlign w:val="bottom"/>
            <w:gridSpan w:val="3"/>
          </w:tcPr>
          <w:p>
            <w:pPr>
              <w:spacing w:after="0"/>
              <w:rPr>
                <w:sz w:val="16"/>
                <w:szCs w:val="16"/>
                <w:color w:val="auto"/>
              </w:rPr>
            </w:pPr>
          </w:p>
        </w:tc>
        <w:tc>
          <w:tcPr>
            <w:tcW w:w="1760" w:type="dxa"/>
            <w:vAlign w:val="bottom"/>
            <w:gridSpan w:val="10"/>
          </w:tcPr>
          <w:p>
            <w:pPr>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6940" w:type="dxa"/>
            <w:vAlign w:val="bottom"/>
            <w:gridSpan w:val="11"/>
          </w:tcPr>
          <w:p>
            <w:pPr>
              <w:spacing w:after="0"/>
              <w:rPr>
                <w:sz w:val="16"/>
                <w:szCs w:val="16"/>
                <w:color w:val="auto"/>
              </w:rPr>
            </w:pPr>
          </w:p>
        </w:tc>
        <w:tc>
          <w:tcPr>
            <w:tcW w:w="9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80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Item 6 —</w:t>
            </w:r>
          </w:p>
        </w:tc>
        <w:tc>
          <w:tcPr>
            <w:tcW w:w="640" w:type="dxa"/>
            <w:vAlign w:val="bottom"/>
            <w:gridSpan w:val="3"/>
            <w:shd w:val="clear" w:color="auto" w:fill="CCEEFF"/>
          </w:tcPr>
          <w:p>
            <w:pPr>
              <w:spacing w:after="0"/>
              <w:rPr>
                <w:sz w:val="16"/>
                <w:szCs w:val="16"/>
                <w:color w:val="auto"/>
              </w:rPr>
            </w:pPr>
          </w:p>
        </w:tc>
        <w:tc>
          <w:tcPr>
            <w:tcW w:w="6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6"/>
              </w:rPr>
              <w:t>Exhibits</w:t>
            </w:r>
          </w:p>
        </w:tc>
        <w:tc>
          <w:tcPr>
            <w:tcW w:w="8100" w:type="dxa"/>
            <w:vAlign w:val="bottom"/>
            <w:gridSpan w:val="19"/>
            <w:shd w:val="clear" w:color="auto" w:fill="CCEEFF"/>
          </w:tcPr>
          <w:p>
            <w:pPr>
              <w:spacing w:after="0"/>
              <w:rPr>
                <w:sz w:val="16"/>
                <w:szCs w:val="16"/>
                <w:color w:val="auto"/>
              </w:rPr>
            </w:pPr>
          </w:p>
        </w:tc>
        <w:tc>
          <w:tcPr>
            <w:tcW w:w="90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81</w:t>
            </w:r>
          </w:p>
        </w:tc>
        <w:tc>
          <w:tcPr>
            <w:tcW w:w="4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w w:val="97"/>
              </w:rPr>
              <w:t>Signatures</w:t>
            </w:r>
          </w:p>
        </w:tc>
        <w:tc>
          <w:tcPr>
            <w:tcW w:w="7940" w:type="dxa"/>
            <w:vAlign w:val="bottom"/>
            <w:gridSpan w:val="18"/>
          </w:tcPr>
          <w:p>
            <w:pPr>
              <w:spacing w:after="0"/>
              <w:rPr>
                <w:sz w:val="16"/>
                <w:szCs w:val="16"/>
                <w:color w:val="auto"/>
              </w:rPr>
            </w:pPr>
          </w:p>
        </w:tc>
        <w:tc>
          <w:tcPr>
            <w:tcW w:w="9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82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5"/>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Borders>
              <w:top w:val="single" w:sz="8" w:color="0000FF"/>
            </w:tcBorders>
            <w:gridSpan w:val="3"/>
          </w:tcPr>
          <w:p>
            <w:pPr>
              <w:spacing w:after="0"/>
              <w:rPr>
                <w:sz w:val="24"/>
                <w:szCs w:val="24"/>
                <w:color w:val="auto"/>
              </w:rPr>
            </w:pPr>
          </w:p>
        </w:tc>
        <w:tc>
          <w:tcPr>
            <w:tcW w:w="3580" w:type="dxa"/>
            <w:vAlign w:val="bottom"/>
            <w:gridSpan w:val="11"/>
          </w:tcPr>
          <w:p>
            <w:pPr>
              <w:jc w:val="center"/>
              <w:ind w:left="2850"/>
              <w:spacing w:after="0"/>
              <w:rPr>
                <w:sz w:val="20"/>
                <w:szCs w:val="20"/>
                <w:color w:val="auto"/>
              </w:rPr>
            </w:pPr>
            <w:r>
              <w:rPr>
                <w:rFonts w:ascii="Times New Roman" w:cs="Times New Roman" w:eastAsia="Times New Roman" w:hAnsi="Times New Roman"/>
                <w:sz w:val="18"/>
                <w:szCs w:val="18"/>
                <w:color w:val="auto"/>
                <w:w w:val="88"/>
              </w:rPr>
              <w:t>2</w:t>
            </w:r>
          </w:p>
        </w:tc>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188"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8"/>
          <w:szCs w:val="18"/>
          <w:color w:val="auto"/>
        </w:rPr>
        <w:t>This Quarterly Report contains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within the meaning of the Private Securities Litigation Reform Act of 1995. The events described in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contained in this Quarterly Report may not occur. Generally, these statements relate to business plans or strategies, projected or anticipated results or other consequences of our plans or strategies, projected or anticipated results from acquisitions to be made by us, or projections involving anticipated revenues, earnings, costs or other aspects of our operating results. The words “may,” “will,” “expect,” “believe,” “anticipate,” “project,” “plan,” “intend,” “estimate,” and “continue,” and their opposites and similar expressions are intended to identify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We caution you that these statements are not guarantees of future performance or events and are subject to a number of uncertainties, risks and other influences, many of which are beyond our control, which may influence the accuracy of the statements and the projections upon which the statements are based. Factors which may cause actual results and outcomes to differ materially from those contained in the forward-looking statements include, but are not limited to, the risks and uncertainties discussed in Part I, Item 1A (“Risk Factors”) of our Annual Report on Form 10-K for the year ended December 31, 2024, Part I, Item 2 of this Quarterly Report and Part II, Item 1A of this Quarterly Report.</w:t>
      </w:r>
    </w:p>
    <w:p>
      <w:pPr>
        <w:spacing w:after="0" w:line="160" w:lineRule="exact"/>
        <w:rPr>
          <w:sz w:val="20"/>
          <w:szCs w:val="20"/>
          <w:color w:val="auto"/>
        </w:rPr>
      </w:pPr>
    </w:p>
    <w:p>
      <w:pPr>
        <w:jc w:val="both"/>
        <w:spacing w:after="0" w:line="231" w:lineRule="exact"/>
        <w:rPr>
          <w:sz w:val="20"/>
          <w:szCs w:val="20"/>
          <w:color w:val="auto"/>
        </w:rPr>
      </w:pPr>
      <w:r>
        <w:rPr>
          <w:rFonts w:ascii="Times New Roman" w:cs="Times New Roman" w:eastAsia="Times New Roman" w:hAnsi="Times New Roman"/>
          <w:sz w:val="18"/>
          <w:szCs w:val="18"/>
          <w:color w:val="auto"/>
        </w:rPr>
        <w:t>Any one or more of these uncertainties, risks and other influences could materially affect our results of operations and whether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made by us ultimately prove to be accurate. Our actual results, performance and achievements could differ materially from those expressed or implied in these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We undertake no obligation to publicly update or revise any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whether from new information, future events or otherwise except as required by law.</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ind w:right="2979"/>
        <w:spacing w:after="0"/>
        <w:rPr>
          <w:sz w:val="20"/>
          <w:szCs w:val="20"/>
          <w:color w:val="auto"/>
        </w:rPr>
      </w:pPr>
      <w:r>
        <w:rPr>
          <w:rFonts w:ascii="Times New Roman" w:cs="Times New Roman" w:eastAsia="Times New Roman" w:hAnsi="Times New Roman"/>
          <w:sz w:val="18"/>
          <w:szCs w:val="18"/>
          <w:b w:val="1"/>
          <w:bCs w:val="1"/>
          <w:color w:val="auto"/>
        </w:rPr>
        <w:t xml:space="preserve">PART I. </w:t>
      </w:r>
      <w:r>
        <w:rPr>
          <w:rFonts w:ascii="Times New Roman" w:cs="Times New Roman" w:eastAsia="Times New Roman" w:hAnsi="Times New Roman"/>
          <w:sz w:val="18"/>
          <w:szCs w:val="18"/>
          <w:b w:val="1"/>
          <w:bCs w:val="1"/>
          <w:u w:val="single" w:color="auto"/>
          <w:color w:val="auto"/>
        </w:rPr>
        <w:t>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u w:val="single" w:color="auto"/>
          <w:color w:val="auto"/>
        </w:rPr>
        <w:t>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9"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KINGSTONE COMPANIES, INC. AND SUBSIDIARIES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39"/>
        </w:trPr>
        <w:tc>
          <w:tcPr>
            <w:tcW w:w="8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2"/>
        </w:trPr>
        <w:tc>
          <w:tcPr>
            <w:tcW w:w="8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Fixed-maturity securities, held-to-maturity, at amortized cost (fair value of $5,174,675 at September 30, 2025 and</w:t>
            </w: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6,043,708</w:t>
            </w:r>
          </w:p>
        </w:tc>
        <w:tc>
          <w:tcPr>
            <w:tcW w:w="10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7,047,342</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$5,959,265 at December 31, 2024)</w:t>
            </w:r>
          </w:p>
        </w:tc>
        <w:tc>
          <w:tcPr>
            <w:tcW w:w="200" w:type="dxa"/>
            <w:vAlign w:val="bottom"/>
            <w:vMerge w:val="continue"/>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8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Fixed-maturity securities, available-for-sale, at fair value (amortized cost of $261,180,534 at September 30, 2025 and</w:t>
            </w:r>
          </w:p>
        </w:tc>
        <w:tc>
          <w:tcPr>
            <w:tcW w:w="200" w:type="dxa"/>
            <w:vAlign w:val="bottom"/>
          </w:tcPr>
          <w:p>
            <w:pPr>
              <w:spacing w:after="0"/>
              <w:rPr>
                <w:sz w:val="16"/>
                <w:szCs w:val="16"/>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252,640,428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186,893,438</w:t>
            </w:r>
          </w:p>
        </w:tc>
        <w:tc>
          <w:tcPr>
            <w:tcW w:w="0" w:type="dxa"/>
            <w:vAlign w:val="bottom"/>
          </w:tcPr>
          <w:p>
            <w:pPr>
              <w:spacing w:after="0"/>
              <w:rPr>
                <w:sz w:val="1"/>
                <w:szCs w:val="1"/>
                <w:color w:val="auto"/>
              </w:rPr>
            </w:pPr>
          </w:p>
        </w:tc>
      </w:tr>
      <w:tr>
        <w:trPr>
          <w:trHeight w:val="220"/>
        </w:trPr>
        <w:tc>
          <w:tcPr>
            <w:tcW w:w="8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$202,308,158 at December 31, 2024)</w:t>
            </w:r>
          </w:p>
        </w:tc>
        <w:tc>
          <w:tcPr>
            <w:tcW w:w="20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Equity securities, at fair value (cost of $13,546,654 at September 30, 2025 and $13,527,554 at December 31, 2024)</w:t>
            </w: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10,409,833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10,296,505</w:t>
            </w:r>
          </w:p>
        </w:tc>
        <w:tc>
          <w:tcPr>
            <w:tcW w:w="0" w:type="dxa"/>
            <w:vAlign w:val="bottom"/>
          </w:tcPr>
          <w:p>
            <w:pPr>
              <w:spacing w:after="0"/>
              <w:rPr>
                <w:sz w:val="1"/>
                <w:szCs w:val="1"/>
                <w:color w:val="auto"/>
              </w:rPr>
            </w:pPr>
          </w:p>
        </w:tc>
      </w:tr>
      <w:tr>
        <w:trPr>
          <w:trHeight w:val="210"/>
        </w:trPr>
        <w:tc>
          <w:tcPr>
            <w:tcW w:w="8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investments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4,889,148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4,380,656</w:t>
            </w:r>
          </w:p>
        </w:tc>
        <w:tc>
          <w:tcPr>
            <w:tcW w:w="0" w:type="dxa"/>
            <w:vAlign w:val="bottom"/>
          </w:tcPr>
          <w:p>
            <w:pPr>
              <w:spacing w:after="0"/>
              <w:rPr>
                <w:sz w:val="1"/>
                <w:szCs w:val="1"/>
                <w:color w:val="auto"/>
              </w:rPr>
            </w:pPr>
          </w:p>
        </w:tc>
      </w:tr>
      <w:tr>
        <w:trPr>
          <w:trHeight w:val="33"/>
        </w:trPr>
        <w:tc>
          <w:tcPr>
            <w:tcW w:w="8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1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investments</w:t>
            </w: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273,983,117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208,617,941</w:t>
            </w:r>
          </w:p>
        </w:tc>
        <w:tc>
          <w:tcPr>
            <w:tcW w:w="0" w:type="dxa"/>
            <w:vAlign w:val="bottom"/>
          </w:tcPr>
          <w:p>
            <w:pPr>
              <w:spacing w:after="0"/>
              <w:rPr>
                <w:sz w:val="1"/>
                <w:szCs w:val="1"/>
                <w:color w:val="auto"/>
              </w:rPr>
            </w:pPr>
          </w:p>
        </w:tc>
      </w:tr>
      <w:tr>
        <w:trPr>
          <w:trHeight w:val="210"/>
        </w:trPr>
        <w:tc>
          <w:tcPr>
            <w:tcW w:w="81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26,772,302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28,669,441</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Premiums receivable, net of allowance for credit losses of $477,154 at September 30, 2025, 2025 and $402,290 at</w:t>
            </w:r>
          </w:p>
        </w:tc>
        <w:tc>
          <w:tcPr>
            <w:tcW w:w="200" w:type="dxa"/>
            <w:vAlign w:val="bottom"/>
            <w:shd w:val="clear" w:color="auto" w:fill="CCEEFF"/>
          </w:tcPr>
          <w:p>
            <w:pPr>
              <w:spacing w:after="0"/>
              <w:rPr>
                <w:sz w:val="16"/>
                <w:szCs w:val="16"/>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18,252,649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21,766,988</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December 31, 2024</w:t>
            </w:r>
          </w:p>
        </w:tc>
        <w:tc>
          <w:tcPr>
            <w:tcW w:w="20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Reinsurance receivables, net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60,019,060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69,322,436</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reinsurance</w:t>
            </w:r>
          </w:p>
        </w:tc>
        <w:tc>
          <w:tcPr>
            <w:tcW w:w="2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2,142,329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8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policy acquisition costs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25,377,781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24,732,371</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Intangible assets</w:t>
            </w:r>
          </w:p>
        </w:tc>
        <w:tc>
          <w:tcPr>
            <w:tcW w:w="2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0" w:type="dxa"/>
            <w:vAlign w:val="bottom"/>
          </w:tcPr>
          <w:p>
            <w:pPr>
              <w:spacing w:after="0"/>
              <w:rPr>
                <w:sz w:val="1"/>
                <w:szCs w:val="1"/>
                <w:color w:val="auto"/>
              </w:rPr>
            </w:pPr>
          </w:p>
        </w:tc>
      </w:tr>
      <w:tr>
        <w:trPr>
          <w:trHeight w:val="210"/>
        </w:trPr>
        <w:tc>
          <w:tcPr>
            <w:tcW w:w="8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7,861,007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9,283,970</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2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4,138,144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5,597,920</w:t>
            </w:r>
          </w:p>
        </w:tc>
        <w:tc>
          <w:tcPr>
            <w:tcW w:w="0" w:type="dxa"/>
            <w:vAlign w:val="bottom"/>
          </w:tcPr>
          <w:p>
            <w:pPr>
              <w:spacing w:after="0"/>
              <w:rPr>
                <w:sz w:val="1"/>
                <w:szCs w:val="1"/>
                <w:color w:val="auto"/>
              </w:rPr>
            </w:pPr>
          </w:p>
        </w:tc>
      </w:tr>
      <w:tr>
        <w:trPr>
          <w:trHeight w:val="210"/>
        </w:trPr>
        <w:tc>
          <w:tcPr>
            <w:tcW w:w="8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9,543,853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6,424,776</w:t>
            </w:r>
          </w:p>
        </w:tc>
        <w:tc>
          <w:tcPr>
            <w:tcW w:w="0" w:type="dxa"/>
            <w:vAlign w:val="bottom"/>
          </w:tcPr>
          <w:p>
            <w:pPr>
              <w:spacing w:after="0"/>
              <w:rPr>
                <w:sz w:val="1"/>
                <w:szCs w:val="1"/>
                <w:color w:val="auto"/>
              </w:rPr>
            </w:pPr>
          </w:p>
        </w:tc>
      </w:tr>
      <w:tr>
        <w:trPr>
          <w:trHeight w:val="33"/>
        </w:trPr>
        <w:tc>
          <w:tcPr>
            <w:tcW w:w="8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428,590,242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374,915,843</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81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 and loss adjustment expense reserves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141,194,246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126,210,428</w:t>
            </w:r>
          </w:p>
        </w:tc>
        <w:tc>
          <w:tcPr>
            <w:tcW w:w="0" w:type="dxa"/>
            <w:vAlign w:val="bottom"/>
          </w:tcPr>
          <w:p>
            <w:pPr>
              <w:spacing w:after="0"/>
              <w:rPr>
                <w:sz w:val="1"/>
                <w:szCs w:val="1"/>
                <w:color w:val="auto"/>
              </w:rPr>
            </w:pPr>
          </w:p>
        </w:tc>
      </w:tr>
      <w:tr>
        <w:trPr>
          <w:trHeight w:val="210"/>
        </w:trPr>
        <w:tc>
          <w:tcPr>
            <w:tcW w:w="8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Unearned premiums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140,041,140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134,701,733</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Advance premiums</w:t>
            </w:r>
          </w:p>
        </w:tc>
        <w:tc>
          <w:tcPr>
            <w:tcW w:w="2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7,711,957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3,503,063</w:t>
            </w:r>
          </w:p>
        </w:tc>
        <w:tc>
          <w:tcPr>
            <w:tcW w:w="0" w:type="dxa"/>
            <w:vAlign w:val="bottom"/>
          </w:tcPr>
          <w:p>
            <w:pPr>
              <w:spacing w:after="0"/>
              <w:rPr>
                <w:sz w:val="1"/>
                <w:szCs w:val="1"/>
                <w:color w:val="auto"/>
              </w:rPr>
            </w:pPr>
          </w:p>
        </w:tc>
      </w:tr>
      <w:tr>
        <w:trPr>
          <w:trHeight w:val="210"/>
        </w:trPr>
        <w:tc>
          <w:tcPr>
            <w:tcW w:w="8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Reinsurance balances payable</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5,690,029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10,509,121</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ceding commission revenue</w:t>
            </w:r>
          </w:p>
        </w:tc>
        <w:tc>
          <w:tcPr>
            <w:tcW w:w="2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7,562,417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11,541,239</w:t>
            </w:r>
          </w:p>
        </w:tc>
        <w:tc>
          <w:tcPr>
            <w:tcW w:w="0" w:type="dxa"/>
            <w:vAlign w:val="bottom"/>
          </w:tcPr>
          <w:p>
            <w:pPr>
              <w:spacing w:after="0"/>
              <w:rPr>
                <w:sz w:val="1"/>
                <w:szCs w:val="1"/>
                <w:color w:val="auto"/>
              </w:rPr>
            </w:pPr>
          </w:p>
        </w:tc>
      </w:tr>
      <w:tr>
        <w:trPr>
          <w:trHeight w:val="210"/>
        </w:trPr>
        <w:tc>
          <w:tcPr>
            <w:tcW w:w="8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 accrued expenses and other liabilities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12,152,437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10,570,388</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taxes payable</w:t>
            </w:r>
          </w:p>
        </w:tc>
        <w:tc>
          <w:tcPr>
            <w:tcW w:w="2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1,832,290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8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Debt, net (current $1,278,094 and long-term $3,474,590 at September 30, 2025, current $6,849,257 and long-term</w:t>
            </w:r>
          </w:p>
        </w:tc>
        <w:tc>
          <w:tcPr>
            <w:tcW w:w="200" w:type="dxa"/>
            <w:vAlign w:val="bottom"/>
          </w:tcPr>
          <w:p>
            <w:pPr>
              <w:spacing w:after="0"/>
              <w:rPr>
                <w:sz w:val="16"/>
                <w:szCs w:val="16"/>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4,752,684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11,171,420</w:t>
            </w:r>
          </w:p>
        </w:tc>
        <w:tc>
          <w:tcPr>
            <w:tcW w:w="0" w:type="dxa"/>
            <w:vAlign w:val="bottom"/>
          </w:tcPr>
          <w:p>
            <w:pPr>
              <w:spacing w:after="0"/>
              <w:rPr>
                <w:sz w:val="1"/>
                <w:szCs w:val="1"/>
                <w:color w:val="auto"/>
              </w:rPr>
            </w:pPr>
          </w:p>
        </w:tc>
      </w:tr>
      <w:tr>
        <w:trPr>
          <w:trHeight w:val="223"/>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$4,322,163 at December 31, 2024)</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320,937,200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308,207,392</w:t>
            </w:r>
          </w:p>
        </w:tc>
        <w:tc>
          <w:tcPr>
            <w:tcW w:w="0" w:type="dxa"/>
            <w:vAlign w:val="bottom"/>
          </w:tcPr>
          <w:p>
            <w:pPr>
              <w:spacing w:after="0"/>
              <w:rPr>
                <w:sz w:val="1"/>
                <w:szCs w:val="1"/>
                <w:color w:val="auto"/>
              </w:rPr>
            </w:pPr>
          </w:p>
        </w:tc>
      </w:tr>
      <w:tr>
        <w:trPr>
          <w:trHeight w:val="204"/>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 (Note 11)</w:t>
            </w: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Preferred stock, $0.01 par value; authorized 2,500,000 shares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Common stock, $0.01 par value; authorized 20,000,000 shares; issued 15,671,553 shares at September 30, 2025 and</w:t>
            </w: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8100" w:type="dxa"/>
            <w:vAlign w:val="bottom"/>
            <w:shd w:val="clear" w:color="auto" w:fill="CCEEFF"/>
          </w:tcPr>
          <w:p>
            <w:pPr>
              <w:ind w:left="220"/>
              <w:spacing w:after="0" w:line="175" w:lineRule="exact"/>
              <w:rPr>
                <w:sz w:val="20"/>
                <w:szCs w:val="20"/>
                <w:color w:val="auto"/>
              </w:rPr>
            </w:pPr>
            <w:r>
              <w:rPr>
                <w:rFonts w:ascii="Times New Roman" w:cs="Times New Roman" w:eastAsia="Times New Roman" w:hAnsi="Times New Roman"/>
                <w:sz w:val="16"/>
                <w:szCs w:val="16"/>
                <w:color w:val="auto"/>
              </w:rPr>
              <w:t>14,448,205 shares at December 31, 2024; outstanding 14,147,428 shares at September 30, 2025 and 12,924,080 shares at</w:t>
            </w: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8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December 31, 2024</w:t>
            </w:r>
          </w:p>
        </w:tc>
        <w:tc>
          <w:tcPr>
            <w:tcW w:w="2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156,715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144,482</w:t>
            </w:r>
          </w:p>
        </w:tc>
        <w:tc>
          <w:tcPr>
            <w:tcW w:w="0" w:type="dxa"/>
            <w:vAlign w:val="bottom"/>
          </w:tcPr>
          <w:p>
            <w:pPr>
              <w:spacing w:after="0"/>
              <w:rPr>
                <w:sz w:val="1"/>
                <w:szCs w:val="1"/>
                <w:color w:val="auto"/>
              </w:rPr>
            </w:pPr>
          </w:p>
        </w:tc>
      </w:tr>
      <w:tr>
        <w:trPr>
          <w:trHeight w:val="210"/>
        </w:trPr>
        <w:tc>
          <w:tcPr>
            <w:tcW w:w="8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Capital in excess of par</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99,264,372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89,063,326</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(6,744,530)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(12,175,476)</w:t>
            </w:r>
          </w:p>
        </w:tc>
        <w:tc>
          <w:tcPr>
            <w:tcW w:w="0" w:type="dxa"/>
            <w:vAlign w:val="bottom"/>
          </w:tcPr>
          <w:p>
            <w:pPr>
              <w:spacing w:after="0"/>
              <w:rPr>
                <w:sz w:val="1"/>
                <w:szCs w:val="1"/>
                <w:color w:val="auto"/>
              </w:rPr>
            </w:pPr>
          </w:p>
        </w:tc>
      </w:tr>
      <w:tr>
        <w:trPr>
          <w:trHeight w:val="210"/>
        </w:trPr>
        <w:tc>
          <w:tcPr>
            <w:tcW w:w="8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Retained earnings (accumulated deficit)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20,544,492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(4,755,874)</w:t>
            </w:r>
          </w:p>
        </w:tc>
        <w:tc>
          <w:tcPr>
            <w:tcW w:w="0" w:type="dxa"/>
            <w:vAlign w:val="bottom"/>
          </w:tcPr>
          <w:p>
            <w:pPr>
              <w:spacing w:after="0"/>
              <w:rPr>
                <w:sz w:val="1"/>
                <w:szCs w:val="1"/>
                <w:color w:val="auto"/>
              </w:rPr>
            </w:pPr>
          </w:p>
        </w:tc>
      </w:tr>
      <w:tr>
        <w:trPr>
          <w:trHeight w:val="33"/>
        </w:trPr>
        <w:tc>
          <w:tcPr>
            <w:tcW w:w="8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1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Stockholders' equity before treasury stock</w:t>
            </w: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113,221,049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72,276,458</w:t>
            </w:r>
          </w:p>
        </w:tc>
        <w:tc>
          <w:tcPr>
            <w:tcW w:w="0" w:type="dxa"/>
            <w:vAlign w:val="bottom"/>
          </w:tcPr>
          <w:p>
            <w:pPr>
              <w:spacing w:after="0"/>
              <w:rPr>
                <w:sz w:val="1"/>
                <w:szCs w:val="1"/>
                <w:color w:val="auto"/>
              </w:rPr>
            </w:pPr>
          </w:p>
        </w:tc>
      </w:tr>
      <w:tr>
        <w:trPr>
          <w:trHeight w:val="210"/>
        </w:trPr>
        <w:tc>
          <w:tcPr>
            <w:tcW w:w="8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Treasury stock, at cost, 1,524,125 shares at September 30, 2025 and 1,524,125 at December 31, 2024</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(5,568,007)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(5,568,007)</w:t>
            </w:r>
          </w:p>
        </w:tc>
        <w:tc>
          <w:tcPr>
            <w:tcW w:w="0" w:type="dxa"/>
            <w:vAlign w:val="bottom"/>
          </w:tcPr>
          <w:p>
            <w:pPr>
              <w:spacing w:after="0"/>
              <w:rPr>
                <w:sz w:val="1"/>
                <w:szCs w:val="1"/>
                <w:color w:val="auto"/>
              </w:rPr>
            </w:pPr>
          </w:p>
        </w:tc>
      </w:tr>
      <w:tr>
        <w:trPr>
          <w:trHeight w:val="33"/>
        </w:trPr>
        <w:tc>
          <w:tcPr>
            <w:tcW w:w="8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107,653,042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66,708,451</w:t>
            </w:r>
          </w:p>
        </w:tc>
        <w:tc>
          <w:tcPr>
            <w:tcW w:w="0" w:type="dxa"/>
            <w:vAlign w:val="bottom"/>
          </w:tcPr>
          <w:p>
            <w:pPr>
              <w:spacing w:after="0"/>
              <w:rPr>
                <w:sz w:val="1"/>
                <w:szCs w:val="1"/>
                <w:color w:val="auto"/>
              </w:rPr>
            </w:pPr>
          </w:p>
        </w:tc>
      </w:tr>
      <w:tr>
        <w:trPr>
          <w:trHeight w:val="204"/>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428,590,242</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374,915,843</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8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and Comprehensive Income (Unaudited)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5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680" w:type="dxa"/>
            <w:vAlign w:val="bottom"/>
            <w:tcBorders>
              <w:top w:val="single" w:sz="8" w:color="auto"/>
            </w:tcBorders>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60" w:type="dxa"/>
            <w:vAlign w:val="bottom"/>
            <w:tcBorders>
              <w:top w:val="single" w:sz="8" w:color="auto"/>
            </w:tcBorders>
          </w:tcPr>
          <w:p>
            <w:pPr>
              <w:spacing w:after="0"/>
              <w:rPr>
                <w:sz w:val="17"/>
                <w:szCs w:val="17"/>
                <w:color w:val="auto"/>
              </w:rPr>
            </w:pPr>
          </w:p>
        </w:tc>
        <w:tc>
          <w:tcPr>
            <w:tcW w:w="2540" w:type="dxa"/>
            <w:vAlign w:val="bottom"/>
            <w:tcBorders>
              <w:top w:val="single" w:sz="8" w:color="auto"/>
            </w:tcBorders>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0" w:type="dxa"/>
            <w:vAlign w:val="bottom"/>
          </w:tcPr>
          <w:p>
            <w:pPr>
              <w:spacing w:after="0"/>
              <w:rPr>
                <w:sz w:val="1"/>
                <w:szCs w:val="1"/>
                <w:color w:val="auto"/>
              </w:rPr>
            </w:pPr>
          </w:p>
        </w:tc>
      </w:tr>
      <w:tr>
        <w:trPr>
          <w:trHeight w:val="225"/>
        </w:trPr>
        <w:tc>
          <w:tcPr>
            <w:tcW w:w="55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31"/>
        </w:trPr>
        <w:tc>
          <w:tcPr>
            <w:tcW w:w="55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premiums earned</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47,925,053</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33,407,194</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137,663,376</w:t>
            </w: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92,530,708</w:t>
            </w:r>
          </w:p>
        </w:tc>
        <w:tc>
          <w:tcPr>
            <w:tcW w:w="0" w:type="dxa"/>
            <w:vAlign w:val="bottom"/>
          </w:tcPr>
          <w:p>
            <w:pPr>
              <w:spacing w:after="0"/>
              <w:rPr>
                <w:sz w:val="1"/>
                <w:szCs w:val="1"/>
                <w:color w:val="auto"/>
              </w:rPr>
            </w:pPr>
          </w:p>
        </w:tc>
      </w:tr>
      <w:tr>
        <w:trPr>
          <w:trHeight w:val="210"/>
        </w:trPr>
        <w:tc>
          <w:tcPr>
            <w:tcW w:w="5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Ceding commission revenue</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4,900,401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4,741,676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10,940,648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13,870,748</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investment income</w:t>
            </w: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2,499,071</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1,649,673</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6,847,934</w:t>
            </w: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4,917,129</w:t>
            </w:r>
          </w:p>
        </w:tc>
        <w:tc>
          <w:tcPr>
            <w:tcW w:w="0" w:type="dxa"/>
            <w:vAlign w:val="bottom"/>
          </w:tcPr>
          <w:p>
            <w:pPr>
              <w:spacing w:after="0"/>
              <w:rPr>
                <w:sz w:val="1"/>
                <w:szCs w:val="1"/>
                <w:color w:val="auto"/>
              </w:rPr>
            </w:pPr>
          </w:p>
        </w:tc>
      </w:tr>
      <w:tr>
        <w:trPr>
          <w:trHeight w:val="210"/>
        </w:trPr>
        <w:tc>
          <w:tcPr>
            <w:tcW w:w="5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gains on investments</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182,122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826,522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590,594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1,319,307</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Realized gain on sale of real estate</w:t>
            </w:r>
          </w:p>
        </w:tc>
        <w:tc>
          <w:tcPr>
            <w:tcW w:w="2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1,965,989</w:t>
            </w: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5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income</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145,843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146,663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437,503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401,128</w:t>
            </w:r>
          </w:p>
        </w:tc>
        <w:tc>
          <w:tcPr>
            <w:tcW w:w="0" w:type="dxa"/>
            <w:vAlign w:val="bottom"/>
          </w:tcPr>
          <w:p>
            <w:pPr>
              <w:spacing w:after="0"/>
              <w:rPr>
                <w:sz w:val="1"/>
                <w:szCs w:val="1"/>
                <w:color w:val="auto"/>
              </w:rPr>
            </w:pPr>
          </w:p>
        </w:tc>
      </w:tr>
      <w:tr>
        <w:trPr>
          <w:trHeight w:val="33"/>
        </w:trPr>
        <w:tc>
          <w:tcPr>
            <w:tcW w:w="5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revenues</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55,652,490</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40,771,728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158,446,044</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113,039,020</w:t>
            </w:r>
          </w:p>
        </w:tc>
        <w:tc>
          <w:tcPr>
            <w:tcW w:w="0" w:type="dxa"/>
            <w:vAlign w:val="bottom"/>
          </w:tcPr>
          <w:p>
            <w:pPr>
              <w:spacing w:after="0"/>
              <w:rPr>
                <w:sz w:val="1"/>
                <w:szCs w:val="1"/>
                <w:color w:val="auto"/>
              </w:rPr>
            </w:pPr>
          </w:p>
        </w:tc>
      </w:tr>
      <w:tr>
        <w:trPr>
          <w:trHeight w:val="196"/>
        </w:trPr>
        <w:tc>
          <w:tcPr>
            <w:tcW w:w="55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Loss and loss adjustment expenses</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21,232,324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13,027,597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66,334,564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45,125,492</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Commission expense</w:t>
            </w: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10,308,092</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9,004,254</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30,250,601</w:t>
            </w: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25,088,546</w:t>
            </w:r>
          </w:p>
        </w:tc>
        <w:tc>
          <w:tcPr>
            <w:tcW w:w="0" w:type="dxa"/>
            <w:vAlign w:val="bottom"/>
          </w:tcPr>
          <w:p>
            <w:pPr>
              <w:spacing w:after="0"/>
              <w:rPr>
                <w:sz w:val="1"/>
                <w:szCs w:val="1"/>
                <w:color w:val="auto"/>
              </w:rPr>
            </w:pPr>
          </w:p>
        </w:tc>
      </w:tr>
      <w:tr>
        <w:trPr>
          <w:trHeight w:val="210"/>
        </w:trPr>
        <w:tc>
          <w:tcPr>
            <w:tcW w:w="5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underwriting expenses</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8,358,432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6,894,590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23,491,221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18,675,720</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operating expenses</w:t>
            </w: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1,330,258</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1,241,572</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3,519,475</w:t>
            </w: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2,820,620</w:t>
            </w:r>
          </w:p>
        </w:tc>
        <w:tc>
          <w:tcPr>
            <w:tcW w:w="0" w:type="dxa"/>
            <w:vAlign w:val="bottom"/>
          </w:tcPr>
          <w:p>
            <w:pPr>
              <w:spacing w:after="0"/>
              <w:rPr>
                <w:sz w:val="1"/>
                <w:szCs w:val="1"/>
                <w:color w:val="auto"/>
              </w:rPr>
            </w:pPr>
          </w:p>
        </w:tc>
      </w:tr>
      <w:tr>
        <w:trPr>
          <w:trHeight w:val="210"/>
        </w:trPr>
        <w:tc>
          <w:tcPr>
            <w:tcW w:w="5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644,653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619,056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1,881,880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1,835,503</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72,609</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900,583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377,137</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2,884,181</w:t>
            </w:r>
          </w:p>
        </w:tc>
        <w:tc>
          <w:tcPr>
            <w:tcW w:w="0" w:type="dxa"/>
            <w:vAlign w:val="bottom"/>
          </w:tcPr>
          <w:p>
            <w:pPr>
              <w:spacing w:after="0"/>
              <w:rPr>
                <w:sz w:val="1"/>
                <w:szCs w:val="1"/>
                <w:color w:val="auto"/>
              </w:rPr>
            </w:pPr>
          </w:p>
        </w:tc>
      </w:tr>
      <w:tr>
        <w:trPr>
          <w:trHeight w:val="204"/>
        </w:trPr>
        <w:tc>
          <w:tcPr>
            <w:tcW w:w="55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Total expenses</w:t>
            </w: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41,946,368</w:t>
            </w:r>
          </w:p>
        </w:tc>
        <w:tc>
          <w:tcPr>
            <w:tcW w:w="8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31,687,652</w:t>
            </w: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125,854,878</w:t>
            </w:r>
          </w:p>
        </w:tc>
        <w:tc>
          <w:tcPr>
            <w:tcW w:w="8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96,430,062</w:t>
            </w:r>
          </w:p>
        </w:tc>
        <w:tc>
          <w:tcPr>
            <w:tcW w:w="0" w:type="dxa"/>
            <w:vAlign w:val="bottom"/>
          </w:tcPr>
          <w:p>
            <w:pPr>
              <w:spacing w:after="0"/>
              <w:rPr>
                <w:sz w:val="1"/>
                <w:szCs w:val="1"/>
                <w:color w:val="auto"/>
              </w:rPr>
            </w:pPr>
          </w:p>
        </w:tc>
      </w:tr>
      <w:tr>
        <w:trPr>
          <w:trHeight w:val="33"/>
        </w:trPr>
        <w:tc>
          <w:tcPr>
            <w:tcW w:w="5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from operations before taxes</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13,706,122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9,084,076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32,591,166</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16,608,958</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 expense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2,833,647</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2,105,931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6,583,699</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3,689,197</w:t>
            </w:r>
          </w:p>
        </w:tc>
        <w:tc>
          <w:tcPr>
            <w:tcW w:w="0" w:type="dxa"/>
            <w:vAlign w:val="bottom"/>
          </w:tcPr>
          <w:p>
            <w:pPr>
              <w:spacing w:after="0"/>
              <w:rPr>
                <w:sz w:val="1"/>
                <w:szCs w:val="1"/>
                <w:color w:val="auto"/>
              </w:rPr>
            </w:pPr>
          </w:p>
        </w:tc>
      </w:tr>
      <w:tr>
        <w:trPr>
          <w:trHeight w:val="204"/>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10,872,475</w:t>
            </w:r>
          </w:p>
        </w:tc>
        <w:tc>
          <w:tcPr>
            <w:tcW w:w="8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6,978,145</w:t>
            </w: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26,007,467</w:t>
            </w:r>
          </w:p>
        </w:tc>
        <w:tc>
          <w:tcPr>
            <w:tcW w:w="8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12,919,761</w:t>
            </w:r>
          </w:p>
        </w:tc>
        <w:tc>
          <w:tcPr>
            <w:tcW w:w="0" w:type="dxa"/>
            <w:vAlign w:val="bottom"/>
          </w:tcPr>
          <w:p>
            <w:pPr>
              <w:spacing w:after="0"/>
              <w:rPr>
                <w:sz w:val="1"/>
                <w:szCs w:val="1"/>
                <w:color w:val="auto"/>
              </w:rPr>
            </w:pPr>
          </w:p>
        </w:tc>
      </w:tr>
      <w:tr>
        <w:trPr>
          <w:trHeight w:val="33"/>
        </w:trPr>
        <w:tc>
          <w:tcPr>
            <w:tcW w:w="5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net of tax</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5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Gross decrease in net unrealized losses on available-for-sale-securities</w:t>
            </w: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2,760,803</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4,533,334</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6,862,488</w:t>
            </w: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4,082,771</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Reclassification adjustment for net realized losses included in net income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6,322</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12,126</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11,468</w:t>
            </w:r>
          </w:p>
        </w:tc>
        <w:tc>
          <w:tcPr>
            <w:tcW w:w="0" w:type="dxa"/>
            <w:vAlign w:val="bottom"/>
          </w:tcPr>
          <w:p>
            <w:pPr>
              <w:spacing w:after="0"/>
              <w:rPr>
                <w:sz w:val="1"/>
                <w:szCs w:val="1"/>
                <w:color w:val="auto"/>
              </w:rPr>
            </w:pPr>
          </w:p>
        </w:tc>
      </w:tr>
      <w:tr>
        <w:trPr>
          <w:trHeight w:val="204"/>
        </w:trPr>
        <w:tc>
          <w:tcPr>
            <w:tcW w:w="5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decrease in net unrealized losses</w:t>
            </w: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2,767,125</w:t>
            </w:r>
          </w:p>
        </w:tc>
        <w:tc>
          <w:tcPr>
            <w:tcW w:w="8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4,537,273</w:t>
            </w: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6,874,614</w:t>
            </w:r>
          </w:p>
        </w:tc>
        <w:tc>
          <w:tcPr>
            <w:tcW w:w="8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4,094,239</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 expense related to items of other comprehensive income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(581,096)</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(952,827)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(1,443,668)</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(859,789)</w:t>
            </w:r>
          </w:p>
        </w:tc>
        <w:tc>
          <w:tcPr>
            <w:tcW w:w="0" w:type="dxa"/>
            <w:vAlign w:val="bottom"/>
          </w:tcPr>
          <w:p>
            <w:pPr>
              <w:spacing w:after="0"/>
              <w:rPr>
                <w:sz w:val="1"/>
                <w:szCs w:val="1"/>
                <w:color w:val="auto"/>
              </w:rPr>
            </w:pPr>
          </w:p>
        </w:tc>
      </w:tr>
      <w:tr>
        <w:trPr>
          <w:trHeight w:val="204"/>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net of tax</w:t>
            </w: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2,186,029</w:t>
            </w:r>
          </w:p>
        </w:tc>
        <w:tc>
          <w:tcPr>
            <w:tcW w:w="8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3,584,446</w:t>
            </w: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5,430,946</w:t>
            </w:r>
          </w:p>
        </w:tc>
        <w:tc>
          <w:tcPr>
            <w:tcW w:w="8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3,234,450</w:t>
            </w:r>
          </w:p>
        </w:tc>
        <w:tc>
          <w:tcPr>
            <w:tcW w:w="0" w:type="dxa"/>
            <w:vAlign w:val="bottom"/>
          </w:tcPr>
          <w:p>
            <w:pPr>
              <w:spacing w:after="0"/>
              <w:rPr>
                <w:sz w:val="1"/>
                <w:szCs w:val="1"/>
                <w:color w:val="auto"/>
              </w:rPr>
            </w:pPr>
          </w:p>
        </w:tc>
      </w:tr>
      <w:tr>
        <w:trPr>
          <w:trHeight w:val="33"/>
        </w:trPr>
        <w:tc>
          <w:tcPr>
            <w:tcW w:w="5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13,058,504</w:t>
            </w:r>
          </w:p>
        </w:tc>
        <w:tc>
          <w:tcPr>
            <w:tcW w:w="8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10,562,591</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31,438,413</w:t>
            </w:r>
          </w:p>
        </w:tc>
        <w:tc>
          <w:tcPr>
            <w:tcW w:w="8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16,154,211</w:t>
            </w:r>
          </w:p>
        </w:tc>
        <w:tc>
          <w:tcPr>
            <w:tcW w:w="0" w:type="dxa"/>
            <w:vAlign w:val="bottom"/>
          </w:tcPr>
          <w:p>
            <w:pPr>
              <w:spacing w:after="0"/>
              <w:rPr>
                <w:sz w:val="1"/>
                <w:szCs w:val="1"/>
                <w:color w:val="auto"/>
              </w:rPr>
            </w:pPr>
          </w:p>
        </w:tc>
      </w:tr>
      <w:tr>
        <w:trPr>
          <w:trHeight w:val="31"/>
        </w:trPr>
        <w:tc>
          <w:tcPr>
            <w:tcW w:w="55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common share:</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5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5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0.77</w:t>
            </w: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520" w:type="dxa"/>
            <w:vAlign w:val="bottom"/>
            <w:vMerge w:val="continue"/>
          </w:tcPr>
          <w:p>
            <w:pPr>
              <w:spacing w:after="0"/>
              <w:rPr>
                <w:sz w:val="16"/>
                <w:szCs w:val="16"/>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0.74</w:t>
            </w:r>
          </w:p>
        </w:tc>
        <w:tc>
          <w:tcPr>
            <w:tcW w:w="80" w:type="dxa"/>
            <w:vAlign w:val="bottom"/>
          </w:tcPr>
          <w:p>
            <w:pPr>
              <w:spacing w:after="0"/>
              <w:rPr>
                <w:sz w:val="16"/>
                <w:szCs w:val="16"/>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0.55</w:t>
            </w:r>
          </w:p>
        </w:tc>
        <w:tc>
          <w:tcPr>
            <w:tcW w:w="120" w:type="dxa"/>
            <w:vAlign w:val="bottom"/>
          </w:tcPr>
          <w:p>
            <w:pPr>
              <w:spacing w:after="0"/>
              <w:rPr>
                <w:sz w:val="16"/>
                <w:szCs w:val="16"/>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80" w:type="dxa"/>
            <w:vAlign w:val="bottom"/>
          </w:tcPr>
          <w:p>
            <w:pPr>
              <w:spacing w:after="0"/>
              <w:rPr>
                <w:sz w:val="16"/>
                <w:szCs w:val="16"/>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common shares outstanding</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5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5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14,142,374</w:t>
            </w: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11,404,360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13,849,283</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11,142,043</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5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14,601,241</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12,581,128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14,303,326</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12,249,576</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5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27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Three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Accumulated</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40" w:type="dxa"/>
            <w:vAlign w:val="bottom"/>
          </w:tcPr>
          <w:p>
            <w:pPr>
              <w:spacing w:after="0"/>
              <w:rPr>
                <w:sz w:val="16"/>
                <w:szCs w:val="16"/>
                <w:color w:val="auto"/>
              </w:rPr>
            </w:pPr>
          </w:p>
        </w:tc>
        <w:tc>
          <w:tcPr>
            <w:tcW w:w="1580" w:type="dxa"/>
            <w:vAlign w:val="bottom"/>
            <w:gridSpan w:val="6"/>
            <w:vMerge w:val="restart"/>
          </w:tcPr>
          <w:p>
            <w:pPr>
              <w:ind w:left="240"/>
              <w:spacing w:after="0"/>
              <w:rPr>
                <w:sz w:val="20"/>
                <w:szCs w:val="20"/>
                <w:color w:val="auto"/>
              </w:rPr>
            </w:pPr>
            <w:r>
              <w:rPr>
                <w:rFonts w:ascii="Times New Roman" w:cs="Times New Roman" w:eastAsia="Times New Roman" w:hAnsi="Times New Roman"/>
                <w:sz w:val="16"/>
                <w:szCs w:val="16"/>
                <w:color w:val="auto"/>
              </w:rPr>
              <w:t>Preferred Stock</w:t>
            </w:r>
          </w:p>
        </w:tc>
        <w:tc>
          <w:tcPr>
            <w:tcW w:w="1760" w:type="dxa"/>
            <w:vAlign w:val="bottom"/>
            <w:gridSpan w:val="4"/>
            <w:vMerge w:val="restart"/>
          </w:tcPr>
          <w:p>
            <w:pPr>
              <w:ind w:left="340"/>
              <w:spacing w:after="0"/>
              <w:rPr>
                <w:sz w:val="20"/>
                <w:szCs w:val="20"/>
                <w:color w:val="auto"/>
              </w:rPr>
            </w:pPr>
            <w:r>
              <w:rPr>
                <w:rFonts w:ascii="Times New Roman" w:cs="Times New Roman" w:eastAsia="Times New Roman" w:hAnsi="Times New Roman"/>
                <w:sz w:val="16"/>
                <w:szCs w:val="16"/>
                <w:color w:val="auto"/>
              </w:rPr>
              <w:t>Common Stock</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Capital</w:t>
            </w:r>
          </w:p>
        </w:tc>
        <w:tc>
          <w:tcPr>
            <w:tcW w:w="100" w:type="dxa"/>
            <w:vAlign w:val="bottom"/>
          </w:tcPr>
          <w:p>
            <w:pPr>
              <w:spacing w:after="0"/>
              <w:rPr>
                <w:sz w:val="16"/>
                <w:szCs w:val="16"/>
                <w:color w:val="auto"/>
              </w:rPr>
            </w:pPr>
          </w:p>
        </w:tc>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Other</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gridSpan w:val="4"/>
            <w:vMerge w:val="restart"/>
          </w:tcPr>
          <w:p>
            <w:pPr>
              <w:ind w:left="380"/>
              <w:spacing w:after="0"/>
              <w:rPr>
                <w:sz w:val="20"/>
                <w:szCs w:val="20"/>
                <w:color w:val="auto"/>
              </w:rPr>
            </w:pPr>
            <w:r>
              <w:rPr>
                <w:rFonts w:ascii="Times New Roman" w:cs="Times New Roman" w:eastAsia="Times New Roman" w:hAnsi="Times New Roman"/>
                <w:sz w:val="16"/>
                <w:szCs w:val="16"/>
                <w:color w:val="auto"/>
              </w:rPr>
              <w:t>Treasury Stock</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840" w:type="dxa"/>
            <w:vAlign w:val="bottom"/>
          </w:tcPr>
          <w:p>
            <w:pPr>
              <w:spacing w:after="0"/>
              <w:rPr>
                <w:sz w:val="11"/>
                <w:szCs w:val="11"/>
                <w:color w:val="auto"/>
              </w:rPr>
            </w:pPr>
          </w:p>
        </w:tc>
        <w:tc>
          <w:tcPr>
            <w:tcW w:w="1580" w:type="dxa"/>
            <w:vAlign w:val="bottom"/>
            <w:gridSpan w:val="6"/>
            <w:vMerge w:val="continue"/>
          </w:tcPr>
          <w:p>
            <w:pPr>
              <w:spacing w:after="0"/>
              <w:rPr>
                <w:sz w:val="11"/>
                <w:szCs w:val="11"/>
                <w:color w:val="auto"/>
              </w:rPr>
            </w:pPr>
          </w:p>
        </w:tc>
        <w:tc>
          <w:tcPr>
            <w:tcW w:w="1760" w:type="dxa"/>
            <w:vAlign w:val="bottom"/>
            <w:gridSpan w:val="4"/>
            <w:vMerge w:val="continue"/>
          </w:tcPr>
          <w:p>
            <w:pPr>
              <w:spacing w:after="0"/>
              <w:rPr>
                <w:sz w:val="11"/>
                <w:szCs w:val="11"/>
                <w:color w:val="auto"/>
              </w:rPr>
            </w:pPr>
          </w:p>
        </w:tc>
        <w:tc>
          <w:tcPr>
            <w:tcW w:w="1000" w:type="dxa"/>
            <w:vAlign w:val="bottom"/>
            <w:gridSpan w:val="2"/>
            <w:vMerge w:val="restart"/>
          </w:tcPr>
          <w:p>
            <w:pPr>
              <w:jc w:val="center"/>
              <w:ind w:right="140"/>
              <w:spacing w:after="0" w:line="142" w:lineRule="exact"/>
              <w:rPr>
                <w:sz w:val="20"/>
                <w:szCs w:val="20"/>
                <w:color w:val="auto"/>
              </w:rPr>
            </w:pPr>
            <w:r>
              <w:rPr>
                <w:rFonts w:ascii="Times New Roman" w:cs="Times New Roman" w:eastAsia="Times New Roman" w:hAnsi="Times New Roman"/>
                <w:sz w:val="16"/>
                <w:szCs w:val="16"/>
                <w:color w:val="auto"/>
              </w:rPr>
              <w:t>in Excess</w:t>
            </w:r>
          </w:p>
        </w:tc>
        <w:tc>
          <w:tcPr>
            <w:tcW w:w="122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6"/>
                <w:szCs w:val="16"/>
                <w:color w:val="auto"/>
              </w:rPr>
              <w:t>Comprehensive</w:t>
            </w:r>
          </w:p>
        </w:tc>
        <w:tc>
          <w:tcPr>
            <w:tcW w:w="1040" w:type="dxa"/>
            <w:vAlign w:val="bottom"/>
            <w:gridSpan w:val="2"/>
            <w:vMerge w:val="restart"/>
          </w:tcPr>
          <w:p>
            <w:pPr>
              <w:ind w:left="220"/>
              <w:spacing w:after="0" w:line="142" w:lineRule="exact"/>
              <w:rPr>
                <w:sz w:val="20"/>
                <w:szCs w:val="20"/>
                <w:color w:val="auto"/>
              </w:rPr>
            </w:pPr>
            <w:r>
              <w:rPr>
                <w:rFonts w:ascii="Times New Roman" w:cs="Times New Roman" w:eastAsia="Times New Roman" w:hAnsi="Times New Roman"/>
                <w:sz w:val="16"/>
                <w:szCs w:val="16"/>
                <w:color w:val="auto"/>
              </w:rPr>
              <w:t>Retained</w:t>
            </w:r>
          </w:p>
        </w:tc>
        <w:tc>
          <w:tcPr>
            <w:tcW w:w="182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8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220" w:type="dxa"/>
            <w:vAlign w:val="bottom"/>
            <w:gridSpan w:val="3"/>
            <w:vMerge w:val="continue"/>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56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98"/>
              </w:rPr>
              <w:t>Shares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5"/>
              </w:rPr>
              <w:t>Amount</w:t>
            </w:r>
          </w:p>
        </w:tc>
        <w:tc>
          <w:tcPr>
            <w:tcW w:w="80" w:type="dxa"/>
            <w:vAlign w:val="bottom"/>
          </w:tcPr>
          <w:p>
            <w:pPr>
              <w:spacing w:after="0"/>
              <w:rPr>
                <w:sz w:val="20"/>
                <w:szCs w:val="20"/>
                <w:color w:val="auto"/>
              </w:rPr>
            </w:pPr>
          </w:p>
        </w:tc>
        <w:tc>
          <w:tcPr>
            <w:tcW w:w="9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Shares</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20"/>
                <w:szCs w:val="20"/>
                <w:color w:val="auto"/>
              </w:rPr>
            </w:pPr>
          </w:p>
        </w:tc>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of Par</w:t>
            </w:r>
          </w:p>
        </w:tc>
        <w:tc>
          <w:tcPr>
            <w:tcW w:w="100" w:type="dxa"/>
            <w:vAlign w:val="bottom"/>
          </w:tcPr>
          <w:p>
            <w:pPr>
              <w:spacing w:after="0"/>
              <w:rPr>
                <w:sz w:val="20"/>
                <w:szCs w:val="20"/>
                <w:color w:val="auto"/>
              </w:rPr>
            </w:pPr>
          </w:p>
        </w:tc>
        <w:tc>
          <w:tcPr>
            <w:tcW w:w="11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Loss</w:t>
            </w: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Earnings</w:t>
            </w: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Shares</w:t>
            </w:r>
          </w:p>
        </w:tc>
        <w:tc>
          <w:tcPr>
            <w:tcW w:w="9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23"/>
        </w:trPr>
        <w:tc>
          <w:tcPr>
            <w:tcW w:w="1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July 1, 2025</w:t>
            </w:r>
          </w:p>
        </w:tc>
        <w:tc>
          <w:tcPr>
            <w:tcW w:w="560" w:type="dxa"/>
            <w:vAlign w:val="bottom"/>
            <w:tcBorders>
              <w:top w:val="single" w:sz="8" w:color="auto"/>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15,661,240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$ 156,612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$ 98,840,728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(8,930,559)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$ 10,379,118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1,524,125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$(5,568,007)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94,877,892</w:t>
            </w:r>
          </w:p>
        </w:tc>
        <w:tc>
          <w:tcPr>
            <w:tcW w:w="0" w:type="dxa"/>
            <w:vAlign w:val="bottom"/>
          </w:tcPr>
          <w:p>
            <w:pPr>
              <w:spacing w:after="0"/>
              <w:rPr>
                <w:sz w:val="1"/>
                <w:szCs w:val="1"/>
                <w:color w:val="auto"/>
              </w:rPr>
            </w:pPr>
          </w:p>
        </w:tc>
      </w:tr>
      <w:tr>
        <w:trPr>
          <w:trHeight w:val="210"/>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430,173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430,173</w:t>
            </w:r>
          </w:p>
        </w:tc>
        <w:tc>
          <w:tcPr>
            <w:tcW w:w="0" w:type="dxa"/>
            <w:vAlign w:val="bottom"/>
          </w:tcPr>
          <w:p>
            <w:pPr>
              <w:spacing w:after="0"/>
              <w:rPr>
                <w:sz w:val="1"/>
                <w:szCs w:val="1"/>
                <w:color w:val="auto"/>
              </w:rPr>
            </w:pPr>
          </w:p>
        </w:tc>
      </w:tr>
      <w:tr>
        <w:trPr>
          <w:trHeight w:val="33"/>
        </w:trPr>
        <w:tc>
          <w:tcPr>
            <w:tcW w:w="1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Vesting of restricted stock</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6,978</w:t>
            </w:r>
          </w:p>
        </w:tc>
        <w:tc>
          <w:tcPr>
            <w:tcW w:w="8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8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awards</w:t>
            </w:r>
          </w:p>
        </w:tc>
        <w:tc>
          <w:tcPr>
            <w:tcW w:w="1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3,335</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7,503</w:t>
            </w:r>
          </w:p>
        </w:tc>
        <w:tc>
          <w:tcPr>
            <w:tcW w:w="0" w:type="dxa"/>
            <w:vAlign w:val="bottom"/>
          </w:tcPr>
          <w:p>
            <w:pPr>
              <w:spacing w:after="0"/>
              <w:rPr>
                <w:sz w:val="1"/>
                <w:szCs w:val="1"/>
                <w:color w:val="auto"/>
              </w:rPr>
            </w:pPr>
          </w:p>
        </w:tc>
      </w:tr>
      <w:tr>
        <w:trPr>
          <w:trHeight w:val="33"/>
        </w:trPr>
        <w:tc>
          <w:tcPr>
            <w:tcW w:w="1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Offering costs on</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previously issued common</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(13,929)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(13,929)</w:t>
            </w:r>
          </w:p>
        </w:tc>
        <w:tc>
          <w:tcPr>
            <w:tcW w:w="0" w:type="dxa"/>
            <w:vAlign w:val="bottom"/>
          </w:tcPr>
          <w:p>
            <w:pPr>
              <w:spacing w:after="0"/>
              <w:rPr>
                <w:sz w:val="1"/>
                <w:szCs w:val="1"/>
                <w:color w:val="auto"/>
              </w:rPr>
            </w:pPr>
          </w:p>
        </w:tc>
      </w:tr>
      <w:tr>
        <w:trPr>
          <w:trHeight w:val="230"/>
        </w:trPr>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w:t>
            </w:r>
          </w:p>
        </w:tc>
        <w:tc>
          <w:tcPr>
            <w:tcW w:w="1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Dividends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(707,101)</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(707,101)</w:t>
            </w:r>
          </w:p>
        </w:tc>
        <w:tc>
          <w:tcPr>
            <w:tcW w:w="0" w:type="dxa"/>
            <w:vAlign w:val="bottom"/>
          </w:tcPr>
          <w:p>
            <w:pPr>
              <w:spacing w:after="0"/>
              <w:rPr>
                <w:sz w:val="1"/>
                <w:szCs w:val="1"/>
                <w:color w:val="auto"/>
              </w:rPr>
            </w:pPr>
          </w:p>
        </w:tc>
      </w:tr>
      <w:tr>
        <w:trPr>
          <w:trHeight w:val="33"/>
        </w:trPr>
        <w:tc>
          <w:tcPr>
            <w:tcW w:w="1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10,872,475</w:t>
            </w: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10,872,475</w:t>
            </w:r>
          </w:p>
        </w:tc>
        <w:tc>
          <w:tcPr>
            <w:tcW w:w="0" w:type="dxa"/>
            <w:vAlign w:val="bottom"/>
          </w:tcPr>
          <w:p>
            <w:pPr>
              <w:spacing w:after="0"/>
              <w:rPr>
                <w:sz w:val="1"/>
                <w:szCs w:val="1"/>
                <w:color w:val="auto"/>
              </w:rPr>
            </w:pPr>
          </w:p>
        </w:tc>
      </w:tr>
      <w:tr>
        <w:trPr>
          <w:trHeight w:val="189"/>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Decrease in net unrealized</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losses on available-for-sale</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2,186,029</w:t>
            </w:r>
          </w:p>
        </w:tc>
        <w:tc>
          <w:tcPr>
            <w:tcW w:w="8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2,186,029</w:t>
            </w:r>
          </w:p>
        </w:tc>
        <w:tc>
          <w:tcPr>
            <w:tcW w:w="0" w:type="dxa"/>
            <w:vAlign w:val="bottom"/>
          </w:tcPr>
          <w:p>
            <w:pPr>
              <w:spacing w:after="0"/>
              <w:rPr>
                <w:sz w:val="1"/>
                <w:szCs w:val="1"/>
                <w:color w:val="auto"/>
              </w:rPr>
            </w:pPr>
          </w:p>
        </w:tc>
      </w:tr>
      <w:tr>
        <w:trPr>
          <w:trHeight w:val="223"/>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securities, net of tax</w:t>
            </w:r>
          </w:p>
        </w:tc>
        <w:tc>
          <w:tcPr>
            <w:tcW w:w="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40" w:type="dxa"/>
            <w:vAlign w:val="bottom"/>
            <w:tcBorders>
              <w:top w:val="single" w:sz="8" w:color="CCEEFF"/>
            </w:tcBorders>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Balance, September 30,</w:t>
            </w:r>
          </w:p>
        </w:tc>
        <w:tc>
          <w:tcPr>
            <w:tcW w:w="5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15,671,553</w:t>
            </w: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$ 156,715</w:t>
            </w:r>
          </w:p>
        </w:tc>
        <w:tc>
          <w:tcPr>
            <w:tcW w:w="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$ 99,264,372</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vMerge w:val="restart"/>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(6,744,530)</w:t>
            </w:r>
          </w:p>
        </w:tc>
        <w:tc>
          <w:tcPr>
            <w:tcW w:w="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$ 20,544,492</w:t>
            </w: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1,524,125</w:t>
            </w:r>
          </w:p>
        </w:tc>
        <w:tc>
          <w:tcPr>
            <w:tcW w:w="8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$(5,568,007)</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107,653,042</w:t>
            </w:r>
          </w:p>
        </w:tc>
        <w:tc>
          <w:tcPr>
            <w:tcW w:w="0" w:type="dxa"/>
            <w:vAlign w:val="bottom"/>
          </w:tcPr>
          <w:p>
            <w:pPr>
              <w:spacing w:after="0"/>
              <w:rPr>
                <w:sz w:val="1"/>
                <w:szCs w:val="1"/>
                <w:color w:val="auto"/>
              </w:rPr>
            </w:pPr>
          </w:p>
        </w:tc>
      </w:tr>
      <w:tr>
        <w:trPr>
          <w:trHeight w:val="223"/>
        </w:trPr>
        <w:tc>
          <w:tcPr>
            <w:tcW w:w="1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5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27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Three months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Accumulated</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880" w:type="dxa"/>
            <w:vAlign w:val="bottom"/>
          </w:tcPr>
          <w:p>
            <w:pPr>
              <w:spacing w:after="0"/>
              <w:rPr>
                <w:sz w:val="15"/>
                <w:szCs w:val="15"/>
                <w:color w:val="auto"/>
              </w:rPr>
            </w:pPr>
          </w:p>
        </w:tc>
        <w:tc>
          <w:tcPr>
            <w:tcW w:w="1600" w:type="dxa"/>
            <w:vAlign w:val="bottom"/>
            <w:gridSpan w:val="6"/>
            <w:vMerge w:val="restart"/>
          </w:tcPr>
          <w:p>
            <w:pPr>
              <w:ind w:left="240"/>
              <w:spacing w:after="0"/>
              <w:rPr>
                <w:sz w:val="20"/>
                <w:szCs w:val="20"/>
                <w:color w:val="auto"/>
              </w:rPr>
            </w:pPr>
            <w:r>
              <w:rPr>
                <w:rFonts w:ascii="Times New Roman" w:cs="Times New Roman" w:eastAsia="Times New Roman" w:hAnsi="Times New Roman"/>
                <w:sz w:val="16"/>
                <w:szCs w:val="16"/>
                <w:color w:val="auto"/>
              </w:rPr>
              <w:t>Preferred Stock</w:t>
            </w:r>
          </w:p>
        </w:tc>
        <w:tc>
          <w:tcPr>
            <w:tcW w:w="1760" w:type="dxa"/>
            <w:vAlign w:val="bottom"/>
            <w:gridSpan w:val="4"/>
            <w:vMerge w:val="restart"/>
          </w:tcPr>
          <w:p>
            <w:pPr>
              <w:ind w:left="320"/>
              <w:spacing w:after="0"/>
              <w:rPr>
                <w:sz w:val="20"/>
                <w:szCs w:val="20"/>
                <w:color w:val="auto"/>
              </w:rPr>
            </w:pPr>
            <w:r>
              <w:rPr>
                <w:rFonts w:ascii="Times New Roman" w:cs="Times New Roman" w:eastAsia="Times New Roman" w:hAnsi="Times New Roman"/>
                <w:sz w:val="16"/>
                <w:szCs w:val="16"/>
                <w:color w:val="auto"/>
              </w:rPr>
              <w:t>Common Stock</w:t>
            </w:r>
          </w:p>
        </w:tc>
        <w:tc>
          <w:tcPr>
            <w:tcW w:w="1000" w:type="dxa"/>
            <w:vAlign w:val="bottom"/>
            <w:gridSpan w:val="2"/>
          </w:tcPr>
          <w:p>
            <w:pPr>
              <w:jc w:val="center"/>
              <w:ind w:right="140"/>
              <w:spacing w:after="0" w:line="175" w:lineRule="exact"/>
              <w:rPr>
                <w:sz w:val="20"/>
                <w:szCs w:val="20"/>
                <w:color w:val="auto"/>
              </w:rPr>
            </w:pPr>
            <w:r>
              <w:rPr>
                <w:rFonts w:ascii="Times New Roman" w:cs="Times New Roman" w:eastAsia="Times New Roman" w:hAnsi="Times New Roman"/>
                <w:sz w:val="16"/>
                <w:szCs w:val="16"/>
                <w:color w:val="auto"/>
                <w:w w:val="99"/>
              </w:rPr>
              <w:t>Capital</w:t>
            </w:r>
          </w:p>
        </w:tc>
        <w:tc>
          <w:tcPr>
            <w:tcW w:w="100" w:type="dxa"/>
            <w:vAlign w:val="bottom"/>
          </w:tcPr>
          <w:p>
            <w:pPr>
              <w:spacing w:after="0"/>
              <w:rPr>
                <w:sz w:val="15"/>
                <w:szCs w:val="15"/>
                <w:color w:val="auto"/>
              </w:rPr>
            </w:pPr>
          </w:p>
        </w:tc>
        <w:tc>
          <w:tcPr>
            <w:tcW w:w="1120" w:type="dxa"/>
            <w:vAlign w:val="bottom"/>
            <w:gridSpan w:val="2"/>
          </w:tcPr>
          <w:p>
            <w:pPr>
              <w:jc w:val="center"/>
              <w:ind w:right="240"/>
              <w:spacing w:after="0" w:line="175" w:lineRule="exact"/>
              <w:rPr>
                <w:sz w:val="20"/>
                <w:szCs w:val="20"/>
                <w:color w:val="auto"/>
              </w:rPr>
            </w:pPr>
            <w:r>
              <w:rPr>
                <w:rFonts w:ascii="Times New Roman" w:cs="Times New Roman" w:eastAsia="Times New Roman" w:hAnsi="Times New Roman"/>
                <w:sz w:val="16"/>
                <w:szCs w:val="16"/>
                <w:color w:val="auto"/>
                <w:w w:val="98"/>
              </w:rPr>
              <w:t>Other</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gridSpan w:val="4"/>
            <w:vMerge w:val="restart"/>
          </w:tcPr>
          <w:p>
            <w:pPr>
              <w:ind w:left="360"/>
              <w:spacing w:after="0"/>
              <w:rPr>
                <w:sz w:val="20"/>
                <w:szCs w:val="20"/>
                <w:color w:val="auto"/>
              </w:rPr>
            </w:pPr>
            <w:r>
              <w:rPr>
                <w:rFonts w:ascii="Times New Roman" w:cs="Times New Roman" w:eastAsia="Times New Roman" w:hAnsi="Times New Roman"/>
                <w:sz w:val="16"/>
                <w:szCs w:val="16"/>
                <w:color w:val="auto"/>
              </w:rPr>
              <w:t>Treasury Stock</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880" w:type="dxa"/>
            <w:vAlign w:val="bottom"/>
          </w:tcPr>
          <w:p>
            <w:pPr>
              <w:spacing w:after="0"/>
              <w:rPr>
                <w:sz w:val="12"/>
                <w:szCs w:val="12"/>
                <w:color w:val="auto"/>
              </w:rPr>
            </w:pPr>
          </w:p>
        </w:tc>
        <w:tc>
          <w:tcPr>
            <w:tcW w:w="1600" w:type="dxa"/>
            <w:vAlign w:val="bottom"/>
            <w:gridSpan w:val="6"/>
            <w:vMerge w:val="continue"/>
          </w:tcPr>
          <w:p>
            <w:pPr>
              <w:spacing w:after="0"/>
              <w:rPr>
                <w:sz w:val="12"/>
                <w:szCs w:val="12"/>
                <w:color w:val="auto"/>
              </w:rPr>
            </w:pPr>
          </w:p>
        </w:tc>
        <w:tc>
          <w:tcPr>
            <w:tcW w:w="1760" w:type="dxa"/>
            <w:vAlign w:val="bottom"/>
            <w:gridSpan w:val="4"/>
            <w:vMerge w:val="continue"/>
          </w:tcPr>
          <w:p>
            <w:pPr>
              <w:spacing w:after="0"/>
              <w:rPr>
                <w:sz w:val="12"/>
                <w:szCs w:val="12"/>
                <w:color w:val="auto"/>
              </w:rPr>
            </w:pPr>
          </w:p>
        </w:tc>
        <w:tc>
          <w:tcPr>
            <w:tcW w:w="1000" w:type="dxa"/>
            <w:vAlign w:val="bottom"/>
            <w:gridSpan w:val="2"/>
            <w:vMerge w:val="restart"/>
          </w:tcPr>
          <w:p>
            <w:pPr>
              <w:jc w:val="center"/>
              <w:ind w:right="140"/>
              <w:spacing w:after="0" w:line="156" w:lineRule="exact"/>
              <w:rPr>
                <w:sz w:val="20"/>
                <w:szCs w:val="20"/>
                <w:color w:val="auto"/>
              </w:rPr>
            </w:pPr>
            <w:r>
              <w:rPr>
                <w:rFonts w:ascii="Times New Roman" w:cs="Times New Roman" w:eastAsia="Times New Roman" w:hAnsi="Times New Roman"/>
                <w:sz w:val="16"/>
                <w:szCs w:val="16"/>
                <w:color w:val="auto"/>
              </w:rPr>
              <w:t>in Excess</w:t>
            </w:r>
          </w:p>
        </w:tc>
        <w:tc>
          <w:tcPr>
            <w:tcW w:w="1220" w:type="dxa"/>
            <w:vAlign w:val="bottom"/>
            <w:gridSpan w:val="3"/>
            <w:vMerge w:val="restart"/>
          </w:tcPr>
          <w:p>
            <w:pPr>
              <w:jc w:val="center"/>
              <w:ind w:right="120"/>
              <w:spacing w:after="0" w:line="156" w:lineRule="exact"/>
              <w:rPr>
                <w:sz w:val="20"/>
                <w:szCs w:val="20"/>
                <w:color w:val="auto"/>
              </w:rPr>
            </w:pPr>
            <w:r>
              <w:rPr>
                <w:rFonts w:ascii="Times New Roman" w:cs="Times New Roman" w:eastAsia="Times New Roman" w:hAnsi="Times New Roman"/>
                <w:sz w:val="16"/>
                <w:szCs w:val="16"/>
                <w:color w:val="auto"/>
              </w:rPr>
              <w:t>Comprehensive</w:t>
            </w:r>
          </w:p>
        </w:tc>
        <w:tc>
          <w:tcPr>
            <w:tcW w:w="1060" w:type="dxa"/>
            <w:vAlign w:val="bottom"/>
            <w:gridSpan w:val="2"/>
            <w:vMerge w:val="restart"/>
          </w:tcPr>
          <w:p>
            <w:pPr>
              <w:ind w:left="40"/>
              <w:spacing w:after="0" w:line="156" w:lineRule="exact"/>
              <w:rPr>
                <w:sz w:val="20"/>
                <w:szCs w:val="20"/>
                <w:color w:val="auto"/>
              </w:rPr>
            </w:pPr>
            <w:r>
              <w:rPr>
                <w:rFonts w:ascii="Times New Roman" w:cs="Times New Roman" w:eastAsia="Times New Roman" w:hAnsi="Times New Roman"/>
                <w:sz w:val="16"/>
                <w:szCs w:val="16"/>
                <w:color w:val="auto"/>
              </w:rPr>
              <w:t>Accumulated</w:t>
            </w:r>
          </w:p>
        </w:tc>
        <w:tc>
          <w:tcPr>
            <w:tcW w:w="1800" w:type="dxa"/>
            <w:vAlign w:val="bottom"/>
            <w:gridSpan w:val="4"/>
            <w:vMerge w:val="continue"/>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220" w:type="dxa"/>
            <w:vAlign w:val="bottom"/>
            <w:gridSpan w:val="3"/>
            <w:vMerge w:val="continue"/>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6"/>
                <w:szCs w:val="16"/>
                <w:color w:val="auto"/>
                <w:w w:val="98"/>
              </w:rPr>
              <w:t>Shares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Amount</w:t>
            </w:r>
          </w:p>
        </w:tc>
        <w:tc>
          <w:tcPr>
            <w:tcW w:w="80" w:type="dxa"/>
            <w:vAlign w:val="bottom"/>
          </w:tcPr>
          <w:p>
            <w:pPr>
              <w:spacing w:after="0"/>
              <w:rPr>
                <w:sz w:val="20"/>
                <w:szCs w:val="20"/>
                <w:color w:val="auto"/>
              </w:rPr>
            </w:pPr>
          </w:p>
        </w:tc>
        <w:tc>
          <w:tcPr>
            <w:tcW w:w="9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Shares</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20"/>
                <w:szCs w:val="20"/>
                <w:color w:val="auto"/>
              </w:rPr>
            </w:pPr>
          </w:p>
        </w:tc>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of Par</w:t>
            </w:r>
          </w:p>
        </w:tc>
        <w:tc>
          <w:tcPr>
            <w:tcW w:w="100" w:type="dxa"/>
            <w:vAlign w:val="bottom"/>
          </w:tcPr>
          <w:p>
            <w:pPr>
              <w:spacing w:after="0"/>
              <w:rPr>
                <w:sz w:val="20"/>
                <w:szCs w:val="20"/>
                <w:color w:val="auto"/>
              </w:rPr>
            </w:pPr>
          </w:p>
        </w:tc>
        <w:tc>
          <w:tcPr>
            <w:tcW w:w="11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Loss</w:t>
            </w:r>
          </w:p>
        </w:tc>
        <w:tc>
          <w:tcPr>
            <w:tcW w:w="10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Deficit</w:t>
            </w: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Shares</w:t>
            </w:r>
          </w:p>
        </w:tc>
        <w:tc>
          <w:tcPr>
            <w:tcW w:w="9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20"/>
                <w:szCs w:val="20"/>
                <w:color w:val="auto"/>
              </w:rPr>
            </w:pPr>
          </w:p>
        </w:tc>
        <w:tc>
          <w:tcPr>
            <w:tcW w:w="9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23"/>
        </w:trPr>
        <w:tc>
          <w:tcPr>
            <w:tcW w:w="1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July 1, 2024</w:t>
            </w:r>
          </w:p>
        </w:tc>
        <w:tc>
          <w:tcPr>
            <w:tcW w:w="58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12,536,129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$ 125,361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$ 76,042,147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(12,624,559)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$(17,172,694)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1,471,406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$(5,567,481)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$ 40,802,774</w:t>
            </w:r>
          </w:p>
        </w:tc>
        <w:tc>
          <w:tcPr>
            <w:tcW w:w="0" w:type="dxa"/>
            <w:vAlign w:val="bottom"/>
          </w:tcPr>
          <w:p>
            <w:pPr>
              <w:spacing w:after="0"/>
              <w:rPr>
                <w:sz w:val="1"/>
                <w:szCs w:val="1"/>
                <w:color w:val="auto"/>
              </w:rPr>
            </w:pPr>
          </w:p>
        </w:tc>
      </w:tr>
      <w:tr>
        <w:trPr>
          <w:trHeight w:val="210"/>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359,170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359,170</w:t>
            </w: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Vesting of restricted stock</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211,391</w:t>
            </w:r>
          </w:p>
        </w:tc>
        <w:tc>
          <w:tcPr>
            <w:tcW w:w="8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2,114</w:t>
            </w:r>
          </w:p>
        </w:tc>
        <w:tc>
          <w:tcPr>
            <w:tcW w:w="8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awards</w:t>
            </w:r>
          </w:p>
        </w:tc>
        <w:tc>
          <w:tcPr>
            <w:tcW w:w="1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Shares deducted from</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46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6"/>
                <w:szCs w:val="16"/>
                <w:color w:val="auto"/>
              </w:rPr>
              <w:t>restricted stock awards for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payment of withholding</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taxes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(106,687)</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(951,644)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(952,711)</w:t>
            </w: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37,959</w:t>
            </w: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35,248</w:t>
            </w:r>
          </w:p>
        </w:tc>
        <w:tc>
          <w:tcPr>
            <w:tcW w:w="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Exercise of warrants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60,557</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460" w:type="dxa"/>
            <w:vAlign w:val="bottom"/>
            <w:gridSpan w:val="2"/>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net of offering costs of</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$360,670</w:t>
            </w:r>
          </w:p>
        </w:tc>
        <w:tc>
          <w:tcPr>
            <w:tcW w:w="5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1,079,601</w:t>
            </w: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10,796</w:t>
            </w: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8,887,112</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8,897,908</w:t>
            </w:r>
          </w:p>
        </w:tc>
        <w:tc>
          <w:tcPr>
            <w:tcW w:w="0" w:type="dxa"/>
            <w:vAlign w:val="bottom"/>
          </w:tcPr>
          <w:p>
            <w:pPr>
              <w:spacing w:after="0"/>
              <w:rPr>
                <w:sz w:val="1"/>
                <w:szCs w:val="1"/>
                <w:color w:val="auto"/>
              </w:rPr>
            </w:pPr>
          </w:p>
        </w:tc>
      </w:tr>
      <w:tr>
        <w:trPr>
          <w:trHeight w:val="210"/>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6,978,145</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6,978,145</w:t>
            </w: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Decrease in net unrealized</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460" w:type="dxa"/>
            <w:vAlign w:val="bottom"/>
            <w:gridSpan w:val="2"/>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losses on available-for-sale</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 net of tax</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3,584,446</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3,584,446</w:t>
            </w:r>
          </w:p>
        </w:tc>
        <w:tc>
          <w:tcPr>
            <w:tcW w:w="0" w:type="dxa"/>
            <w:vAlign w:val="bottom"/>
          </w:tcPr>
          <w:p>
            <w:pPr>
              <w:spacing w:after="0"/>
              <w:rPr>
                <w:sz w:val="1"/>
                <w:szCs w:val="1"/>
                <w:color w:val="auto"/>
              </w:rPr>
            </w:pPr>
          </w:p>
        </w:tc>
      </w:tr>
      <w:tr>
        <w:trPr>
          <w:trHeight w:val="169"/>
        </w:trPr>
        <w:tc>
          <w:tcPr>
            <w:tcW w:w="1880" w:type="dxa"/>
            <w:vAlign w:val="bottom"/>
          </w:tcPr>
          <w:p>
            <w:pPr>
              <w:ind w:left="20"/>
              <w:spacing w:after="0" w:line="169" w:lineRule="exact"/>
              <w:rPr>
                <w:sz w:val="20"/>
                <w:szCs w:val="20"/>
                <w:color w:val="auto"/>
              </w:rPr>
            </w:pPr>
            <w:r>
              <w:rPr>
                <w:rFonts w:ascii="Times New Roman" w:cs="Times New Roman" w:eastAsia="Times New Roman" w:hAnsi="Times New Roman"/>
                <w:sz w:val="16"/>
                <w:szCs w:val="16"/>
                <w:color w:val="auto"/>
              </w:rPr>
              <w:t>Balance, September 30,</w:t>
            </w:r>
          </w:p>
        </w:tc>
        <w:tc>
          <w:tcPr>
            <w:tcW w:w="5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13,818,950</w:t>
            </w:r>
          </w:p>
        </w:tc>
        <w:tc>
          <w:tcPr>
            <w:tcW w:w="80" w:type="dxa"/>
            <w:vAlign w:val="bottom"/>
          </w:tcPr>
          <w:p>
            <w:pPr>
              <w:spacing w:after="0"/>
              <w:rPr>
                <w:sz w:val="14"/>
                <w:szCs w:val="14"/>
                <w:color w:val="auto"/>
              </w:rPr>
            </w:pP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$ 138,190</w:t>
            </w:r>
          </w:p>
        </w:tc>
        <w:tc>
          <w:tcPr>
            <w:tcW w:w="80" w:type="dxa"/>
            <w:vAlign w:val="bottom"/>
          </w:tcPr>
          <w:p>
            <w:pPr>
              <w:spacing w:after="0"/>
              <w:rPr>
                <w:sz w:val="14"/>
                <w:szCs w:val="14"/>
                <w:color w:val="auto"/>
              </w:rPr>
            </w:pP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7"/>
              </w:rPr>
              <w:t>$ 84,334,037</w:t>
            </w:r>
          </w:p>
        </w:tc>
        <w:tc>
          <w:tcPr>
            <w:tcW w:w="80" w:type="dxa"/>
            <w:vAlign w:val="bottom"/>
          </w:tcPr>
          <w:p>
            <w:pPr>
              <w:spacing w:after="0"/>
              <w:rPr>
                <w:sz w:val="14"/>
                <w:szCs w:val="14"/>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(9,040,113)</w:t>
            </w:r>
          </w:p>
        </w:tc>
        <w:tc>
          <w:tcPr>
            <w:tcW w:w="80" w:type="dxa"/>
            <w:vAlign w:val="bottom"/>
          </w:tcPr>
          <w:p>
            <w:pPr>
              <w:spacing w:after="0"/>
              <w:rPr>
                <w:sz w:val="14"/>
                <w:szCs w:val="14"/>
                <w:color w:val="auto"/>
              </w:rPr>
            </w:pP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$(10,194,549)</w:t>
            </w:r>
          </w:p>
        </w:tc>
        <w:tc>
          <w:tcPr>
            <w:tcW w:w="80" w:type="dxa"/>
            <w:vAlign w:val="bottom"/>
          </w:tcPr>
          <w:p>
            <w:pPr>
              <w:spacing w:after="0"/>
              <w:rPr>
                <w:sz w:val="14"/>
                <w:szCs w:val="14"/>
                <w:color w:val="auto"/>
              </w:rPr>
            </w:pP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1,506,654</w:t>
            </w:r>
          </w:p>
        </w:tc>
        <w:tc>
          <w:tcPr>
            <w:tcW w:w="80" w:type="dxa"/>
            <w:vAlign w:val="bottom"/>
          </w:tcPr>
          <w:p>
            <w:pPr>
              <w:spacing w:after="0"/>
              <w:rPr>
                <w:sz w:val="14"/>
                <w:szCs w:val="14"/>
                <w:color w:val="auto"/>
              </w:rPr>
            </w:pP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$(5,567,833)</w:t>
            </w:r>
          </w:p>
        </w:tc>
        <w:tc>
          <w:tcPr>
            <w:tcW w:w="80" w:type="dxa"/>
            <w:vAlign w:val="bottom"/>
          </w:tcPr>
          <w:p>
            <w:pPr>
              <w:spacing w:after="0"/>
              <w:rPr>
                <w:sz w:val="14"/>
                <w:szCs w:val="14"/>
                <w:color w:val="auto"/>
              </w:rPr>
            </w:pP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$ 59,669,732</w:t>
            </w:r>
          </w:p>
        </w:tc>
        <w:tc>
          <w:tcPr>
            <w:tcW w:w="0" w:type="dxa"/>
            <w:vAlign w:val="bottom"/>
          </w:tcPr>
          <w:p>
            <w:pPr>
              <w:spacing w:after="0"/>
              <w:rPr>
                <w:sz w:val="1"/>
                <w:szCs w:val="1"/>
                <w:color w:val="auto"/>
              </w:rPr>
            </w:pPr>
          </w:p>
        </w:tc>
      </w:tr>
      <w:tr>
        <w:trPr>
          <w:trHeight w:val="203"/>
        </w:trPr>
        <w:tc>
          <w:tcPr>
            <w:tcW w:w="1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27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Nine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Accumulated</w:t>
            </w: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color w:val="auto"/>
              </w:rPr>
              <w:t>(Accumulated</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840" w:type="dxa"/>
            <w:vAlign w:val="bottom"/>
          </w:tcPr>
          <w:p>
            <w:pPr>
              <w:spacing w:after="0"/>
              <w:rPr>
                <w:sz w:val="15"/>
                <w:szCs w:val="15"/>
                <w:color w:val="auto"/>
              </w:rPr>
            </w:pPr>
          </w:p>
        </w:tc>
        <w:tc>
          <w:tcPr>
            <w:tcW w:w="1580" w:type="dxa"/>
            <w:vAlign w:val="bottom"/>
            <w:gridSpan w:val="6"/>
            <w:vMerge w:val="restart"/>
          </w:tcPr>
          <w:p>
            <w:pPr>
              <w:ind w:left="240"/>
              <w:spacing w:after="0"/>
              <w:rPr>
                <w:sz w:val="20"/>
                <w:szCs w:val="20"/>
                <w:color w:val="auto"/>
              </w:rPr>
            </w:pPr>
            <w:r>
              <w:rPr>
                <w:rFonts w:ascii="Times New Roman" w:cs="Times New Roman" w:eastAsia="Times New Roman" w:hAnsi="Times New Roman"/>
                <w:sz w:val="16"/>
                <w:szCs w:val="16"/>
                <w:color w:val="auto"/>
              </w:rPr>
              <w:t>Preferred Stock</w:t>
            </w:r>
          </w:p>
        </w:tc>
        <w:tc>
          <w:tcPr>
            <w:tcW w:w="1740" w:type="dxa"/>
            <w:vAlign w:val="bottom"/>
            <w:gridSpan w:val="4"/>
            <w:vMerge w:val="restart"/>
          </w:tcPr>
          <w:p>
            <w:pPr>
              <w:ind w:left="320"/>
              <w:spacing w:after="0"/>
              <w:rPr>
                <w:sz w:val="20"/>
                <w:szCs w:val="20"/>
                <w:color w:val="auto"/>
              </w:rPr>
            </w:pPr>
            <w:r>
              <w:rPr>
                <w:rFonts w:ascii="Times New Roman" w:cs="Times New Roman" w:eastAsia="Times New Roman" w:hAnsi="Times New Roman"/>
                <w:sz w:val="16"/>
                <w:szCs w:val="16"/>
                <w:color w:val="auto"/>
              </w:rPr>
              <w:t>Common Stock</w:t>
            </w:r>
          </w:p>
        </w:tc>
        <w:tc>
          <w:tcPr>
            <w:tcW w:w="1000" w:type="dxa"/>
            <w:vAlign w:val="bottom"/>
            <w:gridSpan w:val="2"/>
          </w:tcPr>
          <w:p>
            <w:pPr>
              <w:jc w:val="center"/>
              <w:ind w:right="120"/>
              <w:spacing w:after="0" w:line="175" w:lineRule="exact"/>
              <w:rPr>
                <w:sz w:val="20"/>
                <w:szCs w:val="20"/>
                <w:color w:val="auto"/>
              </w:rPr>
            </w:pPr>
            <w:r>
              <w:rPr>
                <w:rFonts w:ascii="Times New Roman" w:cs="Times New Roman" w:eastAsia="Times New Roman" w:hAnsi="Times New Roman"/>
                <w:sz w:val="16"/>
                <w:szCs w:val="16"/>
                <w:color w:val="auto"/>
              </w:rPr>
              <w:t>Capital</w:t>
            </w:r>
          </w:p>
        </w:tc>
        <w:tc>
          <w:tcPr>
            <w:tcW w:w="120" w:type="dxa"/>
            <w:vAlign w:val="bottom"/>
          </w:tcPr>
          <w:p>
            <w:pPr>
              <w:spacing w:after="0"/>
              <w:rPr>
                <w:sz w:val="15"/>
                <w:szCs w:val="15"/>
                <w:color w:val="auto"/>
              </w:rPr>
            </w:pPr>
          </w:p>
        </w:tc>
        <w:tc>
          <w:tcPr>
            <w:tcW w:w="1120" w:type="dxa"/>
            <w:vAlign w:val="bottom"/>
            <w:gridSpan w:val="2"/>
          </w:tcPr>
          <w:p>
            <w:pPr>
              <w:jc w:val="center"/>
              <w:ind w:right="240"/>
              <w:spacing w:after="0" w:line="175" w:lineRule="exact"/>
              <w:rPr>
                <w:sz w:val="20"/>
                <w:szCs w:val="20"/>
                <w:color w:val="auto"/>
              </w:rPr>
            </w:pPr>
            <w:r>
              <w:rPr>
                <w:rFonts w:ascii="Times New Roman" w:cs="Times New Roman" w:eastAsia="Times New Roman" w:hAnsi="Times New Roman"/>
                <w:sz w:val="16"/>
                <w:szCs w:val="16"/>
                <w:color w:val="auto"/>
                <w:w w:val="98"/>
              </w:rPr>
              <w:t>Other</w:t>
            </w:r>
          </w:p>
        </w:tc>
        <w:tc>
          <w:tcPr>
            <w:tcW w:w="120" w:type="dxa"/>
            <w:vAlign w:val="bottom"/>
          </w:tcPr>
          <w:p>
            <w:pPr>
              <w:spacing w:after="0"/>
              <w:rPr>
                <w:sz w:val="15"/>
                <w:szCs w:val="15"/>
                <w:color w:val="auto"/>
              </w:rPr>
            </w:pPr>
          </w:p>
        </w:tc>
        <w:tc>
          <w:tcPr>
            <w:tcW w:w="920" w:type="dxa"/>
            <w:vAlign w:val="bottom"/>
            <w:gridSpan w:val="2"/>
          </w:tcPr>
          <w:p>
            <w:pPr>
              <w:jc w:val="center"/>
              <w:ind w:right="200"/>
              <w:spacing w:after="0" w:line="175" w:lineRule="exact"/>
              <w:rPr>
                <w:sz w:val="20"/>
                <w:szCs w:val="20"/>
                <w:color w:val="auto"/>
              </w:rPr>
            </w:pPr>
            <w:r>
              <w:rPr>
                <w:rFonts w:ascii="Times New Roman" w:cs="Times New Roman" w:eastAsia="Times New Roman" w:hAnsi="Times New Roman"/>
                <w:sz w:val="16"/>
                <w:szCs w:val="16"/>
                <w:color w:val="auto"/>
              </w:rPr>
              <w:t>Deficit)</w:t>
            </w:r>
          </w:p>
        </w:tc>
        <w:tc>
          <w:tcPr>
            <w:tcW w:w="1820" w:type="dxa"/>
            <w:vAlign w:val="bottom"/>
            <w:gridSpan w:val="4"/>
            <w:vMerge w:val="restart"/>
          </w:tcPr>
          <w:p>
            <w:pPr>
              <w:ind w:left="380"/>
              <w:spacing w:after="0"/>
              <w:rPr>
                <w:sz w:val="20"/>
                <w:szCs w:val="20"/>
                <w:color w:val="auto"/>
              </w:rPr>
            </w:pPr>
            <w:r>
              <w:rPr>
                <w:rFonts w:ascii="Times New Roman" w:cs="Times New Roman" w:eastAsia="Times New Roman" w:hAnsi="Times New Roman"/>
                <w:sz w:val="16"/>
                <w:szCs w:val="16"/>
                <w:color w:val="auto"/>
              </w:rPr>
              <w:t>Treasury Stock</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840" w:type="dxa"/>
            <w:vAlign w:val="bottom"/>
          </w:tcPr>
          <w:p>
            <w:pPr>
              <w:spacing w:after="0"/>
              <w:rPr>
                <w:sz w:val="12"/>
                <w:szCs w:val="12"/>
                <w:color w:val="auto"/>
              </w:rPr>
            </w:pPr>
          </w:p>
        </w:tc>
        <w:tc>
          <w:tcPr>
            <w:tcW w:w="1580" w:type="dxa"/>
            <w:vAlign w:val="bottom"/>
            <w:gridSpan w:val="6"/>
            <w:vMerge w:val="continue"/>
          </w:tcPr>
          <w:p>
            <w:pPr>
              <w:spacing w:after="0"/>
              <w:rPr>
                <w:sz w:val="12"/>
                <w:szCs w:val="12"/>
                <w:color w:val="auto"/>
              </w:rPr>
            </w:pPr>
          </w:p>
        </w:tc>
        <w:tc>
          <w:tcPr>
            <w:tcW w:w="1740" w:type="dxa"/>
            <w:vAlign w:val="bottom"/>
            <w:gridSpan w:val="4"/>
            <w:vMerge w:val="continue"/>
          </w:tcPr>
          <w:p>
            <w:pPr>
              <w:spacing w:after="0"/>
              <w:rPr>
                <w:sz w:val="12"/>
                <w:szCs w:val="12"/>
                <w:color w:val="auto"/>
              </w:rPr>
            </w:pPr>
          </w:p>
        </w:tc>
        <w:tc>
          <w:tcPr>
            <w:tcW w:w="1000" w:type="dxa"/>
            <w:vAlign w:val="bottom"/>
            <w:gridSpan w:val="2"/>
            <w:vMerge w:val="restart"/>
          </w:tcPr>
          <w:p>
            <w:pPr>
              <w:jc w:val="center"/>
              <w:ind w:right="100"/>
              <w:spacing w:after="0" w:line="156" w:lineRule="exact"/>
              <w:rPr>
                <w:sz w:val="20"/>
                <w:szCs w:val="20"/>
                <w:color w:val="auto"/>
              </w:rPr>
            </w:pPr>
            <w:r>
              <w:rPr>
                <w:rFonts w:ascii="Times New Roman" w:cs="Times New Roman" w:eastAsia="Times New Roman" w:hAnsi="Times New Roman"/>
                <w:sz w:val="16"/>
                <w:szCs w:val="16"/>
                <w:color w:val="auto"/>
              </w:rPr>
              <w:t>in Excess</w:t>
            </w:r>
          </w:p>
        </w:tc>
        <w:tc>
          <w:tcPr>
            <w:tcW w:w="1240" w:type="dxa"/>
            <w:vAlign w:val="bottom"/>
            <w:gridSpan w:val="3"/>
            <w:vMerge w:val="restart"/>
          </w:tcPr>
          <w:p>
            <w:pPr>
              <w:ind w:left="60"/>
              <w:spacing w:after="0" w:line="156" w:lineRule="exact"/>
              <w:rPr>
                <w:sz w:val="20"/>
                <w:szCs w:val="20"/>
                <w:color w:val="auto"/>
              </w:rPr>
            </w:pPr>
            <w:r>
              <w:rPr>
                <w:rFonts w:ascii="Times New Roman" w:cs="Times New Roman" w:eastAsia="Times New Roman" w:hAnsi="Times New Roman"/>
                <w:sz w:val="16"/>
                <w:szCs w:val="16"/>
                <w:color w:val="auto"/>
              </w:rPr>
              <w:t>Comprehensive</w:t>
            </w:r>
          </w:p>
        </w:tc>
        <w:tc>
          <w:tcPr>
            <w:tcW w:w="120" w:type="dxa"/>
            <w:vAlign w:val="bottom"/>
          </w:tcPr>
          <w:p>
            <w:pPr>
              <w:spacing w:after="0"/>
              <w:rPr>
                <w:sz w:val="12"/>
                <w:szCs w:val="12"/>
                <w:color w:val="auto"/>
              </w:rPr>
            </w:pPr>
          </w:p>
        </w:tc>
        <w:tc>
          <w:tcPr>
            <w:tcW w:w="920" w:type="dxa"/>
            <w:vAlign w:val="bottom"/>
            <w:gridSpan w:val="2"/>
            <w:vMerge w:val="restart"/>
          </w:tcPr>
          <w:p>
            <w:pPr>
              <w:jc w:val="center"/>
              <w:ind w:right="200"/>
              <w:spacing w:after="0" w:line="156" w:lineRule="exact"/>
              <w:rPr>
                <w:sz w:val="20"/>
                <w:szCs w:val="20"/>
                <w:color w:val="auto"/>
              </w:rPr>
            </w:pPr>
            <w:r>
              <w:rPr>
                <w:rFonts w:ascii="Times New Roman" w:cs="Times New Roman" w:eastAsia="Times New Roman" w:hAnsi="Times New Roman"/>
                <w:sz w:val="16"/>
                <w:szCs w:val="16"/>
                <w:color w:val="auto"/>
                <w:w w:val="98"/>
              </w:rPr>
              <w:t>Retained</w:t>
            </w:r>
          </w:p>
        </w:tc>
        <w:tc>
          <w:tcPr>
            <w:tcW w:w="18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18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24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1840" w:type="dxa"/>
            <w:vAlign w:val="bottom"/>
          </w:tcPr>
          <w:p>
            <w:pPr>
              <w:spacing w:after="0"/>
              <w:rPr>
                <w:sz w:val="17"/>
                <w:szCs w:val="17"/>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5"/>
              </w:rPr>
              <w:t>Amount</w:t>
            </w:r>
          </w:p>
        </w:tc>
        <w:tc>
          <w:tcPr>
            <w:tcW w:w="80" w:type="dxa"/>
            <w:vAlign w:val="bottom"/>
          </w:tcPr>
          <w:p>
            <w:pPr>
              <w:spacing w:after="0"/>
              <w:rPr>
                <w:sz w:val="17"/>
                <w:szCs w:val="17"/>
                <w:color w:val="auto"/>
              </w:rPr>
            </w:pP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Shares</w:t>
            </w: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17"/>
                <w:szCs w:val="17"/>
                <w:color w:val="auto"/>
              </w:rPr>
            </w:pPr>
          </w:p>
        </w:tc>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of Par</w:t>
            </w:r>
          </w:p>
        </w:tc>
        <w:tc>
          <w:tcPr>
            <w:tcW w:w="120" w:type="dxa"/>
            <w:vAlign w:val="bottom"/>
          </w:tcPr>
          <w:p>
            <w:pPr>
              <w:spacing w:after="0"/>
              <w:rPr>
                <w:sz w:val="17"/>
                <w:szCs w:val="17"/>
                <w:color w:val="auto"/>
              </w:rPr>
            </w:pPr>
          </w:p>
        </w:tc>
        <w:tc>
          <w:tcPr>
            <w:tcW w:w="11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Loss</w:t>
            </w:r>
          </w:p>
        </w:tc>
        <w:tc>
          <w:tcPr>
            <w:tcW w:w="12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8"/>
              </w:rPr>
              <w:t>Earnings</w:t>
            </w: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Shares</w:t>
            </w:r>
          </w:p>
        </w:tc>
        <w:tc>
          <w:tcPr>
            <w:tcW w:w="9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33"/>
        </w:trPr>
        <w:tc>
          <w:tcPr>
            <w:tcW w:w="18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January 1, 2025</w:t>
            </w:r>
          </w:p>
        </w:tc>
        <w:tc>
          <w:tcPr>
            <w:tcW w:w="5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14,448,205</w:t>
            </w: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$ 144,482</w:t>
            </w: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$ 89,063,326</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(12,175,476)</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(4,755,874)</w:t>
            </w: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1,524,125</w:t>
            </w:r>
          </w:p>
        </w:tc>
        <w:tc>
          <w:tcPr>
            <w:tcW w:w="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$(5,568,007)</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66,708,451</w:t>
            </w:r>
          </w:p>
        </w:tc>
        <w:tc>
          <w:tcPr>
            <w:tcW w:w="0" w:type="dxa"/>
            <w:vAlign w:val="bottom"/>
          </w:tcPr>
          <w:p>
            <w:pPr>
              <w:spacing w:after="0"/>
              <w:rPr>
                <w:sz w:val="1"/>
                <w:szCs w:val="1"/>
                <w:color w:val="auto"/>
              </w:rPr>
            </w:pPr>
          </w:p>
        </w:tc>
      </w:tr>
      <w:tr>
        <w:trPr>
          <w:trHeight w:val="21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1,241,040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1,241,040</w:t>
            </w:r>
          </w:p>
        </w:tc>
        <w:tc>
          <w:tcPr>
            <w:tcW w:w="0" w:type="dxa"/>
            <w:vAlign w:val="bottom"/>
          </w:tcPr>
          <w:p>
            <w:pPr>
              <w:spacing w:after="0"/>
              <w:rPr>
                <w:sz w:val="1"/>
                <w:szCs w:val="1"/>
                <w:color w:val="auto"/>
              </w:rPr>
            </w:pPr>
          </w:p>
        </w:tc>
      </w:tr>
      <w:tr>
        <w:trPr>
          <w:trHeight w:val="33"/>
        </w:trPr>
        <w:tc>
          <w:tcPr>
            <w:tcW w:w="1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Vesting of restricted stock</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223,204</w:t>
            </w:r>
          </w:p>
        </w:tc>
        <w:tc>
          <w:tcPr>
            <w:tcW w:w="8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2,232</w:t>
            </w:r>
          </w:p>
        </w:tc>
        <w:tc>
          <w:tcPr>
            <w:tcW w:w="8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awards</w:t>
            </w:r>
          </w:p>
        </w:tc>
        <w:tc>
          <w:tcPr>
            <w:tcW w:w="1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Shares deducted from</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42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6"/>
                <w:szCs w:val="16"/>
                <w:color w:val="auto"/>
              </w:rPr>
              <w:t>restricted stock awards for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payment of withholding</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taxes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(35,942)</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(548,141)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(548,500)</w:t>
            </w:r>
          </w:p>
        </w:tc>
        <w:tc>
          <w:tcPr>
            <w:tcW w:w="0" w:type="dxa"/>
            <w:vAlign w:val="bottom"/>
          </w:tcPr>
          <w:p>
            <w:pPr>
              <w:spacing w:after="0"/>
              <w:rPr>
                <w:sz w:val="1"/>
                <w:szCs w:val="1"/>
                <w:color w:val="auto"/>
              </w:rPr>
            </w:pPr>
          </w:p>
        </w:tc>
      </w:tr>
      <w:tr>
        <w:trPr>
          <w:trHeight w:val="33"/>
        </w:trPr>
        <w:tc>
          <w:tcPr>
            <w:tcW w:w="1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52,321</w:t>
            </w: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64,068</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64,591</w:t>
            </w:r>
          </w:p>
        </w:tc>
        <w:tc>
          <w:tcPr>
            <w:tcW w:w="0" w:type="dxa"/>
            <w:vAlign w:val="bottom"/>
          </w:tcPr>
          <w:p>
            <w:pPr>
              <w:spacing w:after="0"/>
              <w:rPr>
                <w:sz w:val="1"/>
                <w:szCs w:val="1"/>
                <w:color w:val="auto"/>
              </w:rPr>
            </w:pPr>
          </w:p>
        </w:tc>
      </w:tr>
      <w:tr>
        <w:trPr>
          <w:trHeight w:val="189"/>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Shares deducted from</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42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6"/>
                <w:szCs w:val="16"/>
                <w:color w:val="auto"/>
              </w:rPr>
              <w:t>exercise of stock options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for payment of withholding</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taxes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(14,296)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(14,305)</w:t>
            </w:r>
          </w:p>
        </w:tc>
        <w:tc>
          <w:tcPr>
            <w:tcW w:w="0" w:type="dxa"/>
            <w:vAlign w:val="bottom"/>
          </w:tcPr>
          <w:p>
            <w:pPr>
              <w:spacing w:after="0"/>
              <w:rPr>
                <w:sz w:val="1"/>
                <w:szCs w:val="1"/>
                <w:color w:val="auto"/>
              </w:rPr>
            </w:pPr>
          </w:p>
        </w:tc>
      </w:tr>
      <w:tr>
        <w:trPr>
          <w:trHeight w:val="33"/>
        </w:trPr>
        <w:tc>
          <w:tcPr>
            <w:tcW w:w="1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420" w:type="dxa"/>
            <w:vAlign w:val="bottom"/>
            <w:gridSpan w:val="2"/>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net of offering costs of</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$338,063</w:t>
            </w:r>
          </w:p>
        </w:tc>
        <w:tc>
          <w:tcPr>
            <w:tcW w:w="5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612,999</w:t>
            </w: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6,130</w:t>
            </w: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9,464,323</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9,470,453</w:t>
            </w:r>
          </w:p>
        </w:tc>
        <w:tc>
          <w:tcPr>
            <w:tcW w:w="0" w:type="dxa"/>
            <w:vAlign w:val="bottom"/>
          </w:tcPr>
          <w:p>
            <w:pPr>
              <w:spacing w:after="0"/>
              <w:rPr>
                <w:sz w:val="1"/>
                <w:szCs w:val="1"/>
                <w:color w:val="auto"/>
              </w:rPr>
            </w:pPr>
          </w:p>
        </w:tc>
      </w:tr>
      <w:tr>
        <w:trPr>
          <w:trHeight w:val="21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Exercise of warrants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371,634</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3,716</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1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(707,101)</w:t>
            </w: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(707,101)</w:t>
            </w:r>
          </w:p>
        </w:tc>
        <w:tc>
          <w:tcPr>
            <w:tcW w:w="0" w:type="dxa"/>
            <w:vAlign w:val="bottom"/>
          </w:tcPr>
          <w:p>
            <w:pPr>
              <w:spacing w:after="0"/>
              <w:rPr>
                <w:sz w:val="1"/>
                <w:szCs w:val="1"/>
                <w:color w:val="auto"/>
              </w:rPr>
            </w:pPr>
          </w:p>
        </w:tc>
      </w:tr>
      <w:tr>
        <w:trPr>
          <w:trHeight w:val="21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26,007,467</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26,007,467</w:t>
            </w:r>
          </w:p>
        </w:tc>
        <w:tc>
          <w:tcPr>
            <w:tcW w:w="0" w:type="dxa"/>
            <w:vAlign w:val="bottom"/>
          </w:tcPr>
          <w:p>
            <w:pPr>
              <w:spacing w:after="0"/>
              <w:rPr>
                <w:sz w:val="1"/>
                <w:szCs w:val="1"/>
                <w:color w:val="auto"/>
              </w:rPr>
            </w:pPr>
          </w:p>
        </w:tc>
      </w:tr>
      <w:tr>
        <w:trPr>
          <w:trHeight w:val="33"/>
        </w:trPr>
        <w:tc>
          <w:tcPr>
            <w:tcW w:w="1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Decrease in net unrealized</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420" w:type="dxa"/>
            <w:vAlign w:val="bottom"/>
            <w:gridSpan w:val="2"/>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losses on available-for-sale</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 net of tax</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5,430,946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5,430,946</w:t>
            </w:r>
          </w:p>
        </w:tc>
        <w:tc>
          <w:tcPr>
            <w:tcW w:w="0" w:type="dxa"/>
            <w:vAlign w:val="bottom"/>
          </w:tcPr>
          <w:p>
            <w:pPr>
              <w:spacing w:after="0"/>
              <w:rPr>
                <w:sz w:val="1"/>
                <w:szCs w:val="1"/>
                <w:color w:val="auto"/>
              </w:rPr>
            </w:pPr>
          </w:p>
        </w:tc>
      </w:tr>
      <w:tr>
        <w:trPr>
          <w:trHeight w:val="169"/>
        </w:trPr>
        <w:tc>
          <w:tcPr>
            <w:tcW w:w="1840" w:type="dxa"/>
            <w:vAlign w:val="bottom"/>
          </w:tcPr>
          <w:p>
            <w:pPr>
              <w:ind w:left="20"/>
              <w:spacing w:after="0" w:line="169" w:lineRule="exact"/>
              <w:rPr>
                <w:sz w:val="20"/>
                <w:szCs w:val="20"/>
                <w:color w:val="auto"/>
              </w:rPr>
            </w:pPr>
            <w:r>
              <w:rPr>
                <w:rFonts w:ascii="Times New Roman" w:cs="Times New Roman" w:eastAsia="Times New Roman" w:hAnsi="Times New Roman"/>
                <w:sz w:val="16"/>
                <w:szCs w:val="16"/>
                <w:color w:val="auto"/>
              </w:rPr>
              <w:t>Balance, September 30,</w:t>
            </w:r>
          </w:p>
        </w:tc>
        <w:tc>
          <w:tcPr>
            <w:tcW w:w="5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15,671,553</w:t>
            </w:r>
          </w:p>
        </w:tc>
        <w:tc>
          <w:tcPr>
            <w:tcW w:w="80" w:type="dxa"/>
            <w:vAlign w:val="bottom"/>
          </w:tcPr>
          <w:p>
            <w:pPr>
              <w:spacing w:after="0"/>
              <w:rPr>
                <w:sz w:val="14"/>
                <w:szCs w:val="14"/>
                <w:color w:val="auto"/>
              </w:rPr>
            </w:pP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$ 156,715</w:t>
            </w:r>
          </w:p>
        </w:tc>
        <w:tc>
          <w:tcPr>
            <w:tcW w:w="80" w:type="dxa"/>
            <w:vAlign w:val="bottom"/>
          </w:tcPr>
          <w:p>
            <w:pPr>
              <w:spacing w:after="0"/>
              <w:rPr>
                <w:sz w:val="14"/>
                <w:szCs w:val="14"/>
                <w:color w:val="auto"/>
              </w:rPr>
            </w:pP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$ 99,264,372</w:t>
            </w:r>
          </w:p>
        </w:tc>
        <w:tc>
          <w:tcPr>
            <w:tcW w:w="80" w:type="dxa"/>
            <w:vAlign w:val="bottom"/>
          </w:tcPr>
          <w:p>
            <w:pPr>
              <w:spacing w:after="0"/>
              <w:rPr>
                <w:sz w:val="14"/>
                <w:szCs w:val="14"/>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(6,744,530)</w:t>
            </w:r>
          </w:p>
        </w:tc>
        <w:tc>
          <w:tcPr>
            <w:tcW w:w="80" w:type="dxa"/>
            <w:vAlign w:val="bottom"/>
          </w:tcPr>
          <w:p>
            <w:pPr>
              <w:spacing w:after="0"/>
              <w:rPr>
                <w:sz w:val="14"/>
                <w:szCs w:val="14"/>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20,544,492</w:t>
            </w:r>
          </w:p>
        </w:tc>
        <w:tc>
          <w:tcPr>
            <w:tcW w:w="80" w:type="dxa"/>
            <w:vAlign w:val="bottom"/>
          </w:tcPr>
          <w:p>
            <w:pPr>
              <w:spacing w:after="0"/>
              <w:rPr>
                <w:sz w:val="14"/>
                <w:szCs w:val="14"/>
                <w:color w:val="auto"/>
              </w:rPr>
            </w:pP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1,524,125</w:t>
            </w:r>
          </w:p>
        </w:tc>
        <w:tc>
          <w:tcPr>
            <w:tcW w:w="80" w:type="dxa"/>
            <w:vAlign w:val="bottom"/>
          </w:tcPr>
          <w:p>
            <w:pPr>
              <w:spacing w:after="0"/>
              <w:rPr>
                <w:sz w:val="14"/>
                <w:szCs w:val="14"/>
                <w:color w:val="auto"/>
              </w:rPr>
            </w:pP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$(5,568,007)</w:t>
            </w:r>
          </w:p>
        </w:tc>
        <w:tc>
          <w:tcPr>
            <w:tcW w:w="80" w:type="dxa"/>
            <w:vAlign w:val="bottom"/>
          </w:tcPr>
          <w:p>
            <w:pPr>
              <w:spacing w:after="0"/>
              <w:rPr>
                <w:sz w:val="14"/>
                <w:szCs w:val="14"/>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107,653,042</w:t>
            </w:r>
          </w:p>
        </w:tc>
        <w:tc>
          <w:tcPr>
            <w:tcW w:w="0" w:type="dxa"/>
            <w:vAlign w:val="bottom"/>
          </w:tcPr>
          <w:p>
            <w:pPr>
              <w:spacing w:after="0"/>
              <w:rPr>
                <w:sz w:val="1"/>
                <w:szCs w:val="1"/>
                <w:color w:val="auto"/>
              </w:rPr>
            </w:pPr>
          </w:p>
        </w:tc>
      </w:tr>
      <w:tr>
        <w:trPr>
          <w:trHeight w:val="203"/>
        </w:trPr>
        <w:tc>
          <w:tcPr>
            <w:tcW w:w="1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8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27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Nine months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Accumulated</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80" w:type="dxa"/>
            <w:vAlign w:val="bottom"/>
          </w:tcPr>
          <w:p>
            <w:pPr>
              <w:spacing w:after="0"/>
              <w:rPr>
                <w:sz w:val="16"/>
                <w:szCs w:val="16"/>
                <w:color w:val="auto"/>
              </w:rPr>
            </w:pPr>
          </w:p>
        </w:tc>
        <w:tc>
          <w:tcPr>
            <w:tcW w:w="1600" w:type="dxa"/>
            <w:vAlign w:val="bottom"/>
            <w:gridSpan w:val="6"/>
            <w:vMerge w:val="restart"/>
          </w:tcPr>
          <w:p>
            <w:pPr>
              <w:ind w:left="240"/>
              <w:spacing w:after="0"/>
              <w:rPr>
                <w:sz w:val="20"/>
                <w:szCs w:val="20"/>
                <w:color w:val="auto"/>
              </w:rPr>
            </w:pPr>
            <w:r>
              <w:rPr>
                <w:rFonts w:ascii="Times New Roman" w:cs="Times New Roman" w:eastAsia="Times New Roman" w:hAnsi="Times New Roman"/>
                <w:sz w:val="16"/>
                <w:szCs w:val="16"/>
                <w:color w:val="auto"/>
              </w:rPr>
              <w:t>Preferred Stock</w:t>
            </w:r>
          </w:p>
        </w:tc>
        <w:tc>
          <w:tcPr>
            <w:tcW w:w="1760" w:type="dxa"/>
            <w:vAlign w:val="bottom"/>
            <w:gridSpan w:val="4"/>
            <w:vMerge w:val="restart"/>
          </w:tcPr>
          <w:p>
            <w:pPr>
              <w:ind w:left="320"/>
              <w:spacing w:after="0"/>
              <w:rPr>
                <w:sz w:val="20"/>
                <w:szCs w:val="20"/>
                <w:color w:val="auto"/>
              </w:rPr>
            </w:pPr>
            <w:r>
              <w:rPr>
                <w:rFonts w:ascii="Times New Roman" w:cs="Times New Roman" w:eastAsia="Times New Roman" w:hAnsi="Times New Roman"/>
                <w:sz w:val="16"/>
                <w:szCs w:val="16"/>
                <w:color w:val="auto"/>
              </w:rPr>
              <w:t>Common Stock</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Capital</w:t>
            </w:r>
          </w:p>
        </w:tc>
        <w:tc>
          <w:tcPr>
            <w:tcW w:w="10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8"/>
              </w:rPr>
              <w:t>Other</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gridSpan w:val="4"/>
            <w:vMerge w:val="restart"/>
          </w:tcPr>
          <w:p>
            <w:pPr>
              <w:ind w:left="360"/>
              <w:spacing w:after="0"/>
              <w:rPr>
                <w:sz w:val="20"/>
                <w:szCs w:val="20"/>
                <w:color w:val="auto"/>
              </w:rPr>
            </w:pPr>
            <w:r>
              <w:rPr>
                <w:rFonts w:ascii="Times New Roman" w:cs="Times New Roman" w:eastAsia="Times New Roman" w:hAnsi="Times New Roman"/>
                <w:sz w:val="16"/>
                <w:szCs w:val="16"/>
                <w:color w:val="auto"/>
              </w:rPr>
              <w:t>Treasury Stock</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880" w:type="dxa"/>
            <w:vAlign w:val="bottom"/>
          </w:tcPr>
          <w:p>
            <w:pPr>
              <w:spacing w:after="0"/>
              <w:rPr>
                <w:sz w:val="11"/>
                <w:szCs w:val="11"/>
                <w:color w:val="auto"/>
              </w:rPr>
            </w:pPr>
          </w:p>
        </w:tc>
        <w:tc>
          <w:tcPr>
            <w:tcW w:w="1600" w:type="dxa"/>
            <w:vAlign w:val="bottom"/>
            <w:gridSpan w:val="6"/>
            <w:vMerge w:val="continue"/>
          </w:tcPr>
          <w:p>
            <w:pPr>
              <w:spacing w:after="0"/>
              <w:rPr>
                <w:sz w:val="11"/>
                <w:szCs w:val="11"/>
                <w:color w:val="auto"/>
              </w:rPr>
            </w:pPr>
          </w:p>
        </w:tc>
        <w:tc>
          <w:tcPr>
            <w:tcW w:w="1760" w:type="dxa"/>
            <w:vAlign w:val="bottom"/>
            <w:gridSpan w:val="4"/>
            <w:vMerge w:val="continue"/>
          </w:tcPr>
          <w:p>
            <w:pPr>
              <w:spacing w:after="0"/>
              <w:rPr>
                <w:sz w:val="11"/>
                <w:szCs w:val="11"/>
                <w:color w:val="auto"/>
              </w:rPr>
            </w:pPr>
          </w:p>
        </w:tc>
        <w:tc>
          <w:tcPr>
            <w:tcW w:w="1000" w:type="dxa"/>
            <w:vAlign w:val="bottom"/>
            <w:gridSpan w:val="2"/>
            <w:vMerge w:val="restart"/>
          </w:tcPr>
          <w:p>
            <w:pPr>
              <w:jc w:val="center"/>
              <w:ind w:right="140"/>
              <w:spacing w:after="0" w:line="142" w:lineRule="exact"/>
              <w:rPr>
                <w:sz w:val="20"/>
                <w:szCs w:val="20"/>
                <w:color w:val="auto"/>
              </w:rPr>
            </w:pPr>
            <w:r>
              <w:rPr>
                <w:rFonts w:ascii="Times New Roman" w:cs="Times New Roman" w:eastAsia="Times New Roman" w:hAnsi="Times New Roman"/>
                <w:sz w:val="16"/>
                <w:szCs w:val="16"/>
                <w:color w:val="auto"/>
              </w:rPr>
              <w:t>in Excess</w:t>
            </w:r>
          </w:p>
        </w:tc>
        <w:tc>
          <w:tcPr>
            <w:tcW w:w="122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6"/>
                <w:szCs w:val="16"/>
                <w:color w:val="auto"/>
              </w:rPr>
              <w:t>Comprehensive</w:t>
            </w:r>
          </w:p>
        </w:tc>
        <w:tc>
          <w:tcPr>
            <w:tcW w:w="1060" w:type="dxa"/>
            <w:vAlign w:val="bottom"/>
            <w:gridSpan w:val="2"/>
            <w:vMerge w:val="restart"/>
          </w:tcPr>
          <w:p>
            <w:pPr>
              <w:ind w:left="40"/>
              <w:spacing w:after="0" w:line="142" w:lineRule="exact"/>
              <w:rPr>
                <w:sz w:val="20"/>
                <w:szCs w:val="20"/>
                <w:color w:val="auto"/>
              </w:rPr>
            </w:pPr>
            <w:r>
              <w:rPr>
                <w:rFonts w:ascii="Times New Roman" w:cs="Times New Roman" w:eastAsia="Times New Roman" w:hAnsi="Times New Roman"/>
                <w:sz w:val="16"/>
                <w:szCs w:val="16"/>
                <w:color w:val="auto"/>
              </w:rPr>
              <w:t>Accumulated</w:t>
            </w:r>
          </w:p>
        </w:tc>
        <w:tc>
          <w:tcPr>
            <w:tcW w:w="1800" w:type="dxa"/>
            <w:vAlign w:val="bottom"/>
            <w:gridSpan w:val="4"/>
            <w:vMerge w:val="continue"/>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220" w:type="dxa"/>
            <w:vAlign w:val="bottom"/>
            <w:gridSpan w:val="3"/>
            <w:vMerge w:val="continue"/>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Amount</w:t>
            </w:r>
          </w:p>
        </w:tc>
        <w:tc>
          <w:tcPr>
            <w:tcW w:w="80" w:type="dxa"/>
            <w:vAlign w:val="bottom"/>
          </w:tcPr>
          <w:p>
            <w:pPr>
              <w:spacing w:after="0"/>
              <w:rPr>
                <w:sz w:val="20"/>
                <w:szCs w:val="20"/>
                <w:color w:val="auto"/>
              </w:rPr>
            </w:pPr>
          </w:p>
        </w:tc>
        <w:tc>
          <w:tcPr>
            <w:tcW w:w="9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Shares</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20"/>
                <w:szCs w:val="20"/>
                <w:color w:val="auto"/>
              </w:rPr>
            </w:pPr>
          </w:p>
        </w:tc>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of Par</w:t>
            </w:r>
          </w:p>
        </w:tc>
        <w:tc>
          <w:tcPr>
            <w:tcW w:w="100" w:type="dxa"/>
            <w:vAlign w:val="bottom"/>
          </w:tcPr>
          <w:p>
            <w:pPr>
              <w:spacing w:after="0"/>
              <w:rPr>
                <w:sz w:val="20"/>
                <w:szCs w:val="20"/>
                <w:color w:val="auto"/>
              </w:rPr>
            </w:pPr>
          </w:p>
        </w:tc>
        <w:tc>
          <w:tcPr>
            <w:tcW w:w="11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Loss</w:t>
            </w:r>
          </w:p>
        </w:tc>
        <w:tc>
          <w:tcPr>
            <w:tcW w:w="10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Deficit</w:t>
            </w: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Shares</w:t>
            </w:r>
          </w:p>
        </w:tc>
        <w:tc>
          <w:tcPr>
            <w:tcW w:w="9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20"/>
                <w:szCs w:val="20"/>
                <w:color w:val="auto"/>
              </w:rPr>
            </w:pPr>
          </w:p>
        </w:tc>
        <w:tc>
          <w:tcPr>
            <w:tcW w:w="9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23"/>
        </w:trPr>
        <w:tc>
          <w:tcPr>
            <w:tcW w:w="1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January 1, 2024</w:t>
            </w:r>
          </w:p>
        </w:tc>
        <w:tc>
          <w:tcPr>
            <w:tcW w:w="6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12,248,313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$ 122,483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$ 75,338,010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(12,274,563)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$(23,114,310)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1,471,406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$(5,567,481)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$ 34,504,139</w:t>
            </w:r>
          </w:p>
        </w:tc>
        <w:tc>
          <w:tcPr>
            <w:tcW w:w="0" w:type="dxa"/>
            <w:vAlign w:val="bottom"/>
          </w:tcPr>
          <w:p>
            <w:pPr>
              <w:spacing w:after="0"/>
              <w:rPr>
                <w:sz w:val="1"/>
                <w:szCs w:val="1"/>
                <w:color w:val="auto"/>
              </w:rPr>
            </w:pPr>
          </w:p>
        </w:tc>
      </w:tr>
      <w:tr>
        <w:trPr>
          <w:trHeight w:val="210"/>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906,375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906,375</w:t>
            </w: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Vesting of restricted stock</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446,044</w:t>
            </w:r>
          </w:p>
        </w:tc>
        <w:tc>
          <w:tcPr>
            <w:tcW w:w="8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4,460</w:t>
            </w:r>
          </w:p>
        </w:tc>
        <w:tc>
          <w:tcPr>
            <w:tcW w:w="8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awards</w:t>
            </w:r>
          </w:p>
        </w:tc>
        <w:tc>
          <w:tcPr>
            <w:tcW w:w="1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Shares deducted from</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restricted stock awards for</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48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6"/>
                <w:szCs w:val="16"/>
                <w:color w:val="auto"/>
              </w:rPr>
              <w:t>payment of withholding</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taxes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(109,633)</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(1,096)</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(959,995)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(961,091)</w:t>
            </w: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37,959</w:t>
            </w: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35,248</w:t>
            </w:r>
          </w:p>
        </w:tc>
        <w:tc>
          <w:tcPr>
            <w:tcW w:w="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Exercise of warrants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60,557</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of offering costs of</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1,135,710</w:t>
            </w:r>
          </w:p>
        </w:tc>
        <w:tc>
          <w:tcPr>
            <w:tcW w:w="8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11,357</w:t>
            </w:r>
          </w:p>
        </w:tc>
        <w:tc>
          <w:tcPr>
            <w:tcW w:w="8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9,054,741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9,066,098</w:t>
            </w:r>
          </w:p>
        </w:tc>
        <w:tc>
          <w:tcPr>
            <w:tcW w:w="0" w:type="dxa"/>
            <w:vAlign w:val="bottom"/>
          </w:tcPr>
          <w:p>
            <w:pPr>
              <w:spacing w:after="0"/>
              <w:rPr>
                <w:sz w:val="1"/>
                <w:szCs w:val="1"/>
                <w:color w:val="auto"/>
              </w:rPr>
            </w:pPr>
          </w:p>
        </w:tc>
      </w:tr>
      <w:tr>
        <w:trPr>
          <w:trHeight w:val="230"/>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$259,825</w:t>
            </w:r>
          </w:p>
        </w:tc>
        <w:tc>
          <w:tcPr>
            <w:tcW w:w="60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12,919,761</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12,919,761</w:t>
            </w: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Decrease in net unrealized</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losses on available-for-sale</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3,234,450</w:t>
            </w:r>
          </w:p>
        </w:tc>
        <w:tc>
          <w:tcPr>
            <w:tcW w:w="8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3,234,450</w:t>
            </w:r>
          </w:p>
        </w:tc>
        <w:tc>
          <w:tcPr>
            <w:tcW w:w="0" w:type="dxa"/>
            <w:vAlign w:val="bottom"/>
          </w:tcPr>
          <w:p>
            <w:pPr>
              <w:spacing w:after="0"/>
              <w:rPr>
                <w:sz w:val="1"/>
                <w:szCs w:val="1"/>
                <w:color w:val="auto"/>
              </w:rPr>
            </w:pPr>
          </w:p>
        </w:tc>
      </w:tr>
      <w:tr>
        <w:trPr>
          <w:trHeight w:val="230"/>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 net of tax</w:t>
            </w:r>
          </w:p>
        </w:tc>
        <w:tc>
          <w:tcPr>
            <w:tcW w:w="1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880" w:type="dxa"/>
            <w:vAlign w:val="bottom"/>
          </w:tcPr>
          <w:p>
            <w:pPr>
              <w:ind w:left="20"/>
              <w:spacing w:after="0" w:line="169" w:lineRule="exact"/>
              <w:rPr>
                <w:sz w:val="20"/>
                <w:szCs w:val="20"/>
                <w:color w:val="auto"/>
              </w:rPr>
            </w:pPr>
            <w:r>
              <w:rPr>
                <w:rFonts w:ascii="Times New Roman" w:cs="Times New Roman" w:eastAsia="Times New Roman" w:hAnsi="Times New Roman"/>
                <w:sz w:val="16"/>
                <w:szCs w:val="16"/>
                <w:color w:val="auto"/>
              </w:rPr>
              <w:t>Balance, September 30,</w:t>
            </w:r>
          </w:p>
        </w:tc>
        <w:tc>
          <w:tcPr>
            <w:tcW w:w="6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13,818,950</w:t>
            </w:r>
          </w:p>
        </w:tc>
        <w:tc>
          <w:tcPr>
            <w:tcW w:w="80" w:type="dxa"/>
            <w:vAlign w:val="bottom"/>
          </w:tcPr>
          <w:p>
            <w:pPr>
              <w:spacing w:after="0"/>
              <w:rPr>
                <w:sz w:val="14"/>
                <w:szCs w:val="14"/>
                <w:color w:val="auto"/>
              </w:rPr>
            </w:pP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$ 138,190</w:t>
            </w:r>
          </w:p>
        </w:tc>
        <w:tc>
          <w:tcPr>
            <w:tcW w:w="80" w:type="dxa"/>
            <w:vAlign w:val="bottom"/>
          </w:tcPr>
          <w:p>
            <w:pPr>
              <w:spacing w:after="0"/>
              <w:rPr>
                <w:sz w:val="14"/>
                <w:szCs w:val="14"/>
                <w:color w:val="auto"/>
              </w:rPr>
            </w:pP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7"/>
              </w:rPr>
              <w:t>$ 84,334,037</w:t>
            </w:r>
          </w:p>
        </w:tc>
        <w:tc>
          <w:tcPr>
            <w:tcW w:w="80" w:type="dxa"/>
            <w:vAlign w:val="bottom"/>
          </w:tcPr>
          <w:p>
            <w:pPr>
              <w:spacing w:after="0"/>
              <w:rPr>
                <w:sz w:val="14"/>
                <w:szCs w:val="14"/>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(9,040,113)</w:t>
            </w:r>
          </w:p>
        </w:tc>
        <w:tc>
          <w:tcPr>
            <w:tcW w:w="80" w:type="dxa"/>
            <w:vAlign w:val="bottom"/>
          </w:tcPr>
          <w:p>
            <w:pPr>
              <w:spacing w:after="0"/>
              <w:rPr>
                <w:sz w:val="14"/>
                <w:szCs w:val="14"/>
                <w:color w:val="auto"/>
              </w:rPr>
            </w:pP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$(10,194,549)</w:t>
            </w:r>
          </w:p>
        </w:tc>
        <w:tc>
          <w:tcPr>
            <w:tcW w:w="80" w:type="dxa"/>
            <w:vAlign w:val="bottom"/>
          </w:tcPr>
          <w:p>
            <w:pPr>
              <w:spacing w:after="0"/>
              <w:rPr>
                <w:sz w:val="14"/>
                <w:szCs w:val="14"/>
                <w:color w:val="auto"/>
              </w:rPr>
            </w:pP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1,506,654</w:t>
            </w:r>
          </w:p>
        </w:tc>
        <w:tc>
          <w:tcPr>
            <w:tcW w:w="80" w:type="dxa"/>
            <w:vAlign w:val="bottom"/>
          </w:tcPr>
          <w:p>
            <w:pPr>
              <w:spacing w:after="0"/>
              <w:rPr>
                <w:sz w:val="14"/>
                <w:szCs w:val="14"/>
                <w:color w:val="auto"/>
              </w:rPr>
            </w:pP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$(5,567,833)</w:t>
            </w:r>
          </w:p>
        </w:tc>
        <w:tc>
          <w:tcPr>
            <w:tcW w:w="80" w:type="dxa"/>
            <w:vAlign w:val="bottom"/>
          </w:tcPr>
          <w:p>
            <w:pPr>
              <w:spacing w:after="0"/>
              <w:rPr>
                <w:sz w:val="14"/>
                <w:szCs w:val="14"/>
                <w:color w:val="auto"/>
              </w:rPr>
            </w:pP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$ 59,669,732</w:t>
            </w:r>
          </w:p>
        </w:tc>
        <w:tc>
          <w:tcPr>
            <w:tcW w:w="0" w:type="dxa"/>
            <w:vAlign w:val="bottom"/>
          </w:tcPr>
          <w:p>
            <w:pPr>
              <w:spacing w:after="0"/>
              <w:rPr>
                <w:sz w:val="1"/>
                <w:szCs w:val="1"/>
                <w:color w:val="auto"/>
              </w:rPr>
            </w:pPr>
          </w:p>
        </w:tc>
      </w:tr>
      <w:tr>
        <w:trPr>
          <w:trHeight w:val="203"/>
        </w:trPr>
        <w:tc>
          <w:tcPr>
            <w:tcW w:w="1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Table of Contents</w:t>
      </w:r>
    </w:p>
    <w:p>
      <w:pPr>
        <w:sectPr>
          <w:pgSz w:w="11900" w:h="16838" w:orient="portrait"/>
          <w:cols w:equalWidth="0" w:num="1">
            <w:col w:w="10139"/>
          </w:cols>
          <w:pgMar w:left="320" w:top="119" w:right="1440"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6"/>
          <w:szCs w:val="16"/>
          <w:b w:val="1"/>
          <w:bCs w:val="1"/>
          <w:color w:val="auto"/>
        </w:rPr>
        <w:t>KINGSTONE COMPANIES, INC. AND SUBSIDIARIES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 (Unaudited)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81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Nine months ended September 30, 2025</w:t>
            </w: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r>
      <w:tr>
        <w:trPr>
          <w:trHeight w:val="3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3"/>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26,007,467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12,919,761</w:t>
            </w:r>
          </w:p>
        </w:tc>
      </w:tr>
      <w:tr>
        <w:trPr>
          <w:trHeight w:val="21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flows provided by operating activities: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3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3"/>
        </w:trPr>
        <w:tc>
          <w:tcPr>
            <w:tcW w:w="81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realized losses on investments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59,838</w:t>
            </w:r>
          </w:p>
        </w:tc>
      </w:tr>
      <w:tr>
        <w:trPr>
          <w:trHeight w:val="210"/>
        </w:trPr>
        <w:tc>
          <w:tcPr>
            <w:tcW w:w="81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Net unrealized gains on equity investments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(977,117)</w:t>
            </w:r>
          </w:p>
        </w:tc>
      </w:tr>
      <w:tr>
        <w:trPr>
          <w:trHeight w:val="3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3"/>
        </w:trPr>
        <w:tc>
          <w:tcPr>
            <w:tcW w:w="81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unrealized gains on other investments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(508,492)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(402,028)</w:t>
            </w:r>
          </w:p>
        </w:tc>
      </w:tr>
      <w:tr>
        <w:trPr>
          <w:trHeight w:val="210"/>
        </w:trPr>
        <w:tc>
          <w:tcPr>
            <w:tcW w:w="81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Gain on sale of real estate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(1,965,989)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3"/>
        </w:trPr>
        <w:tc>
          <w:tcPr>
            <w:tcW w:w="81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1,881,880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1,835,503</w:t>
            </w:r>
          </w:p>
        </w:tc>
      </w:tr>
      <w:tr>
        <w:trPr>
          <w:trHeight w:val="210"/>
        </w:trPr>
        <w:tc>
          <w:tcPr>
            <w:tcW w:w="81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Credit losses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96,191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85,273</w:t>
            </w:r>
          </w:p>
        </w:tc>
      </w:tr>
      <w:tr>
        <w:trPr>
          <w:trHeight w:val="3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3"/>
        </w:trPr>
        <w:tc>
          <w:tcPr>
            <w:tcW w:w="81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Accretion of bond discount, net</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(29,812)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(560,649)</w:t>
            </w:r>
          </w:p>
        </w:tc>
      </w:tr>
      <w:tr>
        <w:trPr>
          <w:trHeight w:val="210"/>
        </w:trPr>
        <w:tc>
          <w:tcPr>
            <w:tcW w:w="81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Amortization of discount and issuance costs on debt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65,163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819,930</w:t>
            </w:r>
          </w:p>
        </w:tc>
      </w:tr>
      <w:tr>
        <w:trPr>
          <w:trHeight w:val="3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3"/>
        </w:trPr>
        <w:tc>
          <w:tcPr>
            <w:tcW w:w="81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174,962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296,553</w:t>
            </w:r>
          </w:p>
        </w:tc>
      </w:tr>
      <w:tr>
        <w:trPr>
          <w:trHeight w:val="210"/>
        </w:trPr>
        <w:tc>
          <w:tcPr>
            <w:tcW w:w="81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1,241,040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906,375</w:t>
            </w:r>
          </w:p>
        </w:tc>
      </w:tr>
      <w:tr>
        <w:trPr>
          <w:trHeight w:val="3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3"/>
        </w:trPr>
        <w:tc>
          <w:tcPr>
            <w:tcW w:w="81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income tax expense</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16,108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3,689,197</w:t>
            </w:r>
          </w:p>
        </w:tc>
      </w:tr>
      <w:tr>
        <w:trPr>
          <w:trHeight w:val="21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Decrease (increase) in operating assets: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3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3"/>
        </w:trPr>
        <w:tc>
          <w:tcPr>
            <w:tcW w:w="81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Premiums receivable, net</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3,418,148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(4,081,882)</w:t>
            </w:r>
          </w:p>
        </w:tc>
      </w:tr>
      <w:tr>
        <w:trPr>
          <w:trHeight w:val="210"/>
        </w:trPr>
        <w:tc>
          <w:tcPr>
            <w:tcW w:w="81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Reinsurance receivables, net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9,303,376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9,847,085</w:t>
            </w:r>
          </w:p>
        </w:tc>
      </w:tr>
      <w:tr>
        <w:trPr>
          <w:trHeight w:val="3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3"/>
        </w:trPr>
        <w:tc>
          <w:tcPr>
            <w:tcW w:w="81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reinsurance</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(2,142,329)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81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Deferred policy acquisition costs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(645,410)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(2,049,801)</w:t>
            </w:r>
          </w:p>
        </w:tc>
      </w:tr>
      <w:tr>
        <w:trPr>
          <w:trHeight w:val="3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3"/>
        </w:trPr>
        <w:tc>
          <w:tcPr>
            <w:tcW w:w="81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assets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(2,917,202)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429,999</w:t>
            </w:r>
          </w:p>
        </w:tc>
      </w:tr>
      <w:tr>
        <w:trPr>
          <w:trHeight w:val="21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Increase (decrease) in operating liabilities: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3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3"/>
        </w:trPr>
        <w:tc>
          <w:tcPr>
            <w:tcW w:w="81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 and loss adjustment expense reserves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14,983,818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(4,975,411)</w:t>
            </w:r>
          </w:p>
        </w:tc>
      </w:tr>
      <w:tr>
        <w:trPr>
          <w:trHeight w:val="210"/>
        </w:trPr>
        <w:tc>
          <w:tcPr>
            <w:tcW w:w="81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Unearned premiums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5,339,407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14,353,241</w:t>
            </w:r>
          </w:p>
        </w:tc>
      </w:tr>
      <w:tr>
        <w:trPr>
          <w:trHeight w:val="3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3"/>
        </w:trPr>
        <w:tc>
          <w:tcPr>
            <w:tcW w:w="81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Advance premiums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4,208,894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1,509,633</w:t>
            </w:r>
          </w:p>
        </w:tc>
      </w:tr>
      <w:tr>
        <w:trPr>
          <w:trHeight w:val="210"/>
        </w:trPr>
        <w:tc>
          <w:tcPr>
            <w:tcW w:w="81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Reinsurance balances payable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(4,819,092)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(2,970,585)</w:t>
            </w:r>
          </w:p>
        </w:tc>
      </w:tr>
      <w:tr>
        <w:trPr>
          <w:trHeight w:val="3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3"/>
        </w:trPr>
        <w:tc>
          <w:tcPr>
            <w:tcW w:w="81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ceding commission revenue</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(3,978,822)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825,228</w:t>
            </w:r>
          </w:p>
        </w:tc>
      </w:tr>
      <w:tr>
        <w:trPr>
          <w:trHeight w:val="210"/>
        </w:trPr>
        <w:tc>
          <w:tcPr>
            <w:tcW w:w="81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Accounts payable, accrued expenses and other liabilities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3,414,339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3,399,435</w:t>
            </w:r>
          </w:p>
        </w:tc>
      </w:tr>
      <w:tr>
        <w:trPr>
          <w:trHeight w:val="33"/>
        </w:trPr>
        <w:tc>
          <w:tcPr>
            <w:tcW w:w="8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6"/>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flows provided by 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53,061,543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34,959,578</w:t>
            </w:r>
          </w:p>
        </w:tc>
      </w:tr>
      <w:tr>
        <w:trPr>
          <w:trHeight w:val="237"/>
        </w:trPr>
        <w:tc>
          <w:tcPr>
            <w:tcW w:w="8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r>
      <w:tr>
        <w:trPr>
          <w:trHeight w:val="223"/>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r>
      <w:tr>
        <w:trPr>
          <w:trHeight w:val="21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Redemption - fixed-maturity securities held-to-maturity</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3"/>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 fixed-maturity securities available-for-sale</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(88,164,845)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(125,744,401)</w:t>
            </w:r>
          </w:p>
        </w:tc>
      </w:tr>
      <w:tr>
        <w:trPr>
          <w:trHeight w:val="21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Sale and maturity - fixed-maturity securities available-for-sale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29,313,789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113,854,152</w:t>
            </w:r>
          </w:p>
        </w:tc>
      </w:tr>
      <w:tr>
        <w:trPr>
          <w:trHeight w:val="3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3"/>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 equity securities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(19,100)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Sale - equity securities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4,410,859</w:t>
            </w:r>
          </w:p>
        </w:tc>
      </w:tr>
      <w:tr>
        <w:trPr>
          <w:trHeight w:val="3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3"/>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sale of real estate</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3,600,000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Acquisition of property and equipment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(2,092,928)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(1,738,969)</w:t>
            </w:r>
          </w:p>
        </w:tc>
      </w:tr>
      <w:tr>
        <w:trPr>
          <w:trHeight w:val="33"/>
        </w:trPr>
        <w:tc>
          <w:tcPr>
            <w:tcW w:w="8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flows used in investing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(56,363,084)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(9,218,359)</w:t>
            </w:r>
          </w:p>
        </w:tc>
      </w:tr>
      <w:tr>
        <w:trPr>
          <w:trHeight w:val="236"/>
        </w:trPr>
        <w:tc>
          <w:tcPr>
            <w:tcW w:w="8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r>
      <w:tr>
        <w:trPr>
          <w:trHeight w:val="223"/>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r>
      <w:tr>
        <w:trPr>
          <w:trHeight w:val="21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Principal payments on equipment financing</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(910,736)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(859,045)</w:t>
            </w:r>
          </w:p>
        </w:tc>
      </w:tr>
      <w:tr>
        <w:trPr>
          <w:trHeight w:val="3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3"/>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Principal payments on 2022 Notes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(5,000,000)</w:t>
            </w:r>
          </w:p>
        </w:tc>
      </w:tr>
      <w:tr>
        <w:trPr>
          <w:trHeight w:val="21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Principal payments on 2024 Notes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(5,950,000)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(3,000,000)</w:t>
            </w:r>
          </w:p>
        </w:tc>
      </w:tr>
      <w:tr>
        <w:trPr>
          <w:trHeight w:val="3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3"/>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Issue costs on 2024 Notes and 2022 Notes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(203,381)</w:t>
            </w:r>
          </w:p>
        </w:tc>
      </w:tr>
      <w:tr>
        <w:trPr>
          <w:trHeight w:val="21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64,591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3"/>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Withholding taxes paid on net exercise of stock options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(14,305)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Withholding taxes paid on vested restricted stock awards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(548,500)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(961,091)</w:t>
            </w:r>
          </w:p>
        </w:tc>
      </w:tr>
      <w:tr>
        <w:trPr>
          <w:trHeight w:val="3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3"/>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proceeds from issuance of common stock</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9,470,453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9,066,098</w:t>
            </w:r>
          </w:p>
        </w:tc>
      </w:tr>
      <w:tr>
        <w:trPr>
          <w:trHeight w:val="21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Dividends paid</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(707,101)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6"/>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flows provided by (used in) financing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1,404,402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(957,419)</w:t>
            </w:r>
          </w:p>
        </w:tc>
      </w:tr>
      <w:tr>
        <w:trPr>
          <w:trHeight w:val="236"/>
        </w:trPr>
        <w:tc>
          <w:tcPr>
            <w:tcW w:w="8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r>
      <w:tr>
        <w:trPr>
          <w:trHeight w:val="223"/>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(Decrease) increase in cash and cash equivalents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(1,897,139)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24,783,800</w:t>
            </w:r>
          </w:p>
        </w:tc>
      </w:tr>
      <w:tr>
        <w:trPr>
          <w:trHeight w:val="21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28,669,441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8,976,998</w:t>
            </w:r>
          </w:p>
        </w:tc>
      </w:tr>
      <w:tr>
        <w:trPr>
          <w:trHeight w:val="33"/>
        </w:trPr>
        <w:tc>
          <w:tcPr>
            <w:tcW w:w="8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1"/>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end of period</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26,772,302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33,760,798</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190"/>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23"/>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cash flow information:</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r>
      <w:tr>
        <w:trPr>
          <w:trHeight w:val="21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5,819,000</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3"/>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1,520,130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1,695,141</w:t>
            </w:r>
          </w:p>
        </w:tc>
      </w:tr>
      <w:tr>
        <w:trPr>
          <w:trHeight w:val="243"/>
        </w:trPr>
        <w:tc>
          <w:tcPr>
            <w:tcW w:w="8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23"/>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schedule of non-cash investing and financing activities: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r>
      <w:tr>
        <w:trPr>
          <w:trHeight w:val="21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5,430,946</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3,234,450</w:t>
            </w:r>
          </w:p>
        </w:tc>
      </w:tr>
    </w:tbl>
    <w:p>
      <w:pPr>
        <w:spacing w:after="0" w:line="200" w:lineRule="exact"/>
        <w:rPr>
          <w:sz w:val="20"/>
          <w:szCs w:val="20"/>
          <w:color w:val="auto"/>
        </w:rPr>
      </w:pPr>
    </w:p>
    <w:p>
      <w:pPr>
        <w:sectPr>
          <w:pgSz w:w="11900" w:h="16838" w:orient="portrait"/>
          <w:cols w:equalWidth="0" w:num="1">
            <w:col w:w="11240"/>
          </w:cols>
          <w:pgMar w:left="320" w:top="164" w:right="339" w:bottom="0" w:gutter="0" w:footer="0" w:header="0"/>
        </w:sectPr>
      </w:pPr>
    </w:p>
    <w:p>
      <w:pPr>
        <w:spacing w:after="0" w:line="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ectPr>
          <w:pgSz w:w="11900" w:h="16838" w:orient="portrait"/>
          <w:cols w:equalWidth="0" w:num="1">
            <w:col w:w="11240"/>
          </w:cols>
          <w:pgMar w:left="320" w:top="164" w:right="339" w:bottom="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432"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KINGSTONE COMPANIES, INC. AND SUBSIDIARIES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1 - Nature of Business and Basis of Presentation</w:t>
      </w:r>
    </w:p>
    <w:p>
      <w:pPr>
        <w:spacing w:after="0" w:line="2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Kingstone Companies, Inc. (referred to herein as "Kingstone" or the “Company” or, on a standalone basis for the parent company only, the “Holding Company”), operates through its wholly-owned subsidiary, Kingstone Insurance Company (“KICO”). KICO is a New York domiciled carrier writing business through retail and wholesale agents and brokers. KICO is actively writing personal lines and commercial auto insurance in New York, and in 2024 was the 12th largest writer of homeowners insurance in New York. KICO is also licensed in the states of New Jersey, Rhode Island, Massachusetts, Connecticut, Pennsylvania, New Hampshire, and Maine. For the three months ended September 30, 2025 and 2024, 98.0% and 96.3%, respectively, of KICO’s direct written premiums came from the New York policies. For the nine months ended September 30, 2025 and 2024, 98.1% and 95.6%, respectively, of KICO’s direct written premiums came from the New York policies. Kingstone, through its wholly-owned subsidiary, Cosi Agency, Inc. (“Cosi”), a multi-state licensed general agency, receives commission revenue from KICO for the policies it places with others and pays commissions to these agencies.</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The accompanying unaudited condensed consolidated financial statements have been prepared in accordance with U.S. generally accepted accounting principles (“GAAP”). The principles for condensed interim financial information do not require the inclusion of all the information and footnotes required by GAAP for complete financial statements. Therefore, these condensed consolidated financial statements should be read in conjunction with the consolidated financial statements as of and for the year ended December 31, 2024 and notes thereto included in the Company’s Annual Report on Form 10-K filed with the Securities and Exchange Commission (the “SEC”) on March 18, 2025. The accompanying condensed consolidated financial statements have not been audited by an independent registered public accounting firm in accordance with standards of the Public Company Accounting Oversight Board (United States) but, in the opinion of management, such financial statements include all adjustments, consisting only of normal recurring adjustments, necessary for a fair presentation of the Company’s financial position and results of operations. The results of operations for the nine months ended September 30, 2025 may not be indicative of the results that may be expected for the year ending December 31, 2025.</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 – Accounting Policies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Basis of Presentation</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 2 to the Consolidated Financial Statements in the Company’s Annual Report on Form 10-K for the year ended December 31, 2024 for further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Principles of Consolidation</w:t>
      </w:r>
    </w:p>
    <w:p>
      <w:pPr>
        <w:spacing w:after="0" w:line="22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condensed consolidated financial statements include the accounts of Kingstone and its wholly-owned subsidiaries: (1) KICO and its wholly-owned subsidiaries, CMIC Properties, Inc. (“Properties”) and 15 Joys Lane, LLC (“15 Joys Lane”), which together, until March 2025, owned the land and building from which KICO operated (see Note 14 - Sale of Real Estate), and (2) Cosi. All significant inter-company account balances and transactions have been eliminated in consolidation.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Use of Estimates</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Actual results could differ from these estimates and assumptions, and includes the reserves for losses and loss adjustment expense (“LAE”), which are subject to estimation errors due to the inherent uncertainty in projecting ultimate claim amounts that will be reported and settled over a period of many years. In addition, estimates and assumptions associated with loss and LAE recoverable under reinsurance contracts and other receivables or payable under reinsurance contracts related to contingent ceding commission revenue require judgments by management. On an ongoing basis, management reevaluates its assumptions and the methods for calculating these estimates. Actual results may differ significantly from the estimates used in preparing the condensed consolidated financial statements.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Accounting Changes</w:t>
      </w:r>
    </w:p>
    <w:p>
      <w:pPr>
        <w:spacing w:after="0" w:line="22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December 2023, the Financial Accounting Standards Board (the "FASB") issued Accounting Standards Update ("ASU") No. 2023-09, Improvements to Income Tax Disclosures (“ASU 2023-09”), which requires disaggregated information about a reporting entity’s effective tax rate reconciliation as well as information on income taxes paid. The standard is intended to benefit investors by providing more detailed income tax disclosures that would be useful in making capital allocation decisions. The guidance is effective for the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Company’s Annual Report on Form 10-K for the year ended December 31, 2025. The Company is currently evaluating the effect the updated guidance will have on its financial statement disclosures.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Recent Accounting Pronouncements</w:t>
      </w:r>
    </w:p>
    <w:p>
      <w:pPr>
        <w:spacing w:after="0" w:line="2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In November 2024, the FASB issued ASU 2024-03, Disaggregation of Income Statement Expenses ("ASU 2024-03"). ASU 2024-03 requires disaggregated disclosure of income statement expenses. ASU 2024-03 does not change the expense captions currently presented on the income statement; rather it requires disaggregation of certain expense captions into specified categories in disclosures within the footnotes to the financial statements. ASU 2024-03 is effective for annual reporting periods, as amended by ASU 2025-01, beginning after December 15, 2026, and interim reporting periods within fiscal years beginning after December 15, 2027. ASU 2024-03 can be applied on a prospective basis; however, retrospective application is permitted. Early adoption is permitted. The Company is currently evaluating the effect the updated guidance will have on its financial statement disclosures.</w:t>
      </w:r>
    </w:p>
    <w:p>
      <w:pPr>
        <w:spacing w:after="0" w:line="19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Company has determined that all other recently issued accounting pronouncements will not have a material impact on its consolidated financial position, results of operations and cash flows, or do not apply to its operations.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Income Taxes</w:t>
      </w:r>
    </w:p>
    <w:p>
      <w:pPr>
        <w:spacing w:after="0" w:line="24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On July 4, 2025, the One Big Beautiful Bill Act (the "Act") was enacted. The Act includes significant federal tax law changes which, among other impacts, modify and make permanent certain business tax provisions originally enacted in the 2017 Tax Cuts and Jobs Act. The Act is subject to further clarification from the issuance of future technical guidance by the U.S. Department of Treasury. The Company is currently evaluating the impacts of the Act but does not expect it to have a material impact on its results of operations or financial condition.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3 - Investments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Fixed-Maturity Securities</w:t>
      </w:r>
    </w:p>
    <w:p>
      <w:pPr>
        <w:spacing w:after="0" w:line="221"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The amortized cost, estimated fair value, and gross unrealized gains and losses on investments in fixed-maturity securities classified as available-for-sale for which an allowance for credit losses has not been recorded, as of September 30, 2025 and December 31, 2024 are summarized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80" w:type="dxa"/>
            <w:vAlign w:val="bottom"/>
            <w:gridSpan w:val="5"/>
          </w:tcPr>
          <w:p>
            <w:pPr>
              <w:ind w:left="68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Cost or</w:t>
            </w:r>
          </w:p>
        </w:tc>
        <w:tc>
          <w:tcPr>
            <w:tcW w:w="160" w:type="dxa"/>
            <w:vAlign w:val="bottom"/>
          </w:tcPr>
          <w:p>
            <w:pPr>
              <w:spacing w:after="0"/>
              <w:rPr>
                <w:sz w:val="17"/>
                <w:szCs w:val="17"/>
                <w:color w:val="auto"/>
              </w:rPr>
            </w:pPr>
          </w:p>
        </w:tc>
        <w:tc>
          <w:tcPr>
            <w:tcW w:w="11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200" w:type="dxa"/>
            <w:vAlign w:val="bottom"/>
          </w:tcPr>
          <w:p>
            <w:pPr>
              <w:spacing w:after="0"/>
              <w:rPr>
                <w:sz w:val="17"/>
                <w:szCs w:val="17"/>
                <w:color w:val="auto"/>
              </w:rPr>
            </w:pPr>
          </w:p>
        </w:tc>
        <w:tc>
          <w:tcPr>
            <w:tcW w:w="2880" w:type="dxa"/>
            <w:vAlign w:val="bottom"/>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Gross Unrealized Losses</w:t>
            </w:r>
          </w:p>
        </w:tc>
        <w:tc>
          <w:tcPr>
            <w:tcW w:w="240" w:type="dxa"/>
            <w:vAlign w:val="bottom"/>
          </w:tcPr>
          <w:p>
            <w:pPr>
              <w:spacing w:after="0"/>
              <w:rPr>
                <w:sz w:val="17"/>
                <w:szCs w:val="17"/>
                <w:color w:val="auto"/>
              </w:rPr>
            </w:pPr>
          </w:p>
        </w:tc>
        <w:tc>
          <w:tcPr>
            <w:tcW w:w="13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200" w:type="dxa"/>
            <w:vAlign w:val="bottom"/>
          </w:tcPr>
          <w:p>
            <w:pPr>
              <w:spacing w:after="0"/>
              <w:rPr>
                <w:sz w:val="17"/>
                <w:szCs w:val="17"/>
                <w:color w:val="auto"/>
              </w:rPr>
            </w:pPr>
          </w:p>
        </w:tc>
        <w:tc>
          <w:tcPr>
            <w:tcW w:w="1160" w:type="dxa"/>
            <w:vAlign w:val="bottom"/>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31"/>
        </w:trPr>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60"/>
              <w:spacing w:after="0" w:line="167" w:lineRule="exact"/>
              <w:rPr>
                <w:sz w:val="20"/>
                <w:szCs w:val="20"/>
                <w:color w:val="auto"/>
              </w:rPr>
            </w:pPr>
            <w:r>
              <w:rPr>
                <w:rFonts w:ascii="Times New Roman" w:cs="Times New Roman" w:eastAsia="Times New Roman" w:hAnsi="Times New Roman"/>
                <w:sz w:val="16"/>
                <w:szCs w:val="16"/>
                <w:b w:val="1"/>
                <w:bCs w:val="1"/>
                <w:color w:val="auto"/>
                <w:w w:val="98"/>
              </w:rPr>
              <w:t>Amortized</w:t>
            </w:r>
          </w:p>
        </w:tc>
        <w:tc>
          <w:tcPr>
            <w:tcW w:w="160" w:type="dxa"/>
            <w:vAlign w:val="bottom"/>
          </w:tcPr>
          <w:p>
            <w:pPr>
              <w:spacing w:after="0"/>
              <w:rPr>
                <w:sz w:val="14"/>
                <w:szCs w:val="14"/>
                <w:color w:val="auto"/>
              </w:rPr>
            </w:pPr>
          </w:p>
        </w:tc>
        <w:tc>
          <w:tcPr>
            <w:tcW w:w="1160" w:type="dxa"/>
            <w:vAlign w:val="bottom"/>
            <w:gridSpan w:val="2"/>
          </w:tcPr>
          <w:p>
            <w:pPr>
              <w:ind w:left="60"/>
              <w:spacing w:after="0" w:line="167"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00" w:type="dxa"/>
            <w:vAlign w:val="bottom"/>
          </w:tcPr>
          <w:p>
            <w:pPr>
              <w:spacing w:after="0"/>
              <w:rPr>
                <w:sz w:val="14"/>
                <w:szCs w:val="14"/>
                <w:color w:val="auto"/>
              </w:rPr>
            </w:pPr>
          </w:p>
        </w:tc>
        <w:tc>
          <w:tcPr>
            <w:tcW w:w="1320" w:type="dxa"/>
            <w:vAlign w:val="bottom"/>
            <w:gridSpan w:val="2"/>
          </w:tcPr>
          <w:p>
            <w:pPr>
              <w:ind w:left="80"/>
              <w:spacing w:after="0" w:line="167" w:lineRule="exact"/>
              <w:rPr>
                <w:sz w:val="20"/>
                <w:szCs w:val="20"/>
                <w:color w:val="auto"/>
              </w:rPr>
            </w:pPr>
            <w:r>
              <w:rPr>
                <w:rFonts w:ascii="Times New Roman" w:cs="Times New Roman" w:eastAsia="Times New Roman" w:hAnsi="Times New Roman"/>
                <w:sz w:val="16"/>
                <w:szCs w:val="16"/>
                <w:b w:val="1"/>
                <w:bCs w:val="1"/>
                <w:color w:val="auto"/>
              </w:rPr>
              <w:t>Less than 12</w:t>
            </w:r>
          </w:p>
        </w:tc>
        <w:tc>
          <w:tcPr>
            <w:tcW w:w="180" w:type="dxa"/>
            <w:vAlign w:val="bottom"/>
          </w:tcPr>
          <w:p>
            <w:pPr>
              <w:spacing w:after="0"/>
              <w:rPr>
                <w:sz w:val="14"/>
                <w:szCs w:val="14"/>
                <w:color w:val="auto"/>
              </w:rPr>
            </w:pPr>
          </w:p>
        </w:tc>
        <w:tc>
          <w:tcPr>
            <w:tcW w:w="1280" w:type="dxa"/>
            <w:vAlign w:val="bottom"/>
          </w:tcPr>
          <w:p>
            <w:pPr>
              <w:jc w:val="right"/>
              <w:ind w:right="179"/>
              <w:spacing w:after="0" w:line="167" w:lineRule="exact"/>
              <w:rPr>
                <w:sz w:val="20"/>
                <w:szCs w:val="20"/>
                <w:color w:val="auto"/>
              </w:rPr>
            </w:pPr>
            <w:r>
              <w:rPr>
                <w:rFonts w:ascii="Times New Roman" w:cs="Times New Roman" w:eastAsia="Times New Roman" w:hAnsi="Times New Roman"/>
                <w:sz w:val="16"/>
                <w:szCs w:val="16"/>
                <w:b w:val="1"/>
                <w:bCs w:val="1"/>
                <w:color w:val="auto"/>
              </w:rPr>
              <w:t>More than 12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ind w:left="320"/>
              <w:spacing w:after="0" w:line="167" w:lineRule="exact"/>
              <w:rPr>
                <w:sz w:val="20"/>
                <w:szCs w:val="20"/>
                <w:color w:val="auto"/>
              </w:rPr>
            </w:pPr>
            <w:r>
              <w:rPr>
                <w:rFonts w:ascii="Times New Roman" w:cs="Times New Roman" w:eastAsia="Times New Roman" w:hAnsi="Times New Roman"/>
                <w:sz w:val="16"/>
                <w:szCs w:val="16"/>
                <w:b w:val="1"/>
                <w:bCs w:val="1"/>
                <w:color w:val="auto"/>
              </w:rPr>
              <w:t>Fair</w:t>
            </w:r>
          </w:p>
        </w:tc>
        <w:tc>
          <w:tcPr>
            <w:tcW w:w="200" w:type="dxa"/>
            <w:vAlign w:val="bottom"/>
          </w:tcPr>
          <w:p>
            <w:pPr>
              <w:spacing w:after="0"/>
              <w:rPr>
                <w:sz w:val="14"/>
                <w:szCs w:val="14"/>
                <w:color w:val="auto"/>
              </w:rPr>
            </w:pPr>
          </w:p>
        </w:tc>
        <w:tc>
          <w:tcPr>
            <w:tcW w:w="1160" w:type="dxa"/>
            <w:vAlign w:val="bottom"/>
          </w:tcPr>
          <w:p>
            <w:pPr>
              <w:ind w:left="100"/>
              <w:spacing w:after="0" w:line="167"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0" w:type="dxa"/>
            <w:vAlign w:val="bottom"/>
          </w:tcPr>
          <w:p>
            <w:pPr>
              <w:spacing w:after="0"/>
              <w:rPr>
                <w:sz w:val="1"/>
                <w:szCs w:val="1"/>
                <w:color w:val="auto"/>
              </w:rPr>
            </w:pPr>
          </w:p>
        </w:tc>
      </w:tr>
      <w:tr>
        <w:trPr>
          <w:trHeight w:val="239"/>
        </w:trPr>
        <w:tc>
          <w:tcPr>
            <w:tcW w:w="2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Category</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Cost</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Gains</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Months</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Months</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0" w:type="dxa"/>
            <w:vAlign w:val="bottom"/>
          </w:tcPr>
          <w:p>
            <w:pPr>
              <w:spacing w:after="0"/>
              <w:rPr>
                <w:sz w:val="1"/>
                <w:szCs w:val="1"/>
                <w:color w:val="auto"/>
              </w:rPr>
            </w:pPr>
          </w:p>
        </w:tc>
      </w:tr>
      <w:tr>
        <w:trPr>
          <w:trHeight w:val="453"/>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Fixed-Maturity Securities:</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securities and</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400" w:type="dxa"/>
            <w:vAlign w:val="bottom"/>
            <w:gridSpan w:val="2"/>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obligations of U.S. government</w:t>
            </w: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corporations and agencies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997,057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1,008,130</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11,073</w:t>
            </w:r>
          </w:p>
        </w:tc>
        <w:tc>
          <w:tcPr>
            <w:tcW w:w="0" w:type="dxa"/>
            <w:vAlign w:val="bottom"/>
          </w:tcPr>
          <w:p>
            <w:pPr>
              <w:spacing w:after="0"/>
              <w:rPr>
                <w:sz w:val="1"/>
                <w:szCs w:val="1"/>
                <w:color w:val="auto"/>
              </w:rPr>
            </w:pPr>
          </w:p>
        </w:tc>
      </w:tr>
      <w:tr>
        <w:trPr>
          <w:trHeight w:val="243"/>
        </w:trPr>
        <w:tc>
          <w:tcPr>
            <w:tcW w:w="2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Political subdivisions of States,</w:t>
            </w:r>
          </w:p>
        </w:tc>
        <w:tc>
          <w:tcPr>
            <w:tcW w:w="22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24,258,552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190,585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(2,551,987)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21,897,150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(2,361,402)</w:t>
            </w:r>
          </w:p>
        </w:tc>
        <w:tc>
          <w:tcPr>
            <w:tcW w:w="0" w:type="dxa"/>
            <w:vAlign w:val="bottom"/>
          </w:tcPr>
          <w:p>
            <w:pPr>
              <w:spacing w:after="0"/>
              <w:rPr>
                <w:sz w:val="1"/>
                <w:szCs w:val="1"/>
                <w:color w:val="auto"/>
              </w:rPr>
            </w:pPr>
          </w:p>
        </w:tc>
      </w:tr>
      <w:tr>
        <w:trPr>
          <w:trHeight w:val="230"/>
        </w:trPr>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Territories and Possessions (1)</w:t>
            </w:r>
          </w:p>
        </w:tc>
        <w:tc>
          <w:tcPr>
            <w:tcW w:w="22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and other bonds</w:t>
            </w:r>
          </w:p>
        </w:tc>
        <w:tc>
          <w:tcPr>
            <w:tcW w:w="22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123,065,335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481,632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(41,640)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(2,890,680)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120,614,647</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(2,450,688)</w:t>
            </w:r>
          </w:p>
        </w:tc>
        <w:tc>
          <w:tcPr>
            <w:tcW w:w="0" w:type="dxa"/>
            <w:vAlign w:val="bottom"/>
          </w:tcPr>
          <w:p>
            <w:pPr>
              <w:spacing w:after="0"/>
              <w:rPr>
                <w:sz w:val="1"/>
                <w:szCs w:val="1"/>
                <w:color w:val="auto"/>
              </w:rPr>
            </w:pPr>
          </w:p>
        </w:tc>
      </w:tr>
      <w:tr>
        <w:trPr>
          <w:trHeight w:val="230"/>
        </w:trPr>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industrial and miscellaneous (1)</w:t>
            </w:r>
          </w:p>
        </w:tc>
        <w:tc>
          <w:tcPr>
            <w:tcW w:w="22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 and other</w:t>
            </w:r>
          </w:p>
        </w:tc>
        <w:tc>
          <w:tcPr>
            <w:tcW w:w="22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112,859,590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1,085,476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(38,253)</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(4,786,312)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109,120,501</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(3,739,089)</w:t>
            </w:r>
          </w:p>
        </w:tc>
        <w:tc>
          <w:tcPr>
            <w:tcW w:w="0" w:type="dxa"/>
            <w:vAlign w:val="bottom"/>
          </w:tcPr>
          <w:p>
            <w:pPr>
              <w:spacing w:after="0"/>
              <w:rPr>
                <w:sz w:val="1"/>
                <w:szCs w:val="1"/>
                <w:color w:val="auto"/>
              </w:rPr>
            </w:pPr>
          </w:p>
        </w:tc>
      </w:tr>
      <w:tr>
        <w:trPr>
          <w:trHeight w:val="230"/>
        </w:trPr>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 backed securities (1) (2)</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fixed-maturity securities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261,180,534</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1,768,766</w:t>
            </w:r>
          </w:p>
        </w:tc>
        <w:tc>
          <w:tcPr>
            <w:tcW w:w="1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(79,893)</w:t>
            </w:r>
          </w:p>
        </w:tc>
        <w:tc>
          <w:tcPr>
            <w:tcW w:w="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(10,228,979)</w:t>
            </w:r>
          </w:p>
        </w:tc>
        <w:tc>
          <w:tcPr>
            <w:tcW w:w="10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252,640,428</w:t>
            </w:r>
          </w:p>
        </w:tc>
        <w:tc>
          <w:tcPr>
            <w:tcW w:w="8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(8,540,106)</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gridSpan w:val="3"/>
          </w:tcPr>
          <w:p>
            <w:pPr>
              <w:ind w:left="9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Cost or</w:t>
            </w:r>
          </w:p>
        </w:tc>
        <w:tc>
          <w:tcPr>
            <w:tcW w:w="13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3020" w:type="dxa"/>
            <w:vAlign w:val="bottom"/>
            <w:gridSpan w:val="3"/>
          </w:tcPr>
          <w:p>
            <w:pPr>
              <w:ind w:left="680"/>
              <w:spacing w:after="0"/>
              <w:rPr>
                <w:sz w:val="20"/>
                <w:szCs w:val="20"/>
                <w:color w:val="auto"/>
              </w:rPr>
            </w:pPr>
            <w:r>
              <w:rPr>
                <w:rFonts w:ascii="Times New Roman" w:cs="Times New Roman" w:eastAsia="Times New Roman" w:hAnsi="Times New Roman"/>
                <w:sz w:val="16"/>
                <w:szCs w:val="16"/>
                <w:b w:val="1"/>
                <w:bCs w:val="1"/>
                <w:color w:val="auto"/>
              </w:rPr>
              <w:t>Gross Unrealized Losses</w:t>
            </w:r>
          </w:p>
        </w:tc>
        <w:tc>
          <w:tcPr>
            <w:tcW w:w="100" w:type="dxa"/>
            <w:vAlign w:val="bottom"/>
          </w:tcPr>
          <w:p>
            <w:pPr>
              <w:spacing w:after="0"/>
              <w:rPr>
                <w:sz w:val="17"/>
                <w:szCs w:val="17"/>
                <w:color w:val="auto"/>
              </w:rPr>
            </w:pPr>
          </w:p>
        </w:tc>
        <w:tc>
          <w:tcPr>
            <w:tcW w:w="15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0" w:type="dxa"/>
            <w:vAlign w:val="bottom"/>
          </w:tcPr>
          <w:p>
            <w:pPr>
              <w:spacing w:after="0"/>
              <w:rPr>
                <w:sz w:val="1"/>
                <w:szCs w:val="1"/>
                <w:color w:val="auto"/>
              </w:rPr>
            </w:pPr>
          </w:p>
        </w:tc>
      </w:tr>
      <w:tr>
        <w:trPr>
          <w:trHeight w:val="31"/>
        </w:trPr>
        <w:tc>
          <w:tcPr>
            <w:tcW w:w="2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gridSpan w:val="2"/>
            <w:vMerge w:val="continue"/>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gridSpan w:val="2"/>
            <w:vMerge w:val="continue"/>
          </w:tcPr>
          <w:p>
            <w:pPr>
              <w:spacing w:after="0"/>
              <w:rPr>
                <w:sz w:val="2"/>
                <w:szCs w:val="2"/>
                <w:color w:val="auto"/>
              </w:rPr>
            </w:pPr>
          </w:p>
        </w:tc>
        <w:tc>
          <w:tcPr>
            <w:tcW w:w="14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2"/>
          </w:tcPr>
          <w:p>
            <w:pPr>
              <w:jc w:val="center"/>
              <w:ind w:right="140"/>
              <w:spacing w:after="0" w:line="167"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1320" w:type="dxa"/>
            <w:vAlign w:val="bottom"/>
            <w:gridSpan w:val="2"/>
          </w:tcPr>
          <w:p>
            <w:pPr>
              <w:jc w:val="center"/>
              <w:ind w:right="120"/>
              <w:spacing w:after="0" w:line="167"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560" w:type="dxa"/>
            <w:vAlign w:val="bottom"/>
            <w:gridSpan w:val="2"/>
          </w:tcPr>
          <w:p>
            <w:pPr>
              <w:jc w:val="center"/>
              <w:ind w:right="100"/>
              <w:spacing w:after="0" w:line="167" w:lineRule="exact"/>
              <w:rPr>
                <w:sz w:val="20"/>
                <w:szCs w:val="20"/>
                <w:color w:val="auto"/>
              </w:rPr>
            </w:pPr>
            <w:r>
              <w:rPr>
                <w:rFonts w:ascii="Times New Roman" w:cs="Times New Roman" w:eastAsia="Times New Roman" w:hAnsi="Times New Roman"/>
                <w:sz w:val="16"/>
                <w:szCs w:val="16"/>
                <w:b w:val="1"/>
                <w:bCs w:val="1"/>
                <w:color w:val="auto"/>
              </w:rPr>
              <w:t>Less than 12</w:t>
            </w:r>
          </w:p>
        </w:tc>
        <w:tc>
          <w:tcPr>
            <w:tcW w:w="146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b w:val="1"/>
                <w:bCs w:val="1"/>
                <w:color w:val="auto"/>
              </w:rPr>
              <w:t>More than 12</w:t>
            </w:r>
          </w:p>
        </w:tc>
        <w:tc>
          <w:tcPr>
            <w:tcW w:w="100" w:type="dxa"/>
            <w:vAlign w:val="bottom"/>
          </w:tcPr>
          <w:p>
            <w:pPr>
              <w:spacing w:after="0"/>
              <w:rPr>
                <w:sz w:val="14"/>
                <w:szCs w:val="14"/>
                <w:color w:val="auto"/>
              </w:rPr>
            </w:pPr>
          </w:p>
        </w:tc>
        <w:tc>
          <w:tcPr>
            <w:tcW w:w="1560" w:type="dxa"/>
            <w:vAlign w:val="bottom"/>
            <w:gridSpan w:val="2"/>
          </w:tcPr>
          <w:p>
            <w:pPr>
              <w:jc w:val="center"/>
              <w:ind w:right="140"/>
              <w:spacing w:after="0" w:line="167" w:lineRule="exact"/>
              <w:rPr>
                <w:sz w:val="20"/>
                <w:szCs w:val="20"/>
                <w:color w:val="auto"/>
              </w:rPr>
            </w:pPr>
            <w:r>
              <w:rPr>
                <w:rFonts w:ascii="Times New Roman" w:cs="Times New Roman" w:eastAsia="Times New Roman" w:hAnsi="Times New Roman"/>
                <w:sz w:val="16"/>
                <w:szCs w:val="16"/>
                <w:b w:val="1"/>
                <w:bCs w:val="1"/>
                <w:color w:val="auto"/>
              </w:rPr>
              <w:t>Fair</w:t>
            </w:r>
          </w:p>
        </w:tc>
        <w:tc>
          <w:tcPr>
            <w:tcW w:w="148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0" w:type="dxa"/>
            <w:vAlign w:val="bottom"/>
          </w:tcPr>
          <w:p>
            <w:pPr>
              <w:spacing w:after="0"/>
              <w:rPr>
                <w:sz w:val="1"/>
                <w:szCs w:val="1"/>
                <w:color w:val="auto"/>
              </w:rPr>
            </w:pPr>
          </w:p>
        </w:tc>
      </w:tr>
      <w:tr>
        <w:trPr>
          <w:trHeight w:val="239"/>
        </w:trPr>
        <w:tc>
          <w:tcPr>
            <w:tcW w:w="2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Category</w:t>
            </w:r>
          </w:p>
        </w:tc>
        <w:tc>
          <w:tcPr>
            <w:tcW w:w="8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Cost</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Months</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Months</w:t>
            </w:r>
          </w:p>
        </w:tc>
        <w:tc>
          <w:tcPr>
            <w:tcW w:w="10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8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Fixed-Maturity Securities:</w:t>
      </w:r>
    </w:p>
    <w:p>
      <w:pPr>
        <w:sectPr>
          <w:pgSz w:w="11900" w:h="16838" w:orient="portrait"/>
          <w:cols w:equalWidth="0" w:num="1">
            <w:col w:w="11240"/>
          </w:cols>
          <w:pgMar w:left="320" w:top="119" w:right="339" w:bottom="1440" w:gutter="0" w:footer="0" w:header="0"/>
        </w:sectPr>
      </w:pP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U.S. Treasury securities and</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obligations of U.S. government</w:t>
      </w:r>
    </w:p>
    <w:p>
      <w:pPr>
        <w:ind w:left="20"/>
        <w:spacing w:after="0"/>
        <w:tabs>
          <w:tab w:leader="none" w:pos="2200" w:val="left"/>
        </w:tabs>
        <w:rPr>
          <w:sz w:val="20"/>
          <w:szCs w:val="20"/>
          <w:color w:val="auto"/>
        </w:rPr>
      </w:pPr>
      <w:r>
        <w:rPr>
          <w:rFonts w:ascii="Times New Roman" w:cs="Times New Roman" w:eastAsia="Times New Roman" w:hAnsi="Times New Roman"/>
          <w:sz w:val="16"/>
          <w:szCs w:val="16"/>
          <w:color w:val="auto"/>
        </w:rPr>
        <w:t>corporations and agencies (1)</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tabs>
          <w:tab w:leader="none" w:pos="220" w:val="left"/>
          <w:tab w:leader="none" w:pos="1300" w:val="left"/>
          <w:tab w:leader="none" w:pos="1540" w:val="left"/>
          <w:tab w:leader="none" w:pos="2860" w:val="left"/>
          <w:tab w:leader="none" w:pos="3100" w:val="left"/>
          <w:tab w:leader="none" w:pos="4420" w:val="left"/>
          <w:tab w:leader="none" w:pos="4660" w:val="left"/>
          <w:tab w:leader="none" w:pos="6000" w:val="left"/>
          <w:tab w:leader="none" w:pos="6220" w:val="left"/>
          <w:tab w:leader="none" w:pos="7560" w:val="left"/>
        </w:tabs>
        <w:rPr>
          <w:sz w:val="20"/>
          <w:szCs w:val="20"/>
          <w:color w:val="auto"/>
        </w:rPr>
      </w:pPr>
      <w:r>
        <w:rPr>
          <w:rFonts w:ascii="Times New Roman" w:cs="Times New Roman" w:eastAsia="Times New Roman" w:hAnsi="Times New Roman"/>
          <w:sz w:val="16"/>
          <w:szCs w:val="16"/>
          <w:color w:val="auto"/>
        </w:rPr>
        <w:t>-</w:t>
        <w:tab/>
        <w:t>$</w:t>
      </w:r>
      <w:r>
        <w:rPr>
          <w:sz w:val="20"/>
          <w:szCs w:val="20"/>
          <w:color w:val="auto"/>
        </w:rPr>
        <w:tab/>
      </w:r>
      <w:r>
        <w:rPr>
          <w:rFonts w:ascii="Times New Roman" w:cs="Times New Roman" w:eastAsia="Times New Roman" w:hAnsi="Times New Roman"/>
          <w:sz w:val="16"/>
          <w:szCs w:val="16"/>
          <w:color w:val="auto"/>
        </w:rPr>
        <w:t>-</w:t>
        <w:tab/>
        <w:t>$</w:t>
      </w:r>
      <w:r>
        <w:rPr>
          <w:sz w:val="20"/>
          <w:szCs w:val="20"/>
          <w:color w:val="auto"/>
        </w:rPr>
        <w:tab/>
      </w:r>
      <w:r>
        <w:rPr>
          <w:rFonts w:ascii="Times New Roman" w:cs="Times New Roman" w:eastAsia="Times New Roman" w:hAnsi="Times New Roman"/>
          <w:sz w:val="16"/>
          <w:szCs w:val="16"/>
          <w:color w:val="auto"/>
        </w:rPr>
        <w:t>-</w:t>
        <w:tab/>
        <w:t>$</w:t>
      </w:r>
      <w:r>
        <w:rPr>
          <w:sz w:val="20"/>
          <w:szCs w:val="20"/>
          <w:color w:val="auto"/>
        </w:rPr>
        <w:tab/>
      </w:r>
      <w:r>
        <w:rPr>
          <w:rFonts w:ascii="Times New Roman" w:cs="Times New Roman" w:eastAsia="Times New Roman" w:hAnsi="Times New Roman"/>
          <w:sz w:val="16"/>
          <w:szCs w:val="16"/>
          <w:color w:val="auto"/>
        </w:rPr>
        <w:t>-</w:t>
        <w:tab/>
        <w:t>$</w:t>
      </w:r>
      <w:r>
        <w:rPr>
          <w:sz w:val="20"/>
          <w:szCs w:val="20"/>
          <w:color w:val="auto"/>
        </w:rPr>
        <w:tab/>
      </w:r>
      <w:r>
        <w:rPr>
          <w:rFonts w:ascii="Times New Roman" w:cs="Times New Roman" w:eastAsia="Times New Roman" w:hAnsi="Times New Roman"/>
          <w:sz w:val="16"/>
          <w:szCs w:val="16"/>
          <w:color w:val="auto"/>
        </w:rPr>
        <w:t>-</w:t>
        <w:tab/>
        <w:t>$</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-347345</wp:posOffset>
            </wp:positionV>
            <wp:extent cx="7132320" cy="3854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385445"/>
                    </a:xfrm>
                    <a:prstGeom prst="rect">
                      <a:avLst/>
                    </a:prstGeom>
                    <a:noFill/>
                  </pic:spPr>
                </pic:pic>
              </a:graphicData>
            </a:graphic>
          </wp:anchor>
        </w:drawing>
      </w:r>
    </w:p>
    <w:p>
      <w:pPr>
        <w:spacing w:after="0" w:line="218" w:lineRule="exact"/>
        <w:rPr>
          <w:sz w:val="20"/>
          <w:szCs w:val="20"/>
          <w:color w:val="auto"/>
        </w:rPr>
      </w:pPr>
    </w:p>
    <w:p>
      <w:pPr>
        <w:sectPr>
          <w:pgSz w:w="11900" w:h="16838" w:orient="portrait"/>
          <w:cols w:equalWidth="0" w:num="2">
            <w:col w:w="2820" w:space="720"/>
            <w:col w:w="7700"/>
          </w:cols>
          <w:pgMar w:left="320" w:top="119" w:right="339" w:bottom="1440" w:gutter="0" w:footer="0" w:header="0"/>
          <w:type w:val="continuous"/>
        </w:sectPr>
      </w:pP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Political subdivisions of States,</w:t>
            </w:r>
          </w:p>
        </w:tc>
        <w:tc>
          <w:tcPr>
            <w:tcW w:w="34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24,271,177</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(73,589)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(3,324,491)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20,873,097</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(3,398,080)</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Territories and Possessions (1)</w:t>
            </w:r>
          </w:p>
        </w:tc>
        <w:tc>
          <w:tcPr>
            <w:tcW w:w="3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and other bonds</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20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industrial and miscellaneous</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112,507,436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(1,024,461)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(4,690,597)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106,792,378</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(5,715,058)</w:t>
            </w:r>
          </w:p>
        </w:tc>
        <w:tc>
          <w:tcPr>
            <w:tcW w:w="0" w:type="dxa"/>
            <w:vAlign w:val="bottom"/>
          </w:tcPr>
          <w:p>
            <w:pPr>
              <w:spacing w:after="0"/>
              <w:rPr>
                <w:sz w:val="1"/>
                <w:szCs w:val="1"/>
                <w:color w:val="auto"/>
              </w:rPr>
            </w:pPr>
          </w:p>
        </w:tc>
      </w:tr>
      <w:tr>
        <w:trPr>
          <w:trHeight w:val="243"/>
        </w:trPr>
        <w:tc>
          <w:tcPr>
            <w:tcW w:w="2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 and other</w:t>
            </w:r>
          </w:p>
        </w:tc>
        <w:tc>
          <w:tcPr>
            <w:tcW w:w="34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65,529,545</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119,647</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(209,890)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(6,211,339)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59,227,963</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(6,301,582)</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 backed securities (1) (2)</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fixed-maturity securities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202,308,158</w:t>
            </w:r>
          </w:p>
        </w:tc>
        <w:tc>
          <w:tcPr>
            <w:tcW w:w="10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119,647</w:t>
            </w:r>
          </w:p>
        </w:tc>
        <w:tc>
          <w:tcPr>
            <w:tcW w:w="100" w:type="dxa"/>
            <w:vAlign w:val="bottom"/>
          </w:tcPr>
          <w:p>
            <w:pPr>
              <w:spacing w:after="0"/>
              <w:rPr>
                <w:sz w:val="17"/>
                <w:szCs w:val="17"/>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(1,307,940)</w:t>
            </w:r>
          </w:p>
        </w:tc>
        <w:tc>
          <w:tcPr>
            <w:tcW w:w="10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(14,226,427)</w:t>
            </w:r>
          </w:p>
        </w:tc>
        <w:tc>
          <w:tcPr>
            <w:tcW w:w="10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186,893,438</w:t>
            </w:r>
          </w:p>
        </w:tc>
        <w:tc>
          <w:tcPr>
            <w:tcW w:w="8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(15,414,720)</w:t>
            </w:r>
          </w:p>
        </w:tc>
        <w:tc>
          <w:tcPr>
            <w:tcW w:w="0" w:type="dxa"/>
            <w:vAlign w:val="bottom"/>
          </w:tcPr>
          <w:p>
            <w:pPr>
              <w:spacing w:after="0"/>
              <w:rPr>
                <w:sz w:val="1"/>
                <w:szCs w:val="1"/>
                <w:color w:val="auto"/>
              </w:rPr>
            </w:pPr>
          </w:p>
        </w:tc>
      </w:tr>
      <w:tr>
        <w:trPr>
          <w:trHeight w:val="33"/>
        </w:trPr>
        <w:tc>
          <w:tcPr>
            <w:tcW w:w="2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2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left="2040" w:hanging="1083"/>
        <w:spacing w:after="0" w:line="258" w:lineRule="auto"/>
        <w:tabs>
          <w:tab w:leader="none" w:pos="2031"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October 2022, KICO placed certain U.S. Treasury securities to fulfill the required collateral for a sale-leaseback transaction in a designated custodian account (see Note 7 – Debt - “Equipment Financing”). As of December 31, 2024 KICO had sold its U.S. Treasury securities and replaced a portion of its other fixed-maturity securities in the designated custodian account. As of September 30, 2025 and December 31, 2024, the amount of required collateral was approximately $4,039,000 and $5,308,000, respectively. As of September 30, 2025 and December 31, 2024, the estimated fair value of the eligible collateral was approximately $4,039,000 and $5,308,000, respectively.</w:t>
      </w:r>
    </w:p>
    <w:p>
      <w:pPr>
        <w:spacing w:after="0" w:line="1" w:lineRule="exact"/>
        <w:rPr>
          <w:rFonts w:ascii="Times New Roman" w:cs="Times New Roman" w:eastAsia="Times New Roman" w:hAnsi="Times New Roman"/>
          <w:sz w:val="16"/>
          <w:szCs w:val="16"/>
          <w:color w:val="auto"/>
        </w:rPr>
      </w:pPr>
    </w:p>
    <w:p>
      <w:pPr>
        <w:jc w:val="both"/>
        <w:ind w:left="2040" w:hanging="1083"/>
        <w:spacing w:after="0" w:line="255" w:lineRule="auto"/>
        <w:tabs>
          <w:tab w:leader="none" w:pos="2031"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KICO has placed certain residential mortgage backed securities as eligible collateral in a designated custodian account related to its membership in the Federal Home Loan Bank of New York (“FHLBNY”) (see Note 7 – Debt – “Federal Home Loan Bank”). The eligible collateral would be pledged to FHLBNY if KICO draws an advance from the FHLBNY credit line. As of September 30, 2025 and December 31, 2024, the estimated fair value of the eligible investments was approximately $9,779,000 and $10,130,000, respectively. KICO will retain all rights regarding all securities if pledged as collateral. As of September 30, 2025 and December 31, 2024, there was no outstanding balance on the FHLBNY credit line.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summary of the amortized cost and estimated fair value of the Company’s investments in available-for-sale fixed-maturity securities by contractual maturity as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September 30, 2025 and December 31, 2024 is shown below: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20" w:type="dxa"/>
            <w:vAlign w:val="bottom"/>
          </w:tcPr>
          <w:p>
            <w:pPr>
              <w:spacing w:after="0"/>
              <w:rPr>
                <w:sz w:val="18"/>
                <w:szCs w:val="18"/>
                <w:color w:val="auto"/>
              </w:rPr>
            </w:pPr>
          </w:p>
        </w:tc>
        <w:tc>
          <w:tcPr>
            <w:tcW w:w="2840" w:type="dxa"/>
            <w:vAlign w:val="bottom"/>
            <w:gridSpan w:val="4"/>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33"/>
        </w:trPr>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0"/>
        </w:trPr>
        <w:tc>
          <w:tcPr>
            <w:tcW w:w="4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center"/>
              <w:ind w:right="360"/>
              <w:spacing w:after="0" w:line="181" w:lineRule="exact"/>
              <w:rPr>
                <w:sz w:val="20"/>
                <w:szCs w:val="20"/>
                <w:color w:val="auto"/>
              </w:rPr>
            </w:pPr>
            <w:r>
              <w:rPr>
                <w:rFonts w:ascii="Times New Roman" w:cs="Times New Roman" w:eastAsia="Times New Roman" w:hAnsi="Times New Roman"/>
                <w:sz w:val="16"/>
                <w:szCs w:val="16"/>
                <w:b w:val="1"/>
                <w:bCs w:val="1"/>
                <w:color w:val="auto"/>
              </w:rPr>
              <w:t>Cost or</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center"/>
              <w:ind w:right="360"/>
              <w:spacing w:after="0" w:line="181" w:lineRule="exact"/>
              <w:rPr>
                <w:sz w:val="20"/>
                <w:szCs w:val="20"/>
                <w:color w:val="auto"/>
              </w:rPr>
            </w:pPr>
            <w:r>
              <w:rPr>
                <w:rFonts w:ascii="Times New Roman" w:cs="Times New Roman" w:eastAsia="Times New Roman" w:hAnsi="Times New Roman"/>
                <w:sz w:val="16"/>
                <w:szCs w:val="16"/>
                <w:b w:val="1"/>
                <w:bCs w:val="1"/>
                <w:color w:val="auto"/>
              </w:rPr>
              <w:t>Cost or</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5"/>
        </w:trPr>
        <w:tc>
          <w:tcPr>
            <w:tcW w:w="4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center"/>
              <w:ind w:right="380"/>
              <w:spacing w:after="0" w:line="175"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240" w:type="dxa"/>
            <w:vAlign w:val="bottom"/>
          </w:tcPr>
          <w:p>
            <w:pPr>
              <w:spacing w:after="0"/>
              <w:rPr>
                <w:sz w:val="15"/>
                <w:szCs w:val="15"/>
                <w:color w:val="auto"/>
              </w:rPr>
            </w:pPr>
          </w:p>
        </w:tc>
        <w:tc>
          <w:tcPr>
            <w:tcW w:w="1340" w:type="dxa"/>
            <w:vAlign w:val="bottom"/>
            <w:gridSpan w:val="2"/>
          </w:tcPr>
          <w:p>
            <w:pPr>
              <w:ind w:left="140"/>
              <w:spacing w:after="0" w:line="175" w:lineRule="exact"/>
              <w:rPr>
                <w:sz w:val="20"/>
                <w:szCs w:val="20"/>
                <w:color w:val="auto"/>
              </w:rPr>
            </w:pPr>
            <w:r>
              <w:rPr>
                <w:rFonts w:ascii="Times New Roman" w:cs="Times New Roman" w:eastAsia="Times New Roman" w:hAnsi="Times New Roman"/>
                <w:sz w:val="16"/>
                <w:szCs w:val="16"/>
                <w:b w:val="1"/>
                <w:bCs w:val="1"/>
                <w:color w:val="auto"/>
              </w:rPr>
              <w:t>Estimated</w:t>
            </w:r>
          </w:p>
        </w:tc>
        <w:tc>
          <w:tcPr>
            <w:tcW w:w="220" w:type="dxa"/>
            <w:vAlign w:val="bottom"/>
          </w:tcPr>
          <w:p>
            <w:pPr>
              <w:spacing w:after="0"/>
              <w:rPr>
                <w:sz w:val="15"/>
                <w:szCs w:val="15"/>
                <w:color w:val="auto"/>
              </w:rPr>
            </w:pPr>
          </w:p>
        </w:tc>
        <w:tc>
          <w:tcPr>
            <w:tcW w:w="1360" w:type="dxa"/>
            <w:vAlign w:val="bottom"/>
            <w:gridSpan w:val="2"/>
          </w:tcPr>
          <w:p>
            <w:pPr>
              <w:jc w:val="center"/>
              <w:ind w:right="380"/>
              <w:spacing w:after="0" w:line="175"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240" w:type="dxa"/>
            <w:vAlign w:val="bottom"/>
          </w:tcPr>
          <w:p>
            <w:pPr>
              <w:spacing w:after="0"/>
              <w:rPr>
                <w:sz w:val="15"/>
                <w:szCs w:val="15"/>
                <w:color w:val="auto"/>
              </w:rPr>
            </w:pPr>
          </w:p>
        </w:tc>
        <w:tc>
          <w:tcPr>
            <w:tcW w:w="1240" w:type="dxa"/>
            <w:vAlign w:val="bottom"/>
          </w:tcPr>
          <w:p>
            <w:pPr>
              <w:jc w:val="right"/>
              <w:ind w:right="319"/>
              <w:spacing w:after="0" w:line="175" w:lineRule="exact"/>
              <w:rPr>
                <w:sz w:val="20"/>
                <w:szCs w:val="20"/>
                <w:color w:val="auto"/>
              </w:rPr>
            </w:pPr>
            <w:r>
              <w:rPr>
                <w:rFonts w:ascii="Times New Roman" w:cs="Times New Roman" w:eastAsia="Times New Roman" w:hAnsi="Times New Roman"/>
                <w:sz w:val="16"/>
                <w:szCs w:val="16"/>
                <w:b w:val="1"/>
                <w:bCs w:val="1"/>
                <w:color w:val="auto"/>
              </w:rPr>
              <w:t>Estimated</w:t>
            </w:r>
          </w:p>
        </w:tc>
      </w:tr>
      <w:tr>
        <w:trPr>
          <w:trHeight w:val="239"/>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Remaining Time to Maturity</w:t>
            </w: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Cost</w:t>
            </w:r>
          </w:p>
        </w:tc>
        <w:tc>
          <w:tcPr>
            <w:tcW w:w="240" w:type="dxa"/>
            <w:vAlign w:val="bottom"/>
          </w:tcPr>
          <w:p>
            <w:pPr>
              <w:spacing w:after="0"/>
              <w:rPr>
                <w:sz w:val="20"/>
                <w:szCs w:val="20"/>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Cost</w:t>
            </w:r>
          </w:p>
        </w:tc>
        <w:tc>
          <w:tcPr>
            <w:tcW w:w="240" w:type="dxa"/>
            <w:vAlign w:val="bottom"/>
          </w:tcPr>
          <w:p>
            <w:pPr>
              <w:spacing w:after="0"/>
              <w:rPr>
                <w:sz w:val="20"/>
                <w:szCs w:val="20"/>
                <w:color w:val="auto"/>
              </w:rPr>
            </w:pPr>
          </w:p>
        </w:tc>
        <w:tc>
          <w:tcPr>
            <w:tcW w:w="12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43"/>
        </w:trPr>
        <w:tc>
          <w:tcPr>
            <w:tcW w:w="49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r>
      <w:tr>
        <w:trPr>
          <w:trHeight w:val="223"/>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than one year</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12,951,205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12,916,040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9,522,262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9,484,834</w:t>
            </w:r>
          </w:p>
        </w:tc>
      </w:tr>
      <w:tr>
        <w:trPr>
          <w:trHeight w:val="21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One to five years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67,778,085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66,799,930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68,052,387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66,141,372</w:t>
            </w:r>
          </w:p>
        </w:tc>
      </w:tr>
      <w:tr>
        <w:trPr>
          <w:trHeight w:val="33"/>
        </w:trPr>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3"/>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Five to ten years</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47,386,586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45,910,285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38,159,446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34,068,922</w:t>
            </w:r>
          </w:p>
        </w:tc>
      </w:tr>
      <w:tr>
        <w:trPr>
          <w:trHeight w:val="21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More than 10 years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20,205,068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17,893,672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21,044,518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17,970,347</w:t>
            </w:r>
          </w:p>
        </w:tc>
      </w:tr>
      <w:tr>
        <w:trPr>
          <w:trHeight w:val="33"/>
        </w:trPr>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 and other asset backed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112,859,590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109,120,501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65,529,545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59,227,963</w:t>
            </w:r>
          </w:p>
        </w:tc>
      </w:tr>
      <w:tr>
        <w:trPr>
          <w:trHeight w:val="204"/>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261,180,534</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252,640,428</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202,308,158</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186,893,438</w:t>
            </w:r>
          </w:p>
        </w:tc>
      </w:tr>
      <w:tr>
        <w:trPr>
          <w:trHeight w:val="33"/>
        </w:trPr>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4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actual maturities may differ from contractual maturities because certain borrowers have the right to call or prepay obligations with or without penalties.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was no allowance for credit losses on fixed-maturity securities classified as available-for-sale as of September 30, 2025 and December 31, 2024, respectively.</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Equity Securities</w:t>
      </w:r>
    </w:p>
    <w:p>
      <w:pPr>
        <w:spacing w:after="0" w:line="221"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The cost and estimated fair value of, and gross unrealized gains and losses on, investments in equity securities as of September 30, 2025 and December 31, 2024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60" w:type="dxa"/>
            <w:vAlign w:val="bottom"/>
            <w:gridSpan w:val="6"/>
          </w:tcPr>
          <w:p>
            <w:pPr>
              <w:ind w:left="86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3"/>
        </w:trPr>
        <w:tc>
          <w:tcPr>
            <w:tcW w:w="4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0"/>
        </w:trPr>
        <w:tc>
          <w:tcPr>
            <w:tcW w:w="4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ind w:left="520"/>
              <w:spacing w:after="0" w:line="181" w:lineRule="exact"/>
              <w:rPr>
                <w:sz w:val="20"/>
                <w:szCs w:val="20"/>
                <w:color w:val="auto"/>
              </w:rPr>
            </w:pPr>
            <w:r>
              <w:rPr>
                <w:rFonts w:ascii="Times New Roman" w:cs="Times New Roman" w:eastAsia="Times New Roman" w:hAnsi="Times New Roman"/>
                <w:sz w:val="16"/>
                <w:szCs w:val="16"/>
                <w:b w:val="1"/>
                <w:bCs w:val="1"/>
                <w:color w:val="auto"/>
              </w:rPr>
              <w:t>Gross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center"/>
              <w:ind w:right="320"/>
              <w:spacing w:after="0" w:line="181"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4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ind w:left="360"/>
              <w:spacing w:after="0" w:line="175"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center"/>
              <w:ind w:right="320"/>
              <w:spacing w:after="0" w:line="175"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40" w:type="dxa"/>
            <w:vAlign w:val="bottom"/>
          </w:tcPr>
          <w:p>
            <w:pPr>
              <w:spacing w:after="0"/>
              <w:rPr>
                <w:sz w:val="15"/>
                <w:szCs w:val="15"/>
                <w:color w:val="auto"/>
              </w:rPr>
            </w:pPr>
          </w:p>
        </w:tc>
        <w:tc>
          <w:tcPr>
            <w:tcW w:w="124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b w:val="1"/>
                <w:bCs w:val="1"/>
                <w:color w:val="auto"/>
              </w:rPr>
              <w:t>Estimated</w:t>
            </w:r>
          </w:p>
        </w:tc>
      </w:tr>
      <w:tr>
        <w:trPr>
          <w:trHeight w:val="239"/>
        </w:trPr>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Category</w:t>
            </w: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Cost</w:t>
            </w:r>
          </w:p>
        </w:tc>
        <w:tc>
          <w:tcPr>
            <w:tcW w:w="80" w:type="dxa"/>
            <w:vAlign w:val="bottom"/>
          </w:tcPr>
          <w:p>
            <w:pPr>
              <w:spacing w:after="0"/>
              <w:rPr>
                <w:sz w:val="20"/>
                <w:szCs w:val="20"/>
                <w:color w:val="auto"/>
              </w:rPr>
            </w:pPr>
          </w:p>
        </w:tc>
        <w:tc>
          <w:tcPr>
            <w:tcW w:w="1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6"/>
                <w:szCs w:val="16"/>
                <w:b w:val="1"/>
                <w:bCs w:val="1"/>
                <w:color w:val="auto"/>
              </w:rPr>
              <w:t>Gains</w:t>
            </w:r>
          </w:p>
        </w:tc>
        <w:tc>
          <w:tcPr>
            <w:tcW w:w="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453"/>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Equity Securities:</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3"/>
        </w:trPr>
        <w:tc>
          <w:tcPr>
            <w:tcW w:w="4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3"/>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stocks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9,750,322</w:t>
            </w:r>
          </w:p>
        </w:tc>
        <w:tc>
          <w:tcPr>
            <w:tcW w:w="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(2,450,189)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7,300,133</w:t>
            </w:r>
          </w:p>
        </w:tc>
      </w:tr>
      <w:tr>
        <w:trPr>
          <w:trHeight w:val="21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Fixed income exchange traded funds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3,711,232</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(686,632)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3,024,600</w:t>
            </w:r>
          </w:p>
        </w:tc>
      </w:tr>
      <w:tr>
        <w:trPr>
          <w:trHeight w:val="33"/>
        </w:trPr>
        <w:tc>
          <w:tcPr>
            <w:tcW w:w="4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FHLBNY 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85,100</w:t>
            </w:r>
          </w:p>
        </w:tc>
        <w:tc>
          <w:tcPr>
            <w:tcW w:w="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85,100</w:t>
            </w:r>
          </w:p>
        </w:tc>
      </w:tr>
      <w:tr>
        <w:trPr>
          <w:trHeight w:val="204"/>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13,546,654</w:t>
            </w:r>
          </w:p>
        </w:tc>
        <w:tc>
          <w:tcPr>
            <w:tcW w:w="80" w:type="dxa"/>
            <w:vAlign w:val="bottom"/>
          </w:tcPr>
          <w:p>
            <w:pPr>
              <w:spacing w:after="0"/>
              <w:rPr>
                <w:sz w:val="17"/>
                <w:szCs w:val="17"/>
                <w:color w:val="auto"/>
              </w:rPr>
            </w:pPr>
          </w:p>
        </w:tc>
        <w:tc>
          <w:tcPr>
            <w:tcW w:w="1240" w:type="dxa"/>
            <w:vAlign w:val="bottom"/>
            <w:tcBorders>
              <w:top w:val="single" w:sz="8" w:color="auto"/>
            </w:tcBorders>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(3,136,821)</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10,409,833</w:t>
            </w:r>
          </w:p>
        </w:tc>
      </w:tr>
      <w:tr>
        <w:trPr>
          <w:trHeight w:val="33"/>
        </w:trPr>
        <w:tc>
          <w:tcPr>
            <w:tcW w:w="4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4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541"/>
        </w:trPr>
        <w:tc>
          <w:tcPr>
            <w:tcW w:w="4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60" w:type="dxa"/>
            <w:vAlign w:val="bottom"/>
            <w:gridSpan w:val="6"/>
          </w:tcPr>
          <w:p>
            <w:pPr>
              <w:ind w:left="8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3"/>
        </w:trPr>
        <w:tc>
          <w:tcPr>
            <w:tcW w:w="4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67"/>
        </w:trPr>
        <w:tc>
          <w:tcPr>
            <w:tcW w:w="4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ind w:left="520"/>
              <w:spacing w:after="0" w:line="167" w:lineRule="exact"/>
              <w:rPr>
                <w:sz w:val="20"/>
                <w:szCs w:val="20"/>
                <w:color w:val="auto"/>
              </w:rPr>
            </w:pPr>
            <w:r>
              <w:rPr>
                <w:rFonts w:ascii="Times New Roman" w:cs="Times New Roman" w:eastAsia="Times New Roman" w:hAnsi="Times New Roman"/>
                <w:sz w:val="16"/>
                <w:szCs w:val="16"/>
                <w:b w:val="1"/>
                <w:bCs w:val="1"/>
                <w:color w:val="auto"/>
              </w:rPr>
              <w:t>Gross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20"/>
              <w:spacing w:after="0" w:line="167"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89"/>
        </w:trPr>
        <w:tc>
          <w:tcPr>
            <w:tcW w:w="4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240" w:type="dxa"/>
            <w:vAlign w:val="bottom"/>
          </w:tcPr>
          <w:p>
            <w:pPr>
              <w:spacing w:after="0"/>
              <w:rPr>
                <w:sz w:val="16"/>
                <w:szCs w:val="16"/>
                <w:color w:val="auto"/>
              </w:rPr>
            </w:pPr>
          </w:p>
        </w:tc>
        <w:tc>
          <w:tcPr>
            <w:tcW w:w="12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Estimated</w:t>
            </w:r>
          </w:p>
        </w:tc>
      </w:tr>
      <w:tr>
        <w:trPr>
          <w:trHeight w:val="212"/>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Category</w:t>
            </w:r>
          </w:p>
        </w:tc>
        <w:tc>
          <w:tcPr>
            <w:tcW w:w="360" w:type="dxa"/>
            <w:vAlign w:val="bottom"/>
          </w:tcPr>
          <w:p>
            <w:pPr>
              <w:spacing w:after="0"/>
              <w:rPr>
                <w:sz w:val="18"/>
                <w:szCs w:val="18"/>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240" w:type="dxa"/>
            <w:vAlign w:val="bottom"/>
          </w:tcPr>
          <w:p>
            <w:pPr>
              <w:ind w:left="540"/>
              <w:spacing w:after="0"/>
              <w:rPr>
                <w:sz w:val="20"/>
                <w:szCs w:val="20"/>
                <w:color w:val="auto"/>
              </w:rPr>
            </w:pPr>
            <w:r>
              <w:rPr>
                <w:rFonts w:ascii="Times New Roman" w:cs="Times New Roman" w:eastAsia="Times New Roman" w:hAnsi="Times New Roman"/>
                <w:sz w:val="16"/>
                <w:szCs w:val="16"/>
                <w:b w:val="1"/>
                <w:bCs w:val="1"/>
                <w:color w:val="auto"/>
              </w:rPr>
              <w:t>Gains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40" w:type="dxa"/>
            <w:vAlign w:val="bottom"/>
          </w:tcPr>
          <w:p>
            <w:pPr>
              <w:spacing w:after="0"/>
              <w:rPr>
                <w:sz w:val="18"/>
                <w:szCs w:val="18"/>
                <w:color w:val="auto"/>
              </w:rPr>
            </w:pPr>
          </w:p>
        </w:tc>
        <w:tc>
          <w:tcPr>
            <w:tcW w:w="12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33"/>
        </w:trPr>
        <w:tc>
          <w:tcPr>
            <w:tcW w:w="4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447"/>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Equity Securities:</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3"/>
        </w:trPr>
        <w:tc>
          <w:tcPr>
            <w:tcW w:w="50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3"/>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stocks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9,750,322</w:t>
            </w:r>
          </w:p>
        </w:tc>
        <w:tc>
          <w:tcPr>
            <w:tcW w:w="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(2,422,617)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7,327,705</w:t>
            </w:r>
          </w:p>
        </w:tc>
      </w:tr>
      <w:tr>
        <w:trPr>
          <w:trHeight w:val="21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Fixed income exchange traded funds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3,711,232</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(808,432)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2,902,800</w:t>
            </w:r>
          </w:p>
        </w:tc>
      </w:tr>
      <w:tr>
        <w:trPr>
          <w:trHeight w:val="33"/>
        </w:trPr>
        <w:tc>
          <w:tcPr>
            <w:tcW w:w="50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FHLBNY 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66,000</w:t>
            </w:r>
          </w:p>
        </w:tc>
        <w:tc>
          <w:tcPr>
            <w:tcW w:w="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66,000</w:t>
            </w:r>
          </w:p>
        </w:tc>
      </w:tr>
      <w:tr>
        <w:trPr>
          <w:trHeight w:val="204"/>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13,527,554</w:t>
            </w:r>
          </w:p>
        </w:tc>
        <w:tc>
          <w:tcPr>
            <w:tcW w:w="80" w:type="dxa"/>
            <w:vAlign w:val="bottom"/>
          </w:tcPr>
          <w:p>
            <w:pPr>
              <w:spacing w:after="0"/>
              <w:rPr>
                <w:sz w:val="17"/>
                <w:szCs w:val="17"/>
                <w:color w:val="auto"/>
              </w:rPr>
            </w:pPr>
          </w:p>
        </w:tc>
        <w:tc>
          <w:tcPr>
            <w:tcW w:w="1240" w:type="dxa"/>
            <w:vAlign w:val="bottom"/>
            <w:tcBorders>
              <w:top w:val="single" w:sz="8" w:color="auto"/>
            </w:tcBorders>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(3,231,049)</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10,296,505</w:t>
            </w:r>
          </w:p>
        </w:tc>
      </w:tr>
      <w:tr>
        <w:trPr>
          <w:trHeight w:val="33"/>
        </w:trPr>
        <w:tc>
          <w:tcPr>
            <w:tcW w:w="4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4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Other Investments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cost and estimated fair value of, and gross gains on, the Company’s other investments as of September 30, 2025 and December 31, 2024 are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Category</w:t>
            </w:r>
          </w:p>
        </w:tc>
        <w:tc>
          <w:tcPr>
            <w:tcW w:w="100" w:type="dxa"/>
            <w:vAlign w:val="bottom"/>
            <w:vMerge w:val="restart"/>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vMerge w:val="restart"/>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Cost</w:t>
            </w:r>
          </w:p>
        </w:tc>
        <w:tc>
          <w:tcPr>
            <w:tcW w:w="80" w:type="dxa"/>
            <w:vAlign w:val="bottom"/>
            <w:tcBorders>
              <w:top w:val="single" w:sz="8" w:color="auto"/>
            </w:tcBorders>
            <w:vMerge w:val="restart"/>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gridSpan w:val="2"/>
          </w:tcPr>
          <w:p>
            <w:pPr>
              <w:jc w:val="center"/>
              <w:ind w:right="200"/>
              <w:spacing w:after="0" w:line="181"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2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ind w:left="140"/>
              <w:spacing w:after="0" w:line="181" w:lineRule="exact"/>
              <w:rPr>
                <w:sz w:val="20"/>
                <w:szCs w:val="20"/>
                <w:color w:val="auto"/>
              </w:rPr>
            </w:pPr>
            <w:r>
              <w:rPr>
                <w:rFonts w:ascii="Times New Roman" w:cs="Times New Roman" w:eastAsia="Times New Roman" w:hAnsi="Times New Roman"/>
                <w:sz w:val="16"/>
                <w:szCs w:val="16"/>
                <w:b w:val="1"/>
                <w:bCs w:val="1"/>
                <w:color w:val="auto"/>
              </w:rPr>
              <w:t>Estimated</w:t>
            </w:r>
          </w:p>
        </w:tc>
        <w:tc>
          <w:tcPr>
            <w:tcW w:w="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vMerge w:val="restart"/>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Cost</w:t>
            </w:r>
          </w:p>
        </w:tc>
        <w:tc>
          <w:tcPr>
            <w:tcW w:w="100" w:type="dxa"/>
            <w:vAlign w:val="bottom"/>
            <w:tcBorders>
              <w:top w:val="single" w:sz="8" w:color="auto"/>
            </w:tcBorders>
            <w:vMerge w:val="restart"/>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gridSpan w:val="2"/>
          </w:tcPr>
          <w:p>
            <w:pPr>
              <w:jc w:val="center"/>
              <w:ind w:right="200"/>
              <w:spacing w:after="0" w:line="181"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2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ind w:left="140"/>
              <w:spacing w:after="0" w:line="181" w:lineRule="exact"/>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225"/>
        </w:trPr>
        <w:tc>
          <w:tcPr>
            <w:tcW w:w="19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466"/>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Other Investments: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2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Hedge fund</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1,987,040</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2,902,108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4,889,148</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1,987,040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2,393,616</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4,380,656</w:t>
            </w: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Held-to-Maturity Securities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cost or amortized cost and estimated fair value of, and unrealized gross gains and losses on, investments in held-to-maturity fixed-maturity securities as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September 30, 2025 and December 31, 2024 are summarized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Cost or</w:t>
            </w:r>
          </w:p>
        </w:tc>
        <w:tc>
          <w:tcPr>
            <w:tcW w:w="180" w:type="dxa"/>
            <w:vAlign w:val="bottom"/>
          </w:tcPr>
          <w:p>
            <w:pPr>
              <w:spacing w:after="0"/>
              <w:rPr>
                <w:sz w:val="24"/>
                <w:szCs w:val="24"/>
                <w:color w:val="auto"/>
              </w:rPr>
            </w:pPr>
          </w:p>
        </w:tc>
        <w:tc>
          <w:tcPr>
            <w:tcW w:w="126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200" w:type="dxa"/>
            <w:vAlign w:val="bottom"/>
          </w:tcPr>
          <w:p>
            <w:pPr>
              <w:spacing w:after="0"/>
              <w:rPr>
                <w:sz w:val="24"/>
                <w:szCs w:val="24"/>
                <w:color w:val="auto"/>
              </w:rPr>
            </w:pPr>
          </w:p>
        </w:tc>
        <w:tc>
          <w:tcPr>
            <w:tcW w:w="2880" w:type="dxa"/>
            <w:vAlign w:val="bottom"/>
            <w:gridSpan w:val="6"/>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Gross Unrealized Losses</w:t>
            </w:r>
          </w:p>
        </w:tc>
        <w:tc>
          <w:tcPr>
            <w:tcW w:w="200" w:type="dxa"/>
            <w:vAlign w:val="bottom"/>
          </w:tcPr>
          <w:p>
            <w:pPr>
              <w:spacing w:after="0"/>
              <w:rPr>
                <w:sz w:val="24"/>
                <w:szCs w:val="24"/>
                <w:color w:val="auto"/>
              </w:rPr>
            </w:pPr>
          </w:p>
        </w:tc>
        <w:tc>
          <w:tcPr>
            <w:tcW w:w="12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200" w:type="dxa"/>
            <w:vAlign w:val="bottom"/>
          </w:tcPr>
          <w:p>
            <w:pPr>
              <w:spacing w:after="0"/>
              <w:rPr>
                <w:sz w:val="24"/>
                <w:szCs w:val="24"/>
                <w:color w:val="auto"/>
              </w:rPr>
            </w:pPr>
          </w:p>
        </w:tc>
        <w:tc>
          <w:tcPr>
            <w:tcW w:w="1160" w:type="dxa"/>
            <w:vAlign w:val="bottom"/>
            <w:vMerge w:val="restart"/>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0" w:type="dxa"/>
            <w:vAlign w:val="bottom"/>
          </w:tcPr>
          <w:p>
            <w:pPr>
              <w:spacing w:after="0"/>
              <w:rPr>
                <w:sz w:val="1"/>
                <w:szCs w:val="1"/>
                <w:color w:val="auto"/>
              </w:rPr>
            </w:pPr>
          </w:p>
        </w:tc>
      </w:tr>
      <w:tr>
        <w:trPr>
          <w:trHeight w:val="33"/>
        </w:trPr>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gridSpan w:val="3"/>
            <w:vMerge w:val="continue"/>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3"/>
          </w:tcPr>
          <w:p>
            <w:pPr>
              <w:jc w:val="center"/>
              <w:ind w:right="320"/>
              <w:spacing w:after="0" w:line="181"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180" w:type="dxa"/>
            <w:vAlign w:val="bottom"/>
          </w:tcPr>
          <w:p>
            <w:pPr>
              <w:spacing w:after="0"/>
              <w:rPr>
                <w:sz w:val="15"/>
                <w:szCs w:val="15"/>
                <w:color w:val="auto"/>
              </w:rPr>
            </w:pPr>
          </w:p>
        </w:tc>
        <w:tc>
          <w:tcPr>
            <w:tcW w:w="1260" w:type="dxa"/>
            <w:vAlign w:val="bottom"/>
            <w:gridSpan w:val="3"/>
          </w:tcPr>
          <w:p>
            <w:pPr>
              <w:jc w:val="center"/>
              <w:ind w:right="300"/>
              <w:spacing w:after="0" w:line="181"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00" w:type="dxa"/>
            <w:vAlign w:val="bottom"/>
          </w:tcPr>
          <w:p>
            <w:pPr>
              <w:spacing w:after="0"/>
              <w:rPr>
                <w:sz w:val="15"/>
                <w:szCs w:val="15"/>
                <w:color w:val="auto"/>
              </w:rPr>
            </w:pPr>
          </w:p>
        </w:tc>
        <w:tc>
          <w:tcPr>
            <w:tcW w:w="1340" w:type="dxa"/>
            <w:vAlign w:val="bottom"/>
            <w:gridSpan w:val="3"/>
          </w:tcPr>
          <w:p>
            <w:pPr>
              <w:jc w:val="center"/>
              <w:ind w:right="280"/>
              <w:spacing w:after="0" w:line="181" w:lineRule="exact"/>
              <w:rPr>
                <w:sz w:val="20"/>
                <w:szCs w:val="20"/>
                <w:color w:val="auto"/>
              </w:rPr>
            </w:pPr>
            <w:r>
              <w:rPr>
                <w:rFonts w:ascii="Times New Roman" w:cs="Times New Roman" w:eastAsia="Times New Roman" w:hAnsi="Times New Roman"/>
                <w:sz w:val="16"/>
                <w:szCs w:val="16"/>
                <w:b w:val="1"/>
                <w:bCs w:val="1"/>
                <w:color w:val="auto"/>
              </w:rPr>
              <w:t>Less than 12</w:t>
            </w:r>
          </w:p>
        </w:tc>
        <w:tc>
          <w:tcPr>
            <w:tcW w:w="180" w:type="dxa"/>
            <w:vAlign w:val="bottom"/>
          </w:tcPr>
          <w:p>
            <w:pPr>
              <w:spacing w:after="0"/>
              <w:rPr>
                <w:sz w:val="15"/>
                <w:szCs w:val="15"/>
                <w:color w:val="auto"/>
              </w:rPr>
            </w:pPr>
          </w:p>
        </w:tc>
        <w:tc>
          <w:tcPr>
            <w:tcW w:w="1280" w:type="dxa"/>
            <w:vAlign w:val="bottom"/>
          </w:tcPr>
          <w:p>
            <w:pPr>
              <w:jc w:val="center"/>
              <w:ind w:right="99"/>
              <w:spacing w:after="0" w:line="181" w:lineRule="exact"/>
              <w:rPr>
                <w:sz w:val="20"/>
                <w:szCs w:val="20"/>
                <w:color w:val="auto"/>
              </w:rPr>
            </w:pPr>
            <w:r>
              <w:rPr>
                <w:rFonts w:ascii="Times New Roman" w:cs="Times New Roman" w:eastAsia="Times New Roman" w:hAnsi="Times New Roman"/>
                <w:sz w:val="16"/>
                <w:szCs w:val="16"/>
                <w:b w:val="1"/>
                <w:bCs w:val="1"/>
                <w:color w:val="auto"/>
              </w:rPr>
              <w:t>More than 12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center"/>
              <w:ind w:right="320"/>
              <w:spacing w:after="0" w:line="181" w:lineRule="exact"/>
              <w:rPr>
                <w:sz w:val="20"/>
                <w:szCs w:val="20"/>
                <w:color w:val="auto"/>
              </w:rPr>
            </w:pPr>
            <w:r>
              <w:rPr>
                <w:rFonts w:ascii="Times New Roman" w:cs="Times New Roman" w:eastAsia="Times New Roman" w:hAnsi="Times New Roman"/>
                <w:sz w:val="16"/>
                <w:szCs w:val="16"/>
                <w:b w:val="1"/>
                <w:bCs w:val="1"/>
                <w:color w:val="auto"/>
                <w:w w:val="95"/>
              </w:rPr>
              <w:t>Fair</w:t>
            </w:r>
          </w:p>
        </w:tc>
        <w:tc>
          <w:tcPr>
            <w:tcW w:w="200" w:type="dxa"/>
            <w:vAlign w:val="bottom"/>
          </w:tcPr>
          <w:p>
            <w:pPr>
              <w:spacing w:after="0"/>
              <w:rPr>
                <w:sz w:val="15"/>
                <w:szCs w:val="15"/>
                <w:color w:val="auto"/>
              </w:rPr>
            </w:pPr>
          </w:p>
        </w:tc>
        <w:tc>
          <w:tcPr>
            <w:tcW w:w="1160" w:type="dxa"/>
            <w:vAlign w:val="bottom"/>
          </w:tcPr>
          <w:p>
            <w:pPr>
              <w:jc w:val="center"/>
              <w:ind w:right="119"/>
              <w:spacing w:after="0" w:line="181"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0" w:type="dxa"/>
            <w:vAlign w:val="bottom"/>
          </w:tcPr>
          <w:p>
            <w:pPr>
              <w:spacing w:after="0"/>
              <w:rPr>
                <w:sz w:val="1"/>
                <w:szCs w:val="1"/>
                <w:color w:val="auto"/>
              </w:rPr>
            </w:pPr>
          </w:p>
        </w:tc>
      </w:tr>
      <w:tr>
        <w:trPr>
          <w:trHeight w:val="239"/>
        </w:trPr>
        <w:tc>
          <w:tcPr>
            <w:tcW w:w="2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Category</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Cost</w:t>
            </w:r>
          </w:p>
        </w:tc>
        <w:tc>
          <w:tcPr>
            <w:tcW w:w="100" w:type="dxa"/>
            <w:vAlign w:val="bottom"/>
            <w:gridSpan w:val="2"/>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Months</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Months</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0" w:type="dxa"/>
            <w:vAlign w:val="bottom"/>
          </w:tcPr>
          <w:p>
            <w:pPr>
              <w:spacing w:after="0"/>
              <w:rPr>
                <w:sz w:val="1"/>
                <w:szCs w:val="1"/>
                <w:color w:val="auto"/>
              </w:rPr>
            </w:pPr>
          </w:p>
        </w:tc>
      </w:tr>
      <w:tr>
        <w:trPr>
          <w:trHeight w:val="453"/>
        </w:trPr>
        <w:tc>
          <w:tcPr>
            <w:tcW w:w="24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Held-to-Maturity Securities:</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U.S. Treasury securities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1,229,408</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(17,232)</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(6,466)</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1,205,750</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(23,658)</w:t>
            </w:r>
          </w:p>
        </w:tc>
        <w:tc>
          <w:tcPr>
            <w:tcW w:w="0" w:type="dxa"/>
            <w:vAlign w:val="bottom"/>
          </w:tcPr>
          <w:p>
            <w:pPr>
              <w:spacing w:after="0"/>
              <w:rPr>
                <w:sz w:val="1"/>
                <w:szCs w:val="1"/>
                <w:color w:val="auto"/>
              </w:rPr>
            </w:pPr>
          </w:p>
        </w:tc>
      </w:tr>
      <w:tr>
        <w:trPr>
          <w:trHeight w:val="243"/>
        </w:trPr>
        <w:tc>
          <w:tcPr>
            <w:tcW w:w="2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Political subdivisions of States,</w:t>
            </w:r>
          </w:p>
        </w:tc>
        <w:tc>
          <w:tcPr>
            <w:tcW w:w="18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2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Territories and Possessions</w:t>
            </w:r>
          </w:p>
        </w:tc>
        <w:tc>
          <w:tcPr>
            <w:tcW w:w="18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Exchange traded debt</w:t>
            </w: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304,111</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(54,111)</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(54,111)</w:t>
            </w:r>
          </w:p>
        </w:tc>
        <w:tc>
          <w:tcPr>
            <w:tcW w:w="0" w:type="dxa"/>
            <w:vAlign w:val="bottom"/>
          </w:tcPr>
          <w:p>
            <w:pPr>
              <w:spacing w:after="0"/>
              <w:rPr>
                <w:sz w:val="1"/>
                <w:szCs w:val="1"/>
                <w:color w:val="auto"/>
              </w:rPr>
            </w:pPr>
          </w:p>
        </w:tc>
      </w:tr>
      <w:tr>
        <w:trPr>
          <w:trHeight w:val="243"/>
        </w:trPr>
        <w:tc>
          <w:tcPr>
            <w:tcW w:w="2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Corporate and other bonds</w:t>
            </w:r>
          </w:p>
        </w:tc>
        <w:tc>
          <w:tcPr>
            <w:tcW w:w="18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4,510,189</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(791,264)</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3,718,925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(791,264)</w:t>
            </w:r>
          </w:p>
        </w:tc>
        <w:tc>
          <w:tcPr>
            <w:tcW w:w="0" w:type="dxa"/>
            <w:vAlign w:val="bottom"/>
          </w:tcPr>
          <w:p>
            <w:pPr>
              <w:spacing w:after="0"/>
              <w:rPr>
                <w:sz w:val="1"/>
                <w:szCs w:val="1"/>
                <w:color w:val="auto"/>
              </w:rPr>
            </w:pPr>
          </w:p>
        </w:tc>
      </w:tr>
      <w:tr>
        <w:trPr>
          <w:trHeight w:val="230"/>
        </w:trPr>
        <w:tc>
          <w:tcPr>
            <w:tcW w:w="2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industrial and miscellaneous</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4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6,043,708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(17,232)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(851,841)</w:t>
            </w:r>
          </w:p>
        </w:tc>
        <w:tc>
          <w:tcPr>
            <w:tcW w:w="8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5,174,675</w:t>
            </w:r>
          </w:p>
        </w:tc>
        <w:tc>
          <w:tcPr>
            <w:tcW w:w="8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(869,033)</w:t>
            </w:r>
          </w:p>
        </w:tc>
        <w:tc>
          <w:tcPr>
            <w:tcW w:w="0" w:type="dxa"/>
            <w:vAlign w:val="bottom"/>
          </w:tcPr>
          <w:p>
            <w:pPr>
              <w:spacing w:after="0"/>
              <w:rPr>
                <w:sz w:val="1"/>
                <w:szCs w:val="1"/>
                <w:color w:val="auto"/>
              </w:rPr>
            </w:pPr>
          </w:p>
        </w:tc>
      </w:tr>
      <w:tr>
        <w:trPr>
          <w:trHeight w:val="33"/>
        </w:trPr>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1"/>
        </w:trPr>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6"/>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76"/>
        </w:trPr>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Cost or</w:t>
            </w:r>
          </w:p>
        </w:tc>
        <w:tc>
          <w:tcPr>
            <w:tcW w:w="180" w:type="dxa"/>
            <w:vAlign w:val="bottom"/>
          </w:tcPr>
          <w:p>
            <w:pPr>
              <w:spacing w:after="0"/>
              <w:rPr>
                <w:sz w:val="24"/>
                <w:szCs w:val="24"/>
                <w:color w:val="auto"/>
              </w:rPr>
            </w:pPr>
          </w:p>
        </w:tc>
        <w:tc>
          <w:tcPr>
            <w:tcW w:w="126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200" w:type="dxa"/>
            <w:vAlign w:val="bottom"/>
          </w:tcPr>
          <w:p>
            <w:pPr>
              <w:spacing w:after="0"/>
              <w:rPr>
                <w:sz w:val="24"/>
                <w:szCs w:val="24"/>
                <w:color w:val="auto"/>
              </w:rPr>
            </w:pPr>
          </w:p>
        </w:tc>
        <w:tc>
          <w:tcPr>
            <w:tcW w:w="2880" w:type="dxa"/>
            <w:vAlign w:val="bottom"/>
            <w:gridSpan w:val="6"/>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Gross Unrealized Losses</w:t>
            </w:r>
          </w:p>
        </w:tc>
        <w:tc>
          <w:tcPr>
            <w:tcW w:w="200" w:type="dxa"/>
            <w:vAlign w:val="bottom"/>
          </w:tcPr>
          <w:p>
            <w:pPr>
              <w:spacing w:after="0"/>
              <w:rPr>
                <w:sz w:val="24"/>
                <w:szCs w:val="24"/>
                <w:color w:val="auto"/>
              </w:rPr>
            </w:pPr>
          </w:p>
        </w:tc>
        <w:tc>
          <w:tcPr>
            <w:tcW w:w="12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200" w:type="dxa"/>
            <w:vAlign w:val="bottom"/>
          </w:tcPr>
          <w:p>
            <w:pPr>
              <w:spacing w:after="0"/>
              <w:rPr>
                <w:sz w:val="24"/>
                <w:szCs w:val="24"/>
                <w:color w:val="auto"/>
              </w:rPr>
            </w:pPr>
          </w:p>
        </w:tc>
        <w:tc>
          <w:tcPr>
            <w:tcW w:w="1160" w:type="dxa"/>
            <w:vAlign w:val="bottom"/>
            <w:vMerge w:val="restart"/>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0" w:type="dxa"/>
            <w:vAlign w:val="bottom"/>
          </w:tcPr>
          <w:p>
            <w:pPr>
              <w:spacing w:after="0"/>
              <w:rPr>
                <w:sz w:val="1"/>
                <w:szCs w:val="1"/>
                <w:color w:val="auto"/>
              </w:rPr>
            </w:pPr>
          </w:p>
        </w:tc>
      </w:tr>
      <w:tr>
        <w:trPr>
          <w:trHeight w:val="33"/>
        </w:trPr>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gridSpan w:val="3"/>
            <w:vMerge w:val="continue"/>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3"/>
          </w:tcPr>
          <w:p>
            <w:pPr>
              <w:jc w:val="center"/>
              <w:ind w:right="320"/>
              <w:spacing w:after="0" w:line="181"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180" w:type="dxa"/>
            <w:vAlign w:val="bottom"/>
          </w:tcPr>
          <w:p>
            <w:pPr>
              <w:spacing w:after="0"/>
              <w:rPr>
                <w:sz w:val="15"/>
                <w:szCs w:val="15"/>
                <w:color w:val="auto"/>
              </w:rPr>
            </w:pPr>
          </w:p>
        </w:tc>
        <w:tc>
          <w:tcPr>
            <w:tcW w:w="1260" w:type="dxa"/>
            <w:vAlign w:val="bottom"/>
            <w:gridSpan w:val="3"/>
          </w:tcPr>
          <w:p>
            <w:pPr>
              <w:jc w:val="center"/>
              <w:ind w:right="340"/>
              <w:spacing w:after="0" w:line="181"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00" w:type="dxa"/>
            <w:vAlign w:val="bottom"/>
          </w:tcPr>
          <w:p>
            <w:pPr>
              <w:spacing w:after="0"/>
              <w:rPr>
                <w:sz w:val="15"/>
                <w:szCs w:val="15"/>
                <w:color w:val="auto"/>
              </w:rPr>
            </w:pPr>
          </w:p>
        </w:tc>
        <w:tc>
          <w:tcPr>
            <w:tcW w:w="1340" w:type="dxa"/>
            <w:vAlign w:val="bottom"/>
            <w:gridSpan w:val="3"/>
          </w:tcPr>
          <w:p>
            <w:pPr>
              <w:jc w:val="center"/>
              <w:ind w:right="320"/>
              <w:spacing w:after="0" w:line="181" w:lineRule="exact"/>
              <w:rPr>
                <w:sz w:val="20"/>
                <w:szCs w:val="20"/>
                <w:color w:val="auto"/>
              </w:rPr>
            </w:pPr>
            <w:r>
              <w:rPr>
                <w:rFonts w:ascii="Times New Roman" w:cs="Times New Roman" w:eastAsia="Times New Roman" w:hAnsi="Times New Roman"/>
                <w:sz w:val="16"/>
                <w:szCs w:val="16"/>
                <w:b w:val="1"/>
                <w:bCs w:val="1"/>
                <w:color w:val="auto"/>
              </w:rPr>
              <w:t>Less than 12</w:t>
            </w:r>
          </w:p>
        </w:tc>
        <w:tc>
          <w:tcPr>
            <w:tcW w:w="180" w:type="dxa"/>
            <w:vAlign w:val="bottom"/>
          </w:tcPr>
          <w:p>
            <w:pPr>
              <w:spacing w:after="0"/>
              <w:rPr>
                <w:sz w:val="15"/>
                <w:szCs w:val="15"/>
                <w:color w:val="auto"/>
              </w:rPr>
            </w:pPr>
          </w:p>
        </w:tc>
        <w:tc>
          <w:tcPr>
            <w:tcW w:w="1280" w:type="dxa"/>
            <w:vAlign w:val="bottom"/>
          </w:tcPr>
          <w:p>
            <w:pPr>
              <w:jc w:val="center"/>
              <w:ind w:right="119"/>
              <w:spacing w:after="0" w:line="181" w:lineRule="exact"/>
              <w:rPr>
                <w:sz w:val="20"/>
                <w:szCs w:val="20"/>
                <w:color w:val="auto"/>
              </w:rPr>
            </w:pPr>
            <w:r>
              <w:rPr>
                <w:rFonts w:ascii="Times New Roman" w:cs="Times New Roman" w:eastAsia="Times New Roman" w:hAnsi="Times New Roman"/>
                <w:sz w:val="16"/>
                <w:szCs w:val="16"/>
                <w:b w:val="1"/>
                <w:bCs w:val="1"/>
                <w:color w:val="auto"/>
                <w:w w:val="99"/>
              </w:rPr>
              <w:t>More than 12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center"/>
              <w:ind w:right="320"/>
              <w:spacing w:after="0" w:line="181" w:lineRule="exact"/>
              <w:rPr>
                <w:sz w:val="20"/>
                <w:szCs w:val="20"/>
                <w:color w:val="auto"/>
              </w:rPr>
            </w:pPr>
            <w:r>
              <w:rPr>
                <w:rFonts w:ascii="Times New Roman" w:cs="Times New Roman" w:eastAsia="Times New Roman" w:hAnsi="Times New Roman"/>
                <w:sz w:val="16"/>
                <w:szCs w:val="16"/>
                <w:b w:val="1"/>
                <w:bCs w:val="1"/>
                <w:color w:val="auto"/>
                <w:w w:val="95"/>
              </w:rPr>
              <w:t>Fair</w:t>
            </w:r>
          </w:p>
        </w:tc>
        <w:tc>
          <w:tcPr>
            <w:tcW w:w="200" w:type="dxa"/>
            <w:vAlign w:val="bottom"/>
          </w:tcPr>
          <w:p>
            <w:pPr>
              <w:spacing w:after="0"/>
              <w:rPr>
                <w:sz w:val="15"/>
                <w:szCs w:val="15"/>
                <w:color w:val="auto"/>
              </w:rPr>
            </w:pPr>
          </w:p>
        </w:tc>
        <w:tc>
          <w:tcPr>
            <w:tcW w:w="1160" w:type="dxa"/>
            <w:vAlign w:val="bottom"/>
          </w:tcPr>
          <w:p>
            <w:pPr>
              <w:jc w:val="center"/>
              <w:ind w:right="119"/>
              <w:spacing w:after="0" w:line="181"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0" w:type="dxa"/>
            <w:vAlign w:val="bottom"/>
          </w:tcPr>
          <w:p>
            <w:pPr>
              <w:spacing w:after="0"/>
              <w:rPr>
                <w:sz w:val="1"/>
                <w:szCs w:val="1"/>
                <w:color w:val="auto"/>
              </w:rPr>
            </w:pPr>
          </w:p>
        </w:tc>
      </w:tr>
      <w:tr>
        <w:trPr>
          <w:trHeight w:val="212"/>
        </w:trPr>
        <w:tc>
          <w:tcPr>
            <w:tcW w:w="24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Category</w:t>
            </w:r>
          </w:p>
        </w:tc>
        <w:tc>
          <w:tcPr>
            <w:tcW w:w="180" w:type="dxa"/>
            <w:vAlign w:val="bottom"/>
          </w:tcPr>
          <w:p>
            <w:pPr>
              <w:spacing w:after="0"/>
              <w:rPr>
                <w:sz w:val="18"/>
                <w:szCs w:val="18"/>
                <w:color w:val="auto"/>
              </w:rPr>
            </w:pPr>
          </w:p>
        </w:tc>
        <w:tc>
          <w:tcPr>
            <w:tcW w:w="126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80" w:type="dxa"/>
            <w:vAlign w:val="bottom"/>
          </w:tcPr>
          <w:p>
            <w:pPr>
              <w:spacing w:after="0"/>
              <w:rPr>
                <w:sz w:val="18"/>
                <w:szCs w:val="18"/>
                <w:color w:val="auto"/>
              </w:rPr>
            </w:pPr>
          </w:p>
        </w:tc>
        <w:tc>
          <w:tcPr>
            <w:tcW w:w="126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200" w:type="dxa"/>
            <w:vAlign w:val="bottom"/>
          </w:tcPr>
          <w:p>
            <w:pPr>
              <w:spacing w:after="0"/>
              <w:rPr>
                <w:sz w:val="18"/>
                <w:szCs w:val="18"/>
                <w:color w:val="auto"/>
              </w:rPr>
            </w:pPr>
          </w:p>
        </w:tc>
        <w:tc>
          <w:tcPr>
            <w:tcW w:w="134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Months</w:t>
            </w:r>
          </w:p>
        </w:tc>
        <w:tc>
          <w:tcPr>
            <w:tcW w:w="18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Months</w:t>
            </w:r>
          </w:p>
        </w:tc>
        <w:tc>
          <w:tcPr>
            <w:tcW w:w="20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200" w:type="dxa"/>
            <w:vAlign w:val="bottom"/>
          </w:tcPr>
          <w:p>
            <w:pPr>
              <w:spacing w:after="0"/>
              <w:rPr>
                <w:sz w:val="18"/>
                <w:szCs w:val="18"/>
                <w:color w:val="auto"/>
              </w:rPr>
            </w:pPr>
          </w:p>
        </w:tc>
        <w:tc>
          <w:tcPr>
            <w:tcW w:w="116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0" w:type="dxa"/>
            <w:vAlign w:val="bottom"/>
          </w:tcPr>
          <w:p>
            <w:pPr>
              <w:spacing w:after="0"/>
              <w:rPr>
                <w:sz w:val="1"/>
                <w:szCs w:val="1"/>
                <w:color w:val="auto"/>
              </w:rPr>
            </w:pPr>
          </w:p>
        </w:tc>
      </w:tr>
      <w:tr>
        <w:trPr>
          <w:trHeight w:val="33"/>
        </w:trPr>
        <w:tc>
          <w:tcPr>
            <w:tcW w:w="2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46"/>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Held-to-Maturity Securities:</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4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securities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1,229,170</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(39,630)</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(15,990)</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1,173,550</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(55,620)</w:t>
            </w:r>
          </w:p>
        </w:tc>
        <w:tc>
          <w:tcPr>
            <w:tcW w:w="0" w:type="dxa"/>
            <w:vAlign w:val="bottom"/>
          </w:tcPr>
          <w:p>
            <w:pPr>
              <w:spacing w:after="0"/>
              <w:rPr>
                <w:sz w:val="1"/>
                <w:szCs w:val="1"/>
                <w:color w:val="auto"/>
              </w:rPr>
            </w:pPr>
          </w:p>
        </w:tc>
      </w:tr>
      <w:tr>
        <w:trPr>
          <w:trHeight w:val="243"/>
        </w:trPr>
        <w:tc>
          <w:tcPr>
            <w:tcW w:w="2480" w:type="dxa"/>
            <w:vAlign w:val="bottom"/>
            <w:gridSpan w:val="2"/>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Political subdivisions of States,</w:t>
            </w:r>
          </w:p>
        </w:tc>
        <w:tc>
          <w:tcPr>
            <w:tcW w:w="18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499,719</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499,065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0" w:type="dxa"/>
            <w:vAlign w:val="bottom"/>
          </w:tcPr>
          <w:p>
            <w:pPr>
              <w:spacing w:after="0"/>
              <w:rPr>
                <w:sz w:val="1"/>
                <w:szCs w:val="1"/>
                <w:color w:val="auto"/>
              </w:rPr>
            </w:pPr>
          </w:p>
        </w:tc>
      </w:tr>
      <w:tr>
        <w:trPr>
          <w:trHeight w:val="230"/>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Territories and Possessions</w:t>
            </w:r>
          </w:p>
        </w:tc>
        <w:tc>
          <w:tcPr>
            <w:tcW w:w="18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480" w:type="dxa"/>
            <w:vAlign w:val="bottom"/>
            <w:gridSpan w:val="2"/>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Exchange traded debt</w:t>
            </w: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304,111</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(55,611)</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248,500</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(55,611)</w:t>
            </w:r>
          </w:p>
        </w:tc>
        <w:tc>
          <w:tcPr>
            <w:tcW w:w="0" w:type="dxa"/>
            <w:vAlign w:val="bottom"/>
          </w:tcPr>
          <w:p>
            <w:pPr>
              <w:spacing w:after="0"/>
              <w:rPr>
                <w:sz w:val="1"/>
                <w:szCs w:val="1"/>
                <w:color w:val="auto"/>
              </w:rPr>
            </w:pPr>
          </w:p>
        </w:tc>
      </w:tr>
      <w:tr>
        <w:trPr>
          <w:trHeight w:val="243"/>
        </w:trPr>
        <w:tc>
          <w:tcPr>
            <w:tcW w:w="2480" w:type="dxa"/>
            <w:vAlign w:val="bottom"/>
            <w:gridSpan w:val="2"/>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and other bonds</w:t>
            </w:r>
          </w:p>
        </w:tc>
        <w:tc>
          <w:tcPr>
            <w:tcW w:w="18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5,014,342</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(976,192)</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4,038,150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(976,192)</w:t>
            </w:r>
          </w:p>
        </w:tc>
        <w:tc>
          <w:tcPr>
            <w:tcW w:w="0" w:type="dxa"/>
            <w:vAlign w:val="bottom"/>
          </w:tcPr>
          <w:p>
            <w:pPr>
              <w:spacing w:after="0"/>
              <w:rPr>
                <w:sz w:val="1"/>
                <w:szCs w:val="1"/>
                <w:color w:val="auto"/>
              </w:rPr>
            </w:pPr>
          </w:p>
        </w:tc>
      </w:tr>
      <w:tr>
        <w:trPr>
          <w:trHeight w:val="230"/>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industrial and miscellaneous</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7,047,342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gridSpan w:val="2"/>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(40,284)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(1,047,793)</w:t>
            </w:r>
          </w:p>
        </w:tc>
        <w:tc>
          <w:tcPr>
            <w:tcW w:w="8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5,959,265</w:t>
            </w:r>
          </w:p>
        </w:tc>
        <w:tc>
          <w:tcPr>
            <w:tcW w:w="8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(1,088,077)</w:t>
            </w:r>
          </w:p>
        </w:tc>
        <w:tc>
          <w:tcPr>
            <w:tcW w:w="0" w:type="dxa"/>
            <w:vAlign w:val="bottom"/>
          </w:tcPr>
          <w:p>
            <w:pPr>
              <w:spacing w:after="0"/>
              <w:rPr>
                <w:sz w:val="1"/>
                <w:szCs w:val="1"/>
                <w:color w:val="auto"/>
              </w:rPr>
            </w:pPr>
          </w:p>
        </w:tc>
      </w:tr>
      <w:tr>
        <w:trPr>
          <w:trHeight w:val="33"/>
        </w:trPr>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Held-to-maturity U.S. Treasury securities are held in trust pursuant to various states’ minimum funds requirements.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summary of the amortized cost and estimated fair value of the Company’s investments in held-to-maturity securities by contractual maturity as of September 30, 2025 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2024 is shown below:</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5"/>
          </w:tcPr>
          <w:p>
            <w:pPr>
              <w:ind w:left="6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20" w:type="dxa"/>
            <w:vAlign w:val="bottom"/>
          </w:tcPr>
          <w:p>
            <w:pPr>
              <w:spacing w:after="0"/>
              <w:rPr>
                <w:sz w:val="18"/>
                <w:szCs w:val="18"/>
                <w:color w:val="auto"/>
              </w:rPr>
            </w:pPr>
          </w:p>
        </w:tc>
        <w:tc>
          <w:tcPr>
            <w:tcW w:w="2840" w:type="dxa"/>
            <w:vAlign w:val="bottom"/>
            <w:gridSpan w:val="4"/>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33"/>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67"/>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340"/>
              <w:spacing w:after="0" w:line="167" w:lineRule="exact"/>
              <w:rPr>
                <w:sz w:val="20"/>
                <w:szCs w:val="20"/>
                <w:color w:val="auto"/>
              </w:rPr>
            </w:pPr>
            <w:r>
              <w:rPr>
                <w:rFonts w:ascii="Times New Roman" w:cs="Times New Roman" w:eastAsia="Times New Roman" w:hAnsi="Times New Roman"/>
                <w:sz w:val="16"/>
                <w:szCs w:val="16"/>
                <w:b w:val="1"/>
                <w:bCs w:val="1"/>
                <w:color w:val="auto"/>
              </w:rPr>
              <w:t>Cost or</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60"/>
              <w:spacing w:after="0" w:line="167" w:lineRule="exact"/>
              <w:rPr>
                <w:sz w:val="20"/>
                <w:szCs w:val="20"/>
                <w:color w:val="auto"/>
              </w:rPr>
            </w:pPr>
            <w:r>
              <w:rPr>
                <w:rFonts w:ascii="Times New Roman" w:cs="Times New Roman" w:eastAsia="Times New Roman" w:hAnsi="Times New Roman"/>
                <w:sz w:val="16"/>
                <w:szCs w:val="16"/>
                <w:b w:val="1"/>
                <w:bCs w:val="1"/>
                <w:color w:val="auto"/>
              </w:rPr>
              <w:t>Cost or</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89"/>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Amortized</w:t>
            </w:r>
          </w:p>
        </w:tc>
        <w:tc>
          <w:tcPr>
            <w:tcW w:w="240" w:type="dxa"/>
            <w:vAlign w:val="bottom"/>
          </w:tcPr>
          <w:p>
            <w:pPr>
              <w:spacing w:after="0"/>
              <w:rPr>
                <w:sz w:val="16"/>
                <w:szCs w:val="16"/>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220" w:type="dxa"/>
            <w:vAlign w:val="bottom"/>
          </w:tcPr>
          <w:p>
            <w:pPr>
              <w:spacing w:after="0"/>
              <w:rPr>
                <w:sz w:val="16"/>
                <w:szCs w:val="16"/>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240" w:type="dxa"/>
            <w:vAlign w:val="bottom"/>
          </w:tcPr>
          <w:p>
            <w:pPr>
              <w:spacing w:after="0"/>
              <w:rPr>
                <w:sz w:val="16"/>
                <w:szCs w:val="16"/>
                <w:color w:val="auto"/>
              </w:rPr>
            </w:pPr>
          </w:p>
        </w:tc>
        <w:tc>
          <w:tcPr>
            <w:tcW w:w="124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Estimated</w:t>
            </w:r>
          </w:p>
        </w:tc>
      </w:tr>
      <w:tr>
        <w:trPr>
          <w:trHeight w:val="212"/>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Remaining Time to Maturity</w:t>
            </w:r>
          </w:p>
        </w:tc>
        <w:tc>
          <w:tcPr>
            <w:tcW w:w="22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Cost</w:t>
            </w:r>
          </w:p>
        </w:tc>
        <w:tc>
          <w:tcPr>
            <w:tcW w:w="24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Cost</w:t>
            </w:r>
          </w:p>
        </w:tc>
        <w:tc>
          <w:tcPr>
            <w:tcW w:w="240" w:type="dxa"/>
            <w:vAlign w:val="bottom"/>
          </w:tcPr>
          <w:p>
            <w:pPr>
              <w:spacing w:after="0"/>
              <w:rPr>
                <w:sz w:val="18"/>
                <w:szCs w:val="18"/>
                <w:color w:val="auto"/>
              </w:rPr>
            </w:pPr>
          </w:p>
        </w:tc>
        <w:tc>
          <w:tcPr>
            <w:tcW w:w="12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33"/>
        </w:trPr>
        <w:tc>
          <w:tcPr>
            <w:tcW w:w="4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23"/>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than one year</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499,719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499,065</w:t>
            </w:r>
          </w:p>
        </w:tc>
      </w:tr>
      <w:tr>
        <w:trPr>
          <w:trHeight w:val="21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One to five years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2,059,969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2,018,138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622,375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600,288</w:t>
            </w:r>
          </w:p>
        </w:tc>
      </w:tr>
      <w:tr>
        <w:trPr>
          <w:trHeight w:val="33"/>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3"/>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Five to ten years</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1,427,579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1,323,600</w:t>
            </w:r>
          </w:p>
        </w:tc>
      </w:tr>
      <w:tr>
        <w:trPr>
          <w:trHeight w:val="21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More than 10 years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3,983,739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3,156,537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4,497,669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3,536,312</w:t>
            </w:r>
          </w:p>
        </w:tc>
      </w:tr>
      <w:tr>
        <w:trPr>
          <w:trHeight w:val="33"/>
        </w:trPr>
        <w:tc>
          <w:tcPr>
            <w:tcW w:w="4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2"/>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6,043,708</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5,174,675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7,047,342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5,959,265</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actual maturities may differ from contractual maturities because certain borrowers have the right to call or prepay obligations with or without penalties.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was no allowance for credit losses on held-to-maturity fixed-maturity securities as of September 30, 2025 and December 31, 2024, respectively.</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Investment Income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Major categories of the Company’s net investment income are summarized as follows: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5"/>
          </w:tcPr>
          <w:p>
            <w:pPr>
              <w:ind w:left="4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40" w:type="dxa"/>
            <w:vAlign w:val="bottom"/>
          </w:tcPr>
          <w:p>
            <w:pPr>
              <w:spacing w:after="0"/>
              <w:rPr>
                <w:sz w:val="16"/>
                <w:szCs w:val="16"/>
                <w:color w:val="auto"/>
              </w:rPr>
            </w:pPr>
          </w:p>
        </w:tc>
        <w:tc>
          <w:tcPr>
            <w:tcW w:w="2720" w:type="dxa"/>
            <w:vAlign w:val="bottom"/>
            <w:gridSpan w:val="4"/>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2"/>
        </w:trPr>
        <w:tc>
          <w:tcPr>
            <w:tcW w:w="5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0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5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31"/>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5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Fixed-maturity securities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2,449,081</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1,172,023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6,510,764</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3,511,243</w:t>
            </w:r>
          </w:p>
        </w:tc>
        <w:tc>
          <w:tcPr>
            <w:tcW w:w="0" w:type="dxa"/>
            <w:vAlign w:val="bottom"/>
          </w:tcPr>
          <w:p>
            <w:pPr>
              <w:spacing w:after="0"/>
              <w:rPr>
                <w:sz w:val="1"/>
                <w:szCs w:val="1"/>
                <w:color w:val="auto"/>
              </w:rPr>
            </w:pPr>
          </w:p>
        </w:tc>
      </w:tr>
      <w:tr>
        <w:trPr>
          <w:trHeight w:val="210"/>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securities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123,501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144,950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370,139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467,588</w:t>
            </w:r>
          </w:p>
        </w:tc>
        <w:tc>
          <w:tcPr>
            <w:tcW w:w="0" w:type="dxa"/>
            <w:vAlign w:val="bottom"/>
          </w:tcPr>
          <w:p>
            <w:pPr>
              <w:spacing w:after="0"/>
              <w:rPr>
                <w:sz w:val="1"/>
                <w:szCs w:val="1"/>
                <w:color w:val="auto"/>
              </w:rPr>
            </w:pPr>
          </w:p>
        </w:tc>
      </w:tr>
      <w:tr>
        <w:trPr>
          <w:trHeight w:val="33"/>
        </w:trPr>
        <w:tc>
          <w:tcPr>
            <w:tcW w:w="5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84,329</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385,809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228,137</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1,074,000</w:t>
            </w:r>
          </w:p>
        </w:tc>
        <w:tc>
          <w:tcPr>
            <w:tcW w:w="0" w:type="dxa"/>
            <w:vAlign w:val="bottom"/>
          </w:tcPr>
          <w:p>
            <w:pPr>
              <w:spacing w:after="0"/>
              <w:rPr>
                <w:sz w:val="1"/>
                <w:szCs w:val="1"/>
                <w:color w:val="auto"/>
              </w:rPr>
            </w:pPr>
          </w:p>
        </w:tc>
      </w:tr>
      <w:tr>
        <w:trPr>
          <w:trHeight w:val="210"/>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39,227</w:t>
            </w:r>
          </w:p>
        </w:tc>
        <w:tc>
          <w:tcPr>
            <w:tcW w:w="0" w:type="dxa"/>
            <w:vAlign w:val="bottom"/>
          </w:tcPr>
          <w:p>
            <w:pPr>
              <w:spacing w:after="0"/>
              <w:rPr>
                <w:sz w:val="1"/>
                <w:szCs w:val="1"/>
                <w:color w:val="auto"/>
              </w:rPr>
            </w:pPr>
          </w:p>
        </w:tc>
      </w:tr>
      <w:tr>
        <w:trPr>
          <w:trHeight w:val="33"/>
        </w:trPr>
        <w:tc>
          <w:tcPr>
            <w:tcW w:w="50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2,656,911</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1,702,782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7,109,040</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5,092,058</w:t>
            </w:r>
          </w:p>
        </w:tc>
        <w:tc>
          <w:tcPr>
            <w:tcW w:w="0" w:type="dxa"/>
            <w:vAlign w:val="bottom"/>
          </w:tcPr>
          <w:p>
            <w:pPr>
              <w:spacing w:after="0"/>
              <w:rPr>
                <w:sz w:val="1"/>
                <w:szCs w:val="1"/>
                <w:color w:val="auto"/>
              </w:rPr>
            </w:pPr>
          </w:p>
        </w:tc>
      </w:tr>
      <w:tr>
        <w:trPr>
          <w:trHeight w:val="212"/>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5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157,840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261,106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174,929</w:t>
            </w:r>
          </w:p>
        </w:tc>
        <w:tc>
          <w:tcPr>
            <w:tcW w:w="0" w:type="dxa"/>
            <w:vAlign w:val="bottom"/>
          </w:tcPr>
          <w:p>
            <w:pPr>
              <w:spacing w:after="0"/>
              <w:rPr>
                <w:sz w:val="1"/>
                <w:szCs w:val="1"/>
                <w:color w:val="auto"/>
              </w:rPr>
            </w:pPr>
          </w:p>
        </w:tc>
      </w:tr>
      <w:tr>
        <w:trPr>
          <w:trHeight w:val="204"/>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investment income</w:t>
            </w: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2,499,071</w:t>
            </w:r>
          </w:p>
        </w:tc>
        <w:tc>
          <w:tcPr>
            <w:tcW w:w="100" w:type="dxa"/>
            <w:vAlign w:val="bottom"/>
          </w:tcPr>
          <w:p>
            <w:pPr>
              <w:spacing w:after="0"/>
              <w:rPr>
                <w:sz w:val="17"/>
                <w:szCs w:val="17"/>
                <w:color w:val="auto"/>
              </w:rPr>
            </w:pPr>
          </w:p>
        </w:tc>
        <w:tc>
          <w:tcPr>
            <w:tcW w:w="52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1,649,673</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6,847,934</w:t>
            </w:r>
          </w:p>
        </w:tc>
        <w:tc>
          <w:tcPr>
            <w:tcW w:w="100" w:type="dxa"/>
            <w:vAlign w:val="bottom"/>
          </w:tcPr>
          <w:p>
            <w:pPr>
              <w:spacing w:after="0"/>
              <w:rPr>
                <w:sz w:val="17"/>
                <w:szCs w:val="17"/>
                <w:color w:val="auto"/>
              </w:rPr>
            </w:pPr>
          </w:p>
        </w:tc>
        <w:tc>
          <w:tcPr>
            <w:tcW w:w="50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4,917,129</w:t>
            </w:r>
          </w:p>
        </w:tc>
        <w:tc>
          <w:tcPr>
            <w:tcW w:w="0" w:type="dxa"/>
            <w:vAlign w:val="bottom"/>
          </w:tcPr>
          <w:p>
            <w:pPr>
              <w:spacing w:after="0"/>
              <w:rPr>
                <w:sz w:val="1"/>
                <w:szCs w:val="1"/>
                <w:color w:val="auto"/>
              </w:rPr>
            </w:pPr>
          </w:p>
        </w:tc>
      </w:tr>
      <w:tr>
        <w:trPr>
          <w:trHeight w:val="33"/>
        </w:trPr>
        <w:tc>
          <w:tcPr>
            <w:tcW w:w="50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Proceeds from the redemptions of fixed-maturity securities held-to-maturity were $1,000,000 and $0 for the nine months ended September 30, 2025 and 2024, respectively.</w:t>
      </w:r>
    </w:p>
    <w:p>
      <w:pPr>
        <w:spacing w:after="0" w:line="235"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Proceeds from the sale or maturity of fixed-maturity securities available-for-sale were $29,313,789 and $113,854,152 for the nine months ended September 30, 2025 and 2024, respectively.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Proceeds from the sale of equity securities were $0 and $4,410,859 for the nine months ended September 30,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Company’s net gains (losses) on investments are summarized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0" w:type="dxa"/>
            <w:vAlign w:val="bottom"/>
            <w:gridSpan w:val="5"/>
          </w:tcPr>
          <w:p>
            <w:pPr>
              <w:ind w:left="4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40" w:type="dxa"/>
            <w:vAlign w:val="bottom"/>
          </w:tcPr>
          <w:p>
            <w:pPr>
              <w:spacing w:after="0"/>
              <w:rPr>
                <w:sz w:val="16"/>
                <w:szCs w:val="16"/>
                <w:color w:val="auto"/>
              </w:rPr>
            </w:pPr>
          </w:p>
        </w:tc>
        <w:tc>
          <w:tcPr>
            <w:tcW w:w="2720" w:type="dxa"/>
            <w:vAlign w:val="bottom"/>
            <w:gridSpan w:val="4"/>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25"/>
        </w:trPr>
        <w:tc>
          <w:tcPr>
            <w:tcW w:w="50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31"/>
        </w:trPr>
        <w:tc>
          <w:tcPr>
            <w:tcW w:w="5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Realized Gains (Losses)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0"/>
        </w:trPr>
        <w:tc>
          <w:tcPr>
            <w:tcW w:w="504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Fixed-maturity securities: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Gross realized gains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w:t>
            </w:r>
          </w:p>
        </w:tc>
        <w:tc>
          <w:tcPr>
            <w:tcW w:w="0" w:type="dxa"/>
            <w:vAlign w:val="bottom"/>
          </w:tcPr>
          <w:p>
            <w:pPr>
              <w:spacing w:after="0"/>
              <w:rPr>
                <w:sz w:val="1"/>
                <w:szCs w:val="1"/>
                <w:color w:val="auto"/>
              </w:rPr>
            </w:pPr>
          </w:p>
        </w:tc>
      </w:tr>
      <w:tr>
        <w:trPr>
          <w:trHeight w:val="210"/>
        </w:trPr>
        <w:tc>
          <w:tcPr>
            <w:tcW w:w="5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Gross realized losses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(6,655)</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(13,301)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(12,430)</w:t>
            </w:r>
          </w:p>
        </w:tc>
        <w:tc>
          <w:tcPr>
            <w:tcW w:w="0" w:type="dxa"/>
            <w:vAlign w:val="bottom"/>
          </w:tcPr>
          <w:p>
            <w:pPr>
              <w:spacing w:after="0"/>
              <w:rPr>
                <w:sz w:val="1"/>
                <w:szCs w:val="1"/>
                <w:color w:val="auto"/>
              </w:rPr>
            </w:pPr>
          </w:p>
        </w:tc>
      </w:tr>
      <w:tr>
        <w:trPr>
          <w:trHeight w:val="33"/>
        </w:trPr>
        <w:tc>
          <w:tcPr>
            <w:tcW w:w="5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(6,322)</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(12,126)</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(11,468)</w:t>
            </w: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Equity securities: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Gross realized gains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369,877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374,997</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Gross realized losses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(423,367)</w:t>
            </w:r>
          </w:p>
        </w:tc>
        <w:tc>
          <w:tcPr>
            <w:tcW w:w="0" w:type="dxa"/>
            <w:vAlign w:val="bottom"/>
          </w:tcPr>
          <w:p>
            <w:pPr>
              <w:spacing w:after="0"/>
              <w:rPr>
                <w:sz w:val="1"/>
                <w:szCs w:val="1"/>
                <w:color w:val="auto"/>
              </w:rPr>
            </w:pPr>
          </w:p>
        </w:tc>
      </w:tr>
      <w:tr>
        <w:trPr>
          <w:trHeight w:val="204"/>
        </w:trPr>
        <w:tc>
          <w:tcPr>
            <w:tcW w:w="504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369,877</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(48,370)</w:t>
            </w:r>
          </w:p>
        </w:tc>
        <w:tc>
          <w:tcPr>
            <w:tcW w:w="0" w:type="dxa"/>
            <w:vAlign w:val="bottom"/>
          </w:tcPr>
          <w:p>
            <w:pPr>
              <w:spacing w:after="0"/>
              <w:rPr>
                <w:sz w:val="1"/>
                <w:szCs w:val="1"/>
                <w:color w:val="auto"/>
              </w:rPr>
            </w:pPr>
          </w:p>
        </w:tc>
      </w:tr>
      <w:tr>
        <w:trPr>
          <w:trHeight w:val="33"/>
        </w:trPr>
        <w:tc>
          <w:tcPr>
            <w:tcW w:w="5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realized losses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(6,322)</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365,938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(12,126)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(59,838)</w:t>
            </w:r>
          </w:p>
        </w:tc>
        <w:tc>
          <w:tcPr>
            <w:tcW w:w="0" w:type="dxa"/>
            <w:vAlign w:val="bottom"/>
          </w:tcPr>
          <w:p>
            <w:pPr>
              <w:spacing w:after="0"/>
              <w:rPr>
                <w:sz w:val="1"/>
                <w:szCs w:val="1"/>
                <w:color w:val="auto"/>
              </w:rPr>
            </w:pPr>
          </w:p>
        </w:tc>
      </w:tr>
      <w:tr>
        <w:trPr>
          <w:trHeight w:val="33"/>
        </w:trPr>
        <w:tc>
          <w:tcPr>
            <w:tcW w:w="5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0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50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Unrealized Gains (Losses)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504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Equity Securities: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Gross gains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94,228</w:t>
            </w: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669,059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94,228</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1,291,933</w:t>
            </w:r>
          </w:p>
        </w:tc>
        <w:tc>
          <w:tcPr>
            <w:tcW w:w="0" w:type="dxa"/>
            <w:vAlign w:val="bottom"/>
          </w:tcPr>
          <w:p>
            <w:pPr>
              <w:spacing w:after="0"/>
              <w:rPr>
                <w:sz w:val="1"/>
                <w:szCs w:val="1"/>
                <w:color w:val="auto"/>
              </w:rPr>
            </w:pPr>
          </w:p>
        </w:tc>
      </w:tr>
      <w:tr>
        <w:trPr>
          <w:trHeight w:val="210"/>
        </w:trPr>
        <w:tc>
          <w:tcPr>
            <w:tcW w:w="5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Gross losses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288,506</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(314,816)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(314,816)</w:t>
            </w:r>
          </w:p>
        </w:tc>
        <w:tc>
          <w:tcPr>
            <w:tcW w:w="0" w:type="dxa"/>
            <w:vAlign w:val="bottom"/>
          </w:tcPr>
          <w:p>
            <w:pPr>
              <w:spacing w:after="0"/>
              <w:rPr>
                <w:sz w:val="1"/>
                <w:szCs w:val="1"/>
                <w:color w:val="auto"/>
              </w:rPr>
            </w:pPr>
          </w:p>
        </w:tc>
      </w:tr>
      <w:tr>
        <w:trPr>
          <w:trHeight w:val="33"/>
        </w:trPr>
        <w:tc>
          <w:tcPr>
            <w:tcW w:w="5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382,734</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354,243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94,228</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977,117</w:t>
            </w: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Other Investments: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Gross gains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(194,290)</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106,341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508,492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402,028</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Gross losses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504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(194,290)</w:t>
            </w:r>
          </w:p>
        </w:tc>
        <w:tc>
          <w:tcPr>
            <w:tcW w:w="8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106,341</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508,492</w:t>
            </w:r>
          </w:p>
        </w:tc>
        <w:tc>
          <w:tcPr>
            <w:tcW w:w="10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402,028</w:t>
            </w:r>
          </w:p>
        </w:tc>
        <w:tc>
          <w:tcPr>
            <w:tcW w:w="0" w:type="dxa"/>
            <w:vAlign w:val="bottom"/>
          </w:tcPr>
          <w:p>
            <w:pPr>
              <w:spacing w:after="0"/>
              <w:rPr>
                <w:sz w:val="1"/>
                <w:szCs w:val="1"/>
                <w:color w:val="auto"/>
              </w:rPr>
            </w:pPr>
          </w:p>
        </w:tc>
      </w:tr>
      <w:tr>
        <w:trPr>
          <w:trHeight w:val="33"/>
        </w:trPr>
        <w:tc>
          <w:tcPr>
            <w:tcW w:w="5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0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unrealized gains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188,444</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460,584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602,720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1,379,145</w:t>
            </w:r>
          </w:p>
        </w:tc>
        <w:tc>
          <w:tcPr>
            <w:tcW w:w="0" w:type="dxa"/>
            <w:vAlign w:val="bottom"/>
          </w:tcPr>
          <w:p>
            <w:pPr>
              <w:spacing w:after="0"/>
              <w:rPr>
                <w:sz w:val="1"/>
                <w:szCs w:val="1"/>
                <w:color w:val="auto"/>
              </w:rPr>
            </w:pPr>
          </w:p>
        </w:tc>
      </w:tr>
      <w:tr>
        <w:trPr>
          <w:trHeight w:val="33"/>
        </w:trPr>
        <w:tc>
          <w:tcPr>
            <w:tcW w:w="5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gains on investments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182,122</w:t>
            </w:r>
          </w:p>
        </w:tc>
        <w:tc>
          <w:tcPr>
            <w:tcW w:w="8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826,522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590,594</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1,319,307</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Allowance for Credit Loss</w:t>
      </w:r>
    </w:p>
    <w:p>
      <w:pPr>
        <w:spacing w:after="0" w:line="23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For available-for-sale fixed maturity securities, a credit loss exists if the present value of cash flows expected to be collected is less than the amortized cost basis. The allowance for credit losses related to available-for-sale fixed maturity securities is the difference between the present value of cash flows expected to be collected and the amortized cost basis, limited by the amount that the fair value is less than the amortized cost basis. The Company considers all available evidence when determining whether an investment requires a credit loss write-down or allowance to be recorded, which is recognized in net loss through an allowance for credit losses. Any remaining decline in fair value represents the noncredit portion of the impairment, which is recognized in other comprehensive income (loss).</w:t>
      </w:r>
    </w:p>
    <w:p>
      <w:pPr>
        <w:spacing w:after="0" w:line="195"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The Company did not identify any available-for-sale securities as of September 30, 2025 and December 31, 2024 which presented a risk of loss due to credit deterioration of the security.</w:t>
      </w:r>
    </w:p>
    <w:p>
      <w:pPr>
        <w:spacing w:after="0" w:line="17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At September 30, 2025 and December 31, 2024, there were 130 and 204 fixed-maturity securities, respectively, that accounted for the gross unrealized losses. The Company determined that none of the unrealized losses were deemed to be credit losses for its portfolio of investments for the nine months ended September 30, 2025 and 2024. Significant factors influencing the Company’s determination that unrealized losses were temporary included credit quality considerations, the magnitude of the unrealized losses in relation to each security’s cost, the nature of the investment and interest rate environment factors, and management’s intent and ability to hold the investment for a period of time sufficient to allow for an anticipated recovery of estimated fair value to the Company’s cost basis.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held available-for-sale securities with unrealized losses representing declines that were considered temporary at September 30, 2025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0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6"/>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4"/>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00" w:type="dxa"/>
            <w:vAlign w:val="bottom"/>
            <w:gridSpan w:val="6"/>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12 months or more</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99"/>
              <w:spacing w:after="0" w:line="181" w:lineRule="exact"/>
              <w:rPr>
                <w:sz w:val="20"/>
                <w:szCs w:val="20"/>
                <w:color w:val="auto"/>
              </w:rPr>
            </w:pPr>
            <w:r>
              <w:rPr>
                <w:rFonts w:ascii="Times New Roman" w:cs="Times New Roman" w:eastAsia="Times New Roman" w:hAnsi="Times New Roman"/>
                <w:sz w:val="16"/>
                <w:szCs w:val="16"/>
                <w:b w:val="1"/>
                <w:bCs w:val="1"/>
                <w:color w:val="auto"/>
              </w:rPr>
              <w:t>Estimated</w:t>
            </w:r>
          </w:p>
        </w:tc>
        <w:tc>
          <w:tcPr>
            <w:tcW w:w="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center"/>
              <w:ind w:right="99"/>
              <w:spacing w:after="0" w:line="181" w:lineRule="exact"/>
              <w:rPr>
                <w:sz w:val="20"/>
                <w:szCs w:val="20"/>
                <w:color w:val="auto"/>
              </w:rPr>
            </w:pPr>
            <w:r>
              <w:rPr>
                <w:rFonts w:ascii="Times New Roman" w:cs="Times New Roman" w:eastAsia="Times New Roman" w:hAnsi="Times New Roman"/>
                <w:sz w:val="16"/>
                <w:szCs w:val="16"/>
                <w:b w:val="1"/>
                <w:bCs w:val="1"/>
                <w:color w:val="auto"/>
                <w:w w:val="97"/>
              </w:rPr>
              <w:t>No. of</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159"/>
              <w:spacing w:after="0" w:line="181" w:lineRule="exact"/>
              <w:rPr>
                <w:sz w:val="20"/>
                <w:szCs w:val="20"/>
                <w:color w:val="auto"/>
              </w:rPr>
            </w:pPr>
            <w:r>
              <w:rPr>
                <w:rFonts w:ascii="Times New Roman" w:cs="Times New Roman" w:eastAsia="Times New Roman" w:hAnsi="Times New Roman"/>
                <w:sz w:val="16"/>
                <w:szCs w:val="16"/>
                <w:b w:val="1"/>
                <w:bCs w:val="1"/>
                <w:color w:val="auto"/>
              </w:rPr>
              <w:t>Estimated</w:t>
            </w: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7"/>
              </w:rPr>
              <w:t>No. of</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2"/>
          </w:tcPr>
          <w:p>
            <w:pPr>
              <w:jc w:val="center"/>
              <w:ind w:right="260"/>
              <w:spacing w:after="0" w:line="181" w:lineRule="exact"/>
              <w:rPr>
                <w:sz w:val="20"/>
                <w:szCs w:val="20"/>
                <w:color w:val="auto"/>
              </w:rPr>
            </w:pPr>
            <w:r>
              <w:rPr>
                <w:rFonts w:ascii="Times New Roman" w:cs="Times New Roman" w:eastAsia="Times New Roman" w:hAnsi="Times New Roman"/>
                <w:sz w:val="16"/>
                <w:szCs w:val="16"/>
                <w:b w:val="1"/>
                <w:bCs w:val="1"/>
                <w:color w:val="auto"/>
              </w:rPr>
              <w:t>Estimated</w:t>
            </w: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14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Category</w:t>
            </w:r>
          </w:p>
        </w:tc>
        <w:tc>
          <w:tcPr>
            <w:tcW w:w="100" w:type="dxa"/>
            <w:vAlign w:val="bottom"/>
            <w:vMerge w:val="restart"/>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Fair</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Positions</w:t>
            </w:r>
          </w:p>
        </w:tc>
        <w:tc>
          <w:tcPr>
            <w:tcW w:w="160" w:type="dxa"/>
            <w:vAlign w:val="bottom"/>
          </w:tcPr>
          <w:p>
            <w:pPr>
              <w:spacing w:after="0"/>
              <w:rPr>
                <w:sz w:val="17"/>
                <w:szCs w:val="17"/>
                <w:color w:val="auto"/>
              </w:rPr>
            </w:pPr>
          </w:p>
        </w:tc>
        <w:tc>
          <w:tcPr>
            <w:tcW w:w="98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Fair</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Positions</w:t>
            </w: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Fair</w:t>
            </w:r>
          </w:p>
        </w:tc>
        <w:tc>
          <w:tcPr>
            <w:tcW w:w="160" w:type="dxa"/>
            <w:vAlign w:val="bottom"/>
          </w:tcPr>
          <w:p>
            <w:pPr>
              <w:spacing w:after="0"/>
              <w:rPr>
                <w:sz w:val="17"/>
                <w:szCs w:val="17"/>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0" w:type="dxa"/>
            <w:vAlign w:val="bottom"/>
          </w:tcPr>
          <w:p>
            <w:pPr>
              <w:spacing w:after="0"/>
              <w:rPr>
                <w:sz w:val="1"/>
                <w:szCs w:val="1"/>
                <w:color w:val="auto"/>
              </w:rPr>
            </w:pPr>
          </w:p>
        </w:tc>
      </w:tr>
      <w:tr>
        <w:trPr>
          <w:trHeight w:val="214"/>
        </w:trPr>
        <w:tc>
          <w:tcPr>
            <w:tcW w:w="14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Held</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Held</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0" w:type="dxa"/>
            <w:vAlign w:val="bottom"/>
          </w:tcPr>
          <w:p>
            <w:pPr>
              <w:spacing w:after="0"/>
              <w:rPr>
                <w:sz w:val="1"/>
                <w:szCs w:val="1"/>
                <w:color w:val="auto"/>
              </w:rPr>
            </w:pPr>
          </w:p>
        </w:tc>
      </w:tr>
      <w:tr>
        <w:trPr>
          <w:trHeight w:val="425"/>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Available-for-Sale</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w:t>
            </w: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 and</w:t>
            </w: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580" w:type="dxa"/>
            <w:vAlign w:val="bottom"/>
            <w:gridSpan w:val="2"/>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obligations of U.S.</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government</w:t>
            </w: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corporations and</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agencies</w:t>
            </w:r>
          </w:p>
        </w:tc>
        <w:tc>
          <w:tcPr>
            <w:tcW w:w="14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300" w:type="dxa"/>
            <w:vAlign w:val="bottom"/>
            <w:gridSpan w:val="3"/>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Political subdivisions</w:t>
            </w: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 States, Territories</w:t>
            </w:r>
          </w:p>
        </w:tc>
        <w:tc>
          <w:tcPr>
            <w:tcW w:w="14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13,917,340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(2,551,987)</w:t>
            </w:r>
          </w:p>
        </w:tc>
        <w:tc>
          <w:tcPr>
            <w:tcW w:w="10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13,917,340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(2,551,987)</w:t>
            </w:r>
          </w:p>
        </w:tc>
        <w:tc>
          <w:tcPr>
            <w:tcW w:w="0" w:type="dxa"/>
            <w:vAlign w:val="bottom"/>
          </w:tcPr>
          <w:p>
            <w:pPr>
              <w:spacing w:after="0"/>
              <w:rPr>
                <w:sz w:val="1"/>
                <w:szCs w:val="1"/>
                <w:color w:val="auto"/>
              </w:rPr>
            </w:pPr>
          </w:p>
        </w:tc>
      </w:tr>
      <w:tr>
        <w:trPr>
          <w:trHeight w:val="230"/>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and Possessions</w:t>
            </w:r>
          </w:p>
        </w:tc>
        <w:tc>
          <w:tcPr>
            <w:tcW w:w="1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and other</w:t>
            </w: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bonds industrial and</w:t>
            </w:r>
          </w:p>
        </w:tc>
        <w:tc>
          <w:tcPr>
            <w:tcW w:w="14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15,265,950</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(41,640)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48,232,706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(2,890,680)</w:t>
            </w:r>
          </w:p>
        </w:tc>
        <w:tc>
          <w:tcPr>
            <w:tcW w:w="10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63,498,656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(2,932,320)</w:t>
            </w:r>
          </w:p>
        </w:tc>
        <w:tc>
          <w:tcPr>
            <w:tcW w:w="0" w:type="dxa"/>
            <w:vAlign w:val="bottom"/>
          </w:tcPr>
          <w:p>
            <w:pPr>
              <w:spacing w:after="0"/>
              <w:rPr>
                <w:sz w:val="1"/>
                <w:szCs w:val="1"/>
                <w:color w:val="auto"/>
              </w:rPr>
            </w:pPr>
          </w:p>
        </w:tc>
      </w:tr>
      <w:tr>
        <w:trPr>
          <w:trHeight w:val="230"/>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miscellaneous</w:t>
            </w:r>
          </w:p>
        </w:tc>
        <w:tc>
          <w:tcPr>
            <w:tcW w:w="1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w:t>
            </w: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and other asset</w:t>
            </w:r>
          </w:p>
        </w:tc>
        <w:tc>
          <w:tcPr>
            <w:tcW w:w="14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6,226,193</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(38,253)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34,133,806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(4,786,312)</w:t>
            </w:r>
          </w:p>
        </w:tc>
        <w:tc>
          <w:tcPr>
            <w:tcW w:w="10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40,359,999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(4,824,565)</w:t>
            </w:r>
          </w:p>
        </w:tc>
        <w:tc>
          <w:tcPr>
            <w:tcW w:w="0" w:type="dxa"/>
            <w:vAlign w:val="bottom"/>
          </w:tcPr>
          <w:p>
            <w:pPr>
              <w:spacing w:after="0"/>
              <w:rPr>
                <w:sz w:val="1"/>
                <w:szCs w:val="1"/>
                <w:color w:val="auto"/>
              </w:rPr>
            </w:pPr>
          </w:p>
        </w:tc>
      </w:tr>
      <w:tr>
        <w:trPr>
          <w:trHeight w:val="223"/>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backed securities</w:t>
            </w: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fixed-maturity</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21,492,143</w:t>
            </w:r>
          </w:p>
        </w:tc>
        <w:tc>
          <w:tcPr>
            <w:tcW w:w="3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(79,893)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96,283,852</w:t>
            </w:r>
          </w:p>
        </w:tc>
        <w:tc>
          <w:tcPr>
            <w:tcW w:w="2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(10,228,979)</w:t>
            </w:r>
          </w:p>
        </w:tc>
        <w:tc>
          <w:tcPr>
            <w:tcW w:w="10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117,775,995</w:t>
            </w:r>
          </w:p>
        </w:tc>
        <w:tc>
          <w:tcPr>
            <w:tcW w:w="8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(10,308,872)</w:t>
            </w:r>
          </w:p>
        </w:tc>
        <w:tc>
          <w:tcPr>
            <w:tcW w:w="0" w:type="dxa"/>
            <w:vAlign w:val="bottom"/>
          </w:tcPr>
          <w:p>
            <w:pPr>
              <w:spacing w:after="0"/>
              <w:rPr>
                <w:sz w:val="1"/>
                <w:szCs w:val="1"/>
                <w:color w:val="auto"/>
              </w:rPr>
            </w:pPr>
          </w:p>
        </w:tc>
      </w:tr>
      <w:tr>
        <w:trPr>
          <w:trHeight w:val="223"/>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w:t>
            </w:r>
          </w:p>
        </w:tc>
        <w:tc>
          <w:tcPr>
            <w:tcW w:w="14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300" w:type="dxa"/>
            <w:vAlign w:val="bottom"/>
            <w:gridSpan w:val="3"/>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held available-for-sale securities with unrealized losses representing declines that were considered temporary at December 31, 2024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gridSpan w:val="6"/>
          </w:tcPr>
          <w:p>
            <w:pPr>
              <w:ind w:left="4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6"/>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5"/>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2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6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12 months or more</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79"/>
              <w:spacing w:after="0" w:line="181" w:lineRule="exact"/>
              <w:rPr>
                <w:sz w:val="20"/>
                <w:szCs w:val="20"/>
                <w:color w:val="auto"/>
              </w:rPr>
            </w:pPr>
            <w:r>
              <w:rPr>
                <w:rFonts w:ascii="Times New Roman" w:cs="Times New Roman" w:eastAsia="Times New Roman" w:hAnsi="Times New Roman"/>
                <w:sz w:val="16"/>
                <w:szCs w:val="16"/>
                <w:b w:val="1"/>
                <w:bCs w:val="1"/>
                <w:color w:val="auto"/>
              </w:rPr>
              <w:t>Estimated</w:t>
            </w:r>
          </w:p>
        </w:tc>
        <w:tc>
          <w:tcPr>
            <w:tcW w:w="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center"/>
              <w:ind w:right="99"/>
              <w:spacing w:after="0" w:line="181" w:lineRule="exact"/>
              <w:rPr>
                <w:sz w:val="20"/>
                <w:szCs w:val="20"/>
                <w:color w:val="auto"/>
              </w:rPr>
            </w:pPr>
            <w:r>
              <w:rPr>
                <w:rFonts w:ascii="Times New Roman" w:cs="Times New Roman" w:eastAsia="Times New Roman" w:hAnsi="Times New Roman"/>
                <w:sz w:val="16"/>
                <w:szCs w:val="16"/>
                <w:b w:val="1"/>
                <w:bCs w:val="1"/>
                <w:color w:val="auto"/>
              </w:rPr>
              <w:t>No. of</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119"/>
              <w:spacing w:after="0" w:line="181" w:lineRule="exact"/>
              <w:rPr>
                <w:sz w:val="20"/>
                <w:szCs w:val="20"/>
                <w:color w:val="auto"/>
              </w:rPr>
            </w:pPr>
            <w:r>
              <w:rPr>
                <w:rFonts w:ascii="Times New Roman" w:cs="Times New Roman" w:eastAsia="Times New Roman" w:hAnsi="Times New Roman"/>
                <w:sz w:val="16"/>
                <w:szCs w:val="16"/>
                <w:b w:val="1"/>
                <w:bCs w:val="1"/>
                <w:color w:val="auto"/>
              </w:rPr>
              <w:t>Estimated</w:t>
            </w:r>
          </w:p>
        </w:tc>
        <w:tc>
          <w:tcPr>
            <w:tcW w:w="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No. of</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2"/>
          </w:tcPr>
          <w:p>
            <w:pPr>
              <w:jc w:val="center"/>
              <w:ind w:right="260"/>
              <w:spacing w:after="0" w:line="181" w:lineRule="exact"/>
              <w:rPr>
                <w:sz w:val="20"/>
                <w:szCs w:val="20"/>
                <w:color w:val="auto"/>
              </w:rPr>
            </w:pPr>
            <w:r>
              <w:rPr>
                <w:rFonts w:ascii="Times New Roman" w:cs="Times New Roman" w:eastAsia="Times New Roman" w:hAnsi="Times New Roman"/>
                <w:sz w:val="16"/>
                <w:szCs w:val="16"/>
                <w:b w:val="1"/>
                <w:bCs w:val="1"/>
                <w:color w:val="auto"/>
              </w:rPr>
              <w:t>Estimated</w:t>
            </w: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15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Category</w:t>
            </w:r>
          </w:p>
        </w:tc>
        <w:tc>
          <w:tcPr>
            <w:tcW w:w="8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Fair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Positions</w:t>
            </w:r>
          </w:p>
        </w:tc>
        <w:tc>
          <w:tcPr>
            <w:tcW w:w="140" w:type="dxa"/>
            <w:vAlign w:val="bottom"/>
          </w:tcPr>
          <w:p>
            <w:pPr>
              <w:spacing w:after="0"/>
              <w:rPr>
                <w:sz w:val="17"/>
                <w:szCs w:val="17"/>
                <w:color w:val="auto"/>
              </w:rPr>
            </w:pPr>
          </w:p>
        </w:tc>
        <w:tc>
          <w:tcPr>
            <w:tcW w:w="9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Fair</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Positions</w:t>
            </w: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Fair</w:t>
            </w:r>
          </w:p>
        </w:tc>
        <w:tc>
          <w:tcPr>
            <w:tcW w:w="160" w:type="dxa"/>
            <w:vAlign w:val="bottom"/>
          </w:tcPr>
          <w:p>
            <w:pPr>
              <w:spacing w:after="0"/>
              <w:rPr>
                <w:sz w:val="17"/>
                <w:szCs w:val="17"/>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0" w:type="dxa"/>
            <w:vAlign w:val="bottom"/>
          </w:tcPr>
          <w:p>
            <w:pPr>
              <w:spacing w:after="0"/>
              <w:rPr>
                <w:sz w:val="1"/>
                <w:szCs w:val="1"/>
                <w:color w:val="auto"/>
              </w:rPr>
            </w:pPr>
          </w:p>
        </w:tc>
      </w:tr>
      <w:tr>
        <w:trPr>
          <w:trHeight w:val="214"/>
        </w:trPr>
        <w:tc>
          <w:tcPr>
            <w:tcW w:w="150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Held</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Held</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0" w:type="dxa"/>
            <w:vAlign w:val="bottom"/>
          </w:tcPr>
          <w:p>
            <w:pPr>
              <w:spacing w:after="0"/>
              <w:rPr>
                <w:sz w:val="1"/>
                <w:szCs w:val="1"/>
                <w:color w:val="auto"/>
              </w:rPr>
            </w:pPr>
          </w:p>
        </w:tc>
      </w:tr>
      <w:tr>
        <w:trPr>
          <w:trHeight w:val="384"/>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Available-for-Sale</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 and</w:t>
            </w: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580" w:type="dxa"/>
            <w:vAlign w:val="bottom"/>
            <w:gridSpan w:val="2"/>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obligations of U.S.</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government</w:t>
            </w: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corporations and</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agencies</w:t>
            </w:r>
          </w:p>
        </w:tc>
        <w:tc>
          <w:tcPr>
            <w:tcW w:w="16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300" w:type="dxa"/>
            <w:vAlign w:val="bottom"/>
            <w:gridSpan w:val="3"/>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280" w:type="dxa"/>
            <w:vAlign w:val="bottom"/>
            <w:gridSpan w:val="3"/>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Political subdivisions</w:t>
            </w: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 States, Territories</w:t>
            </w:r>
          </w:p>
        </w:tc>
        <w:tc>
          <w:tcPr>
            <w:tcW w:w="16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7,705,370</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(73,589)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13,167,726</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(3,324,491)</w:t>
            </w:r>
          </w:p>
        </w:tc>
        <w:tc>
          <w:tcPr>
            <w:tcW w:w="10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20,873,096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(3,398,080)</w:t>
            </w:r>
          </w:p>
        </w:tc>
        <w:tc>
          <w:tcPr>
            <w:tcW w:w="0" w:type="dxa"/>
            <w:vAlign w:val="bottom"/>
          </w:tcPr>
          <w:p>
            <w:pPr>
              <w:spacing w:after="0"/>
              <w:rPr>
                <w:sz w:val="1"/>
                <w:szCs w:val="1"/>
                <w:color w:val="auto"/>
              </w:rPr>
            </w:pPr>
          </w:p>
        </w:tc>
      </w:tr>
      <w:tr>
        <w:trPr>
          <w:trHeight w:val="230"/>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and Possessions</w:t>
            </w:r>
          </w:p>
        </w:tc>
        <w:tc>
          <w:tcPr>
            <w:tcW w:w="1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and other</w:t>
            </w: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bonds industrial and</w:t>
            </w:r>
          </w:p>
        </w:tc>
        <w:tc>
          <w:tcPr>
            <w:tcW w:w="16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51,411,296</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(1,024,461)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55,381,083</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(4,690,597)</w:t>
            </w:r>
          </w:p>
        </w:tc>
        <w:tc>
          <w:tcPr>
            <w:tcW w:w="10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106,792,379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(5,715,058)</w:t>
            </w:r>
          </w:p>
        </w:tc>
        <w:tc>
          <w:tcPr>
            <w:tcW w:w="0" w:type="dxa"/>
            <w:vAlign w:val="bottom"/>
          </w:tcPr>
          <w:p>
            <w:pPr>
              <w:spacing w:after="0"/>
              <w:rPr>
                <w:sz w:val="1"/>
                <w:szCs w:val="1"/>
                <w:color w:val="auto"/>
              </w:rPr>
            </w:pPr>
          </w:p>
        </w:tc>
      </w:tr>
      <w:tr>
        <w:trPr>
          <w:trHeight w:val="230"/>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miscellaneous</w:t>
            </w:r>
          </w:p>
        </w:tc>
        <w:tc>
          <w:tcPr>
            <w:tcW w:w="1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w:t>
            </w: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and other asset</w:t>
            </w:r>
          </w:p>
        </w:tc>
        <w:tc>
          <w:tcPr>
            <w:tcW w:w="16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19,315,521</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(209,890)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35,206,442</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(6,211,339)</w:t>
            </w:r>
          </w:p>
        </w:tc>
        <w:tc>
          <w:tcPr>
            <w:tcW w:w="10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54,521,963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(6,421,229)</w:t>
            </w:r>
          </w:p>
        </w:tc>
        <w:tc>
          <w:tcPr>
            <w:tcW w:w="0" w:type="dxa"/>
            <w:vAlign w:val="bottom"/>
          </w:tcPr>
          <w:p>
            <w:pPr>
              <w:spacing w:after="0"/>
              <w:rPr>
                <w:sz w:val="1"/>
                <w:szCs w:val="1"/>
                <w:color w:val="auto"/>
              </w:rPr>
            </w:pPr>
          </w:p>
        </w:tc>
      </w:tr>
      <w:tr>
        <w:trPr>
          <w:trHeight w:val="223"/>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backed securities</w:t>
            </w: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fixed-maturity</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78,432,187</w:t>
            </w:r>
          </w:p>
        </w:tc>
        <w:tc>
          <w:tcPr>
            <w:tcW w:w="30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(1,307,940)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103,755,251</w:t>
            </w:r>
          </w:p>
        </w:tc>
        <w:tc>
          <w:tcPr>
            <w:tcW w:w="28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(14,226,427)</w:t>
            </w:r>
          </w:p>
        </w:tc>
        <w:tc>
          <w:tcPr>
            <w:tcW w:w="10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182,187,438</w:t>
            </w:r>
          </w:p>
        </w:tc>
        <w:tc>
          <w:tcPr>
            <w:tcW w:w="8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(15,534,367)</w:t>
            </w:r>
          </w:p>
        </w:tc>
        <w:tc>
          <w:tcPr>
            <w:tcW w:w="0" w:type="dxa"/>
            <w:vAlign w:val="bottom"/>
          </w:tcPr>
          <w:p>
            <w:pPr>
              <w:spacing w:after="0"/>
              <w:rPr>
                <w:sz w:val="1"/>
                <w:szCs w:val="1"/>
                <w:color w:val="auto"/>
              </w:rPr>
            </w:pPr>
          </w:p>
        </w:tc>
      </w:tr>
      <w:tr>
        <w:trPr>
          <w:trHeight w:val="223"/>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w:t>
            </w:r>
          </w:p>
        </w:tc>
        <w:tc>
          <w:tcPr>
            <w:tcW w:w="16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300" w:type="dxa"/>
            <w:vAlign w:val="bottom"/>
            <w:gridSpan w:val="3"/>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280" w:type="dxa"/>
            <w:vAlign w:val="bottom"/>
            <w:gridSpan w:val="3"/>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4 - Fair Value Measurements</w:t>
      </w:r>
    </w:p>
    <w:p>
      <w:pPr>
        <w:spacing w:after="0" w:line="223"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The following table presents information about the Company’s investments that are measured at fair value on a recurring basis at September 30, 2025 and December 31, 2024 indicating the level of the fair value hierarchy of the valuation inputs the Company utilized to determine such fair value: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40" w:type="dxa"/>
            <w:vAlign w:val="bottom"/>
            <w:gridSpan w:val="3"/>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5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20" w:type="dxa"/>
            <w:vAlign w:val="bottom"/>
          </w:tcPr>
          <w:p>
            <w:pPr>
              <w:spacing w:after="0"/>
              <w:rPr>
                <w:sz w:val="17"/>
                <w:szCs w:val="17"/>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18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31"/>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Fixed-maturity securities available-for-sale</w:t>
            </w: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60"/>
        </w:trPr>
        <w:tc>
          <w:tcPr>
            <w:tcW w:w="50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5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securities and obligations of U.S. government corporations</w:t>
            </w:r>
          </w:p>
        </w:tc>
        <w:tc>
          <w:tcPr>
            <w:tcW w:w="30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1,008,130</w:t>
            </w:r>
          </w:p>
        </w:tc>
        <w:tc>
          <w:tcPr>
            <w:tcW w:w="80" w:type="dxa"/>
            <w:vAlign w:val="bottom"/>
            <w:shd w:val="clear" w:color="auto" w:fill="CCEEFF"/>
          </w:tcPr>
          <w:p>
            <w:pPr>
              <w:spacing w:after="0"/>
              <w:rPr>
                <w:sz w:val="16"/>
                <w:szCs w:val="16"/>
                <w:color w:val="auto"/>
              </w:rPr>
            </w:pPr>
          </w:p>
        </w:tc>
        <w:tc>
          <w:tcPr>
            <w:tcW w:w="320" w:type="dxa"/>
            <w:vAlign w:val="bottom"/>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180" w:type="dxa"/>
            <w:vAlign w:val="bottom"/>
            <w:vMerge w:val="restart"/>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340" w:type="dxa"/>
            <w:vAlign w:val="bottom"/>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1,008,130</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and agencies</w:t>
            </w:r>
          </w:p>
        </w:tc>
        <w:tc>
          <w:tcPr>
            <w:tcW w:w="30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Political subdivisions of States, Territories and Possessions</w:t>
            </w:r>
          </w:p>
        </w:tc>
        <w:tc>
          <w:tcPr>
            <w:tcW w:w="3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21,897,150</w:t>
            </w:r>
          </w:p>
        </w:tc>
        <w:tc>
          <w:tcPr>
            <w:tcW w:w="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21,897,150</w:t>
            </w:r>
          </w:p>
        </w:tc>
        <w:tc>
          <w:tcPr>
            <w:tcW w:w="0" w:type="dxa"/>
            <w:vAlign w:val="bottom"/>
          </w:tcPr>
          <w:p>
            <w:pPr>
              <w:spacing w:after="0"/>
              <w:rPr>
                <w:sz w:val="1"/>
                <w:szCs w:val="1"/>
                <w:color w:val="auto"/>
              </w:rPr>
            </w:pPr>
          </w:p>
        </w:tc>
      </w:tr>
      <w:tr>
        <w:trPr>
          <w:trHeight w:val="243"/>
        </w:trPr>
        <w:tc>
          <w:tcPr>
            <w:tcW w:w="5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and other bonds industrial and miscellaneous</w:t>
            </w:r>
          </w:p>
        </w:tc>
        <w:tc>
          <w:tcPr>
            <w:tcW w:w="3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120,614,647</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120,614,647</w:t>
            </w:r>
          </w:p>
        </w:tc>
        <w:tc>
          <w:tcPr>
            <w:tcW w:w="0" w:type="dxa"/>
            <w:vAlign w:val="bottom"/>
          </w:tcPr>
          <w:p>
            <w:pPr>
              <w:spacing w:after="0"/>
              <w:rPr>
                <w:sz w:val="1"/>
                <w:szCs w:val="1"/>
                <w:color w:val="auto"/>
              </w:rPr>
            </w:pPr>
          </w:p>
        </w:tc>
      </w:tr>
      <w:tr>
        <w:trPr>
          <w:trHeight w:val="243"/>
        </w:trPr>
        <w:tc>
          <w:tcPr>
            <w:tcW w:w="5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 and other asset backed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109,120,501</w:t>
            </w: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109,120,501</w:t>
            </w:r>
          </w:p>
        </w:tc>
        <w:tc>
          <w:tcPr>
            <w:tcW w:w="0" w:type="dxa"/>
            <w:vAlign w:val="bottom"/>
          </w:tcPr>
          <w:p>
            <w:pPr>
              <w:spacing w:after="0"/>
              <w:rPr>
                <w:sz w:val="1"/>
                <w:szCs w:val="1"/>
                <w:color w:val="auto"/>
              </w:rPr>
            </w:pPr>
          </w:p>
        </w:tc>
      </w:tr>
      <w:tr>
        <w:trPr>
          <w:trHeight w:val="204"/>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fixed maturities</w:t>
            </w:r>
          </w:p>
        </w:tc>
        <w:tc>
          <w:tcPr>
            <w:tcW w:w="3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121,622,777</w:t>
            </w:r>
          </w:p>
        </w:tc>
        <w:tc>
          <w:tcPr>
            <w:tcW w:w="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131,017,651</w:t>
            </w:r>
          </w:p>
        </w:tc>
        <w:tc>
          <w:tcPr>
            <w:tcW w:w="8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252,640,428</w:t>
            </w:r>
          </w:p>
        </w:tc>
        <w:tc>
          <w:tcPr>
            <w:tcW w:w="0" w:type="dxa"/>
            <w:vAlign w:val="bottom"/>
          </w:tcPr>
          <w:p>
            <w:pPr>
              <w:spacing w:after="0"/>
              <w:rPr>
                <w:sz w:val="1"/>
                <w:szCs w:val="1"/>
                <w:color w:val="auto"/>
              </w:rPr>
            </w:pPr>
          </w:p>
        </w:tc>
      </w:tr>
      <w:tr>
        <w:trPr>
          <w:trHeight w:val="33"/>
        </w:trPr>
        <w:tc>
          <w:tcPr>
            <w:tcW w:w="5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Equity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10,409,833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10,409,833</w:t>
            </w:r>
          </w:p>
        </w:tc>
        <w:tc>
          <w:tcPr>
            <w:tcW w:w="0" w:type="dxa"/>
            <w:vAlign w:val="bottom"/>
          </w:tcPr>
          <w:p>
            <w:pPr>
              <w:spacing w:after="0"/>
              <w:rPr>
                <w:sz w:val="1"/>
                <w:szCs w:val="1"/>
                <w:color w:val="auto"/>
              </w:rPr>
            </w:pPr>
          </w:p>
        </w:tc>
      </w:tr>
      <w:tr>
        <w:trPr>
          <w:trHeight w:val="204"/>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investments, at fair value</w:t>
            </w: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132,032,610</w:t>
            </w:r>
          </w:p>
        </w:tc>
        <w:tc>
          <w:tcPr>
            <w:tcW w:w="80" w:type="dxa"/>
            <w:vAlign w:val="bottom"/>
          </w:tcPr>
          <w:p>
            <w:pPr>
              <w:spacing w:after="0"/>
              <w:rPr>
                <w:sz w:val="17"/>
                <w:szCs w:val="17"/>
                <w:color w:val="auto"/>
              </w:rPr>
            </w:pP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131,017,651</w:t>
            </w:r>
          </w:p>
        </w:tc>
        <w:tc>
          <w:tcPr>
            <w:tcW w:w="80" w:type="dxa"/>
            <w:vAlign w:val="bottom"/>
          </w:tcPr>
          <w:p>
            <w:pPr>
              <w:spacing w:after="0"/>
              <w:rPr>
                <w:sz w:val="17"/>
                <w:szCs w:val="17"/>
                <w:color w:val="auto"/>
              </w:rPr>
            </w:pPr>
          </w:p>
        </w:tc>
        <w:tc>
          <w:tcPr>
            <w:tcW w:w="1180" w:type="dxa"/>
            <w:vAlign w:val="bottom"/>
            <w:tcBorders>
              <w:top w:val="single" w:sz="8" w:color="auto"/>
            </w:tcBorders>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263,050,261</w:t>
            </w:r>
          </w:p>
        </w:tc>
        <w:tc>
          <w:tcPr>
            <w:tcW w:w="0" w:type="dxa"/>
            <w:vAlign w:val="bottom"/>
          </w:tcPr>
          <w:p>
            <w:pPr>
              <w:spacing w:after="0"/>
              <w:rPr>
                <w:sz w:val="1"/>
                <w:szCs w:val="1"/>
                <w:color w:val="auto"/>
              </w:rPr>
            </w:pPr>
          </w:p>
        </w:tc>
      </w:tr>
      <w:tr>
        <w:trPr>
          <w:trHeight w:val="33"/>
        </w:trPr>
        <w:tc>
          <w:tcPr>
            <w:tcW w:w="5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5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40" w:type="dxa"/>
            <w:vAlign w:val="bottom"/>
            <w:gridSpan w:val="3"/>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5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5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20" w:type="dxa"/>
            <w:vAlign w:val="bottom"/>
          </w:tcPr>
          <w:p>
            <w:pPr>
              <w:spacing w:after="0"/>
              <w:rPr>
                <w:sz w:val="17"/>
                <w:szCs w:val="17"/>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18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31"/>
        </w:trPr>
        <w:tc>
          <w:tcPr>
            <w:tcW w:w="5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Fixed-maturity securities available-for-sale</w:t>
      </w:r>
    </w:p>
    <w:p>
      <w:pPr>
        <w:sectPr>
          <w:pgSz w:w="11900" w:h="16838" w:orient="portrait"/>
          <w:cols w:equalWidth="0" w:num="1">
            <w:col w:w="11240"/>
          </w:cols>
          <w:pgMar w:left="320" w:top="119" w:right="339" w:bottom="1440" w:gutter="0" w:footer="0" w:header="0"/>
        </w:sectPr>
      </w:pP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U.S. Treasury securities and obligations of U.S. government corporations</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and agencies</w:t>
            </w:r>
          </w:p>
        </w:tc>
        <w:tc>
          <w:tcPr>
            <w:tcW w:w="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132320" cy="2660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tabs>
          <w:tab w:leader="none" w:pos="200" w:val="left"/>
          <w:tab w:leader="none" w:pos="1560" w:val="left"/>
          <w:tab w:leader="none" w:pos="1780" w:val="left"/>
          <w:tab w:leader="none" w:pos="3120" w:val="left"/>
          <w:tab w:leader="none" w:pos="3360" w:val="left"/>
          <w:tab w:leader="none" w:pos="4700" w:val="left"/>
        </w:tabs>
        <w:rPr>
          <w:sz w:val="20"/>
          <w:szCs w:val="20"/>
          <w:color w:val="auto"/>
        </w:rPr>
      </w:pPr>
      <w:r>
        <w:rPr>
          <w:rFonts w:ascii="Times New Roman" w:cs="Times New Roman" w:eastAsia="Times New Roman" w:hAnsi="Times New Roman"/>
          <w:sz w:val="16"/>
          <w:szCs w:val="16"/>
          <w:color w:val="auto"/>
        </w:rPr>
        <w:t>-</w:t>
        <w:tab/>
        <w:t>$</w:t>
      </w:r>
      <w:r>
        <w:rPr>
          <w:sz w:val="20"/>
          <w:szCs w:val="20"/>
          <w:color w:val="auto"/>
        </w:rPr>
        <w:tab/>
      </w:r>
      <w:r>
        <w:rPr>
          <w:rFonts w:ascii="Times New Roman" w:cs="Times New Roman" w:eastAsia="Times New Roman" w:hAnsi="Times New Roman"/>
          <w:sz w:val="16"/>
          <w:szCs w:val="16"/>
          <w:color w:val="auto"/>
        </w:rPr>
        <w:t>-</w:t>
        <w:tab/>
        <w:t>$</w:t>
      </w:r>
      <w:r>
        <w:rPr>
          <w:sz w:val="20"/>
          <w:szCs w:val="20"/>
          <w:color w:val="auto"/>
        </w:rPr>
        <w:tab/>
      </w:r>
      <w:r>
        <w:rPr>
          <w:rFonts w:ascii="Times New Roman" w:cs="Times New Roman" w:eastAsia="Times New Roman" w:hAnsi="Times New Roman"/>
          <w:sz w:val="16"/>
          <w:szCs w:val="16"/>
          <w:color w:val="auto"/>
        </w:rPr>
        <w:t>-</w:t>
        <w:tab/>
        <w:t>$</w:t>
      </w:r>
      <w:r>
        <w:rPr>
          <w:sz w:val="20"/>
          <w:szCs w:val="20"/>
          <w:color w:val="auto"/>
        </w:rPr>
        <w:tab/>
      </w:r>
      <w:r>
        <w:rPr>
          <w:rFonts w:ascii="Times New Roman" w:cs="Times New Roman" w:eastAsia="Times New Roman" w:hAnsi="Times New Roman"/>
          <w:sz w:val="16"/>
          <w:szCs w:val="16"/>
          <w:color w:val="auto"/>
        </w:rPr>
        <w:t>-</w:t>
      </w:r>
    </w:p>
    <w:p>
      <w:pPr>
        <w:spacing w:after="0" w:line="239" w:lineRule="exact"/>
        <w:rPr>
          <w:sz w:val="20"/>
          <w:szCs w:val="20"/>
          <w:color w:val="auto"/>
        </w:rPr>
      </w:pPr>
    </w:p>
    <w:p>
      <w:pPr>
        <w:sectPr>
          <w:pgSz w:w="11900" w:h="16838" w:orient="portrait"/>
          <w:cols w:equalWidth="0" w:num="2">
            <w:col w:w="5680" w:space="720"/>
            <w:col w:w="4840"/>
          </w:cols>
          <w:pgMar w:left="320" w:top="119" w:right="339" w:bottom="1440" w:gutter="0" w:footer="0" w:header="0"/>
          <w:type w:val="continuous"/>
        </w:sectPr>
      </w:pP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Political subdivisions of States, Territories and Possessions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20,873,097</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20,873,097</w:t>
            </w:r>
          </w:p>
        </w:tc>
      </w:tr>
      <w:tr>
        <w:trPr>
          <w:trHeight w:val="243"/>
        </w:trPr>
        <w:tc>
          <w:tcPr>
            <w:tcW w:w="5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2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and other bonds industrial and miscellaneous</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106,792,378</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106,792,378</w:t>
            </w:r>
          </w:p>
        </w:tc>
      </w:tr>
      <w:tr>
        <w:trPr>
          <w:trHeight w:val="243"/>
        </w:trPr>
        <w:tc>
          <w:tcPr>
            <w:tcW w:w="5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 and other asset backed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59,227,963</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59,227,963</w:t>
            </w:r>
          </w:p>
        </w:tc>
      </w:tr>
      <w:tr>
        <w:trPr>
          <w:trHeight w:val="204"/>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fixed maturities</w:t>
            </w: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106,792,378</w:t>
            </w:r>
          </w:p>
        </w:tc>
        <w:tc>
          <w:tcPr>
            <w:tcW w:w="8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80,101,060</w:t>
            </w:r>
          </w:p>
        </w:tc>
        <w:tc>
          <w:tcPr>
            <w:tcW w:w="8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186,893,438</w:t>
            </w:r>
          </w:p>
        </w:tc>
      </w:tr>
      <w:tr>
        <w:trPr>
          <w:trHeight w:val="33"/>
        </w:trPr>
        <w:tc>
          <w:tcPr>
            <w:tcW w:w="5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Equity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10,296,505</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10,296,505</w:t>
            </w:r>
          </w:p>
        </w:tc>
      </w:tr>
      <w:tr>
        <w:trPr>
          <w:trHeight w:val="204"/>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investments, at fair value</w:t>
            </w: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117,088,883</w:t>
            </w:r>
          </w:p>
        </w:tc>
        <w:tc>
          <w:tcPr>
            <w:tcW w:w="80" w:type="dxa"/>
            <w:vAlign w:val="bottom"/>
          </w:tcPr>
          <w:p>
            <w:pPr>
              <w:spacing w:after="0"/>
              <w:rPr>
                <w:sz w:val="17"/>
                <w:szCs w:val="17"/>
                <w:color w:val="auto"/>
              </w:rPr>
            </w:pPr>
          </w:p>
        </w:tc>
        <w:tc>
          <w:tcPr>
            <w:tcW w:w="40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80,101,060</w:t>
            </w:r>
          </w:p>
        </w:tc>
        <w:tc>
          <w:tcPr>
            <w:tcW w:w="80" w:type="dxa"/>
            <w:vAlign w:val="bottom"/>
          </w:tcPr>
          <w:p>
            <w:pPr>
              <w:spacing w:after="0"/>
              <w:rPr>
                <w:sz w:val="17"/>
                <w:szCs w:val="17"/>
                <w:color w:val="auto"/>
              </w:rPr>
            </w:pPr>
          </w:p>
        </w:tc>
        <w:tc>
          <w:tcPr>
            <w:tcW w:w="740" w:type="dxa"/>
            <w:vAlign w:val="bottom"/>
            <w:tcBorders>
              <w:top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197,189,943</w:t>
            </w:r>
          </w:p>
        </w:tc>
      </w:tr>
      <w:tr>
        <w:trPr>
          <w:trHeight w:val="33"/>
        </w:trPr>
        <w:tc>
          <w:tcPr>
            <w:tcW w:w="5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5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the Company’s investment in a hedge fund measured at Net Asset Value (“NAV”) per share as of September 30, 2025 and December 31, 2024.</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measures this investment at fair value on a recurring basis. Fair value using NAV per share is as follows as of the dates indicated: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Category</w:t>
            </w:r>
          </w:p>
        </w:tc>
        <w:tc>
          <w:tcPr>
            <w:tcW w:w="10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50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25"/>
        </w:trPr>
        <w:tc>
          <w:tcPr>
            <w:tcW w:w="808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9"/>
                <w:szCs w:val="19"/>
                <w:color w:val="auto"/>
              </w:rPr>
            </w:pPr>
          </w:p>
        </w:tc>
        <w:tc>
          <w:tcPr>
            <w:tcW w:w="150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Other Investments</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Hedge fund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4,889,148</w:t>
            </w: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4,380,656</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The hedge fund investment is generally redeemable with at least 45 days prior written notice. The hedge fund investment is accounted for as a limited partnership by the Company. Income is earned based upon the Company’s allocated share of the partnership's changes in unrealized gains and losses to its partners, which are recorded in the condensed consolidated statements of income and comprehensive income within net gains on investments.</w:t>
      </w:r>
    </w:p>
    <w:p>
      <w:pPr>
        <w:sectPr>
          <w:pgSz w:w="11900" w:h="16838" w:orient="portrait"/>
          <w:cols w:equalWidth="0" w:num="1">
            <w:col w:w="11240"/>
          </w:cols>
          <w:pgMar w:left="320" w:top="119" w:right="339" w:bottom="1440" w:gutter="0" w:footer="0" w:header="0"/>
          <w:type w:val="continuous"/>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5 - Fair Value of Financial Instruments and Real Estate</w:t>
      </w:r>
    </w:p>
    <w:p>
      <w:pPr>
        <w:spacing w:after="0" w:line="237"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The estimated fair values of the Company’s financial instruments and real estate, including their fair value level as of September 30, 2025 and December 31, 2024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20" w:type="dxa"/>
            <w:vAlign w:val="bottom"/>
            <w:gridSpan w:val="5"/>
          </w:tcPr>
          <w:p>
            <w:pPr>
              <w:ind w:left="7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40" w:type="dxa"/>
            <w:vAlign w:val="bottom"/>
          </w:tcPr>
          <w:p>
            <w:pPr>
              <w:spacing w:after="0"/>
              <w:rPr>
                <w:sz w:val="18"/>
                <w:szCs w:val="18"/>
                <w:color w:val="auto"/>
              </w:rPr>
            </w:pPr>
          </w:p>
        </w:tc>
        <w:tc>
          <w:tcPr>
            <w:tcW w:w="2920" w:type="dxa"/>
            <w:vAlign w:val="bottom"/>
            <w:gridSpan w:val="4"/>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33"/>
        </w:trPr>
        <w:tc>
          <w:tcPr>
            <w:tcW w:w="5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06"/>
        </w:trPr>
        <w:tc>
          <w:tcPr>
            <w:tcW w:w="50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31"/>
        </w:trPr>
        <w:tc>
          <w:tcPr>
            <w:tcW w:w="5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5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2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Fixed-maturity securities, held-to maturity, Level 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6,043,708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5,174,675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7,047,342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5,959,265</w:t>
            </w:r>
          </w:p>
        </w:tc>
      </w:tr>
      <w:tr>
        <w:trPr>
          <w:trHeight w:val="210"/>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Fixed-maturity securities, available-for-sale, Level 1</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121,622,777</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121,622,777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106,792,378</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106,792,378</w:t>
            </w:r>
          </w:p>
        </w:tc>
      </w:tr>
      <w:tr>
        <w:trPr>
          <w:trHeight w:val="33"/>
        </w:trPr>
        <w:tc>
          <w:tcPr>
            <w:tcW w:w="5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Fixed-maturity securities, available-for-sale, Level 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131,017,651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131,017,651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80,101,060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80,101,060</w:t>
            </w:r>
          </w:p>
        </w:tc>
      </w:tr>
      <w:tr>
        <w:trPr>
          <w:trHeight w:val="210"/>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Level 1</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26,772,302</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26,772,302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28,669,441</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28,669,441</w:t>
            </w:r>
          </w:p>
        </w:tc>
      </w:tr>
      <w:tr>
        <w:trPr>
          <w:trHeight w:val="33"/>
        </w:trPr>
        <w:tc>
          <w:tcPr>
            <w:tcW w:w="5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Premiums receivable, net, Level 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18,252,649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18,252,649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21,766,988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21,766,988</w:t>
            </w:r>
          </w:p>
        </w:tc>
      </w:tr>
      <w:tr>
        <w:trPr>
          <w:trHeight w:val="210"/>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Reinsurance receivables, net, Level 3</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60,019,060</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60,019,060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69,322,436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69,322,436</w:t>
            </w:r>
          </w:p>
        </w:tc>
      </w:tr>
      <w:tr>
        <w:trPr>
          <w:trHeight w:val="33"/>
        </w:trPr>
        <w:tc>
          <w:tcPr>
            <w:tcW w:w="5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Real estate, net of accumulated depreciation, Level 3 (1)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460,031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940,000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1,913,390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3,540,000</w:t>
            </w:r>
          </w:p>
        </w:tc>
      </w:tr>
      <w:tr>
        <w:trPr>
          <w:trHeight w:val="210"/>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Reinsurance balances payable, Level 3</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5,690,029</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5,690,029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10,509,121</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10,509,121</w:t>
            </w:r>
          </w:p>
        </w:tc>
      </w:tr>
      <w:tr>
        <w:trPr>
          <w:trHeight w:val="33"/>
        </w:trPr>
        <w:tc>
          <w:tcPr>
            <w:tcW w:w="5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1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- 13.75% Senior Notes due 2026, Level 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5,508,000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5,553,785</w:t>
            </w:r>
          </w:p>
        </w:tc>
      </w:tr>
      <w:tr>
        <w:trPr>
          <w:trHeight w:val="33"/>
        </w:trPr>
        <w:tc>
          <w:tcPr>
            <w:tcW w:w="50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70" w:lineRule="exact"/>
        <w:rPr>
          <w:sz w:val="20"/>
          <w:szCs w:val="20"/>
          <w:color w:val="auto"/>
        </w:rPr>
      </w:pPr>
    </w:p>
    <w:p>
      <w:pPr>
        <w:ind w:right="80" w:firstLine="8"/>
        <w:spacing w:after="0" w:line="280" w:lineRule="auto"/>
        <w:tabs>
          <w:tab w:leader="none" w:pos="229"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2024, real estate consisted of a complex which included an office building, a house and vacant land located in Kingston, New York. In March 2025, the office building and house were sold, leaving the vacant land as the only remaining real estate as of September 30, 2025. See Note 14 - Sale of Real Estate.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Note 6 – Property and Casualty Insurance Activity</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5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Premiums Earned</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5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Premiums written, ceded and earned are as follows:</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1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Direct</w:t>
            </w:r>
          </w:p>
        </w:tc>
        <w:tc>
          <w:tcPr>
            <w:tcW w:w="260" w:type="dxa"/>
            <w:vAlign w:val="bottom"/>
          </w:tcPr>
          <w:p>
            <w:pPr>
              <w:spacing w:after="0"/>
              <w:rPr>
                <w:sz w:val="24"/>
                <w:szCs w:val="24"/>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Assumed</w:t>
            </w:r>
          </w:p>
        </w:tc>
        <w:tc>
          <w:tcPr>
            <w:tcW w:w="300" w:type="dxa"/>
            <w:vAlign w:val="bottom"/>
          </w:tcPr>
          <w:p>
            <w:pPr>
              <w:spacing w:after="0"/>
              <w:rPr>
                <w:sz w:val="24"/>
                <w:szCs w:val="24"/>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Ceded</w:t>
            </w:r>
          </w:p>
        </w:tc>
        <w:tc>
          <w:tcPr>
            <w:tcW w:w="340" w:type="dxa"/>
            <w:vAlign w:val="bottom"/>
          </w:tcPr>
          <w:p>
            <w:pPr>
              <w:spacing w:after="0"/>
              <w:rPr>
                <w:sz w:val="24"/>
                <w:szCs w:val="24"/>
                <w:color w:val="auto"/>
              </w:rPr>
            </w:pPr>
          </w:p>
        </w:tc>
        <w:tc>
          <w:tcPr>
            <w:tcW w:w="114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33"/>
        </w:trPr>
        <w:tc>
          <w:tcPr>
            <w:tcW w:w="5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46"/>
        </w:trPr>
        <w:tc>
          <w:tcPr>
            <w:tcW w:w="50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50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Premiums written</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195,047,268</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(50,178,287)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144,868,981</w:t>
            </w:r>
          </w:p>
        </w:tc>
        <w:tc>
          <w:tcPr>
            <w:tcW w:w="0" w:type="dxa"/>
            <w:vAlign w:val="bottom"/>
          </w:tcPr>
          <w:p>
            <w:pPr>
              <w:spacing w:after="0"/>
              <w:rPr>
                <w:sz w:val="1"/>
                <w:szCs w:val="1"/>
                <w:color w:val="auto"/>
              </w:rPr>
            </w:pPr>
          </w:p>
        </w:tc>
      </w:tr>
      <w:tr>
        <w:trPr>
          <w:trHeight w:val="21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Change in unearned premiums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(5,339,407)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(1,866,198)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(7,205,605)</w:t>
            </w:r>
          </w:p>
        </w:tc>
        <w:tc>
          <w:tcPr>
            <w:tcW w:w="0" w:type="dxa"/>
            <w:vAlign w:val="bottom"/>
          </w:tcPr>
          <w:p>
            <w:pPr>
              <w:spacing w:after="0"/>
              <w:rPr>
                <w:sz w:val="1"/>
                <w:szCs w:val="1"/>
                <w:color w:val="auto"/>
              </w:rPr>
            </w:pPr>
          </w:p>
        </w:tc>
      </w:tr>
      <w:tr>
        <w:trPr>
          <w:trHeight w:val="33"/>
        </w:trPr>
        <w:tc>
          <w:tcPr>
            <w:tcW w:w="502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Premiums earned</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189,707,861</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(52,044,485)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137,663,376</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1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2024</w:t>
            </w:r>
          </w:p>
        </w:tc>
        <w:tc>
          <w:tcPr>
            <w:tcW w:w="3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Premiums written</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169,446,603</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(69,381,336)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100,065,267</w:t>
            </w:r>
          </w:p>
        </w:tc>
        <w:tc>
          <w:tcPr>
            <w:tcW w:w="0" w:type="dxa"/>
            <w:vAlign w:val="bottom"/>
          </w:tcPr>
          <w:p>
            <w:pPr>
              <w:spacing w:after="0"/>
              <w:rPr>
                <w:sz w:val="1"/>
                <w:szCs w:val="1"/>
                <w:color w:val="auto"/>
              </w:rPr>
            </w:pPr>
          </w:p>
        </w:tc>
      </w:tr>
      <w:tr>
        <w:trPr>
          <w:trHeight w:val="33"/>
        </w:trPr>
        <w:tc>
          <w:tcPr>
            <w:tcW w:w="50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unearned premiums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(14,353,242)</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6,818,683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(7,534,559)</w:t>
            </w:r>
          </w:p>
        </w:tc>
        <w:tc>
          <w:tcPr>
            <w:tcW w:w="0" w:type="dxa"/>
            <w:vAlign w:val="bottom"/>
          </w:tcPr>
          <w:p>
            <w:pPr>
              <w:spacing w:after="0"/>
              <w:rPr>
                <w:sz w:val="1"/>
                <w:szCs w:val="1"/>
                <w:color w:val="auto"/>
              </w:rPr>
            </w:pPr>
          </w:p>
        </w:tc>
      </w:tr>
      <w:tr>
        <w:trPr>
          <w:trHeight w:val="204"/>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Premiums earned</w:t>
            </w: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155,093,361</w:t>
            </w:r>
          </w:p>
        </w:tc>
        <w:tc>
          <w:tcPr>
            <w:tcW w:w="80" w:type="dxa"/>
            <w:vAlign w:val="bottom"/>
          </w:tcPr>
          <w:p>
            <w:pPr>
              <w:spacing w:after="0"/>
              <w:rPr>
                <w:sz w:val="17"/>
                <w:szCs w:val="17"/>
                <w:color w:val="auto"/>
              </w:rPr>
            </w:pP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(62,562,653)</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92,530,708</w:t>
            </w:r>
          </w:p>
        </w:tc>
        <w:tc>
          <w:tcPr>
            <w:tcW w:w="0" w:type="dxa"/>
            <w:vAlign w:val="bottom"/>
          </w:tcPr>
          <w:p>
            <w:pPr>
              <w:spacing w:after="0"/>
              <w:rPr>
                <w:sz w:val="1"/>
                <w:szCs w:val="1"/>
                <w:color w:val="auto"/>
              </w:rPr>
            </w:pPr>
          </w:p>
        </w:tc>
      </w:tr>
      <w:tr>
        <w:trPr>
          <w:trHeight w:val="33"/>
        </w:trPr>
        <w:tc>
          <w:tcPr>
            <w:tcW w:w="502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Borders>
              <w:bottom w:val="single" w:sz="8" w:color="CCEEFF"/>
            </w:tcBorders>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60" w:type="dxa"/>
            <w:vAlign w:val="bottom"/>
            <w:shd w:val="clear" w:color="auto" w:fill="CCEEFF"/>
          </w:tcPr>
          <w:p>
            <w:pPr>
              <w:spacing w:after="0"/>
              <w:rPr>
                <w:sz w:val="20"/>
                <w:szCs w:val="20"/>
                <w:color w:val="auto"/>
              </w:rPr>
            </w:pPr>
          </w:p>
        </w:tc>
        <w:tc>
          <w:tcPr>
            <w:tcW w:w="38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2025</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50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Premiums written</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75,809,863</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(44,160,963)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31,648,900</w:t>
            </w:r>
          </w:p>
        </w:tc>
        <w:tc>
          <w:tcPr>
            <w:tcW w:w="0" w:type="dxa"/>
            <w:vAlign w:val="bottom"/>
          </w:tcPr>
          <w:p>
            <w:pPr>
              <w:spacing w:after="0"/>
              <w:rPr>
                <w:sz w:val="1"/>
                <w:szCs w:val="1"/>
                <w:color w:val="auto"/>
              </w:rPr>
            </w:pPr>
          </w:p>
        </w:tc>
      </w:tr>
      <w:tr>
        <w:trPr>
          <w:trHeight w:val="21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Change in unearned premiums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(9,778,044)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26,054,197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16,276,153</w:t>
            </w:r>
          </w:p>
        </w:tc>
        <w:tc>
          <w:tcPr>
            <w:tcW w:w="0" w:type="dxa"/>
            <w:vAlign w:val="bottom"/>
          </w:tcPr>
          <w:p>
            <w:pPr>
              <w:spacing w:after="0"/>
              <w:rPr>
                <w:sz w:val="1"/>
                <w:szCs w:val="1"/>
                <w:color w:val="auto"/>
              </w:rPr>
            </w:pPr>
          </w:p>
        </w:tc>
      </w:tr>
      <w:tr>
        <w:trPr>
          <w:trHeight w:val="33"/>
        </w:trPr>
        <w:tc>
          <w:tcPr>
            <w:tcW w:w="502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Premiums earned</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66,031,819</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(18,106,766)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47,925,053</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1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2024</w:t>
            </w:r>
          </w:p>
        </w:tc>
        <w:tc>
          <w:tcPr>
            <w:tcW w:w="3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Premiums written</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66,626,664</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(46,081,473)</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20,545,191</w:t>
            </w:r>
          </w:p>
        </w:tc>
        <w:tc>
          <w:tcPr>
            <w:tcW w:w="0" w:type="dxa"/>
            <w:vAlign w:val="bottom"/>
          </w:tcPr>
          <w:p>
            <w:pPr>
              <w:spacing w:after="0"/>
              <w:rPr>
                <w:sz w:val="1"/>
                <w:szCs w:val="1"/>
                <w:color w:val="auto"/>
              </w:rPr>
            </w:pPr>
          </w:p>
        </w:tc>
      </w:tr>
      <w:tr>
        <w:trPr>
          <w:trHeight w:val="33"/>
        </w:trPr>
        <w:tc>
          <w:tcPr>
            <w:tcW w:w="50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unearned premiums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(12,540,101)</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25,402,104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12,862,003</w:t>
            </w:r>
          </w:p>
        </w:tc>
        <w:tc>
          <w:tcPr>
            <w:tcW w:w="0" w:type="dxa"/>
            <w:vAlign w:val="bottom"/>
          </w:tcPr>
          <w:p>
            <w:pPr>
              <w:spacing w:after="0"/>
              <w:rPr>
                <w:sz w:val="1"/>
                <w:szCs w:val="1"/>
                <w:color w:val="auto"/>
              </w:rPr>
            </w:pPr>
          </w:p>
        </w:tc>
      </w:tr>
      <w:tr>
        <w:trPr>
          <w:trHeight w:val="204"/>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Premiums earned</w:t>
            </w: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54,086,563</w:t>
            </w:r>
          </w:p>
        </w:tc>
        <w:tc>
          <w:tcPr>
            <w:tcW w:w="80" w:type="dxa"/>
            <w:vAlign w:val="bottom"/>
          </w:tcPr>
          <w:p>
            <w:pPr>
              <w:spacing w:after="0"/>
              <w:rPr>
                <w:sz w:val="17"/>
                <w:szCs w:val="17"/>
                <w:color w:val="auto"/>
              </w:rPr>
            </w:pP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(20,679,369)</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33,407,194</w:t>
            </w:r>
          </w:p>
        </w:tc>
        <w:tc>
          <w:tcPr>
            <w:tcW w:w="0" w:type="dxa"/>
            <w:vAlign w:val="bottom"/>
          </w:tcPr>
          <w:p>
            <w:pPr>
              <w:spacing w:after="0"/>
              <w:rPr>
                <w:sz w:val="1"/>
                <w:szCs w:val="1"/>
                <w:color w:val="auto"/>
              </w:rPr>
            </w:pPr>
          </w:p>
        </w:tc>
      </w:tr>
      <w:tr>
        <w:trPr>
          <w:trHeight w:val="33"/>
        </w:trPr>
        <w:tc>
          <w:tcPr>
            <w:tcW w:w="11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Premium receipts in advance of the policy effective date are recorded as advance premiums. The balance of advance premiums as of September 30, 2025 and December 31, 2024 was $7,711,957 and $3,503,063, respectively.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Loss and Loss Adjustment Expense Reserves</w:t>
            </w: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0"/>
        </w:trPr>
        <w:tc>
          <w:tcPr>
            <w:tcW w:w="2940" w:type="dxa"/>
            <w:vAlign w:val="bottom"/>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433"/>
        </w:trPr>
        <w:tc>
          <w:tcPr>
            <w:tcW w:w="8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following table provides a reconciliation of the beginning and ending balances for unpaid loss and LAE reserves:</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22"/>
        </w:trPr>
        <w:tc>
          <w:tcPr>
            <w:tcW w:w="294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200" w:type="dxa"/>
            <w:vAlign w:val="bottom"/>
          </w:tcPr>
          <w:p>
            <w:pPr>
              <w:spacing w:after="0"/>
              <w:rPr>
                <w:sz w:val="24"/>
                <w:szCs w:val="24"/>
                <w:color w:val="auto"/>
              </w:rPr>
            </w:pPr>
          </w:p>
        </w:tc>
        <w:tc>
          <w:tcPr>
            <w:tcW w:w="134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Year ended</w:t>
            </w:r>
          </w:p>
        </w:tc>
      </w:tr>
      <w:tr>
        <w:trPr>
          <w:trHeight w:val="212"/>
        </w:trPr>
        <w:tc>
          <w:tcPr>
            <w:tcW w:w="294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8"/>
                <w:szCs w:val="18"/>
                <w:color w:val="auto"/>
              </w:rPr>
            </w:pPr>
          </w:p>
        </w:tc>
        <w:tc>
          <w:tcPr>
            <w:tcW w:w="134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30"/>
        </w:trPr>
        <w:tc>
          <w:tcPr>
            <w:tcW w:w="29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33"/>
        </w:trPr>
        <w:tc>
          <w:tcPr>
            <w:tcW w:w="806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294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23"/>
        </w:trPr>
        <w:tc>
          <w:tcPr>
            <w:tcW w:w="8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126,210,428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121,817,862</w:t>
            </w:r>
          </w:p>
        </w:tc>
      </w:tr>
      <w:tr>
        <w:trPr>
          <w:trHeight w:val="210"/>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Less reinsurance recoverables</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(32,322,637)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(33,288,650)</w:t>
            </w:r>
          </w:p>
        </w:tc>
      </w:tr>
      <w:tr>
        <w:trPr>
          <w:trHeight w:val="33"/>
        </w:trPr>
        <w:tc>
          <w:tcPr>
            <w:tcW w:w="806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8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balance, beginning of period</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93,887,791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88,529,212</w:t>
            </w:r>
          </w:p>
        </w:tc>
      </w:tr>
      <w:tr>
        <w:trPr>
          <w:trHeight w:val="236"/>
        </w:trPr>
        <w:tc>
          <w:tcPr>
            <w:tcW w:w="294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r>
      <w:tr>
        <w:trPr>
          <w:trHeight w:val="223"/>
        </w:trPr>
        <w:tc>
          <w:tcPr>
            <w:tcW w:w="8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Incurred related to:</w:t>
            </w:r>
          </w:p>
        </w:tc>
        <w:tc>
          <w:tcPr>
            <w:tcW w:w="10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r>
      <w:tr>
        <w:trPr>
          <w:trHeight w:val="210"/>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Current year</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67,156,741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64,414,543</w:t>
            </w:r>
          </w:p>
        </w:tc>
      </w:tr>
      <w:tr>
        <w:trPr>
          <w:trHeight w:val="33"/>
        </w:trPr>
        <w:tc>
          <w:tcPr>
            <w:tcW w:w="8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8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Prior years</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(822,177)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(1,779,827)</w:t>
            </w:r>
          </w:p>
        </w:tc>
      </w:tr>
      <w:tr>
        <w:trPr>
          <w:trHeight w:val="204"/>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incurred</w:t>
            </w:r>
          </w:p>
        </w:tc>
        <w:tc>
          <w:tcPr>
            <w:tcW w:w="1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66,334,564</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62,634,716</w:t>
            </w:r>
          </w:p>
        </w:tc>
      </w:tr>
      <w:tr>
        <w:trPr>
          <w:trHeight w:val="33"/>
        </w:trPr>
        <w:tc>
          <w:tcPr>
            <w:tcW w:w="806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2940" w:type="dxa"/>
            <w:vAlign w:val="bottom"/>
            <w:shd w:val="clear" w:color="auto" w:fill="CCEEFF"/>
          </w:tcPr>
          <w:p>
            <w:pPr>
              <w:spacing w:after="0"/>
              <w:rPr>
                <w:sz w:val="20"/>
                <w:szCs w:val="20"/>
                <w:color w:val="auto"/>
              </w:rPr>
            </w:pPr>
          </w:p>
        </w:tc>
        <w:tc>
          <w:tcPr>
            <w:tcW w:w="5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10"/>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Paid related to:</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33"/>
        </w:trPr>
        <w:tc>
          <w:tcPr>
            <w:tcW w:w="8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3"/>
        </w:trPr>
        <w:tc>
          <w:tcPr>
            <w:tcW w:w="8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year</w:t>
            </w:r>
          </w:p>
        </w:tc>
        <w:tc>
          <w:tcPr>
            <w:tcW w:w="10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29,492,987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32,956,899</w:t>
            </w:r>
          </w:p>
        </w:tc>
      </w:tr>
      <w:tr>
        <w:trPr>
          <w:trHeight w:val="210"/>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Prior years</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24,351,681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24,319,238</w:t>
            </w:r>
          </w:p>
        </w:tc>
      </w:tr>
      <w:tr>
        <w:trPr>
          <w:trHeight w:val="33"/>
        </w:trPr>
        <w:tc>
          <w:tcPr>
            <w:tcW w:w="806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8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paid</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53,844,668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57,276,137</w:t>
            </w:r>
          </w:p>
        </w:tc>
      </w:tr>
      <w:tr>
        <w:trPr>
          <w:trHeight w:val="237"/>
        </w:trPr>
        <w:tc>
          <w:tcPr>
            <w:tcW w:w="294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r>
      <w:tr>
        <w:trPr>
          <w:trHeight w:val="223"/>
        </w:trPr>
        <w:tc>
          <w:tcPr>
            <w:tcW w:w="8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balance at end of period</w:t>
            </w:r>
          </w:p>
        </w:tc>
        <w:tc>
          <w:tcPr>
            <w:tcW w:w="10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106,377,687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93,887,791</w:t>
            </w:r>
          </w:p>
        </w:tc>
      </w:tr>
      <w:tr>
        <w:trPr>
          <w:trHeight w:val="210"/>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Add reinsurance recoverables</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34,816,559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32,322,637</w:t>
            </w:r>
          </w:p>
        </w:tc>
      </w:tr>
      <w:tr>
        <w:trPr>
          <w:trHeight w:val="33"/>
        </w:trPr>
        <w:tc>
          <w:tcPr>
            <w:tcW w:w="806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2"/>
        </w:trPr>
        <w:tc>
          <w:tcPr>
            <w:tcW w:w="8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end of period</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141,194,246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126,210,428</w:t>
            </w: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Incurred losses and LAE are presented net of reinsurance recoveries under reinsurance contracts of $16,313,217 and $13,744,230 for the nine months ended September 30, 2025 and 2024, respectively.</w:t>
      </w:r>
    </w:p>
    <w:p>
      <w:pPr>
        <w:spacing w:after="0" w:line="16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Prior year incurred loss and LAE development is based upon estimates by line of business and accident year. Prior year loss and LAE development incurred during the nine months ended September 30, 2025 and 2024 was $822,177 favorable and $1,637,038 favorable, respectively. Management, on a quarterly basis, performs a review of open liability claims to assess carried case and incurred but not reported (“IBNR”) reserve levels, giving consideration to both Company and industry trends.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Loss and LAE Reserves</w:t>
      </w:r>
    </w:p>
    <w:p>
      <w:pPr>
        <w:spacing w:after="0" w:line="2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The reserving process for loss and LAE reserves provides for the Company’s best estimate at a particular point in time of the ultimate unpaid cost of all losses and LAE incurred, including settlement and administration of losses, and is based on facts and circumstances then known including losses that have occurred but that have not yet been reported. The process relies on standard actuarial reserving methodologies, judgments relative to estimates of ultimate claim severity and frequency, the length of time before losses will develop to their ultimate level (‘tail’ factors), and the likelihood of changes in the law or other external factors that are beyond the Company’s control. Several actuarial reserving methodologies are used to estimate required loss reserves. The process produces carried reserves set by management based upon the actuaries’ best estimate and is the cumulative combination of the best estimates made by line of business, accident year, and loss and LAE. The amount of loss and LAE reserves for individual reported claims (the “case reserve”) is determined by the claims department and changes over time as new information is gathered. Such information is critical to the review of appropriate IBNR reserves and includes a review of coverage applicability, comparative liability on the part of the insured, injury severity, property damage, replacement cost estimates, and any other information considered pertinent to estimating the exposure presented by the claim. The amounts of loss and LAE reserves for unreported claims and development on known claims (IBNR reserves) are determined using historical information aggregated by line of business as adjusted to current conditions. Since this process produces loss reserves set by management based upon the actuaries’ best estimate, there is no explicit or implicit provision for uncertainty in the carried loss reserves.</w:t>
      </w:r>
    </w:p>
    <w:p>
      <w:pPr>
        <w:spacing w:after="0" w:line="39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Due to the inherent uncertainty associated with the reserving process, the ultimate liability may differ, perhaps substantially, from the original estimate. Such estimates are regularly reviewed and updated and any resulting adjustments are included in the current period’s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results. Reserves are closely monitored and are recomputed periodically using the most recent information on reported claims and a variety of statistical techniques. On at least a quarterly basis, the Company reviews by line of business existing reserves, new claims, changes to existing case reserves, and paid losses with respect to the current and prior periods. Several methods are used, varying by line of business and accident year, in order to select the estimated period-end loss reserves. These methods include the following:</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Paid Loss Development </w:t>
      </w:r>
      <w:r>
        <w:rPr>
          <w:rFonts w:ascii="Times New Roman" w:cs="Times New Roman" w:eastAsia="Times New Roman" w:hAnsi="Times New Roman"/>
          <w:sz w:val="16"/>
          <w:szCs w:val="16"/>
          <w:color w:val="auto"/>
        </w:rPr>
        <w:t>– historical patterns of paid loss development are used to project future paid loss emergence in order to estimate required reserves.</w:t>
      </w:r>
    </w:p>
    <w:p>
      <w:pPr>
        <w:spacing w:after="0" w:line="22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Incurred Loss Development </w:t>
      </w:r>
      <w:r>
        <w:rPr>
          <w:rFonts w:ascii="Times New Roman" w:cs="Times New Roman" w:eastAsia="Times New Roman" w:hAnsi="Times New Roman"/>
          <w:sz w:val="16"/>
          <w:szCs w:val="16"/>
          <w:color w:val="auto"/>
        </w:rPr>
        <w:t>– historical patterns of incurred loss development, reflecting both paid losses and changes in case reserves, are used to project future incurred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loss emergence in order to estimate required reserves.</w:t>
      </w:r>
    </w:p>
    <w:p>
      <w:pPr>
        <w:spacing w:after="0" w:line="17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Paid Bornhuetter-Ferguson (“BF”) </w:t>
      </w:r>
      <w:r>
        <w:rPr>
          <w:rFonts w:ascii="Times New Roman" w:cs="Times New Roman" w:eastAsia="Times New Roman" w:hAnsi="Times New Roman"/>
          <w:sz w:val="16"/>
          <w:szCs w:val="16"/>
          <w:color w:val="auto"/>
        </w:rPr>
        <w:t>– an estimated loss ratio for a particular accident year is determined, and is weighted against the portion of the accident year claims that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have been paid, based on historical paid loss development patterns. The estimate of required reserves assumes that the remaining unpaid portion of a particular accident year will pay out at a rate consistent with the estimated loss ratio for that year. This method can be useful for situations where an unusually high or low amount of paid losses exists at the early stages of the claims development process.</w:t>
      </w:r>
    </w:p>
    <w:p>
      <w:pPr>
        <w:spacing w:after="0" w:line="1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Incurred Bornhuetter-Ferguson (“BF”) </w:t>
      </w:r>
      <w:r>
        <w:rPr>
          <w:rFonts w:ascii="Times New Roman" w:cs="Times New Roman" w:eastAsia="Times New Roman" w:hAnsi="Times New Roman"/>
          <w:sz w:val="16"/>
          <w:szCs w:val="16"/>
          <w:color w:val="auto"/>
        </w:rPr>
        <w:t>- an estimated loss ratio for a particular accident year is determined, and is weighted against the portion of the accident year claims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that have been reported, based on historical incurred loss development patterns. The estimate of required reserves assumes that the remaining unreported portion of a particular accident year will pay out at a rate consistent with the estimated loss ratio for that year. This method can be useful for situations where an unusually high or low amount of reported losses exists at the early stages of the claims development process.</w:t>
      </w:r>
    </w:p>
    <w:p>
      <w:pPr>
        <w:spacing w:after="0" w:line="18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Incremental Claim-Based Methods </w:t>
      </w:r>
      <w:r>
        <w:rPr>
          <w:rFonts w:ascii="Times New Roman" w:cs="Times New Roman" w:eastAsia="Times New Roman" w:hAnsi="Times New Roman"/>
          <w:sz w:val="16"/>
          <w:szCs w:val="16"/>
          <w:color w:val="auto"/>
        </w:rPr>
        <w:t>– historical patterns of incremental incurred losses and paid LAE during various stages of development are reviewed and assumptions are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made regarding average loss and LAE development applied to remaining claims inventory. Such methods more properly reflect changes in the speed of claims closure and the relative adequacy of case reserve levels at various stages of development. These methods may provide a more accurate estimate of IBNR for lines of business with relatively few remaining open claims but for which significant recent settlement activity has occurred.</w:t>
      </w:r>
    </w:p>
    <w:p>
      <w:pPr>
        <w:spacing w:after="0" w:line="1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Frequency / Severity Based Methods </w:t>
      </w:r>
      <w:r>
        <w:rPr>
          <w:rFonts w:ascii="Times New Roman" w:cs="Times New Roman" w:eastAsia="Times New Roman" w:hAnsi="Times New Roman"/>
          <w:sz w:val="16"/>
          <w:szCs w:val="16"/>
          <w:color w:val="auto"/>
        </w:rPr>
        <w:t>– historical measurements of claim frequency and average paid claim size (severity) are reviewed for more mature accident years where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 majority of claims have been reported and/or closed. These historical averages are trended forward to more recent periods in order to estimate ultimate losses for newer accident years that are not yet fully developed. These methods are useful for lines of business with slow and/or volatile loss development patterns, such as liability lines where information pertaining to individual cases may not be completely known for many years. The claim frequency and severity information for older periods can then be used as reasonable measures for developing a range of estimates for more recent immature periods.</w:t>
      </w:r>
    </w:p>
    <w:p>
      <w:pPr>
        <w:spacing w:after="0" w:line="17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Management’s best estimate of required reserves is generally based on an average of the methods above, with appropriate weighting of methods based on the line of business and accident year being projected. In some cases, additional methods or historical data from industry sources are employed to supplement the projections derived from the methods listed above.</w:t>
      </w:r>
    </w:p>
    <w:p>
      <w:pPr>
        <w:spacing w:after="0" w:line="18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Three key assumptions that materially affect the estimate of loss reserves are the loss ratio estimate for the current accident year used in the BF methods, the loss development factor selections used in the loss development methods, and the loss severity assumptions used in the frequency / severity method described above. The loss ratio estimates used in the BF methods are selected after reviewing historical accident year loss ratios adjusted for rate changes, trend, and mix of business. The severity assumptions used in the frequency / severity method are determined by reviewing historical average claim severity for older more mature accident periods, trended forward to less mature accident periods.</w:t>
      </w:r>
    </w:p>
    <w:p>
      <w:pPr>
        <w:spacing w:after="0" w:line="19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Company reviews the carried reserves levels on a regular basis as additional information becomes available and makes adjustments in the periods in which such adjustments are determined to be necessary. The Company is not aware of any claim trends that have emerged or that would cause future adverse development that have not already been contemplated in setting current carried reserves levels.</w:t>
      </w:r>
    </w:p>
    <w:p>
      <w:pPr>
        <w:spacing w:after="0" w:line="19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New York State, lawsuits for negligence are subject to certain limitations and must be commenced within three years from the date of the accident or are otherwise barred. Accordingly, the Company’s exposure to unreported claims (“pure” IBNR) for accident dates of September 30, 2022 and prior is limited, although there remains the possibility of adverse development on reported claims (“case development” IBNR). In certain rare circumstances states have retroactively revised a statute of limitations. The Company is not aware of any such effort that would have a material impact on the Company’s results.</w:t>
      </w:r>
    </w:p>
    <w:p>
      <w:pPr>
        <w:spacing w:after="0" w:line="179"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The following is information about incurred and paid claims development as of September 30, 2025, net of reinsurance, as well as the cumulative reported claims by accident year and total IBNR reserves as of September 30, 2025 included in the net incurred loss and allocated expense amounts. The historical information regarding incurred and paid claims development for the years ended December 31, 2016 to December 31, 2024 is presented as supplementary unaudited information.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All Lines of Business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 except reported claims data)</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gridSpan w:val="2"/>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90"/>
        </w:trPr>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60" w:type="dxa"/>
            <w:vAlign w:val="bottom"/>
            <w:gridSpan w:val="17"/>
          </w:tcPr>
          <w:p>
            <w:pPr>
              <w:ind w:left="140"/>
              <w:spacing w:after="0"/>
              <w:rPr>
                <w:sz w:val="20"/>
                <w:szCs w:val="20"/>
                <w:color w:val="auto"/>
              </w:rPr>
            </w:pPr>
            <w:r>
              <w:rPr>
                <w:rFonts w:ascii="Times New Roman" w:cs="Times New Roman" w:eastAsia="Times New Roman" w:hAnsi="Times New Roman"/>
                <w:sz w:val="14"/>
                <w:szCs w:val="14"/>
                <w:b w:val="1"/>
                <w:bCs w:val="1"/>
                <w:color w:val="auto"/>
              </w:rPr>
              <w:t>Incurred Loss and Allocated Loss Adjustment Expenses, Net of Reinsurance</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0" w:type="dxa"/>
            <w:vAlign w:val="bottom"/>
          </w:tcPr>
          <w:p>
            <w:pPr>
              <w:spacing w:after="0"/>
              <w:rPr>
                <w:sz w:val="1"/>
                <w:szCs w:val="1"/>
                <w:color w:val="auto"/>
              </w:rPr>
            </w:pPr>
          </w:p>
        </w:tc>
      </w:tr>
      <w:tr>
        <w:trPr>
          <w:trHeight w:val="23"/>
        </w:trPr>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Cumulative</w:t>
            </w:r>
          </w:p>
        </w:tc>
        <w:tc>
          <w:tcPr>
            <w:tcW w:w="0" w:type="dxa"/>
            <w:vAlign w:val="bottom"/>
          </w:tcPr>
          <w:p>
            <w:pPr>
              <w:spacing w:after="0"/>
              <w:rPr>
                <w:sz w:val="1"/>
                <w:szCs w:val="1"/>
                <w:color w:val="auto"/>
              </w:rPr>
            </w:pPr>
          </w:p>
        </w:tc>
      </w:tr>
      <w:tr>
        <w:trPr>
          <w:trHeight w:val="162"/>
        </w:trPr>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Nine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62"/>
        </w:trPr>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0" w:type="dxa"/>
            <w:vAlign w:val="bottom"/>
          </w:tcPr>
          <w:p>
            <w:pPr>
              <w:spacing w:after="0"/>
              <w:rPr>
                <w:sz w:val="1"/>
                <w:szCs w:val="1"/>
                <w:color w:val="auto"/>
              </w:rPr>
            </w:pPr>
          </w:p>
        </w:tc>
      </w:tr>
      <w:tr>
        <w:trPr>
          <w:trHeight w:val="162"/>
        </w:trPr>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8"/>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Claims by</w:t>
            </w:r>
          </w:p>
        </w:tc>
        <w:tc>
          <w:tcPr>
            <w:tcW w:w="0" w:type="dxa"/>
            <w:vAlign w:val="bottom"/>
          </w:tcPr>
          <w:p>
            <w:pPr>
              <w:spacing w:after="0"/>
              <w:rPr>
                <w:sz w:val="1"/>
                <w:szCs w:val="1"/>
                <w:color w:val="auto"/>
              </w:rPr>
            </w:pPr>
          </w:p>
        </w:tc>
      </w:tr>
      <w:tr>
        <w:trPr>
          <w:trHeight w:val="136"/>
        </w:trPr>
        <w:tc>
          <w:tcPr>
            <w:tcW w:w="860" w:type="dxa"/>
            <w:vAlign w:val="bottom"/>
            <w:gridSpan w:val="2"/>
            <w:vMerge w:val="restart"/>
          </w:tcPr>
          <w:p>
            <w:pPr>
              <w:jc w:val="center"/>
              <w:ind w:right="80"/>
              <w:spacing w:after="0" w:line="140" w:lineRule="exact"/>
              <w:rPr>
                <w:sz w:val="20"/>
                <w:szCs w:val="20"/>
                <w:color w:val="auto"/>
              </w:rPr>
            </w:pPr>
            <w:r>
              <w:rPr>
                <w:rFonts w:ascii="Times New Roman" w:cs="Times New Roman" w:eastAsia="Times New Roman" w:hAnsi="Times New Roman"/>
                <w:sz w:val="14"/>
                <w:szCs w:val="14"/>
                <w:b w:val="1"/>
                <w:bCs w:val="1"/>
                <w:color w:val="auto"/>
              </w:rPr>
              <w:t>Accident</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0" w:type="dxa"/>
            <w:vAlign w:val="bottom"/>
            <w:gridSpan w:val="8"/>
            <w:vMerge w:val="continue"/>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Accident</w:t>
            </w:r>
          </w:p>
        </w:tc>
        <w:tc>
          <w:tcPr>
            <w:tcW w:w="0" w:type="dxa"/>
            <w:vAlign w:val="bottom"/>
          </w:tcPr>
          <w:p>
            <w:pPr>
              <w:spacing w:after="0"/>
              <w:rPr>
                <w:sz w:val="1"/>
                <w:szCs w:val="1"/>
                <w:color w:val="auto"/>
              </w:rPr>
            </w:pPr>
          </w:p>
        </w:tc>
      </w:tr>
      <w:tr>
        <w:trPr>
          <w:trHeight w:val="23"/>
        </w:trPr>
        <w:tc>
          <w:tcPr>
            <w:tcW w:w="860" w:type="dxa"/>
            <w:vAlign w:val="bottom"/>
            <w:gridSpan w:val="2"/>
            <w:vMerge w:val="continue"/>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60" w:type="dxa"/>
            <w:vAlign w:val="bottom"/>
          </w:tcPr>
          <w:p>
            <w:pPr>
              <w:spacing w:after="0"/>
              <w:rPr>
                <w:sz w:val="16"/>
                <w:szCs w:val="16"/>
                <w:color w:val="auto"/>
              </w:rPr>
            </w:pPr>
          </w:p>
        </w:tc>
        <w:tc>
          <w:tcPr>
            <w:tcW w:w="56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IBNR</w:t>
            </w:r>
          </w:p>
        </w:tc>
        <w:tc>
          <w:tcPr>
            <w:tcW w:w="8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0" w:type="dxa"/>
            <w:vAlign w:val="bottom"/>
          </w:tcPr>
          <w:p>
            <w:pPr>
              <w:spacing w:after="0"/>
              <w:rPr>
                <w:sz w:val="1"/>
                <w:szCs w:val="1"/>
                <w:color w:val="auto"/>
              </w:rPr>
            </w:pPr>
          </w:p>
        </w:tc>
      </w:tr>
      <w:tr>
        <w:trPr>
          <w:trHeight w:val="23"/>
        </w:trPr>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0" w:type="dxa"/>
            <w:vAlign w:val="bottom"/>
            <w:gridSpan w:val="8"/>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(Unaudited 2016 - 2024)</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26,062</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24,941</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24,789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27,887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27,966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27,417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27,352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27,271</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27,247</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27,201</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2,884</w:t>
            </w:r>
          </w:p>
        </w:tc>
        <w:tc>
          <w:tcPr>
            <w:tcW w:w="0" w:type="dxa"/>
            <w:vAlign w:val="bottom"/>
          </w:tcPr>
          <w:p>
            <w:pPr>
              <w:spacing w:after="0"/>
              <w:rPr>
                <w:sz w:val="1"/>
                <w:szCs w:val="1"/>
                <w:color w:val="auto"/>
              </w:rPr>
            </w:pPr>
          </w:p>
        </w:tc>
      </w:tr>
      <w:tr>
        <w:trPr>
          <w:trHeight w:val="193"/>
        </w:trPr>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31,605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32,169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35,304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36,160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36,532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36,502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36,819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37,268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37,267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3,401</w:t>
            </w:r>
          </w:p>
        </w:tc>
        <w:tc>
          <w:tcPr>
            <w:tcW w:w="0" w:type="dxa"/>
            <w:vAlign w:val="bottom"/>
          </w:tcPr>
          <w:p>
            <w:pPr>
              <w:spacing w:after="0"/>
              <w:rPr>
                <w:sz w:val="1"/>
                <w:szCs w:val="1"/>
                <w:color w:val="auto"/>
              </w:rPr>
            </w:pPr>
          </w:p>
        </w:tc>
      </w:tr>
      <w:tr>
        <w:trPr>
          <w:trHeight w:val="23"/>
        </w:trPr>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54,455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56,351</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58,441</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59,404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61,237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61,145</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61,686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61,150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4,238</w:t>
            </w:r>
          </w:p>
        </w:tc>
        <w:tc>
          <w:tcPr>
            <w:tcW w:w="0" w:type="dxa"/>
            <w:vAlign w:val="bottom"/>
          </w:tcPr>
          <w:p>
            <w:pPr>
              <w:spacing w:after="0"/>
              <w:rPr>
                <w:sz w:val="1"/>
                <w:szCs w:val="1"/>
                <w:color w:val="auto"/>
              </w:rPr>
            </w:pPr>
          </w:p>
        </w:tc>
      </w:tr>
      <w:tr>
        <w:trPr>
          <w:trHeight w:val="193"/>
        </w:trPr>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75,092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72,368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71,544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71,964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73,310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74,363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74,937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4,508</w:t>
            </w:r>
          </w:p>
        </w:tc>
        <w:tc>
          <w:tcPr>
            <w:tcW w:w="0" w:type="dxa"/>
            <w:vAlign w:val="bottom"/>
          </w:tcPr>
          <w:p>
            <w:pPr>
              <w:spacing w:after="0"/>
              <w:rPr>
                <w:sz w:val="1"/>
                <w:szCs w:val="1"/>
                <w:color w:val="auto"/>
              </w:rPr>
            </w:pPr>
          </w:p>
        </w:tc>
      </w:tr>
      <w:tr>
        <w:trPr>
          <w:trHeight w:val="23"/>
        </w:trPr>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63,083</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62,833</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63,217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63,562</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64,400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65,655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5,896</w:t>
            </w:r>
          </w:p>
        </w:tc>
        <w:tc>
          <w:tcPr>
            <w:tcW w:w="0" w:type="dxa"/>
            <w:vAlign w:val="bottom"/>
          </w:tcPr>
          <w:p>
            <w:pPr>
              <w:spacing w:after="0"/>
              <w:rPr>
                <w:sz w:val="1"/>
                <w:szCs w:val="1"/>
                <w:color w:val="auto"/>
              </w:rPr>
            </w:pPr>
          </w:p>
        </w:tc>
      </w:tr>
      <w:tr>
        <w:trPr>
          <w:trHeight w:val="193"/>
        </w:trPr>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96,673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96,134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96,771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97,737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5,835</w:t>
            </w:r>
          </w:p>
        </w:tc>
        <w:tc>
          <w:tcPr>
            <w:tcW w:w="0" w:type="dxa"/>
            <w:vAlign w:val="bottom"/>
          </w:tcPr>
          <w:p>
            <w:pPr>
              <w:spacing w:after="0"/>
              <w:rPr>
                <w:sz w:val="1"/>
                <w:szCs w:val="1"/>
                <w:color w:val="auto"/>
              </w:rPr>
            </w:pPr>
          </w:p>
        </w:tc>
      </w:tr>
      <w:tr>
        <w:trPr>
          <w:trHeight w:val="23"/>
        </w:trPr>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79,835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78,759</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78,078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77,307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2,875</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4,719</w:t>
            </w:r>
          </w:p>
        </w:tc>
        <w:tc>
          <w:tcPr>
            <w:tcW w:w="0" w:type="dxa"/>
            <w:vAlign w:val="bottom"/>
          </w:tcPr>
          <w:p>
            <w:pPr>
              <w:spacing w:after="0"/>
              <w:rPr>
                <w:sz w:val="1"/>
                <w:szCs w:val="1"/>
                <w:color w:val="auto"/>
              </w:rPr>
            </w:pPr>
          </w:p>
        </w:tc>
      </w:tr>
      <w:tr>
        <w:trPr>
          <w:trHeight w:val="193"/>
        </w:trPr>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78,978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70,965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6,776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4,097</w:t>
            </w:r>
          </w:p>
        </w:tc>
        <w:tc>
          <w:tcPr>
            <w:tcW w:w="0" w:type="dxa"/>
            <w:vAlign w:val="bottom"/>
          </w:tcPr>
          <w:p>
            <w:pPr>
              <w:spacing w:after="0"/>
              <w:rPr>
                <w:sz w:val="1"/>
                <w:szCs w:val="1"/>
                <w:color w:val="auto"/>
              </w:rPr>
            </w:pPr>
          </w:p>
        </w:tc>
      </w:tr>
      <w:tr>
        <w:trPr>
          <w:trHeight w:val="23"/>
        </w:trPr>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57,860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56,848</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3,133</w:t>
            </w:r>
          </w:p>
        </w:tc>
        <w:tc>
          <w:tcPr>
            <w:tcW w:w="0" w:type="dxa"/>
            <w:vAlign w:val="bottom"/>
          </w:tcPr>
          <w:p>
            <w:pPr>
              <w:spacing w:after="0"/>
              <w:rPr>
                <w:sz w:val="1"/>
                <w:szCs w:val="1"/>
                <w:color w:val="auto"/>
              </w:rPr>
            </w:pPr>
          </w:p>
        </w:tc>
      </w:tr>
      <w:tr>
        <w:trPr>
          <w:trHeight w:val="193"/>
        </w:trPr>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60,990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18,455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1,713</w:t>
            </w:r>
          </w:p>
        </w:tc>
        <w:tc>
          <w:tcPr>
            <w:tcW w:w="0" w:type="dxa"/>
            <w:vAlign w:val="bottom"/>
          </w:tcPr>
          <w:p>
            <w:pPr>
              <w:spacing w:after="0"/>
              <w:rPr>
                <w:sz w:val="1"/>
                <w:szCs w:val="1"/>
                <w:color w:val="auto"/>
              </w:rPr>
            </w:pPr>
          </w:p>
        </w:tc>
      </w:tr>
      <w:tr>
        <w:trPr>
          <w:trHeight w:val="23"/>
        </w:trPr>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630,055</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All Lines of Business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40" w:type="dxa"/>
            <w:vAlign w:val="bottom"/>
            <w:gridSpan w:val="11"/>
          </w:tcPr>
          <w:p>
            <w:pPr>
              <w:jc w:val="right"/>
              <w:spacing w:after="0"/>
              <w:rPr>
                <w:sz w:val="20"/>
                <w:szCs w:val="20"/>
                <w:color w:val="auto"/>
              </w:rPr>
            </w:pPr>
            <w:r>
              <w:rPr>
                <w:rFonts w:ascii="Times New Roman" w:cs="Times New Roman" w:eastAsia="Times New Roman" w:hAnsi="Times New Roman"/>
                <w:sz w:val="14"/>
                <w:szCs w:val="14"/>
                <w:b w:val="1"/>
                <w:bCs w:val="1"/>
                <w:color w:val="auto"/>
              </w:rPr>
              <w:t>Cumulative Paid Loss and Allocated Loss Adjustment Expenses, Net of Reinsurance</w:t>
            </w: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jc w:val="center"/>
              <w:ind w:right="128"/>
              <w:spacing w:after="0" w:line="158" w:lineRule="exact"/>
              <w:rPr>
                <w:sz w:val="20"/>
                <w:szCs w:val="20"/>
                <w:color w:val="auto"/>
              </w:rPr>
            </w:pPr>
            <w:r>
              <w:rPr>
                <w:rFonts w:ascii="Times New Roman" w:cs="Times New Roman" w:eastAsia="Times New Roman" w:hAnsi="Times New Roman"/>
                <w:sz w:val="14"/>
                <w:szCs w:val="14"/>
                <w:b w:val="1"/>
                <w:bCs w:val="1"/>
                <w:color w:val="auto"/>
              </w:rPr>
              <w:t>Nine</w:t>
            </w:r>
          </w:p>
        </w:tc>
        <w:tc>
          <w:tcPr>
            <w:tcW w:w="0" w:type="dxa"/>
            <w:vAlign w:val="bottom"/>
          </w:tcPr>
          <w:p>
            <w:pPr>
              <w:spacing w:after="0"/>
              <w:rPr>
                <w:sz w:val="1"/>
                <w:szCs w:val="1"/>
                <w:color w:val="auto"/>
              </w:rPr>
            </w:pPr>
          </w:p>
        </w:tc>
      </w:tr>
      <w:tr>
        <w:trPr>
          <w:trHeight w:val="175"/>
        </w:trPr>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40" w:type="dxa"/>
            <w:vAlign w:val="bottom"/>
            <w:gridSpan w:val="5"/>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Months Ended</w:t>
            </w:r>
          </w:p>
        </w:tc>
        <w:tc>
          <w:tcPr>
            <w:tcW w:w="0" w:type="dxa"/>
            <w:vAlign w:val="bottom"/>
          </w:tcPr>
          <w:p>
            <w:pPr>
              <w:spacing w:after="0"/>
              <w:rPr>
                <w:sz w:val="1"/>
                <w:szCs w:val="1"/>
                <w:color w:val="auto"/>
              </w:rPr>
            </w:pPr>
          </w:p>
        </w:tc>
      </w:tr>
      <w:tr>
        <w:trPr>
          <w:trHeight w:val="109"/>
        </w:trPr>
        <w:tc>
          <w:tcPr>
            <w:tcW w:w="960" w:type="dxa"/>
            <w:vAlign w:val="bottom"/>
            <w:gridSpan w:val="2"/>
            <w:vMerge w:val="restart"/>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Accident</w:t>
            </w: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40" w:type="dxa"/>
            <w:vAlign w:val="bottom"/>
            <w:gridSpan w:val="5"/>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vMerge w:val="restart"/>
          </w:tcPr>
          <w:p>
            <w:pPr>
              <w:jc w:val="center"/>
              <w:ind w:right="108"/>
              <w:spacing w:after="0" w:line="127"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3"/>
        </w:trPr>
        <w:tc>
          <w:tcPr>
            <w:tcW w:w="960" w:type="dxa"/>
            <w:vAlign w:val="bottom"/>
            <w:gridSpan w:val="2"/>
            <w:vMerge w:val="continue"/>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200" w:type="dxa"/>
            <w:vAlign w:val="bottom"/>
          </w:tcPr>
          <w:p>
            <w:pPr>
              <w:spacing w:after="0"/>
              <w:rPr>
                <w:sz w:val="17"/>
                <w:szCs w:val="17"/>
                <w:color w:val="auto"/>
              </w:rPr>
            </w:pPr>
          </w:p>
        </w:tc>
        <w:tc>
          <w:tcPr>
            <w:tcW w:w="70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Pr>
          <w:p>
            <w:pPr>
              <w:spacing w:after="0"/>
              <w:rPr>
                <w:sz w:val="17"/>
                <w:szCs w:val="17"/>
                <w:color w:val="auto"/>
              </w:rPr>
            </w:pPr>
          </w:p>
        </w:tc>
        <w:tc>
          <w:tcPr>
            <w:tcW w:w="70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Pr>
          <w:p>
            <w:pPr>
              <w:spacing w:after="0"/>
              <w:rPr>
                <w:sz w:val="17"/>
                <w:szCs w:val="17"/>
                <w:color w:val="auto"/>
              </w:rPr>
            </w:pPr>
          </w:p>
        </w:tc>
        <w:tc>
          <w:tcPr>
            <w:tcW w:w="7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Pr>
          <w:p>
            <w:pPr>
              <w:spacing w:after="0"/>
              <w:rPr>
                <w:sz w:val="17"/>
                <w:szCs w:val="17"/>
                <w:color w:val="auto"/>
              </w:rPr>
            </w:pPr>
          </w:p>
        </w:tc>
        <w:tc>
          <w:tcPr>
            <w:tcW w:w="70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17"/>
                <w:szCs w:val="17"/>
                <w:color w:val="auto"/>
              </w:rPr>
            </w:pPr>
          </w:p>
        </w:tc>
        <w:tc>
          <w:tcPr>
            <w:tcW w:w="72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Pr>
          <w:p>
            <w:pPr>
              <w:spacing w:after="0"/>
              <w:rPr>
                <w:sz w:val="17"/>
                <w:szCs w:val="17"/>
                <w:color w:val="auto"/>
              </w:rPr>
            </w:pPr>
          </w:p>
        </w:tc>
        <w:tc>
          <w:tcPr>
            <w:tcW w:w="64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7"/>
                <w:szCs w:val="17"/>
                <w:color w:val="auto"/>
              </w:rPr>
            </w:pPr>
          </w:p>
        </w:tc>
        <w:tc>
          <w:tcPr>
            <w:tcW w:w="70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7"/>
                <w:szCs w:val="17"/>
                <w:color w:val="auto"/>
              </w:rPr>
            </w:pPr>
          </w:p>
        </w:tc>
        <w:tc>
          <w:tcPr>
            <w:tcW w:w="78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7"/>
                <w:szCs w:val="17"/>
                <w:color w:val="auto"/>
              </w:rPr>
            </w:pPr>
          </w:p>
        </w:tc>
        <w:tc>
          <w:tcPr>
            <w:tcW w:w="6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4"/>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0" w:type="dxa"/>
            <w:vAlign w:val="bottom"/>
            <w:gridSpan w:val="4"/>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(Unaudited 2016 - 2024)</w:t>
            </w: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3"/>
        </w:trPr>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2016</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15,364</w:t>
            </w:r>
          </w:p>
        </w:tc>
        <w:tc>
          <w:tcPr>
            <w:tcW w:w="2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19,001</w:t>
            </w:r>
          </w:p>
        </w:tc>
        <w:tc>
          <w:tcPr>
            <w:tcW w:w="26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21,106</w:t>
            </w:r>
          </w:p>
        </w:tc>
        <w:tc>
          <w:tcPr>
            <w:tcW w:w="26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23,974</w:t>
            </w:r>
          </w:p>
        </w:tc>
        <w:tc>
          <w:tcPr>
            <w:tcW w:w="26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25,234</w:t>
            </w:r>
          </w:p>
        </w:tc>
        <w:tc>
          <w:tcPr>
            <w:tcW w:w="32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25,750</w:t>
            </w:r>
          </w:p>
        </w:tc>
        <w:tc>
          <w:tcPr>
            <w:tcW w:w="2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26,382</w:t>
            </w:r>
          </w:p>
        </w:tc>
        <w:tc>
          <w:tcPr>
            <w:tcW w:w="26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26,854</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26,808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26,876</w:t>
            </w:r>
          </w:p>
        </w:tc>
        <w:tc>
          <w:tcPr>
            <w:tcW w:w="0" w:type="dxa"/>
            <w:vAlign w:val="bottom"/>
          </w:tcPr>
          <w:p>
            <w:pPr>
              <w:spacing w:after="0"/>
              <w:rPr>
                <w:sz w:val="1"/>
                <w:szCs w:val="1"/>
                <w:color w:val="auto"/>
              </w:rPr>
            </w:pPr>
          </w:p>
        </w:tc>
      </w:tr>
      <w:tr>
        <w:trPr>
          <w:trHeight w:val="193"/>
        </w:trPr>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16,704</w:t>
            </w:r>
          </w:p>
        </w:tc>
        <w:tc>
          <w:tcPr>
            <w:tcW w:w="26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24,820</w:t>
            </w:r>
          </w:p>
        </w:tc>
        <w:tc>
          <w:tcPr>
            <w:tcW w:w="26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28,693</w:t>
            </w:r>
          </w:p>
        </w:tc>
        <w:tc>
          <w:tcPr>
            <w:tcW w:w="26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31,393</w:t>
            </w:r>
          </w:p>
        </w:tc>
        <w:tc>
          <w:tcPr>
            <w:tcW w:w="32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32,529</w:t>
            </w:r>
          </w:p>
        </w:tc>
        <w:tc>
          <w:tcPr>
            <w:tcW w:w="280" w:type="dxa"/>
            <w:vAlign w:val="bottom"/>
          </w:tcPr>
          <w:p>
            <w:pPr>
              <w:spacing w:after="0"/>
              <w:rPr>
                <w:sz w:val="16"/>
                <w:szCs w:val="16"/>
                <w:color w:val="auto"/>
              </w:rPr>
            </w:pPr>
          </w:p>
        </w:tc>
        <w:tc>
          <w:tcPr>
            <w:tcW w:w="70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33,522</w:t>
            </w:r>
          </w:p>
        </w:tc>
        <w:tc>
          <w:tcPr>
            <w:tcW w:w="260" w:type="dxa"/>
            <w:vAlign w:val="bottom"/>
          </w:tcPr>
          <w:p>
            <w:pPr>
              <w:spacing w:after="0"/>
              <w:rPr>
                <w:sz w:val="16"/>
                <w:szCs w:val="16"/>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34,683</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35,046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35,312</w:t>
            </w:r>
          </w:p>
        </w:tc>
        <w:tc>
          <w:tcPr>
            <w:tcW w:w="0" w:type="dxa"/>
            <w:vAlign w:val="bottom"/>
          </w:tcPr>
          <w:p>
            <w:pPr>
              <w:spacing w:after="0"/>
              <w:rPr>
                <w:sz w:val="1"/>
                <w:szCs w:val="1"/>
                <w:color w:val="auto"/>
              </w:rPr>
            </w:pPr>
          </w:p>
        </w:tc>
      </w:tr>
      <w:tr>
        <w:trPr>
          <w:trHeight w:val="23"/>
        </w:trPr>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2018</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32,383</w:t>
            </w:r>
          </w:p>
        </w:tc>
        <w:tc>
          <w:tcPr>
            <w:tcW w:w="2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44,516</w:t>
            </w:r>
          </w:p>
        </w:tc>
        <w:tc>
          <w:tcPr>
            <w:tcW w:w="2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50,553</w:t>
            </w:r>
          </w:p>
        </w:tc>
        <w:tc>
          <w:tcPr>
            <w:tcW w:w="3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52,025</w:t>
            </w:r>
          </w:p>
        </w:tc>
        <w:tc>
          <w:tcPr>
            <w:tcW w:w="2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54,424</w:t>
            </w:r>
          </w:p>
        </w:tc>
        <w:tc>
          <w:tcPr>
            <w:tcW w:w="2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56,199</w:t>
            </w:r>
          </w:p>
        </w:tc>
        <w:tc>
          <w:tcPr>
            <w:tcW w:w="2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57,185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57,762</w:t>
            </w:r>
          </w:p>
        </w:tc>
        <w:tc>
          <w:tcPr>
            <w:tcW w:w="0" w:type="dxa"/>
            <w:vAlign w:val="bottom"/>
          </w:tcPr>
          <w:p>
            <w:pPr>
              <w:spacing w:after="0"/>
              <w:rPr>
                <w:sz w:val="1"/>
                <w:szCs w:val="1"/>
                <w:color w:val="auto"/>
              </w:rPr>
            </w:pPr>
          </w:p>
        </w:tc>
      </w:tr>
      <w:tr>
        <w:trPr>
          <w:trHeight w:val="193"/>
        </w:trPr>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40,933</w:t>
            </w:r>
          </w:p>
        </w:tc>
        <w:tc>
          <w:tcPr>
            <w:tcW w:w="26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54,897</w:t>
            </w:r>
          </w:p>
        </w:tc>
        <w:tc>
          <w:tcPr>
            <w:tcW w:w="32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58,055</w:t>
            </w:r>
          </w:p>
        </w:tc>
        <w:tc>
          <w:tcPr>
            <w:tcW w:w="280" w:type="dxa"/>
            <w:vAlign w:val="bottom"/>
          </w:tcPr>
          <w:p>
            <w:pPr>
              <w:spacing w:after="0"/>
              <w:rPr>
                <w:sz w:val="16"/>
                <w:szCs w:val="16"/>
                <w:color w:val="auto"/>
              </w:rPr>
            </w:pPr>
          </w:p>
        </w:tc>
        <w:tc>
          <w:tcPr>
            <w:tcW w:w="70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60,374</w:t>
            </w:r>
          </w:p>
        </w:tc>
        <w:tc>
          <w:tcPr>
            <w:tcW w:w="260" w:type="dxa"/>
            <w:vAlign w:val="bottom"/>
          </w:tcPr>
          <w:p>
            <w:pPr>
              <w:spacing w:after="0"/>
              <w:rPr>
                <w:sz w:val="16"/>
                <w:szCs w:val="16"/>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63,932</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66,109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68,418</w:t>
            </w:r>
          </w:p>
        </w:tc>
        <w:tc>
          <w:tcPr>
            <w:tcW w:w="0" w:type="dxa"/>
            <w:vAlign w:val="bottom"/>
          </w:tcPr>
          <w:p>
            <w:pPr>
              <w:spacing w:after="0"/>
              <w:rPr>
                <w:sz w:val="1"/>
                <w:szCs w:val="1"/>
                <w:color w:val="auto"/>
              </w:rPr>
            </w:pPr>
          </w:p>
        </w:tc>
      </w:tr>
      <w:tr>
        <w:trPr>
          <w:trHeight w:val="23"/>
        </w:trPr>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2020</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39,045</w:t>
            </w:r>
          </w:p>
        </w:tc>
        <w:tc>
          <w:tcPr>
            <w:tcW w:w="3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50,719</w:t>
            </w:r>
          </w:p>
        </w:tc>
        <w:tc>
          <w:tcPr>
            <w:tcW w:w="2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53,432</w:t>
            </w:r>
          </w:p>
        </w:tc>
        <w:tc>
          <w:tcPr>
            <w:tcW w:w="2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56,523</w:t>
            </w:r>
          </w:p>
        </w:tc>
        <w:tc>
          <w:tcPr>
            <w:tcW w:w="2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59,220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60,618</w:t>
            </w:r>
          </w:p>
        </w:tc>
        <w:tc>
          <w:tcPr>
            <w:tcW w:w="0" w:type="dxa"/>
            <w:vAlign w:val="bottom"/>
          </w:tcPr>
          <w:p>
            <w:pPr>
              <w:spacing w:after="0"/>
              <w:rPr>
                <w:sz w:val="1"/>
                <w:szCs w:val="1"/>
                <w:color w:val="auto"/>
              </w:rPr>
            </w:pPr>
          </w:p>
        </w:tc>
      </w:tr>
      <w:tr>
        <w:trPr>
          <w:trHeight w:val="193"/>
        </w:trPr>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56,282</w:t>
            </w:r>
          </w:p>
        </w:tc>
        <w:tc>
          <w:tcPr>
            <w:tcW w:w="280" w:type="dxa"/>
            <w:vAlign w:val="bottom"/>
          </w:tcPr>
          <w:p>
            <w:pPr>
              <w:spacing w:after="0"/>
              <w:rPr>
                <w:sz w:val="16"/>
                <w:szCs w:val="16"/>
                <w:color w:val="auto"/>
              </w:rPr>
            </w:pPr>
          </w:p>
        </w:tc>
        <w:tc>
          <w:tcPr>
            <w:tcW w:w="70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77,756</w:t>
            </w:r>
          </w:p>
        </w:tc>
        <w:tc>
          <w:tcPr>
            <w:tcW w:w="260" w:type="dxa"/>
            <w:vAlign w:val="bottom"/>
          </w:tcPr>
          <w:p>
            <w:pPr>
              <w:spacing w:after="0"/>
              <w:rPr>
                <w:sz w:val="16"/>
                <w:szCs w:val="16"/>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82,317</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85,314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89,642</w:t>
            </w:r>
          </w:p>
        </w:tc>
        <w:tc>
          <w:tcPr>
            <w:tcW w:w="0" w:type="dxa"/>
            <w:vAlign w:val="bottom"/>
          </w:tcPr>
          <w:p>
            <w:pPr>
              <w:spacing w:after="0"/>
              <w:rPr>
                <w:sz w:val="1"/>
                <w:szCs w:val="1"/>
                <w:color w:val="auto"/>
              </w:rPr>
            </w:pPr>
          </w:p>
        </w:tc>
      </w:tr>
      <w:tr>
        <w:trPr>
          <w:trHeight w:val="23"/>
        </w:trPr>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45,856</w:t>
            </w:r>
          </w:p>
        </w:tc>
        <w:tc>
          <w:tcPr>
            <w:tcW w:w="2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65,732</w:t>
            </w:r>
          </w:p>
        </w:tc>
        <w:tc>
          <w:tcPr>
            <w:tcW w:w="2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68,170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69,314</w:t>
            </w:r>
          </w:p>
        </w:tc>
        <w:tc>
          <w:tcPr>
            <w:tcW w:w="0" w:type="dxa"/>
            <w:vAlign w:val="bottom"/>
          </w:tcPr>
          <w:p>
            <w:pPr>
              <w:spacing w:after="0"/>
              <w:rPr>
                <w:sz w:val="1"/>
                <w:szCs w:val="1"/>
                <w:color w:val="auto"/>
              </w:rPr>
            </w:pPr>
          </w:p>
        </w:tc>
      </w:tr>
      <w:tr>
        <w:trPr>
          <w:trHeight w:val="193"/>
        </w:trPr>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46,280</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56,952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58,585</w:t>
            </w:r>
          </w:p>
        </w:tc>
        <w:tc>
          <w:tcPr>
            <w:tcW w:w="0" w:type="dxa"/>
            <w:vAlign w:val="bottom"/>
          </w:tcPr>
          <w:p>
            <w:pPr>
              <w:spacing w:after="0"/>
              <w:rPr>
                <w:sz w:val="1"/>
                <w:szCs w:val="1"/>
                <w:color w:val="auto"/>
              </w:rPr>
            </w:pPr>
          </w:p>
        </w:tc>
      </w:tr>
      <w:tr>
        <w:trPr>
          <w:trHeight w:val="23"/>
        </w:trPr>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29,013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39,171</w:t>
            </w:r>
          </w:p>
        </w:tc>
        <w:tc>
          <w:tcPr>
            <w:tcW w:w="0" w:type="dxa"/>
            <w:vAlign w:val="bottom"/>
          </w:tcPr>
          <w:p>
            <w:pPr>
              <w:spacing w:after="0"/>
              <w:rPr>
                <w:sz w:val="1"/>
                <w:szCs w:val="1"/>
                <w:color w:val="auto"/>
              </w:rPr>
            </w:pPr>
          </w:p>
        </w:tc>
      </w:tr>
      <w:tr>
        <w:trPr>
          <w:trHeight w:val="193"/>
        </w:trPr>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26,364</w:t>
            </w:r>
          </w:p>
        </w:tc>
        <w:tc>
          <w:tcPr>
            <w:tcW w:w="0" w:type="dxa"/>
            <w:vAlign w:val="bottom"/>
          </w:tcPr>
          <w:p>
            <w:pPr>
              <w:spacing w:after="0"/>
              <w:rPr>
                <w:sz w:val="1"/>
                <w:szCs w:val="1"/>
                <w:color w:val="auto"/>
              </w:rPr>
            </w:pPr>
          </w:p>
        </w:tc>
      </w:tr>
      <w:tr>
        <w:trPr>
          <w:trHeight w:val="23"/>
        </w:trPr>
        <w:tc>
          <w:tcPr>
            <w:tcW w:w="8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532,062</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5920" w:type="dxa"/>
            <w:vAlign w:val="bottom"/>
            <w:tcBorders>
              <w:bottom w:val="single" w:sz="8" w:color="CCEEFF"/>
            </w:tcBorders>
            <w:gridSpan w:val="1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Net liability for unpaid loss and allocated loss adjustment expenses for the accident years presented</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97,994</w:t>
            </w:r>
          </w:p>
        </w:tc>
        <w:tc>
          <w:tcPr>
            <w:tcW w:w="0" w:type="dxa"/>
            <w:vAlign w:val="bottom"/>
          </w:tcPr>
          <w:p>
            <w:pPr>
              <w:spacing w:after="0"/>
              <w:rPr>
                <w:sz w:val="1"/>
                <w:szCs w:val="1"/>
                <w:color w:val="auto"/>
              </w:rPr>
            </w:pPr>
          </w:p>
        </w:tc>
      </w:tr>
      <w:tr>
        <w:trPr>
          <w:trHeight w:val="193"/>
        </w:trPr>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60" w:type="dxa"/>
            <w:vAlign w:val="bottom"/>
            <w:gridSpan w:val="8"/>
          </w:tcPr>
          <w:p>
            <w:pPr>
              <w:jc w:val="right"/>
              <w:ind w:right="120"/>
              <w:spacing w:after="0"/>
              <w:rPr>
                <w:sz w:val="20"/>
                <w:szCs w:val="20"/>
                <w:color w:val="auto"/>
              </w:rPr>
            </w:pPr>
            <w:r>
              <w:rPr>
                <w:rFonts w:ascii="Times New Roman" w:cs="Times New Roman" w:eastAsia="Times New Roman" w:hAnsi="Times New Roman"/>
                <w:sz w:val="14"/>
                <w:szCs w:val="14"/>
                <w:color w:val="auto"/>
              </w:rPr>
              <w:t>All outstanding liabilities before 2016, net of reinsurance</w:t>
            </w: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1,539</w:t>
            </w:r>
          </w:p>
        </w:tc>
        <w:tc>
          <w:tcPr>
            <w:tcW w:w="0" w:type="dxa"/>
            <w:vAlign w:val="bottom"/>
          </w:tcPr>
          <w:p>
            <w:pPr>
              <w:spacing w:after="0"/>
              <w:rPr>
                <w:sz w:val="1"/>
                <w:szCs w:val="1"/>
                <w:color w:val="auto"/>
              </w:rPr>
            </w:pPr>
          </w:p>
        </w:tc>
      </w:tr>
      <w:tr>
        <w:trPr>
          <w:trHeight w:val="23"/>
        </w:trPr>
        <w:tc>
          <w:tcPr>
            <w:tcW w:w="8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gridSpan w:val="9"/>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8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4700" w:type="dxa"/>
            <w:vAlign w:val="bottom"/>
            <w:tcBorders>
              <w:bottom w:val="single" w:sz="8" w:color="CCEEFF"/>
            </w:tcBorders>
            <w:gridSpan w:val="10"/>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Liabilities for loss and allocated loss adjustment expenses, net of reinsurance</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99,533</w:t>
            </w:r>
          </w:p>
        </w:tc>
        <w:tc>
          <w:tcPr>
            <w:tcW w:w="0" w:type="dxa"/>
            <w:vAlign w:val="bottom"/>
          </w:tcPr>
          <w:p>
            <w:pPr>
              <w:spacing w:after="0"/>
              <w:rPr>
                <w:sz w:val="1"/>
                <w:szCs w:val="1"/>
                <w:color w:val="auto"/>
              </w:rPr>
            </w:pPr>
          </w:p>
        </w:tc>
      </w:tr>
      <w:tr>
        <w:trPr>
          <w:trHeight w:val="20"/>
        </w:trPr>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(Components may not sum to totals due to rounding)</w:t>
      </w:r>
    </w:p>
    <w:p>
      <w:pPr>
        <w:spacing w:after="0" w:line="221"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Reported claim counts are measured on an occurrence or per event basis. A single claim occurrence could result in more than one loss type or claimant; however, the Company counts claims at the occurrence level as a single claim regardless of the number of claimants or claim features involved.</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reconciliation of the net incurred and paid loss development tables to the loss and LAE reserves in the condensed consolidated balance sheet is as follows:</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Reconciliation of the Disclosure of Incurred and Paid Loss Development</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to the Liability for Loss and LAE Reserves</w:t>
      </w:r>
    </w:p>
    <w:p>
      <w:pPr>
        <w:spacing w:after="0" w:line="252" w:lineRule="exact"/>
        <w:rPr>
          <w:sz w:val="20"/>
          <w:szCs w:val="20"/>
          <w:color w:val="auto"/>
        </w:rPr>
      </w:pPr>
    </w:p>
    <w:tbl>
      <w:tblPr>
        <w:tblLayout w:type="fixed"/>
        <w:tblInd w:w="80" w:type="dxa"/>
        <w:tblCellMar>
          <w:top w:w="0" w:type="dxa"/>
          <w:left w:w="0" w:type="dxa"/>
          <w:bottom w:w="0" w:type="dxa"/>
          <w:right w:w="0" w:type="dxa"/>
        </w:tblCellMar>
      </w:tblPr>
      <w:tr>
        <w:trPr>
          <w:trHeight w:val="189"/>
        </w:trPr>
        <w:tc>
          <w:tcPr>
            <w:tcW w:w="96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20" w:type="dxa"/>
            <w:vAlign w:val="bottom"/>
          </w:tcPr>
          <w:p>
            <w:pPr>
              <w:spacing w:after="0"/>
              <w:rPr>
                <w:sz w:val="16"/>
                <w:szCs w:val="16"/>
                <w:color w:val="auto"/>
              </w:rPr>
            </w:pPr>
          </w:p>
        </w:tc>
        <w:tc>
          <w:tcPr>
            <w:tcW w:w="116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225"/>
        </w:trPr>
        <w:tc>
          <w:tcPr>
            <w:tcW w:w="9620" w:type="dxa"/>
            <w:vAlign w:val="bottom"/>
            <w:tcBorders>
              <w:bottom w:val="single" w:sz="8" w:color="CCEEFF"/>
            </w:tcBorders>
            <w:vMerge w:val="continue"/>
          </w:tcPr>
          <w:p>
            <w:pPr>
              <w:spacing w:after="0"/>
              <w:rPr>
                <w:sz w:val="19"/>
                <w:szCs w:val="19"/>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0" w:type="dxa"/>
            <w:vAlign w:val="bottom"/>
          </w:tcPr>
          <w:p>
            <w:pPr>
              <w:spacing w:after="0"/>
              <w:rPr>
                <w:sz w:val="1"/>
                <w:szCs w:val="1"/>
                <w:color w:val="auto"/>
              </w:rPr>
            </w:pPr>
          </w:p>
        </w:tc>
      </w:tr>
      <w:tr>
        <w:trPr>
          <w:trHeight w:val="223"/>
        </w:trPr>
        <w:tc>
          <w:tcPr>
            <w:tcW w:w="9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Liabilities for allocated loss and loss adjustment expenses, net of reinsurance</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99,533</w:t>
            </w:r>
          </w:p>
        </w:tc>
        <w:tc>
          <w:tcPr>
            <w:tcW w:w="0" w:type="dxa"/>
            <w:vAlign w:val="bottom"/>
          </w:tcPr>
          <w:p>
            <w:pPr>
              <w:spacing w:after="0"/>
              <w:rPr>
                <w:sz w:val="1"/>
                <w:szCs w:val="1"/>
                <w:color w:val="auto"/>
              </w:rPr>
            </w:pPr>
          </w:p>
        </w:tc>
      </w:tr>
      <w:tr>
        <w:trPr>
          <w:trHeight w:val="210"/>
        </w:trPr>
        <w:tc>
          <w:tcPr>
            <w:tcW w:w="9620" w:type="dxa"/>
            <w:vAlign w:val="bottom"/>
          </w:tcPr>
          <w:p>
            <w:pPr>
              <w:spacing w:after="0"/>
              <w:rPr>
                <w:sz w:val="20"/>
                <w:szCs w:val="20"/>
                <w:color w:val="auto"/>
              </w:rPr>
            </w:pPr>
            <w:r>
              <w:rPr>
                <w:rFonts w:ascii="Times New Roman" w:cs="Times New Roman" w:eastAsia="Times New Roman" w:hAnsi="Times New Roman"/>
                <w:sz w:val="16"/>
                <w:szCs w:val="16"/>
                <w:color w:val="auto"/>
              </w:rPr>
              <w:t>Total reinsurance recoverable on unpaid losses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34,817</w:t>
            </w:r>
          </w:p>
        </w:tc>
        <w:tc>
          <w:tcPr>
            <w:tcW w:w="0" w:type="dxa"/>
            <w:vAlign w:val="bottom"/>
          </w:tcPr>
          <w:p>
            <w:pPr>
              <w:spacing w:after="0"/>
              <w:rPr>
                <w:sz w:val="1"/>
                <w:szCs w:val="1"/>
                <w:color w:val="auto"/>
              </w:rPr>
            </w:pPr>
          </w:p>
        </w:tc>
      </w:tr>
      <w:tr>
        <w:trPr>
          <w:trHeight w:val="33"/>
        </w:trPr>
        <w:tc>
          <w:tcPr>
            <w:tcW w:w="9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9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Unallocated loss adjustment expenses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6,845</w:t>
            </w:r>
          </w:p>
        </w:tc>
        <w:tc>
          <w:tcPr>
            <w:tcW w:w="0" w:type="dxa"/>
            <w:vAlign w:val="bottom"/>
          </w:tcPr>
          <w:p>
            <w:pPr>
              <w:spacing w:after="0"/>
              <w:rPr>
                <w:sz w:val="1"/>
                <w:szCs w:val="1"/>
                <w:color w:val="auto"/>
              </w:rPr>
            </w:pPr>
          </w:p>
        </w:tc>
      </w:tr>
      <w:tr>
        <w:trPr>
          <w:trHeight w:val="204"/>
        </w:trPr>
        <w:tc>
          <w:tcPr>
            <w:tcW w:w="9620" w:type="dxa"/>
            <w:vAlign w:val="bottom"/>
          </w:tcPr>
          <w:p>
            <w:pPr>
              <w:spacing w:after="0"/>
              <w:rPr>
                <w:sz w:val="20"/>
                <w:szCs w:val="20"/>
                <w:color w:val="auto"/>
              </w:rPr>
            </w:pPr>
            <w:r>
              <w:rPr>
                <w:rFonts w:ascii="Times New Roman" w:cs="Times New Roman" w:eastAsia="Times New Roman" w:hAnsi="Times New Roman"/>
                <w:sz w:val="16"/>
                <w:szCs w:val="16"/>
                <w:color w:val="auto"/>
              </w:rPr>
              <w:t>Total gross liability for loss and LAE reserves</w:t>
            </w: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141,194</w:t>
            </w:r>
          </w:p>
        </w:tc>
        <w:tc>
          <w:tcPr>
            <w:tcW w:w="0" w:type="dxa"/>
            <w:vAlign w:val="bottom"/>
          </w:tcPr>
          <w:p>
            <w:pPr>
              <w:spacing w:after="0"/>
              <w:rPr>
                <w:sz w:val="1"/>
                <w:szCs w:val="1"/>
                <w:color w:val="auto"/>
              </w:rPr>
            </w:pPr>
          </w:p>
        </w:tc>
      </w:tr>
      <w:tr>
        <w:trPr>
          <w:trHeight w:val="33"/>
        </w:trPr>
        <w:tc>
          <w:tcPr>
            <w:tcW w:w="9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9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Reinsurance</w:t>
      </w:r>
    </w:p>
    <w:p>
      <w:pPr>
        <w:spacing w:after="0" w:line="22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On January 1, 2024, the Company entered into a 27% quota share reinsurance treaty for its personal lines business, which primarily consisted of homeowners’ and dwelling fire policies covering the period from January 1, 2024 through January 1, 2025 (“2024/2025 Treaty”). Upon the expiration of the 2024/2025 Treaty on January 1, 2025, the Company entered into a new 16% quota share reinsurance treaty for its personal lines business, covering the period from January 1, 2025 through January 1, 2026 (“2025/2026 Treaty”).</w:t>
      </w:r>
    </w:p>
    <w:p>
      <w:pPr>
        <w:spacing w:after="0" w:line="19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The Company’s excess of loss and catastrophe reinsurance treaties expired on June 30, 2025 and the Company entered into new excess of loss and catastrophe reinsurance treaties effective July 1, 2025. The new catastrophe reinsurance treaties include the issuance of a $125,000,000 catastrophe bond ("Series 2025-1 Notes"). The Series 2025-1 Notes were priced at 4.5% and issued through a Bermuda-registered special purpose insurer, 1886 Re Ltd., providing KICO with $125,000,000 of collateralized reinsurance protection. The Series 2025-1 Notes offer multi-year protection against named storm events across New York, New Jersey, Connecticut, Massachusetts and Rhode Island on an indemnity trigger and per-occurrence basis. The Series 2025-1 Notes, which were structured and placed by AON Securities LLC, cover four annual risk periods from July 1, 2025, through June 30, 2029.</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Effective January 1, 2024, the Company renewed an underlying excess of loss reinsurance treaty (“Underlying XOL Treaty”) covering the period from January 1, 2024 through January 1, 2025. The treaty provided 50% reinsurance coverage for losses of $400,000 in excess of $600,000. Losses from named storms are excluded from the treaty. Effective January 1, 2025, the Underlying XOL Treaty was renewed covering the period from January 1, 2025 through June 30, 2025. Effective July 1, 2025, the Underlying XOL Treaty was renewed along with the Company's excess of loss reinsurance treaty covering the period from July 1, 2025 through June 30, 2026. Combined, the renewed treaties provide 50% reinsurance coverage for losses of $250,000 in excess of $750,000, and 100% reinsurance coverage for losses in excess of $1,000,000 up to $9,000,000 together with facultative coverage. For the period October 1, 2024 through April 30, 2025, the Company purchased catastrophe reinsurance which provides coverage for winter storm losses to the extent of 71% of $4,500,000 in excess of $5,500,000. For the period October 15, 2025 through April 30, 2026, the Company purchased catastrophe reinsurance which provides coverage for winter storm losses to the extent of 90% of $5,000,000 in excess of $5,000,000. Material terms for reinsurance treaties in effect for the treaty years shown below are as follows: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Treaty Period</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60" w:type="dxa"/>
            <w:vAlign w:val="bottom"/>
            <w:gridSpan w:val="5"/>
          </w:tcPr>
          <w:p>
            <w:pPr>
              <w:ind w:left="660"/>
              <w:spacing w:after="0"/>
              <w:rPr>
                <w:sz w:val="20"/>
                <w:szCs w:val="20"/>
                <w:color w:val="auto"/>
              </w:rPr>
            </w:pPr>
            <w:r>
              <w:rPr>
                <w:rFonts w:ascii="Times New Roman" w:cs="Times New Roman" w:eastAsia="Times New Roman" w:hAnsi="Times New Roman"/>
                <w:sz w:val="16"/>
                <w:szCs w:val="16"/>
                <w:b w:val="1"/>
                <w:bCs w:val="1"/>
                <w:color w:val="auto"/>
              </w:rPr>
              <w:t>2025/2026 Treaty</w:t>
            </w:r>
          </w:p>
        </w:tc>
        <w:tc>
          <w:tcPr>
            <w:tcW w:w="120" w:type="dxa"/>
            <w:vAlign w:val="bottom"/>
          </w:tcPr>
          <w:p>
            <w:pPr>
              <w:spacing w:after="0"/>
              <w:rPr>
                <w:sz w:val="17"/>
                <w:szCs w:val="17"/>
                <w:color w:val="auto"/>
              </w:rPr>
            </w:pPr>
          </w:p>
        </w:tc>
        <w:tc>
          <w:tcPr>
            <w:tcW w:w="2800" w:type="dxa"/>
            <w:vAlign w:val="bottom"/>
            <w:gridSpan w:val="5"/>
          </w:tcPr>
          <w:p>
            <w:pPr>
              <w:ind w:left="700"/>
              <w:spacing w:after="0"/>
              <w:rPr>
                <w:sz w:val="20"/>
                <w:szCs w:val="20"/>
                <w:color w:val="auto"/>
              </w:rPr>
            </w:pPr>
            <w:r>
              <w:rPr>
                <w:rFonts w:ascii="Times New Roman" w:cs="Times New Roman" w:eastAsia="Times New Roman" w:hAnsi="Times New Roman"/>
                <w:sz w:val="16"/>
                <w:szCs w:val="16"/>
                <w:b w:val="1"/>
                <w:bCs w:val="1"/>
                <w:color w:val="auto"/>
              </w:rPr>
              <w:t>2024/2025 Treaty</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January 2,</w:t>
            </w:r>
          </w:p>
        </w:tc>
        <w:tc>
          <w:tcPr>
            <w:tcW w:w="1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July 1,</w:t>
            </w:r>
          </w:p>
        </w:tc>
        <w:tc>
          <w:tcPr>
            <w:tcW w:w="1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8"/>
              </w:rPr>
              <w:t>January 2,</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July 1,</w:t>
            </w:r>
          </w:p>
        </w:tc>
        <w:tc>
          <w:tcPr>
            <w:tcW w:w="1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January 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ind w:right="359"/>
              <w:spacing w:after="0" w:line="175" w:lineRule="exact"/>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center"/>
              <w:ind w:right="99"/>
              <w:spacing w:after="0" w:line="175" w:lineRule="exact"/>
              <w:rPr>
                <w:sz w:val="20"/>
                <w:szCs w:val="20"/>
                <w:color w:val="auto"/>
              </w:rPr>
            </w:pPr>
            <w:r>
              <w:rPr>
                <w:rFonts w:ascii="Times New Roman" w:cs="Times New Roman" w:eastAsia="Times New Roman" w:hAnsi="Times New Roman"/>
                <w:sz w:val="16"/>
                <w:szCs w:val="16"/>
                <w:b w:val="1"/>
                <w:bCs w:val="1"/>
                <w:color w:val="auto"/>
                <w:w w:val="99"/>
              </w:rPr>
              <w:t>2025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center"/>
              <w:ind w:right="59"/>
              <w:spacing w:after="0" w:line="175" w:lineRule="exact"/>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center"/>
              <w:ind w:right="99"/>
              <w:spacing w:after="0" w:line="175" w:lineRule="exact"/>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center"/>
              <w:ind w:right="59"/>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to</w:t>
            </w:r>
          </w:p>
        </w:tc>
        <w:tc>
          <w:tcPr>
            <w:tcW w:w="14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to</w:t>
            </w:r>
          </w:p>
        </w:tc>
        <w:tc>
          <w:tcPr>
            <w:tcW w:w="14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89"/>
              </w:rPr>
              <w:t>to</w:t>
            </w:r>
          </w:p>
        </w:tc>
        <w:tc>
          <w:tcPr>
            <w:tcW w:w="12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to</w:t>
            </w:r>
          </w:p>
        </w:tc>
        <w:tc>
          <w:tcPr>
            <w:tcW w:w="14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to</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Line of Business</w:t>
            </w:r>
          </w:p>
        </w:tc>
        <w:tc>
          <w:tcPr>
            <w:tcW w:w="8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January 1,</w:t>
            </w:r>
          </w:p>
        </w:tc>
        <w:tc>
          <w:tcPr>
            <w:tcW w:w="14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12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January 1,</w:t>
            </w:r>
          </w:p>
        </w:tc>
        <w:tc>
          <w:tcPr>
            <w:tcW w:w="14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25"/>
        </w:trPr>
        <w:tc>
          <w:tcPr>
            <w:tcW w:w="20" w:type="dxa"/>
            <w:vAlign w:val="bottom"/>
            <w:tcBorders>
              <w:bottom w:val="single" w:sz="8" w:color="auto"/>
            </w:tcBorders>
          </w:tcPr>
          <w:p>
            <w:pPr>
              <w:spacing w:after="0"/>
              <w:rPr>
                <w:sz w:val="19"/>
                <w:szCs w:val="19"/>
                <w:color w:val="auto"/>
              </w:rPr>
            </w:pPr>
          </w:p>
        </w:tc>
        <w:tc>
          <w:tcPr>
            <w:tcW w:w="4020" w:type="dxa"/>
            <w:vAlign w:val="bottom"/>
            <w:tcBorders>
              <w:bottom w:val="single" w:sz="8" w:color="auto"/>
            </w:tcBorders>
            <w:gridSpan w:val="3"/>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1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Personal Lines:</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41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Homeowners, dwelling fire and canine legal liability</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0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Quota share treaty:</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4100" w:type="dxa"/>
            <w:vAlign w:val="bottom"/>
            <w:tcBorders>
              <w:bottom w:val="single" w:sz="8" w:color="CCEEFF"/>
            </w:tcBorders>
            <w:gridSpan w:val="4"/>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Percent ceded (6)</w:t>
            </w:r>
          </w:p>
        </w:tc>
        <w:tc>
          <w:tcPr>
            <w:tcW w:w="1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Risk retained on initial</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4100" w:type="dxa"/>
            <w:vAlign w:val="bottom"/>
            <w:tcBorders>
              <w:bottom w:val="single" w:sz="8" w:color="CCEEFF"/>
            </w:tcBorders>
            <w:gridSpan w:val="4"/>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$1,000,000 of losses (4) (5) (6)</w:t>
            </w:r>
          </w:p>
        </w:tc>
        <w:tc>
          <w:tcPr>
            <w:tcW w:w="1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840,000</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840,000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730,000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730,000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Losses per occurrence</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4100" w:type="dxa"/>
            <w:vAlign w:val="bottom"/>
            <w:tcBorders>
              <w:bottom w:val="single" w:sz="8" w:color="CCEEFF"/>
            </w:tcBorders>
            <w:gridSpan w:val="4"/>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subject to quota share</w:t>
            </w:r>
          </w:p>
        </w:tc>
        <w:tc>
          <w:tcPr>
            <w:tcW w:w="1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reinsurance coverage</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1,000,000</w:t>
            </w:r>
          </w:p>
        </w:tc>
        <w:tc>
          <w:tcPr>
            <w:tcW w:w="8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1,000,000</w:t>
            </w:r>
          </w:p>
        </w:tc>
        <w:tc>
          <w:tcPr>
            <w:tcW w:w="1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1,000,000</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4100" w:type="dxa"/>
            <w:vAlign w:val="bottom"/>
            <w:tcBorders>
              <w:bottom w:val="single" w:sz="8" w:color="CCEEFF"/>
            </w:tcBorders>
            <w:gridSpan w:val="4"/>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Expiration date</w:t>
            </w:r>
          </w:p>
        </w:tc>
        <w:tc>
          <w:tcPr>
            <w:tcW w:w="1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January 1, 2026</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rPr>
              <w:t>January 1, 2026</w:t>
            </w:r>
          </w:p>
        </w:tc>
        <w:tc>
          <w:tcPr>
            <w:tcW w:w="1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January 1, 2025</w:t>
            </w:r>
          </w:p>
        </w:tc>
        <w:tc>
          <w:tcPr>
            <w:tcW w:w="1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rPr>
              <w:t>January 1, 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Excess of loss coverage and</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4100" w:type="dxa"/>
            <w:vAlign w:val="bottom"/>
            <w:tcBorders>
              <w:bottom w:val="single" w:sz="8" w:color="CCEEFF"/>
            </w:tcBorders>
            <w:gridSpan w:val="4"/>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facultative facility</w:t>
            </w:r>
          </w:p>
        </w:tc>
        <w:tc>
          <w:tcPr>
            <w:tcW w:w="1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coverage (1) (4) (5)</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8,250,000</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8,250,000</w:t>
            </w:r>
          </w:p>
        </w:tc>
        <w:tc>
          <w:tcPr>
            <w:tcW w:w="8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8,400,000</w:t>
            </w:r>
          </w:p>
        </w:tc>
        <w:tc>
          <w:tcPr>
            <w:tcW w:w="1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8,400,000</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8,400,000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23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 excess of</w:t>
            </w:r>
          </w:p>
        </w:tc>
        <w:tc>
          <w:tcPr>
            <w:tcW w:w="14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 excess of</w:t>
            </w:r>
          </w:p>
        </w:tc>
        <w:tc>
          <w:tcPr>
            <w:tcW w:w="14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 excess of</w:t>
            </w:r>
          </w:p>
        </w:tc>
        <w:tc>
          <w:tcPr>
            <w:tcW w:w="14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in excess of</w:t>
            </w:r>
          </w:p>
        </w:tc>
        <w:tc>
          <w:tcPr>
            <w:tcW w:w="14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 excess of</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750,000</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750,000</w:t>
            </w:r>
          </w:p>
        </w:tc>
        <w:tc>
          <w:tcPr>
            <w:tcW w:w="8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600,000</w:t>
            </w:r>
          </w:p>
        </w:tc>
        <w:tc>
          <w:tcPr>
            <w:tcW w:w="1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600,000</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4100" w:type="dxa"/>
            <w:vAlign w:val="bottom"/>
            <w:tcBorders>
              <w:bottom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reinsurance coverage</w:t>
            </w:r>
          </w:p>
        </w:tc>
        <w:tc>
          <w:tcPr>
            <w:tcW w:w="1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per occurrence (4) (5)</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8,125,000</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8,285,000</w:t>
            </w:r>
          </w:p>
        </w:tc>
        <w:tc>
          <w:tcPr>
            <w:tcW w:w="8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8,360,000</w:t>
            </w:r>
          </w:p>
        </w:tc>
        <w:tc>
          <w:tcPr>
            <w:tcW w:w="1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8,470,000</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8,470,000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4100" w:type="dxa"/>
            <w:vAlign w:val="bottom"/>
            <w:tcBorders>
              <w:bottom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Losses per occurrence</w:t>
            </w:r>
          </w:p>
        </w:tc>
        <w:tc>
          <w:tcPr>
            <w:tcW w:w="1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subject to reinsurance</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4100" w:type="dxa"/>
            <w:vAlign w:val="bottom"/>
            <w:tcBorders>
              <w:bottom w:val="single" w:sz="8" w:color="CCEEFF"/>
            </w:tcBorders>
            <w:gridSpan w:val="4"/>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coverage (5)</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9,000,000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9,000,000</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9,000,000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9,000,000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9,000,000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Expiration date</w:t>
            </w:r>
          </w:p>
        </w:tc>
        <w:tc>
          <w:tcPr>
            <w:tcW w:w="160" w:type="dxa"/>
            <w:vAlign w:val="bottom"/>
          </w:tcPr>
          <w:p>
            <w:pPr>
              <w:spacing w:after="0"/>
              <w:rPr>
                <w:sz w:val="18"/>
                <w:szCs w:val="18"/>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June 30, 2026</w:t>
            </w:r>
          </w:p>
        </w:tc>
        <w:tc>
          <w:tcPr>
            <w:tcW w:w="140" w:type="dxa"/>
            <w:vAlign w:val="bottom"/>
          </w:tcPr>
          <w:p>
            <w:pPr>
              <w:spacing w:after="0"/>
              <w:rPr>
                <w:sz w:val="18"/>
                <w:szCs w:val="18"/>
                <w:color w:val="auto"/>
              </w:rPr>
            </w:pPr>
          </w:p>
        </w:tc>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June 30, 2026</w:t>
            </w:r>
          </w:p>
        </w:tc>
        <w:tc>
          <w:tcPr>
            <w:tcW w:w="140" w:type="dxa"/>
            <w:vAlign w:val="bottom"/>
          </w:tcPr>
          <w:p>
            <w:pPr>
              <w:spacing w:after="0"/>
              <w:rPr>
                <w:sz w:val="18"/>
                <w:szCs w:val="18"/>
                <w:color w:val="auto"/>
              </w:rPr>
            </w:pPr>
          </w:p>
        </w:tc>
        <w:tc>
          <w:tcPr>
            <w:tcW w:w="132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June 30, 2025</w:t>
            </w:r>
          </w:p>
        </w:tc>
        <w:tc>
          <w:tcPr>
            <w:tcW w:w="120" w:type="dxa"/>
            <w:vAlign w:val="bottom"/>
          </w:tcPr>
          <w:p>
            <w:pPr>
              <w:spacing w:after="0"/>
              <w:rPr>
                <w:sz w:val="18"/>
                <w:szCs w:val="18"/>
                <w:color w:val="auto"/>
              </w:rPr>
            </w:pPr>
          </w:p>
        </w:tc>
        <w:tc>
          <w:tcPr>
            <w:tcW w:w="132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June 30, 2025</w:t>
            </w:r>
          </w:p>
        </w:tc>
        <w:tc>
          <w:tcPr>
            <w:tcW w:w="140" w:type="dxa"/>
            <w:vAlign w:val="bottom"/>
          </w:tcPr>
          <w:p>
            <w:pPr>
              <w:spacing w:after="0"/>
              <w:rPr>
                <w:sz w:val="18"/>
                <w:szCs w:val="18"/>
                <w:color w:val="auto"/>
              </w:rPr>
            </w:pPr>
          </w:p>
        </w:tc>
        <w:tc>
          <w:tcPr>
            <w:tcW w:w="134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June 30, 2024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3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100" w:type="dxa"/>
            <w:vAlign w:val="bottom"/>
            <w:gridSpan w:val="4"/>
          </w:tcPr>
          <w:p>
            <w:pPr>
              <w:spacing w:after="0" w:line="175" w:lineRule="exact"/>
              <w:rPr>
                <w:sz w:val="20"/>
                <w:szCs w:val="20"/>
                <w:color w:val="auto"/>
              </w:rPr>
            </w:pPr>
            <w:r>
              <w:rPr>
                <w:rFonts w:ascii="Times New Roman" w:cs="Times New Roman" w:eastAsia="Times New Roman" w:hAnsi="Times New Roman"/>
                <w:sz w:val="16"/>
                <w:szCs w:val="16"/>
                <w:color w:val="auto"/>
              </w:rPr>
              <w:t>Catastrophe Reinsurance:</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2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4100" w:type="dxa"/>
            <w:vAlign w:val="bottom"/>
            <w:tcBorders>
              <w:bottom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Initial loss subject to personal</w:t>
            </w:r>
          </w:p>
        </w:tc>
        <w:tc>
          <w:tcPr>
            <w:tcW w:w="1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lines quota share treaty (5)</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10,000,000</w:t>
            </w:r>
          </w:p>
        </w:tc>
        <w:tc>
          <w:tcPr>
            <w:tcW w:w="8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10,000,000</w:t>
            </w:r>
          </w:p>
        </w:tc>
        <w:tc>
          <w:tcPr>
            <w:tcW w:w="1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10,000,000</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4100" w:type="dxa"/>
            <w:vAlign w:val="bottom"/>
            <w:tcBorders>
              <w:bottom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Risk retained per catastrophe</w:t>
            </w:r>
          </w:p>
        </w:tc>
        <w:tc>
          <w:tcPr>
            <w:tcW w:w="1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occurrence (5) (6) (7) (8)</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6,000,000</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5,000,000</w:t>
            </w:r>
          </w:p>
        </w:tc>
        <w:tc>
          <w:tcPr>
            <w:tcW w:w="8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4,250,000</w:t>
            </w:r>
          </w:p>
        </w:tc>
        <w:tc>
          <w:tcPr>
            <w:tcW w:w="1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4,750,000</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4100" w:type="dxa"/>
            <w:vAlign w:val="bottom"/>
            <w:tcBorders>
              <w:bottom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Catastrophe loss</w:t>
            </w:r>
          </w:p>
        </w:tc>
        <w:tc>
          <w:tcPr>
            <w:tcW w:w="1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coverage (2) (5) (8)</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434,000,000</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435,000,000</w:t>
            </w:r>
          </w:p>
        </w:tc>
        <w:tc>
          <w:tcPr>
            <w:tcW w:w="8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275,000,000</w:t>
            </w:r>
          </w:p>
        </w:tc>
        <w:tc>
          <w:tcPr>
            <w:tcW w:w="1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275,000,000</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315,000,000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3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Reinstatement premium</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100" w:type="dxa"/>
            <w:vAlign w:val="bottom"/>
            <w:gridSpan w:val="4"/>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protection (3)</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Yes</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6"/>
              </w:rPr>
              <w:t>Yes</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w w:val="96"/>
              </w:rPr>
              <w:t>Yes</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w w:val="96"/>
              </w:rPr>
              <w:t>Yes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w w:val="88"/>
              </w:rPr>
              <w:t>Yes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3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040" w:right="120" w:hanging="1222"/>
        <w:spacing w:after="0" w:line="260" w:lineRule="auto"/>
        <w:tabs>
          <w:tab w:leader="none" w:pos="20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personal lines, includes the addition of an automatic facultative facility allowing KICO to obtain homeowners single risk coverage up to $9,000,000 in total insured value, which covers direct losses from $3,500,000 to $9,000,000 through June 30, 2025.</w:t>
      </w:r>
    </w:p>
    <w:p>
      <w:pPr>
        <w:ind w:left="2040" w:right="140" w:hanging="1222"/>
        <w:spacing w:after="0" w:line="254" w:lineRule="auto"/>
        <w:tabs>
          <w:tab w:leader="none" w:pos="20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Catastrophe coverage is limited on an annual basis to two times the per occurrence amounts, except for one occurrence on 80% of the first layer of $5,000,000 in excess of $5,000,000, and one occurrence on 52% of the top layer of $240,000,000 in excess of $200,000,000, which is covered under the catastrophe bond. Duration of 168 consecutive hours for a catastrophe occurrence from windstorm, hail, tornado, hurricane and cyclone.</w:t>
      </w:r>
    </w:p>
    <w:p>
      <w:pPr>
        <w:jc w:val="both"/>
        <w:ind w:left="2040" w:right="140" w:hanging="1222"/>
        <w:spacing w:after="0" w:line="253" w:lineRule="auto"/>
        <w:tabs>
          <w:tab w:leader="none" w:pos="20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period July 1, 2024 through June 30, 2025 (expiration date of the catastrophe reinsurance treaty), reinstatement premium protection for $50,000,000 of catastrophe coverage in excess of $10,000,000. For the period July 1, 2025 through June 30, 2026 (expiration date of the catastrophe reinsurance treaty), reinstatement premium protection for $50,000,000 of catastrophe coverage in excess of $10,000,000.</w:t>
      </w:r>
    </w:p>
    <w:p>
      <w:pPr>
        <w:spacing w:after="0" w:line="1" w:lineRule="exact"/>
        <w:rPr>
          <w:rFonts w:ascii="Times New Roman" w:cs="Times New Roman" w:eastAsia="Times New Roman" w:hAnsi="Times New Roman"/>
          <w:sz w:val="16"/>
          <w:szCs w:val="16"/>
          <w:color w:val="auto"/>
        </w:rPr>
      </w:pPr>
    </w:p>
    <w:p>
      <w:pPr>
        <w:ind w:left="2040" w:right="20" w:hanging="1222"/>
        <w:spacing w:after="0" w:line="252" w:lineRule="auto"/>
        <w:tabs>
          <w:tab w:leader="none" w:pos="20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period January 1, 2024 through June 30, 2025, the Underlying XOL Treaty provides 50% reinsurance coverage for losses of $400,000 in excess of $600,000. Excludes losses from named storms. Reduces retention to $530,000 from $730,000 under the 2024/2025 Treaty. Retention increases to $640,000 from $530,000 under the 2025/2026 Treaty. For the period July 1, 2025 through June 30, 2026, the Underlying XOL Treaty combined with the excess of loss treaty provide 50% reinsurance coverage for losses of $250,000 in excess of $750,000, and 100% reinsurance coverage for losses in excess of $1,000,000 up to $9,000,000 together with facultative coverage. Increased retention to $715,000 from $640,000 under the 2025/2026 Treaty (see note 5 below).</w:t>
      </w:r>
    </w:p>
    <w:p>
      <w:pPr>
        <w:spacing w:after="0" w:line="1" w:lineRule="exact"/>
        <w:rPr>
          <w:rFonts w:ascii="Times New Roman" w:cs="Times New Roman" w:eastAsia="Times New Roman" w:hAnsi="Times New Roman"/>
          <w:sz w:val="16"/>
          <w:szCs w:val="16"/>
          <w:color w:val="auto"/>
        </w:rPr>
      </w:pPr>
    </w:p>
    <w:p>
      <w:pPr>
        <w:ind w:left="2040" w:right="100" w:hanging="1222"/>
        <w:spacing w:after="0" w:line="254" w:lineRule="auto"/>
        <w:tabs>
          <w:tab w:leader="none" w:pos="20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personal lines quota share treaty (homeowners, dwelling fire and canine liability) will expire on January 1, 2026, with none of these coverages to be in effect during the period from January 2, 2026 through June 30, 2026. If and when this treaty is renewed on January 2, 2026, the personal lines quota share treaty will be as provided for therein. Reinsurance coverage in effect from January 2, 2026 through June 30, 2026 is only for excess of loss, Underlying XOL, and catastrophe reinsurance treaties.</w:t>
      </w:r>
    </w:p>
    <w:p>
      <w:pPr>
        <w:ind w:left="2040" w:right="480" w:hanging="1222"/>
        <w:spacing w:after="0" w:line="255" w:lineRule="auto"/>
        <w:tabs>
          <w:tab w:leader="none" w:pos="20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2024/2025 Treaty, 22% of the 27% total of losses ceded under this treaty are excluded from a named catastrophe event. For the 2025/2026 Treaty, 6% of the 16% total of losses ceded under this treaty are excluded from a named catastrophe event.</w:t>
      </w:r>
    </w:p>
    <w:p>
      <w:pPr>
        <w:ind w:left="2040" w:hanging="1222"/>
        <w:spacing w:after="0"/>
        <w:tabs>
          <w:tab w:leader="none" w:pos="20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Plus losses in excess of catastrophe coverage.</w:t>
      </w:r>
    </w:p>
    <w:p>
      <w:pPr>
        <w:spacing w:after="0" w:line="5" w:lineRule="exact"/>
        <w:rPr>
          <w:rFonts w:ascii="Times New Roman" w:cs="Times New Roman" w:eastAsia="Times New Roman" w:hAnsi="Times New Roman"/>
          <w:sz w:val="16"/>
          <w:szCs w:val="16"/>
          <w:color w:val="auto"/>
        </w:rPr>
      </w:pPr>
    </w:p>
    <w:p>
      <w:pPr>
        <w:ind w:left="2040" w:hanging="1222"/>
        <w:spacing w:after="0" w:line="237" w:lineRule="auto"/>
        <w:tabs>
          <w:tab w:leader="none" w:pos="20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 July 1, 2025 through June 30, 2026, catastrophe coverage is 80% of the first layer of $5,000,000 in excess of $5,000,000. The remaining coverage is at 100% of $430,000,000 in excess of $10,000,000. For the period October 1, 2024 through April 30, 2025, additional catastrophe reinsurance treaty provided coverage for winter storm losses to the extent of 71% of $4,500,000 in excess of $5,500,000. For the period October 15, 2025 through April 30, 2026, additional catastrophe reinsurance treaty will provide coverage for winter storm losses to the extent of 90% of $5,000,000 in excess of $5,000,000. Retention for winter storms under this treaty is $4,800,000 under the 2024/2025 Treaty, $5,200,000 under the 2025/2026 Treaty from January 1, 2025 through April 30, 2025, and $3,900,000 from October 15, 2025 through January 1, 2026, the expiration date of the 2025/2026 Treaty.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Treaty Year</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gridSpan w:val="2"/>
          </w:tcPr>
          <w:p>
            <w:pPr>
              <w:jc w:val="center"/>
              <w:ind w:right="280"/>
              <w:spacing w:after="0" w:line="181" w:lineRule="exact"/>
              <w:rPr>
                <w:sz w:val="20"/>
                <w:szCs w:val="20"/>
                <w:color w:val="auto"/>
              </w:rPr>
            </w:pPr>
            <w:r>
              <w:rPr>
                <w:rFonts w:ascii="Times New Roman" w:cs="Times New Roman" w:eastAsia="Times New Roman" w:hAnsi="Times New Roman"/>
                <w:sz w:val="16"/>
                <w:szCs w:val="16"/>
                <w:b w:val="1"/>
                <w:bCs w:val="1"/>
                <w:color w:val="auto"/>
              </w:rPr>
              <w:t>July 1, 2025</w:t>
            </w:r>
          </w:p>
        </w:tc>
        <w:tc>
          <w:tcPr>
            <w:tcW w:w="220" w:type="dxa"/>
            <w:vAlign w:val="bottom"/>
          </w:tcPr>
          <w:p>
            <w:pPr>
              <w:spacing w:after="0"/>
              <w:rPr>
                <w:sz w:val="15"/>
                <w:szCs w:val="15"/>
                <w:color w:val="auto"/>
              </w:rPr>
            </w:pPr>
          </w:p>
        </w:tc>
        <w:tc>
          <w:tcPr>
            <w:tcW w:w="1460" w:type="dxa"/>
            <w:vAlign w:val="bottom"/>
            <w:gridSpan w:val="2"/>
          </w:tcPr>
          <w:p>
            <w:pPr>
              <w:jc w:val="center"/>
              <w:ind w:right="320"/>
              <w:spacing w:after="0" w:line="181" w:lineRule="exact"/>
              <w:rPr>
                <w:sz w:val="20"/>
                <w:szCs w:val="20"/>
                <w:color w:val="auto"/>
              </w:rPr>
            </w:pPr>
            <w:r>
              <w:rPr>
                <w:rFonts w:ascii="Times New Roman" w:cs="Times New Roman" w:eastAsia="Times New Roman" w:hAnsi="Times New Roman"/>
                <w:sz w:val="16"/>
                <w:szCs w:val="16"/>
                <w:b w:val="1"/>
                <w:bCs w:val="1"/>
                <w:color w:val="auto"/>
              </w:rPr>
              <w:t>July 1, 2024</w:t>
            </w:r>
          </w:p>
        </w:tc>
        <w:tc>
          <w:tcPr>
            <w:tcW w:w="200" w:type="dxa"/>
            <w:vAlign w:val="bottom"/>
          </w:tcPr>
          <w:p>
            <w:pPr>
              <w:spacing w:after="0"/>
              <w:rPr>
                <w:sz w:val="15"/>
                <w:szCs w:val="15"/>
                <w:color w:val="auto"/>
              </w:rPr>
            </w:pPr>
          </w:p>
        </w:tc>
        <w:tc>
          <w:tcPr>
            <w:tcW w:w="1380" w:type="dxa"/>
            <w:vAlign w:val="bottom"/>
          </w:tcPr>
          <w:p>
            <w:pPr>
              <w:jc w:val="center"/>
              <w:ind w:right="119"/>
              <w:spacing w:after="0" w:line="181" w:lineRule="exact"/>
              <w:rPr>
                <w:sz w:val="20"/>
                <w:szCs w:val="20"/>
                <w:color w:val="auto"/>
              </w:rPr>
            </w:pPr>
            <w:r>
              <w:rPr>
                <w:rFonts w:ascii="Times New Roman" w:cs="Times New Roman" w:eastAsia="Times New Roman" w:hAnsi="Times New Roman"/>
                <w:sz w:val="16"/>
                <w:szCs w:val="16"/>
                <w:b w:val="1"/>
                <w:bCs w:val="1"/>
                <w:color w:val="auto"/>
              </w:rPr>
              <w:t>July 1, 2023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2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Line of Business</w:t>
            </w:r>
          </w:p>
        </w:tc>
        <w:tc>
          <w:tcPr>
            <w:tcW w:w="100" w:type="dxa"/>
            <w:vAlign w:val="bottom"/>
            <w:vMerge w:val="restart"/>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89"/>
              </w:rPr>
              <w:t>to</w:t>
            </w:r>
          </w:p>
        </w:tc>
        <w:tc>
          <w:tcPr>
            <w:tcW w:w="220" w:type="dxa"/>
            <w:vAlign w:val="bottom"/>
          </w:tcPr>
          <w:p>
            <w:pPr>
              <w:spacing w:after="0"/>
              <w:rPr>
                <w:sz w:val="16"/>
                <w:szCs w:val="16"/>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to</w:t>
            </w:r>
          </w:p>
        </w:tc>
        <w:tc>
          <w:tcPr>
            <w:tcW w:w="200" w:type="dxa"/>
            <w:vAlign w:val="bottom"/>
          </w:tcPr>
          <w:p>
            <w:pPr>
              <w:spacing w:after="0"/>
              <w:rPr>
                <w:sz w:val="16"/>
                <w:szCs w:val="16"/>
                <w:color w:val="auto"/>
              </w:rPr>
            </w:pPr>
          </w:p>
        </w:tc>
        <w:tc>
          <w:tcPr>
            <w:tcW w:w="138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to</w:t>
            </w:r>
          </w:p>
        </w:tc>
        <w:tc>
          <w:tcPr>
            <w:tcW w:w="0" w:type="dxa"/>
            <w:vAlign w:val="bottom"/>
          </w:tcPr>
          <w:p>
            <w:pPr>
              <w:spacing w:after="0"/>
              <w:rPr>
                <w:sz w:val="1"/>
                <w:szCs w:val="1"/>
                <w:color w:val="auto"/>
              </w:rPr>
            </w:pPr>
          </w:p>
        </w:tc>
      </w:tr>
      <w:tr>
        <w:trPr>
          <w:trHeight w:val="225"/>
        </w:trPr>
        <w:tc>
          <w:tcPr>
            <w:tcW w:w="20" w:type="dxa"/>
            <w:vAlign w:val="bottom"/>
            <w:tcBorders>
              <w:bottom w:val="single" w:sz="8" w:color="auto"/>
            </w:tcBorders>
          </w:tcPr>
          <w:p>
            <w:pPr>
              <w:spacing w:after="0"/>
              <w:rPr>
                <w:sz w:val="19"/>
                <w:szCs w:val="19"/>
                <w:color w:val="auto"/>
              </w:rPr>
            </w:pPr>
          </w:p>
        </w:tc>
        <w:tc>
          <w:tcPr>
            <w:tcW w:w="6200" w:type="dxa"/>
            <w:vAlign w:val="bottom"/>
            <w:tcBorders>
              <w:bottom w:val="single" w:sz="8" w:color="auto"/>
            </w:tcBorders>
            <w:gridSpan w:val="2"/>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June 30, 2026</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63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Personal Lines:</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63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Personal Umbrella</w:t>
            </w: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Quota share treaty:</w:t>
            </w: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6300" w:type="dxa"/>
            <w:vAlign w:val="bottom"/>
            <w:tcBorders>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Percent ceded - first $1,000,000 of coverage</w:t>
            </w:r>
          </w:p>
        </w:tc>
        <w:tc>
          <w:tcPr>
            <w:tcW w:w="2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90 %</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90 %</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Percent ceded - excess of $1,000,000 dollars of coverage</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95 %</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6300" w:type="dxa"/>
            <w:vAlign w:val="bottom"/>
            <w:tcBorders>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Risk retained</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300,000</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300,000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Total reinsurance coverage per occurrence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4,700,000</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4,700,000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4,700,000</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6300" w:type="dxa"/>
            <w:vAlign w:val="bottom"/>
            <w:tcBorders>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Losses per occurrence subject to quota share reinsurance coverage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5,000,000</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5,000,000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5,000,000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Expiration date</w:t>
            </w:r>
          </w:p>
        </w:tc>
        <w:tc>
          <w:tcPr>
            <w:tcW w:w="20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June 30, 2026</w:t>
            </w:r>
          </w:p>
        </w:tc>
        <w:tc>
          <w:tcPr>
            <w:tcW w:w="22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June 30, 2025</w:t>
            </w:r>
          </w:p>
        </w:tc>
        <w:tc>
          <w:tcPr>
            <w:tcW w:w="200" w:type="dxa"/>
            <w:vAlign w:val="bottom"/>
          </w:tcPr>
          <w:p>
            <w:pPr>
              <w:spacing w:after="0"/>
              <w:rPr>
                <w:sz w:val="18"/>
                <w:szCs w:val="18"/>
                <w:color w:val="auto"/>
              </w:rPr>
            </w:pPr>
          </w:p>
        </w:tc>
        <w:tc>
          <w:tcPr>
            <w:tcW w:w="138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June 30, 2024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5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ind w:left="180"/>
        <w:spacing w:after="0"/>
        <w:rPr>
          <w:sz w:val="20"/>
          <w:szCs w:val="20"/>
          <w:color w:val="auto"/>
        </w:rPr>
      </w:pPr>
      <w:r>
        <w:rPr>
          <w:rFonts w:ascii="Times New Roman" w:cs="Times New Roman" w:eastAsia="Times New Roman" w:hAnsi="Times New Roman"/>
          <w:sz w:val="16"/>
          <w:szCs w:val="16"/>
          <w:u w:val="single" w:color="auto"/>
          <w:color w:val="auto"/>
        </w:rPr>
        <w:t>Commercial Lines (1)</w:t>
      </w:r>
    </w:p>
    <w:p>
      <w:pPr>
        <w:spacing w:after="0" w:line="248" w:lineRule="exact"/>
        <w:rPr>
          <w:sz w:val="20"/>
          <w:szCs w:val="20"/>
          <w:color w:val="auto"/>
        </w:rPr>
      </w:pPr>
    </w:p>
    <w:p>
      <w:pPr>
        <w:ind w:left="1980" w:hanging="974"/>
        <w:spacing w:after="0"/>
        <w:tabs>
          <w:tab w:leader="none" w:pos="19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Coverage on all commercial lines policies expired in September 2020; reinsurance coverage is based on treaties in effect on the date of loss.</w:t>
      </w:r>
    </w:p>
    <w:p>
      <w:pPr>
        <w:spacing w:after="0" w:line="2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The Company’s reinsurance program has been structured to enable the Company to grow its premium volume while maintaining regulatory capital and other financial ratios generally within or below the expected ranges used for regulatory oversight purposes. The reinsurance program also provides income as a result of ceding commissions earned pursuant to the quota share reinsurance contracts. The Company’s participation in reinsurance arrangements does not relieve the Company of its obligations to policyholders.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Ceding Commission Revenue</w:t>
      </w:r>
    </w:p>
    <w:p>
      <w:pPr>
        <w:spacing w:after="0" w:line="23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Company earned ceding commission revenue under the 2025/2026 Treaty for the three and nine months ended September 30, 2025 based on: (i) a fixed provisional commission rate at which provisional ceding commissions were earned, and (ii) a sliding scale ("Sliding Scale") of commission rates and ultimate treaty year loss ratio on the policies reinsured under this agreement based upon which contingent ceding commissions are earned. The Sliding Scale includes minimum and maximum commission rates in relation to specified ultimate loss ratios. The commission rate and contingent ceding commissions earned increase when the estimated ultimate loss ratio decreases and, conversely, the commission rate and contingent ceding commissions earned decrease when the estimated ultimate loss ratio increases.</w:t>
      </w:r>
    </w:p>
    <w:p>
      <w:pPr>
        <w:spacing w:after="0" w:line="19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Company earned ceding commission revenue under the 2024/2025 Treaty for the three and nine months ended September 30, 2024, based on a fixed provisional commission rate at which provisional ceding commissions were earned.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20" w:type="dxa"/>
            <w:vAlign w:val="bottom"/>
          </w:tcPr>
          <w:p>
            <w:pPr>
              <w:spacing w:after="0"/>
              <w:rPr>
                <w:sz w:val="20"/>
                <w:szCs w:val="20"/>
                <w:color w:val="auto"/>
              </w:rPr>
            </w:pPr>
            <w:r>
              <w:rPr>
                <w:rFonts w:ascii="Times New Roman" w:cs="Times New Roman" w:eastAsia="Times New Roman" w:hAnsi="Times New Roman"/>
                <w:sz w:val="16"/>
                <w:szCs w:val="16"/>
                <w:color w:val="auto"/>
              </w:rPr>
              <w:t>Ceding commission revenue consists of the following:</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422"/>
        </w:trPr>
        <w:tc>
          <w:tcPr>
            <w:tcW w:w="5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20" w:type="dxa"/>
            <w:vAlign w:val="bottom"/>
            <w:gridSpan w:val="5"/>
          </w:tcPr>
          <w:p>
            <w:pPr>
              <w:ind w:left="4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40" w:type="dxa"/>
            <w:vAlign w:val="bottom"/>
          </w:tcPr>
          <w:p>
            <w:pPr>
              <w:spacing w:after="0"/>
              <w:rPr>
                <w:sz w:val="24"/>
                <w:szCs w:val="24"/>
                <w:color w:val="auto"/>
              </w:rPr>
            </w:pPr>
          </w:p>
        </w:tc>
        <w:tc>
          <w:tcPr>
            <w:tcW w:w="2720" w:type="dxa"/>
            <w:vAlign w:val="bottom"/>
            <w:gridSpan w:val="4"/>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5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80" w:type="dxa"/>
            <w:vAlign w:val="bottom"/>
          </w:tcPr>
          <w:p>
            <w:pPr>
              <w:spacing w:after="0"/>
              <w:rPr>
                <w:sz w:val="18"/>
                <w:szCs w:val="18"/>
                <w:color w:val="auto"/>
              </w:rPr>
            </w:pPr>
          </w:p>
        </w:tc>
      </w:tr>
      <w:tr>
        <w:trPr>
          <w:trHeight w:val="33"/>
        </w:trPr>
        <w:tc>
          <w:tcPr>
            <w:tcW w:w="50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6"/>
        </w:trPr>
        <w:tc>
          <w:tcPr>
            <w:tcW w:w="5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31"/>
        </w:trPr>
        <w:tc>
          <w:tcPr>
            <w:tcW w:w="50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6"/>
        </w:trPr>
        <w:tc>
          <w:tcPr>
            <w:tcW w:w="5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23"/>
        </w:trPr>
        <w:tc>
          <w:tcPr>
            <w:tcW w:w="5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Provisional ceding commissions earned</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3,555,260</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4,742,557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10,195,169</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13,859,795</w:t>
            </w:r>
          </w:p>
        </w:tc>
      </w:tr>
      <w:tr>
        <w:trPr>
          <w:trHeight w:val="210"/>
        </w:trPr>
        <w:tc>
          <w:tcPr>
            <w:tcW w:w="5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Contingent ceding commissions earned</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1,345,141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745,479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10,953</w:t>
            </w:r>
          </w:p>
        </w:tc>
      </w:tr>
      <w:tr>
        <w:trPr>
          <w:trHeight w:val="33"/>
        </w:trPr>
        <w:tc>
          <w:tcPr>
            <w:tcW w:w="50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1"/>
        </w:trPr>
        <w:tc>
          <w:tcPr>
            <w:tcW w:w="50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4,900,401</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4,741,676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10,940,648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13,870,748</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Provisional ceding commissions are settled monthly. Balances due to or from reinsurers for contingent ceding commissions on the 2025/2026 Treaty will be settled annually based on the Loss Ratio of the treaty year that ends on January 1. Balances due to or from reinsurers for contingent ceding commissions on quota share treaties are settled periodically based on the Loss Ratio of each treaty year that ends on June 30 for the expired treaties (which had June 30 expiration dates) that were subject to contingent commissions. As discussed above, the Loss Ratios from prior years’ treaties are subject to change as incurred losses from those periods develop, resulting in an increase or decrease in the commission rate and contingent ceding commissions earned. As of September 30, 2025, contingent ceding commissions receivable from reinsurers under the 2025/2026 Treaty was approximately $751,000, which is recorded in other assets on the accompanying condensed consolidated balance sheets. As of September 30, 2025 and December 31, 2024, net contingent</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ceding commissions payable to reinsurers under all other treaties was approximately $732,000 and $727,000, respectively, which is recorded in reinsurance balances payable on the accompanying condensed consolidated balance sheets.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Expected Credit Losses – Uncollectible Reinsurance</w:t>
      </w:r>
    </w:p>
    <w:p>
      <w:pPr>
        <w:spacing w:after="0" w:line="23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Company reviews reinsurance receivables which relate to both amounts already billed on ceded paid losses as well as ceded reserves that will be billed when losses are paid in the future. The Company has not recorded an allowance for uncollectible reinsurance as there is no perceived credit risk. The principal credit quality indicator used in the valuation of the allowance for reinsurance receivables is the financial strength rating of the reinsurer sourced from major rating agencies. Changes in the allowance for credit losses are presented as a component of other underwriting expenses on the condensed consolidated statements of income and comprehensive income.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Debt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Federal Home Loan Bank</w:t>
      </w:r>
    </w:p>
    <w:p>
      <w:pPr>
        <w:spacing w:after="0" w:line="2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In July 2017, KICO became a member of, and invested in, the FHLBNY. KICO is required to maintain an investment in the capital stock of FHLBNY. Based on the redemption provisions of FHLBNY, the stock has no quoted market value and is carried at cost. At its discretion, FHLBNY may declare dividends on the stock. Management reviews the stock for impairment based on the ultimate recoverability of the cost basis in the stock. At September 30, 2025 and December 31, 2024, no impairment has been recognized. FHLBNY members have access to a variety of flexible, low cost funding through FHLBNY’s credit products, enabling members to customize advances, which are to be fully collateralized. Eligible collateral to pledge to FHLBNY includes residential and commercial mortgage-backed securities, along with U.S. Treasury and agency securities. See Note 3 – Investments for eligible collateral held in a designated custodian account available for future advances. Advances are limited to 5% of KICO’s net admitted assets under statutory insurance principles as of the previous quarter. On July 6, 2023, A.M. Best withdrew KICO’s ratings as KICO requested to no longer participate in A.M. Best’s interactive rating process. As a result of the withdrawal of A.M. Best ratings, prior to April 15, 2025, KICO was only able to borrow on an overnight basis. Effective April 15, 2025, based on KICO's credit rating from FHLBNY, KICO can now borrow for a term of up to five years. If KICO has sufficient available collateral (as discussed below), based on KICO’s net admitted assets, the maximum allowable advance as of September 30, 2025 and December 31, 2024 was approximately $15,801,000 and $13,637,000, respectively. The estimated fair value of available collateral as of September 30, 2025 and December 31, 2024 was approximately $9,779,000 and $10,130,000, respectively. Effective April 15, 2025, advances are limited to 91% of the amount of available collateral. Prior to April 15, 2025, advances were limited to 85% of the amount of available collateral. There were no borrowings under this facility during the nine months ended September 30, 2025 and 2024.</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Debt</w:t>
            </w: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20"/>
        </w:trPr>
        <w:tc>
          <w:tcPr>
            <w:tcW w:w="8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Debt as of September 30, 2025 and December 31, 2024 consists of the following:</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22"/>
        </w:trPr>
        <w:tc>
          <w:tcPr>
            <w:tcW w:w="32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24"/>
                <w:szCs w:val="24"/>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3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33"/>
        </w:trPr>
        <w:tc>
          <w:tcPr>
            <w:tcW w:w="818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320" w:type="dxa"/>
            <w:vAlign w:val="bottom"/>
          </w:tcPr>
          <w:p>
            <w:pPr>
              <w:spacing w:after="0"/>
              <w:rPr>
                <w:sz w:val="20"/>
                <w:szCs w:val="20"/>
                <w:color w:val="auto"/>
              </w:rPr>
            </w:pPr>
          </w:p>
        </w:tc>
        <w:tc>
          <w:tcPr>
            <w:tcW w:w="7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23"/>
        </w:trPr>
        <w:tc>
          <w:tcPr>
            <w:tcW w:w="81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13.75% Senior Notes due 2026,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5,508,000</w:t>
            </w:r>
          </w:p>
        </w:tc>
      </w:tr>
      <w:tr>
        <w:trPr>
          <w:trHeight w:val="210"/>
        </w:trPr>
        <w:tc>
          <w:tcPr>
            <w:tcW w:w="81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Equipment financing</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4,752,684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5,663,420</w:t>
            </w:r>
          </w:p>
        </w:tc>
      </w:tr>
      <w:tr>
        <w:trPr>
          <w:trHeight w:val="33"/>
        </w:trPr>
        <w:tc>
          <w:tcPr>
            <w:tcW w:w="818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1"/>
        </w:trPr>
        <w:tc>
          <w:tcPr>
            <w:tcW w:w="81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Balance at end of period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4,752,684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11,171,420</w:t>
            </w:r>
          </w:p>
        </w:tc>
      </w:tr>
      <w:tr>
        <w:trPr>
          <w:trHeight w:val="20"/>
        </w:trPr>
        <w:tc>
          <w:tcPr>
            <w:tcW w:w="320" w:type="dxa"/>
            <w:vAlign w:val="bottom"/>
            <w:tcBorders>
              <w:top w:val="single" w:sz="8" w:color="CCEEFF"/>
            </w:tcBorders>
          </w:tcPr>
          <w:p>
            <w:pPr>
              <w:spacing w:after="0" w:line="20" w:lineRule="exact"/>
              <w:rPr>
                <w:sz w:val="1"/>
                <w:szCs w:val="1"/>
                <w:color w:val="auto"/>
              </w:rPr>
            </w:pPr>
          </w:p>
        </w:tc>
        <w:tc>
          <w:tcPr>
            <w:tcW w:w="7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Exchange Agreements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General</w:t>
      </w: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On December 9, 2022, the Company entered into a Note and Warrant Exchange Agreement (the “2022 Exchange Agreement”) with several holders (the “2022 Exchanging Noteholders”) of the Company’s outstanding 5.50% Senior Notes due 2022 (the “2017 Notes”). On the date of the 2022 Exchange Agreement, the 2022 Exchanging Noteholders held 2017 Notes in the aggregate principal amount of $21,545,000 of the $30,000,000 aggregate principal amount of the 2017 Notes then outstanding. Pursuant to the 2022 Exchange Agreement, on December 15, 2022, the 2022 Exchanging Noteholders exchanged their respective 2017 Notes for the following: (i) new 12.0% Senior Notes due December 30, 2024 of the Company in the aggregate approximate principal amount of $19,950,000 (the “2022 Notes”); (ii) cash in the aggregate approximate amount of $1,595,000, together with accrued interest on the 2017 Notes; and (iii) three-year warrants for the purchase of an aggregate of 969,525 shares of Common Stock of the Company, exercisable until December 30, 2025 at an exercise price of $1.00 per share (the “Warrants”). The remaining $8,455,000 principal amount of the 2017 Notes, together with accrued interest thereon, was paid on the maturity date of the 2017 Notes of December 30, 2022.</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On August 30, 2024, the Company entered into a Note Exchange Agreement (the “2024 Exchange Agreement”) with the holders (the “2024 Exchanging Noteholders”) of the Company’s outstanding 2022 Notes in the aggregate principal amount of $19,950,000. Pursuant to the 2024 Exchange Agreement, on September 12, 2024, the 2024 Exchanging Noteholders exchanged their respective 2022 Notes for</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6"/>
          <w:szCs w:val="16"/>
          <w:color w:val="auto"/>
        </w:rPr>
        <w:t>the following: (i) new 13.75% Senior Notes due June 30, 2026 of the Company in the aggregate principal amount of $14,950,000 (the “2024 Notes”); and (ii) cash in the aggregate amount of $5,000,000, together with accrued interest on the 2022 Notes (the "2024 Exchange"). See “2024 Notes” below for a discussion of a change in the expiration date of the Warrants.</w:t>
      </w:r>
    </w:p>
    <w:p>
      <w:pPr>
        <w:spacing w:after="0" w:line="18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Company analyzed the 2024 Exchange Agreement under the FASB's Accounting Standards Codification ("ASC") 470–50 Debt—Modifications and Extinguishments. The Company determined that extinguishment accounting was applicable, as the present value of the cash flows of the 2024 Notes differed by more than 10% from the 2022 Notes, making it a substantial change in terms. As a result, the 2022 Notes were derecognized and the 2024 Notes recorded at fair value. No gain or loss was recognized on the 2024 Exchange. Unamortized debt issue costs of $296,533 related to extinguished debt were expensed at the time the 2022 Notes were extinguished and recorded as loss on extinguishment of debt. Fees paid to third parties of $203,381 have been capitalized and are being amortized as debt issuance costs associated with the 2024 Notes.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2024 Notes</w:t>
      </w:r>
    </w:p>
    <w:p>
      <w:pPr>
        <w:spacing w:after="0" w:line="23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As discussed above, on September 12, 2024, the Company issued the 2024 Notes in the aggregate principal amount of $14,950,000 pursuant to the 2024 Exchange Agreement. Interest was payable semi-annually in arrears on June 30 and December 30 of each year at the rate of 13.75% per annum. Pursuant to the 2024 Exchange Agreement, the expiration date of the Warrants to purchase 969,525 shares of Common Stock of the Company was extended to June 30, 2026 from December 30, 2025 (see Note 8 – Stockholders’ Equity) and transaction costs were $203,381, for an effective yield of 14.35% per annum. The balance of the 2024 Notes as of September 30, 2025 and December 31, 2024 was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8180" w:type="dxa"/>
            <w:vAlign w:val="bottom"/>
          </w:tcPr>
          <w:p>
            <w:pPr>
              <w:spacing w:after="0"/>
              <w:rPr>
                <w:sz w:val="18"/>
                <w:szCs w:val="18"/>
                <w:color w:val="auto"/>
              </w:rPr>
            </w:pPr>
          </w:p>
        </w:tc>
        <w:tc>
          <w:tcPr>
            <w:tcW w:w="130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33"/>
        </w:trPr>
        <w:tc>
          <w:tcPr>
            <w:tcW w:w="81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8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6"/>
        </w:trPr>
        <w:tc>
          <w:tcPr>
            <w:tcW w:w="8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13.75% Senior Notes due 2026</w:t>
            </w:r>
          </w:p>
        </w:tc>
        <w:tc>
          <w:tcPr>
            <w:tcW w:w="1300" w:type="dxa"/>
            <w:vAlign w:val="bottom"/>
            <w:shd w:val="clear" w:color="auto" w:fill="CCEEFF"/>
          </w:tcPr>
          <w:p>
            <w:pPr>
              <w:jc w:val="right"/>
              <w:ind w:right="111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5,950,000</w:t>
            </w:r>
          </w:p>
        </w:tc>
      </w:tr>
      <w:tr>
        <w:trPr>
          <w:trHeight w:val="213"/>
        </w:trPr>
        <w:tc>
          <w:tcPr>
            <w:tcW w:w="81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Warrants</w:t>
            </w:r>
          </w:p>
        </w:tc>
        <w:tc>
          <w:tcPr>
            <w:tcW w:w="13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(256,909)</w:t>
            </w:r>
          </w:p>
        </w:tc>
      </w:tr>
      <w:tr>
        <w:trPr>
          <w:trHeight w:val="216"/>
        </w:trPr>
        <w:tc>
          <w:tcPr>
            <w:tcW w:w="8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Issuance costs</w:t>
            </w:r>
          </w:p>
        </w:tc>
        <w:tc>
          <w:tcPr>
            <w:tcW w:w="13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(185,091)</w:t>
            </w:r>
          </w:p>
        </w:tc>
      </w:tr>
      <w:tr>
        <w:trPr>
          <w:trHeight w:val="212"/>
        </w:trPr>
        <w:tc>
          <w:tcPr>
            <w:tcW w:w="81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2024 Notes, net</w:t>
            </w:r>
          </w:p>
        </w:tc>
        <w:tc>
          <w:tcPr>
            <w:tcW w:w="1300" w:type="dxa"/>
            <w:vAlign w:val="bottom"/>
            <w:tcBorders>
              <w:bottom w:val="single" w:sz="8" w:color="auto"/>
            </w:tcBorders>
          </w:tcPr>
          <w:p>
            <w:pPr>
              <w:jc w:val="right"/>
              <w:ind w:right="111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5,508,000</w:t>
            </w:r>
          </w:p>
        </w:tc>
      </w:tr>
      <w:tr>
        <w:trPr>
          <w:trHeight w:val="20"/>
        </w:trPr>
        <w:tc>
          <w:tcPr>
            <w:tcW w:w="8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2024 Notes were redeemable, at the Company’s option, in whole or in part, at any time or in part from time to time, on and after September 12, 2024, upon not less than fifteen (15) and not more than sixty (60) days’ notice, equal to 100% of the principal amount of the 2024 Notes, plus, in each case, accrued and unpaid interest, if any, to the date of redemption subject to the right of holders of record on the relevant record date to receive interest due on the relevant interest payment date).</w:t>
      </w:r>
    </w:p>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The 2024 Exchange Agreement provided for mandatory prepayments of principal. The 2024 Exchange Agreement provided for a first mandatory pro rata partial prepayment of principal on the 2024 Notes in the aggregate amount of $3,000,000 on June 30, 2025, less the principal amount of any optional prepayments of the 2024 Note made prior to June 30, 2025, pursuant to the 2024 Exchange Agreement. The 2024 Exchange Agreement provided for a second mandatory pro rata partial prepayment of principal on the 2024 Notes in the aggregate amount of $3,000,000 on December 30, 2025, less the principal amount of (i) any optional prepayments of the 2024 Notes made from June 30, 2025 to December 29, 2025 pursuant to the 2024 Note Exchange Agreement and (ii) any optional The Company made optional prepayments of $3,000,000 on September 30, 2024, $2,000,000 on November 13, 2024, $4,000,000 on December 30, 2024, $3,500,000 on January 28, 2025, and $2,450,000 on February 24, 2025, and accordingly, has satisfied the entire principal balance of the 2024 Notes. Each prepayment of principal also included accrued and unpaid interest thereon. Unamortized debt issue costs of $174,962 related to extinguished debt were expensed at the time the 2024 Notes were extinguished and recorded as loss on extinguishment of debt in the condensed consolidated statements of income and comprehensive income within other operating expenses.</w:t>
      </w:r>
    </w:p>
    <w:p>
      <w:pPr>
        <w:spacing w:after="0" w:line="16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The 2024 Notes were unsecured obligations of the Company and were not the obligations of or guaranteed by any of the Company’s subsidiaries. The 2024 Notes ranked senior in right of payment to any of the Company’s existing and future indebtedness that is by its terms expressly subordinated or junior in right of payment to the 2024 Notes. The Notes ranked equally in right of payment to all of the Company’s existing and future senior indebtedness, but were effectively subordinated to any secured indebtedness to the extent of the value of the collateral securing such secured indebtedness. In addition, the 2024 Notes were structurally subordinated to the indebtedness and other obligations of the Company’s subsidiaries.</w:t>
      </w:r>
    </w:p>
    <w:p>
      <w:pPr>
        <w:spacing w:after="0" w:line="22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As of the end of each calendar quarter, commencing with the calendar quarter ending September 30, 2024, the Company was subject to a leverage maintenance test (“Leverage Maintenance Test”), which required that the Total Consolidated Indebtedness (as defined below) of the Company not be greater than 30% of Total Consolidated Capitalization (as defined below). As of December 31, 2024, the ratio as defined under the Leverage Maintenance Test was 7.0%. “Total Consolidated Indebtedness” was the aggregate principal amount (or accreted value in the case of any Indebtedness issued with more than de minimis original issue discount) of all outstanding long-term debt of the Company except for the sale-leaseback transaction described below under “Equipment Financing”, any refinancing or any future sale-leaseback transaction. “Total Consolidated Capitalization” was the amount equal to the sum of (x) Total Consolidated Indebtedness outstanding as of such date and (y) the total consolidated shareholders’ equity of the Company, excluding accumulated other comprehensive (loss) income, as recorded on the Company’s consolidated balance sheet.</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Equipment Financing</w:t>
      </w:r>
    </w:p>
    <w:p>
      <w:pPr>
        <w:spacing w:after="0" w:line="22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On October 27, 2022, KICO entered into a sale-leaseback transaction, whereby KICO sold $8,096,824 of fixed assets to a bank. Under GAAP, the sale-leaseback transaction is recorded as equipment financing (“Financing”). The provisions of the Financing require KICO to pay a monthly payment of principal and interest at the rate of 5.86% per annum totaling $126,877 for a term of 60 months, which commenced on October 27, 2022. The terms of the Financing provide buyout options to KICO at the end of the 60 month term, which are as follows:</w:t>
      </w:r>
    </w:p>
    <w:p>
      <w:pPr>
        <w:spacing w:after="0" w:line="174" w:lineRule="exact"/>
        <w:rPr>
          <w:sz w:val="20"/>
          <w:szCs w:val="20"/>
          <w:color w:val="auto"/>
        </w:rPr>
      </w:pPr>
    </w:p>
    <w:p>
      <w:pPr>
        <w:ind w:left="2040" w:hanging="1222"/>
        <w:spacing w:after="0" w:line="280" w:lineRule="auto"/>
        <w:tabs>
          <w:tab w:leader="none" w:pos="2029"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end of the lease, KICO may purchase the fixed assets for a purchase price of $2,024,206, which is 25% of the original fixed asset cost of $8,096,824; or</w:t>
      </w:r>
    </w:p>
    <w:p>
      <w:pPr>
        <w:spacing w:after="0" w:line="178" w:lineRule="exact"/>
        <w:rPr>
          <w:rFonts w:ascii="Times New Roman" w:cs="Times New Roman" w:eastAsia="Times New Roman" w:hAnsi="Times New Roman"/>
          <w:sz w:val="16"/>
          <w:szCs w:val="16"/>
          <w:color w:val="auto"/>
        </w:rPr>
      </w:pPr>
    </w:p>
    <w:p>
      <w:pPr>
        <w:ind w:left="2020" w:hanging="1202"/>
        <w:spacing w:after="0"/>
        <w:tabs>
          <w:tab w:leader="none" w:pos="20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KICO may renew the lease for 16 months at the same rental rate, which totals $2,030,036.</w:t>
      </w:r>
    </w:p>
    <w:p>
      <w:pPr>
        <w:spacing w:after="0" w:line="22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A provision of the Financing requires KICO to pledge collateral for the lease obligation. As of September 30, 2025 and December 31, 2024, the amount of required collateral was approximately $4,039,000 and $5,308,000, respectively. As of September 30, 2025 and December 31, 2024, the fair value of KICO’s pledged collateral was approximately $4,039,000 and $5,308,000, respectively, in various fixed-maturity securities.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7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Future contractual payment obligations under the Financing as of September 30, 2025 are as follows: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9700" w:type="dxa"/>
            <w:vAlign w:val="bottom"/>
            <w:gridSpan w:val="2"/>
          </w:tcPr>
          <w:p>
            <w:pPr>
              <w:ind w:left="3560"/>
              <w:spacing w:after="0"/>
              <w:rPr>
                <w:sz w:val="20"/>
                <w:szCs w:val="20"/>
                <w:color w:val="auto"/>
              </w:rPr>
            </w:pPr>
            <w:r>
              <w:rPr>
                <w:rFonts w:ascii="Times New Roman" w:cs="Times New Roman" w:eastAsia="Times New Roman" w:hAnsi="Times New Roman"/>
                <w:sz w:val="16"/>
                <w:szCs w:val="16"/>
                <w:b w:val="1"/>
                <w:bCs w:val="1"/>
                <w:color w:val="auto"/>
              </w:rPr>
              <w:t>For the Years Ending December 31,</w:t>
            </w:r>
          </w:p>
        </w:tc>
        <w:tc>
          <w:tcPr>
            <w:tcW w:w="340" w:type="dxa"/>
            <w:vAlign w:val="bottom"/>
          </w:tcPr>
          <w:p>
            <w:pPr>
              <w:spacing w:after="0"/>
              <w:rPr>
                <w:sz w:val="24"/>
                <w:szCs w:val="24"/>
                <w:color w:val="auto"/>
              </w:rPr>
            </w:pPr>
          </w:p>
        </w:tc>
        <w:tc>
          <w:tcPr>
            <w:tcW w:w="114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9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Remainder of 2025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312,557</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1,296,900</w:t>
            </w:r>
          </w:p>
        </w:tc>
        <w:tc>
          <w:tcPr>
            <w:tcW w:w="0" w:type="dxa"/>
            <w:vAlign w:val="bottom"/>
          </w:tcPr>
          <w:p>
            <w:pPr>
              <w:spacing w:after="0"/>
              <w:rPr>
                <w:sz w:val="1"/>
                <w:szCs w:val="1"/>
                <w:color w:val="auto"/>
              </w:rPr>
            </w:pPr>
          </w:p>
        </w:tc>
      </w:tr>
      <w:tr>
        <w:trPr>
          <w:trHeight w:val="33"/>
        </w:trPr>
        <w:tc>
          <w:tcPr>
            <w:tcW w:w="40" w:type="dxa"/>
            <w:vAlign w:val="bottom"/>
            <w:vMerge w:val="restart"/>
          </w:tcPr>
          <w:p>
            <w:pPr>
              <w:spacing w:after="0"/>
              <w:rPr>
                <w:sz w:val="2"/>
                <w:szCs w:val="2"/>
                <w:color w:val="auto"/>
              </w:rPr>
            </w:pPr>
          </w:p>
        </w:tc>
        <w:tc>
          <w:tcPr>
            <w:tcW w:w="9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vMerge w:val="continue"/>
          </w:tcPr>
          <w:p>
            <w:pPr>
              <w:spacing w:after="0"/>
              <w:rPr>
                <w:sz w:val="21"/>
                <w:szCs w:val="21"/>
                <w:color w:val="auto"/>
              </w:rPr>
            </w:pPr>
          </w:p>
        </w:tc>
        <w:tc>
          <w:tcPr>
            <w:tcW w:w="9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1,119,021</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9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2,728,478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tcPr>
          <w:p>
            <w:pPr>
              <w:spacing w:after="0"/>
              <w:rPr>
                <w:sz w:val="21"/>
                <w:szCs w:val="21"/>
                <w:color w:val="auto"/>
              </w:rPr>
            </w:pPr>
          </w:p>
        </w:tc>
        <w:tc>
          <w:tcPr>
            <w:tcW w:w="9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2028 purchase price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2,024,206</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97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4,752,684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8 – Stockholders’ Equity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Dividends Declared and Paid</w:t>
      </w:r>
    </w:p>
    <w:p>
      <w:pPr>
        <w:spacing w:after="0" w:line="221"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On July 22, 2025, the Company’s Board of Directors approved a quarterly dividend of $0.05 per share which was paid in cash on August 26, 2025 to stockholders of record as of the close of business on August 11, 2025. See Note 15 - Subsequent Events, Dividend Declared.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Preferred Stock</w:t>
      </w: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Board of Directors has the authority to issue shares of Preferred Stock from time to time in a series and to fix, before the issuance of each series, the number of shares in each series and the designation, liquidation preferences, conversion privileges, rights and limitations of each series. There was no preferred stock issued as of September 30, 2025 and December 31,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2014 Equity Participation Plan</w:t>
      </w:r>
    </w:p>
    <w:p>
      <w:pPr>
        <w:spacing w:after="0" w:line="2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Effective August 12, 2014, the Company's stockholders approved the 2014 Equity Participation Plan (the “2014 Plan”) pursuant to which a maximum of 700,000 shares of Common Stock of the Company were initially authorized to be issued pursuant to the grant of incentive stock options, non-statutory stock options, stock appreciation rights, restricted stock and stock bonuses. Incentive stock options granted under the 2014 Plan expire no later than ten years from the date of grant (except no later than five years for a grant to a 10% stockholder). Non-statutory stock options granted under the 2014 Plan expire no later than ten years from the date of grant. The Board of Directors or the Compensation Committee determined the vesting provisions for stock awards granted under the 2014 Plan, subject to the provisions of the 2014 Plan. On August 5, 2020, the Company’s stockholders approved amendments to the 2014 Plan, including an increase in the maximum number of shares of Common Stock of the Company that were authorized to be issued pursuant to the 2014 Plan to 1,400,000. On August 9, 2023, the Company’s stockholders approved an amendment to the 2014 Plan to increase the maximum number of shares of Common Stock of the Company that were authorized to be issued pursuant to the 2014 Plan to 1,900,000. The 2014 Plan terminated on August 12, 2024 and no further awards may be granted under the 2014 Plan.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2024 Equity Participation Plan</w:t>
      </w:r>
    </w:p>
    <w:p>
      <w:pPr>
        <w:spacing w:after="0" w:line="22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Effective August 7, 2024, the Company's stockholders approved the 2024 Equity Participation Plan (the “2024 Plan”) pursuant to which a maximum of 1,000,000 shares of Common Stock of the Company are authorized to be issued pursuant to the grant of incentive stock options, non-statutory stock options, stock appreciation rights, and stock bonus awards. Incentive stock options granted under the 2024 Plan expire no later than ten years from the date of grant (except no later than five years for a grant to a 10% stockholder). Non-statutory</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stock options granted under the 2024 Plan expire no later than ten years from the date of grant. The Board of Directors or the Compensation Committee determines the vesting provisions for stock awards granted under the 2024 Plan, subject to the provisions of the 2024 Plan. The 2024 Plan terminates on May 10, 2034 and no further awards may be granted under the 2024 Plan after such date.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September 30, 2025, there were 199,515 shares of Common Stock granted under the 2024 Plan.</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Stock Options</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The results of operations for the three months ended September 30, 2025 and 2024 include stock-based compensation expense for stock options totaling approximately $22,000 and $53,000, respectively, which is included in other operating expenses on the accompanying condensed consolidated statements of income and comprehensive income. The results of operations for the nine months ended September 30, 2025 and 2024 include stock-based compensation expense for stock options totaling approximately $67,000 and $159,000, respectively, which is included in other operating expenses on the accompanying condensed consolidated statements of income and comprehensive income. Stock-based compensation expense related to stock options for the nine months ended September 30, 2025 is net of estimated forfeitures of approximately 19%.</w:t>
      </w:r>
    </w:p>
    <w:p>
      <w:pPr>
        <w:spacing w:after="0" w:line="3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No options were granted during the nine months ended September 30, 2025. The weighted average estimated fair value of stock options granted during the nine months ended September 30, 2024 was $1.24 per share. The fair value of stock options at the grant date was estimated using the Black-Scholes option-pricing model. 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the Company’s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the Company’s stock options.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weighted average assumptions were used for grants during the following periods: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6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25"/>
        </w:trPr>
        <w:tc>
          <w:tcPr>
            <w:tcW w:w="806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20" w:type="dxa"/>
            <w:vAlign w:val="bottom"/>
            <w:tcBorders>
              <w:bottom w:val="single" w:sz="8" w:color="auto"/>
            </w:tcBorders>
          </w:tcPr>
          <w:p>
            <w:pPr>
              <w:spacing w:after="0"/>
              <w:rPr>
                <w:sz w:val="19"/>
                <w:szCs w:val="19"/>
                <w:color w:val="auto"/>
              </w:rPr>
            </w:pPr>
          </w:p>
        </w:tc>
      </w:tr>
      <w:tr>
        <w:trPr>
          <w:trHeight w:val="212"/>
        </w:trPr>
        <w:tc>
          <w:tcPr>
            <w:tcW w:w="80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31"/>
        </w:trPr>
        <w:tc>
          <w:tcPr>
            <w:tcW w:w="80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80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23"/>
        </w:trPr>
        <w:tc>
          <w:tcPr>
            <w:tcW w:w="8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 Yield</w:t>
            </w:r>
          </w:p>
        </w:tc>
        <w:tc>
          <w:tcPr>
            <w:tcW w:w="124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n/a</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0.00 %</w:t>
            </w:r>
          </w:p>
        </w:tc>
      </w:tr>
      <w:tr>
        <w:trPr>
          <w:trHeight w:val="210"/>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Volatility</w:t>
            </w:r>
          </w:p>
        </w:tc>
        <w:tc>
          <w:tcPr>
            <w:tcW w:w="124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n/a</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74.72 %</w:t>
            </w:r>
          </w:p>
        </w:tc>
      </w:tr>
      <w:tr>
        <w:trPr>
          <w:trHeight w:val="33"/>
        </w:trPr>
        <w:tc>
          <w:tcPr>
            <w:tcW w:w="8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3"/>
        </w:trPr>
        <w:tc>
          <w:tcPr>
            <w:tcW w:w="8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124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n/a</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4.17 %</w:t>
            </w:r>
          </w:p>
        </w:tc>
      </w:tr>
      <w:tr>
        <w:trPr>
          <w:trHeight w:val="210"/>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Expected Life</w:t>
            </w:r>
          </w:p>
        </w:tc>
        <w:tc>
          <w:tcPr>
            <w:tcW w:w="124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n/a</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 years</w:t>
            </w:r>
          </w:p>
        </w:tc>
      </w:tr>
    </w:tbl>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have been no stock options granted under the 2024 Plan. A summary of stock option activity under the Company’s 2014 Plan for the nine months ended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September 30, 2025 is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9"/>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9"/>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Contractual Term in</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Aggregate Intrinsic</w:t>
            </w:r>
          </w:p>
        </w:tc>
      </w:tr>
      <w:tr>
        <w:trPr>
          <w:trHeight w:val="212"/>
        </w:trPr>
        <w:tc>
          <w:tcPr>
            <w:tcW w:w="5040" w:type="dxa"/>
            <w:vAlign w:val="bottom"/>
            <w:gridSpan w:val="2"/>
          </w:tcPr>
          <w:p>
            <w:pPr>
              <w:ind w:left="2000"/>
              <w:spacing w:after="0"/>
              <w:rPr>
                <w:sz w:val="20"/>
                <w:szCs w:val="20"/>
                <w:color w:val="auto"/>
              </w:rPr>
            </w:pPr>
            <w:r>
              <w:rPr>
                <w:rFonts w:ascii="Times New Roman" w:cs="Times New Roman" w:eastAsia="Times New Roman" w:hAnsi="Times New Roman"/>
                <w:sz w:val="16"/>
                <w:szCs w:val="16"/>
                <w:b w:val="1"/>
                <w:bCs w:val="1"/>
                <w:color w:val="auto"/>
              </w:rPr>
              <w:t>Stock Options</w:t>
            </w: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Price per Share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Years</w:t>
            </w:r>
          </w:p>
        </w:tc>
        <w:tc>
          <w:tcPr>
            <w:tcW w:w="320" w:type="dxa"/>
            <w:vAlign w:val="bottom"/>
          </w:tcPr>
          <w:p>
            <w:pPr>
              <w:spacing w:after="0"/>
              <w:rPr>
                <w:sz w:val="18"/>
                <w:szCs w:val="18"/>
                <w:color w:val="auto"/>
              </w:rPr>
            </w:pPr>
          </w:p>
        </w:tc>
        <w:tc>
          <w:tcPr>
            <w:tcW w:w="116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33"/>
        </w:trPr>
        <w:tc>
          <w:tcPr>
            <w:tcW w:w="4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23"/>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at January 1, 2025</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281,913</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3,517,171</w:t>
            </w:r>
          </w:p>
        </w:tc>
      </w:tr>
      <w:tr>
        <w:trPr>
          <w:trHeight w:val="243"/>
        </w:trPr>
        <w:tc>
          <w:tcPr>
            <w:tcW w:w="4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23"/>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Exercised</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(66,507)</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756,657</w:t>
            </w:r>
          </w:p>
        </w:tc>
      </w:tr>
      <w:tr>
        <w:trPr>
          <w:trHeight w:val="33"/>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Expired/Forfeited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(16,249)</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231,902</w:t>
            </w:r>
          </w:p>
        </w:tc>
      </w:tr>
      <w:tr>
        <w:trPr>
          <w:trHeight w:val="230"/>
        </w:trPr>
        <w:tc>
          <w:tcPr>
            <w:tcW w:w="4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68"/>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at September 30, 2025</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199,157</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2,766,687</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190"/>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68"/>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Vested and Exercisable at September 30, 2025</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79,190</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1,100,107</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aggregate intrinsic value of options outstanding and options exercisable at September 30, 2025 is calculated as the difference between the exercise price of the underlying options and the market price of the Company’s Common Stock for the options that had exercise prices that were lower than the $14.70 closing price of the Company’s Common Stock on September 30, 2025. The total intrinsic value of options when forfeited are determined as of the date of forfeiture. The total intrinsic value of options when expired are determined as of the date of expiration.</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Participants in the 2014 Plan and the 2024 Plan may exercise their outstanding vested options, in whole or in part, by having the Company reduce the number of shares otherwise issuable by a number of shares having a fair market value equal to the exercise price of the option being exercised ("Net Exercise"), or by exchanging a number of shares owned for a period of greater than one year having a fair market value equal to the exercise price of the option being exercised ("Share Exchange").</w:t>
      </w:r>
    </w:p>
    <w:p>
      <w:pPr>
        <w:spacing w:after="0" w:line="190"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6"/>
          <w:szCs w:val="16"/>
          <w:color w:val="auto"/>
        </w:rPr>
        <w:t>The Company received $64,591 from the exercise of 28,757 options during the nine months ended September 30, 2025. The remaining options exercised during the nine months ended September 30, 2025 were Net Exercises and Share Exchanges, resulting in the issuance of 23,564 shares of Common Stock. No options were exercised during the nine months ended September 30,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September 30, 2025, the estimated fair value of unamortized compensation cost related to 119,967 unvested stock option awards was approximately $13,000.</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Unamortized compensation cost as of September 30, 2025 is expected to be recognized over a remaining weighted-average vesting period of 1.27 years.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Restricted Stock Awards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summary of the restricted Common Stock activity under the 2014 Plan and the 2024 Plan for the nine months ended September 30, 2025 is as follows: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9"/>
        </w:trPr>
        <w:tc>
          <w:tcPr>
            <w:tcW w:w="6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160" w:type="dxa"/>
            <w:vAlign w:val="bottom"/>
          </w:tcPr>
          <w:p>
            <w:pPr>
              <w:spacing w:after="0"/>
              <w:rPr>
                <w:sz w:val="16"/>
                <w:szCs w:val="16"/>
                <w:color w:val="auto"/>
              </w:rPr>
            </w:pPr>
          </w:p>
        </w:tc>
        <w:tc>
          <w:tcPr>
            <w:tcW w:w="13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Aggregate Fair</w:t>
            </w:r>
          </w:p>
        </w:tc>
      </w:tr>
      <w:tr>
        <w:trPr>
          <w:trHeight w:val="212"/>
        </w:trPr>
        <w:tc>
          <w:tcPr>
            <w:tcW w:w="6600" w:type="dxa"/>
            <w:vAlign w:val="bottom"/>
            <w:gridSpan w:val="2"/>
          </w:tcPr>
          <w:p>
            <w:pPr>
              <w:ind w:left="2400"/>
              <w:spacing w:after="0"/>
              <w:rPr>
                <w:sz w:val="20"/>
                <w:szCs w:val="20"/>
                <w:color w:val="auto"/>
              </w:rPr>
            </w:pPr>
            <w:r>
              <w:rPr>
                <w:rFonts w:ascii="Times New Roman" w:cs="Times New Roman" w:eastAsia="Times New Roman" w:hAnsi="Times New Roman"/>
                <w:sz w:val="16"/>
                <w:szCs w:val="16"/>
                <w:b w:val="1"/>
                <w:bCs w:val="1"/>
                <w:color w:val="auto"/>
              </w:rPr>
              <w:t>Restricted Stock Awards</w:t>
            </w:r>
          </w:p>
        </w:tc>
        <w:tc>
          <w:tcPr>
            <w:tcW w:w="1580" w:type="dxa"/>
            <w:vAlign w:val="bottom"/>
            <w:gridSpan w:val="2"/>
          </w:tcPr>
          <w:p>
            <w:pPr>
              <w:ind w:left="5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 per Share</w:t>
            </w:r>
          </w:p>
        </w:tc>
        <w:tc>
          <w:tcPr>
            <w:tcW w:w="160" w:type="dxa"/>
            <w:vAlign w:val="bottom"/>
          </w:tcPr>
          <w:p>
            <w:pPr>
              <w:spacing w:after="0"/>
              <w:rPr>
                <w:sz w:val="18"/>
                <w:szCs w:val="18"/>
                <w:color w:val="auto"/>
              </w:rPr>
            </w:pPr>
          </w:p>
        </w:tc>
        <w:tc>
          <w:tcPr>
            <w:tcW w:w="132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33"/>
        </w:trPr>
        <w:tc>
          <w:tcPr>
            <w:tcW w:w="6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6"/>
        </w:trPr>
        <w:tc>
          <w:tcPr>
            <w:tcW w:w="6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23"/>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January 1, 2025</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267,586</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1,402,151</w:t>
            </w:r>
          </w:p>
        </w:tc>
      </w:tr>
      <w:tr>
        <w:trPr>
          <w:trHeight w:val="243"/>
        </w:trPr>
        <w:tc>
          <w:tcPr>
            <w:tcW w:w="6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23"/>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140,760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2,105,770</w:t>
            </w:r>
          </w:p>
        </w:tc>
      </w:tr>
      <w:tr>
        <w:trPr>
          <w:trHeight w:val="21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Vested</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(223,204)</w:t>
            </w:r>
          </w:p>
        </w:tc>
        <w:tc>
          <w:tcPr>
            <w:tcW w:w="10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(928,529)</w:t>
            </w:r>
          </w:p>
        </w:tc>
      </w:tr>
      <w:tr>
        <w:trPr>
          <w:trHeight w:val="33"/>
        </w:trPr>
        <w:tc>
          <w:tcPr>
            <w:tcW w:w="6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(97,290)</w:t>
            </w:r>
          </w:p>
        </w:tc>
      </w:tr>
      <w:tr>
        <w:trPr>
          <w:trHeight w:val="250"/>
        </w:trPr>
        <w:tc>
          <w:tcPr>
            <w:tcW w:w="6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r>
      <w:tr>
        <w:trPr>
          <w:trHeight w:val="268"/>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September 30, 2025</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174,439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2,482,102</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Fair value was calculated using the closing price of the Company’s Common Stock on the grant date. For the three months ended September 30, 2025 and 2024, stock-based compensation for these grants was approximately $398,000 and $306,000, respectively, which is included in other operating expenses on the accompanying condensed consolidated statements of income and comprehensive income. For the nine months ended September 30, 2025 and 2024, stock-based compensation for these grants was approximately $1,148,000 and $747,000, respectively, which is included in other operating expenses on the accompanying condensed consolidated statements of income and comprehensive income. These amounts reflect the Company’s accounting expense and do not correspond to the actual value that will be recognized by the directors, executives and employees. Unamortized compensation cost of $1,496,376 as of September 30, 2025 is expected to be recognized over a remaining weighted-average vesting period of 1.91 years.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Employee Stock Purchase Plan</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On June 19, 2021, the Company’s Board of Directors adopted the Kingstone Companies, Inc. Employee Stock Purchase Plan (the “ESPP”), subject to stockholder approval. Such approval was obtained on August 10, 2021. The purpose of the ESPP is to provide eligible employees of the Company with an opportunity to use payroll deductions to purchase shares of Common Stock of the Company. The maximum number of shares of Common Stock that may be purchased under the ESPP is 750,000, subject to adjustment as provided for in the ESPP. The ESPP was effective August 10, 2021 and expires on August 10, 2031. A maximum of 5,000 shares of Common Stock may be purchased by an employee during any offering period.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The initial offering period under the ESPP was from November 1, 2021 through October 31, 2022. There was no offering pursuant to the ESPP from November 1, 2022 through December 31, 2024. Effective January 1, 2025, the Company initiated an offering period of January 1, 2025 through December 31, 2025 under the ESPP (the "2025 Offering'). For the three months ended September 30, 2025 and 2024, stock-based compensation under the 2025 Offering was approximately $10,000 and $0, respectively, which is included in other</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operating expenses on the accompanying condensed consolidated statements of income and comprehensive income. For the nine months ended September 30, 2025 and 2024, stock-based compensation under the 2025 Offering was approximately $26,000 and $0, respectively, which is included in other operating expenses on the accompanying condensed consolidated statements of income and comprehensive income.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Warrants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connection with the 2022 Exchange Agreement (see Note 7 – Debt – “Exchange Agreements”), as additional consideration, on December 15, 2022, the Company issued</w:t>
      </w:r>
    </w:p>
    <w:p>
      <w:pPr>
        <w:spacing w:after="0" w:line="10"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6"/>
          <w:szCs w:val="16"/>
          <w:color w:val="auto"/>
        </w:rPr>
        <w:t>warrants (the "Warrants") to the 2022 Exchanging Noteholders to purchase 969,525 shares of Common Stock. Pursuant to the 2024 Exchange Agreement, the expiration date of the Warrants was extended to June 30, 2026 from December 30, 2025. The fair value of the Warrants, using the Black-Scholes valuation formula, was $993,200,</w:t>
      </w:r>
    </w:p>
    <w:p>
      <w:pPr>
        <w:jc w:val="both"/>
        <w:spacing w:after="0" w:line="236" w:lineRule="auto"/>
        <w:rPr>
          <w:sz w:val="20"/>
          <w:szCs w:val="20"/>
          <w:color w:val="auto"/>
        </w:rPr>
      </w:pPr>
      <w:r>
        <w:rPr>
          <w:rFonts w:ascii="Times New Roman" w:cs="Times New Roman" w:eastAsia="Times New Roman" w:hAnsi="Times New Roman"/>
          <w:sz w:val="16"/>
          <w:szCs w:val="16"/>
          <w:color w:val="auto"/>
        </w:rPr>
        <w:t>which has been capitalized as a deferred financing cost of the 2022 Notes and the 2024 Notes. The fair value of the Warrants is being amortized over the life of the Warrants, which is 36.5 months through September 12, 2024 and effective as of such date, the unamortized balance is being amortized over the extended life of the Warrants, which is now 21.5 months.</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In accordance with ASC 815 - Derivatives and Hedging – Subsequent Measurement, the effect of a modification or an exchange shall be measured as the difference between the fair value of the modified or exchanged instrument and the fair value of that instrument immediately before it is modified or exchanged. The Company calculated the respective fair values and determined the difference was immaterial.</w:t>
      </w:r>
    </w:p>
    <w:p>
      <w:pPr>
        <w:spacing w:after="0" w:line="18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Warrants are exercisable through June 30, 2026 at an exercise price of $1.00 per share. Holders of the Warrants may exercise their outstanding Warrants in cash, or, in whole or in part, by having the Company reduce the number of shares otherwise issuable by a number of shares having a fair market value equal to the exercise price of the Warrants being exercised ("Net Exercise").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During the nine months ended September 30, 2025, holders exercised 394,525 Warrants under Net Exercises, resulting in the issuance of 371,634 shares of Common Stock.</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 warrants were exercised or granted during the nine months ended September 30, 2024.</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September 30, 2025, Warrants for the purchase of an aggregate of 247,500 shares of Common Stock were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Shelf Registration</w:t>
      </w:r>
    </w:p>
    <w:p>
      <w:pPr>
        <w:spacing w:after="0" w:line="23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On April 5, 2024, the Company filed a shelf registration statement on Form S-3 with the SEC under the Securities Act of 1933, as amended, with regard to the registration of $50,000,000 of its equity and debt securities (the “Shelf Registration Statement”). The Shelf Registration Statement was declared effective by the SEC on April 22, 2024. Any offering made pursuant to the Shelf Registration Statement may only be made by means of a prospectus, including a prospectus supplement, forming a part of the effective Shelf Registration Statement, relating to the offering.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At-the-Market Offering</w:t>
      </w:r>
    </w:p>
    <w:p>
      <w:pPr>
        <w:spacing w:after="0" w:line="23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In May 2024, the Company entered into a Sales Agreement with Janney Montgomery Scott LLC (the “Sales Agent”) under which the Company initially had the ability to issue and sell shares of its Common Stock, from time to time, through the Sales Agent, pursuant to the Shelf Registration Statement, up to an aggregate offering price of approximately $16,400,000 in what is referred to as an “at-the-market” (“ATM”) program. On January 7, 2025, the Company filed a prospectus supplement providing for a going forward aggregate offering price for the ATM program of $25,000,000. During the nine months ended September 30, 2025, the Company sold 612,999 shares of its Common Stock at a weighted average price of $16.00 per share and raised $9,464,323 in net proceeds under the ATM program. As of September 30, 2025, the Company had remaining capacity to sell up to an additional $15,945,937 of Common Stock under the ATM program.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9 – Income Taxes</w:t>
      </w:r>
    </w:p>
    <w:p>
      <w:pPr>
        <w:spacing w:after="0" w:line="22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The Company files a consolidated U.S. federal income tax return that includes all wholly-owned subsidiaries. State tax returns are filed on a consolidated or separate return basis depending on applicable laws. The Company records adjustments related to prior years’ taxes during the period when they are identified, generally when the tax returns are filed. The effect of these adjustments on the current and prior periods (during which the differences originated) is evaluated based upon quantitative and qualitative factors and are considered in relation to the consolidated financial statements taken as a whole for the respective periods.</w:t>
      </w:r>
    </w:p>
    <w:p>
      <w:pPr>
        <w:spacing w:after="0" w:line="17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Deferred tax assets and liabilities are determined using the enacted tax rates applicable to the period the temporary differences are expected to be recovered. Accordingly, the current period income tax provision can be affected by the enactment of new tax rates. The net deferred income taxes on the balance sheets reflect temporary differences between the carrying amounts of the assets and liabilities for financial reporting purposes and income tax purposes, tax effected at various rates depending on whether the temporary differences are subject to federal taxes, state taxes, or both.</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Significant components of the Company’s deferred tax assets and liabilities are as follows:</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422"/>
        </w:trPr>
        <w:tc>
          <w:tcPr>
            <w:tcW w:w="7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24"/>
                <w:szCs w:val="24"/>
                <w:color w:val="auto"/>
              </w:rPr>
            </w:pPr>
          </w:p>
        </w:tc>
        <w:tc>
          <w:tcPr>
            <w:tcW w:w="13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25"/>
        </w:trPr>
        <w:tc>
          <w:tcPr>
            <w:tcW w:w="7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453"/>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Deferred tax asset:</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3"/>
        </w:trPr>
        <w:tc>
          <w:tcPr>
            <w:tcW w:w="7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3"/>
        </w:trPr>
        <w:tc>
          <w:tcPr>
            <w:tcW w:w="80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operating loss carryovers (1)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419,357</w:t>
            </w:r>
          </w:p>
        </w:tc>
      </w:tr>
      <w:tr>
        <w:trPr>
          <w:trHeight w:val="210"/>
        </w:trPr>
        <w:tc>
          <w:tcPr>
            <w:tcW w:w="80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Claims reserve discount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1,477,311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1,305,466</w:t>
            </w:r>
          </w:p>
        </w:tc>
      </w:tr>
      <w:tr>
        <w:trPr>
          <w:trHeight w:val="33"/>
        </w:trPr>
        <w:tc>
          <w:tcPr>
            <w:tcW w:w="7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3"/>
        </w:trPr>
        <w:tc>
          <w:tcPr>
            <w:tcW w:w="80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Unearned premium</w:t>
            </w:r>
          </w:p>
        </w:tc>
        <w:tc>
          <w:tcPr>
            <w:tcW w:w="18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4,290,382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3,810,973</w:t>
            </w:r>
          </w:p>
        </w:tc>
      </w:tr>
      <w:tr>
        <w:trPr>
          <w:trHeight w:val="210"/>
        </w:trPr>
        <w:tc>
          <w:tcPr>
            <w:tcW w:w="80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Deferred ceding commission revenue</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1,588,108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2,423,660</w:t>
            </w:r>
          </w:p>
        </w:tc>
      </w:tr>
      <w:tr>
        <w:trPr>
          <w:trHeight w:val="33"/>
        </w:trPr>
        <w:tc>
          <w:tcPr>
            <w:tcW w:w="7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3"/>
        </w:trPr>
        <w:tc>
          <w:tcPr>
            <w:tcW w:w="80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unrealized losses on securities</w:t>
            </w:r>
          </w:p>
        </w:tc>
        <w:tc>
          <w:tcPr>
            <w:tcW w:w="18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1,655,751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3,069,900</w:t>
            </w:r>
          </w:p>
        </w:tc>
      </w:tr>
      <w:tr>
        <w:trPr>
          <w:trHeight w:val="210"/>
        </w:trPr>
        <w:tc>
          <w:tcPr>
            <w:tcW w:w="80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1,384,392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834,921</w:t>
            </w:r>
          </w:p>
        </w:tc>
      </w:tr>
      <w:tr>
        <w:trPr>
          <w:trHeight w:val="33"/>
        </w:trPr>
        <w:tc>
          <w:tcPr>
            <w:tcW w:w="7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8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deferred tax assets</w:t>
            </w: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10,395,944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11,864,277</w:t>
            </w:r>
          </w:p>
        </w:tc>
      </w:tr>
      <w:tr>
        <w:trPr>
          <w:trHeight w:val="236"/>
        </w:trPr>
        <w:tc>
          <w:tcPr>
            <w:tcW w:w="7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r>
      <w:tr>
        <w:trPr>
          <w:trHeight w:val="223"/>
        </w:trPr>
        <w:tc>
          <w:tcPr>
            <w:tcW w:w="8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liability:</w:t>
            </w:r>
          </w:p>
        </w:tc>
        <w:tc>
          <w:tcPr>
            <w:tcW w:w="18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r>
      <w:tr>
        <w:trPr>
          <w:trHeight w:val="210"/>
        </w:trPr>
        <w:tc>
          <w:tcPr>
            <w:tcW w:w="80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Investment in KICO (2)</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759,543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759,543</w:t>
            </w:r>
          </w:p>
        </w:tc>
      </w:tr>
      <w:tr>
        <w:trPr>
          <w:trHeight w:val="33"/>
        </w:trPr>
        <w:tc>
          <w:tcPr>
            <w:tcW w:w="7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3"/>
        </w:trPr>
        <w:tc>
          <w:tcPr>
            <w:tcW w:w="80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policy acquisition costs</w:t>
            </w:r>
          </w:p>
        </w:tc>
        <w:tc>
          <w:tcPr>
            <w:tcW w:w="18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5,329,334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5,193,798</w:t>
            </w:r>
          </w:p>
        </w:tc>
      </w:tr>
      <w:tr>
        <w:trPr>
          <w:trHeight w:val="210"/>
        </w:trPr>
        <w:tc>
          <w:tcPr>
            <w:tcW w:w="80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Intangible assets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105,000</w:t>
            </w:r>
          </w:p>
        </w:tc>
      </w:tr>
      <w:tr>
        <w:trPr>
          <w:trHeight w:val="33"/>
        </w:trPr>
        <w:tc>
          <w:tcPr>
            <w:tcW w:w="7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80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208,016</w:t>
            </w:r>
          </w:p>
        </w:tc>
      </w:tr>
      <w:tr>
        <w:trPr>
          <w:trHeight w:val="204"/>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deferred tax liabilities</w:t>
            </w:r>
          </w:p>
        </w:tc>
        <w:tc>
          <w:tcPr>
            <w:tcW w:w="1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6,257,800</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6,266,357</w:t>
            </w:r>
          </w:p>
        </w:tc>
      </w:tr>
      <w:tr>
        <w:trPr>
          <w:trHeight w:val="33"/>
        </w:trPr>
        <w:tc>
          <w:tcPr>
            <w:tcW w:w="7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7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10"/>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deferred income tax asset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4,138,144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5,597,920</w:t>
            </w:r>
          </w:p>
        </w:tc>
      </w:tr>
      <w:tr>
        <w:trPr>
          <w:trHeight w:val="33"/>
        </w:trPr>
        <w:tc>
          <w:tcPr>
            <w:tcW w:w="7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
        </w:trPr>
        <w:tc>
          <w:tcPr>
            <w:tcW w:w="7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2040" w:hanging="979"/>
        <w:spacing w:after="0"/>
        <w:tabs>
          <w:tab w:leader="none" w:pos="20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deferred tax assets from net operating loss carryovers (“NOL”) are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6"/>
                <w:szCs w:val="16"/>
                <w:color w:val="auto"/>
              </w:rPr>
            </w:pPr>
          </w:p>
        </w:tc>
        <w:tc>
          <w:tcPr>
            <w:tcW w:w="13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Pr>
          <w:p>
            <w:pPr>
              <w:spacing w:after="0"/>
              <w:rPr>
                <w:sz w:val="16"/>
                <w:szCs w:val="16"/>
                <w:color w:val="auto"/>
              </w:rPr>
            </w:pPr>
          </w:p>
        </w:tc>
        <w:tc>
          <w:tcPr>
            <w:tcW w:w="2540" w:type="dxa"/>
            <w:vAlign w:val="bottom"/>
          </w:tcPr>
          <w:p>
            <w:pPr>
              <w:spacing w:after="0"/>
              <w:rPr>
                <w:sz w:val="16"/>
                <w:szCs w:val="16"/>
                <w:color w:val="auto"/>
              </w:rPr>
            </w:pPr>
          </w:p>
        </w:tc>
      </w:tr>
      <w:tr>
        <w:trPr>
          <w:trHeight w:val="212"/>
        </w:trPr>
        <w:tc>
          <w:tcPr>
            <w:tcW w:w="5400" w:type="dxa"/>
            <w:vAlign w:val="bottom"/>
            <w:gridSpan w:val="2"/>
          </w:tcPr>
          <w:p>
            <w:pPr>
              <w:ind w:left="2200"/>
              <w:spacing w:after="0"/>
              <w:rPr>
                <w:sz w:val="20"/>
                <w:szCs w:val="20"/>
                <w:color w:val="auto"/>
              </w:rPr>
            </w:pPr>
            <w:r>
              <w:rPr>
                <w:rFonts w:ascii="Times New Roman" w:cs="Times New Roman" w:eastAsia="Times New Roman" w:hAnsi="Times New Roman"/>
                <w:sz w:val="16"/>
                <w:szCs w:val="16"/>
                <w:b w:val="1"/>
                <w:bCs w:val="1"/>
                <w:color w:val="auto"/>
              </w:rPr>
              <w:t>Type of NOL</w:t>
            </w:r>
          </w:p>
        </w:tc>
        <w:tc>
          <w:tcPr>
            <w:tcW w:w="180" w:type="dxa"/>
            <w:vAlign w:val="bottom"/>
          </w:tcPr>
          <w:p>
            <w:pPr>
              <w:spacing w:after="0"/>
              <w:rPr>
                <w:sz w:val="18"/>
                <w:szCs w:val="18"/>
                <w:color w:val="auto"/>
              </w:rPr>
            </w:pPr>
          </w:p>
        </w:tc>
        <w:tc>
          <w:tcPr>
            <w:tcW w:w="136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Expiration</w:t>
            </w:r>
          </w:p>
        </w:tc>
      </w:tr>
      <w:tr>
        <w:trPr>
          <w:trHeight w:val="33"/>
        </w:trPr>
        <w:tc>
          <w:tcPr>
            <w:tcW w:w="5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250"/>
        </w:trPr>
        <w:tc>
          <w:tcPr>
            <w:tcW w:w="5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540" w:type="dxa"/>
            <w:vAlign w:val="bottom"/>
          </w:tcPr>
          <w:p>
            <w:pPr>
              <w:spacing w:after="0"/>
              <w:rPr>
                <w:sz w:val="21"/>
                <w:szCs w:val="21"/>
                <w:color w:val="auto"/>
              </w:rPr>
            </w:pPr>
          </w:p>
        </w:tc>
      </w:tr>
      <w:tr>
        <w:trPr>
          <w:trHeight w:val="243"/>
        </w:trPr>
        <w:tc>
          <w:tcPr>
            <w:tcW w:w="54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Federal only, NOL from 2024 and 2023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419,357</w:t>
            </w:r>
          </w:p>
        </w:tc>
        <w:tc>
          <w:tcPr>
            <w:tcW w:w="8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None</w:t>
            </w:r>
          </w:p>
        </w:tc>
      </w:tr>
      <w:tr>
        <w:trPr>
          <w:trHeight w:val="250"/>
        </w:trPr>
        <w:tc>
          <w:tcPr>
            <w:tcW w:w="5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540" w:type="dxa"/>
            <w:vAlign w:val="bottom"/>
          </w:tcPr>
          <w:p>
            <w:pPr>
              <w:spacing w:after="0"/>
              <w:rPr>
                <w:sz w:val="21"/>
                <w:szCs w:val="21"/>
                <w:color w:val="auto"/>
              </w:rPr>
            </w:pPr>
          </w:p>
        </w:tc>
      </w:tr>
      <w:tr>
        <w:trPr>
          <w:trHeight w:val="223"/>
        </w:trPr>
        <w:tc>
          <w:tcPr>
            <w:tcW w:w="540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State only (A)</w:t>
            </w:r>
          </w:p>
        </w:tc>
        <w:tc>
          <w:tcPr>
            <w:tcW w:w="18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3,343,160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3,075,395</w:t>
            </w:r>
          </w:p>
        </w:tc>
        <w:tc>
          <w:tcPr>
            <w:tcW w:w="80" w:type="dxa"/>
            <w:vAlign w:val="bottom"/>
            <w:tcBorders>
              <w:bottom w:val="single" w:sz="8" w:color="CCEEFF"/>
            </w:tcBorders>
            <w:shd w:val="clear" w:color="auto" w:fill="CCEEFF"/>
          </w:tcPr>
          <w:p>
            <w:pPr>
              <w:spacing w:after="0"/>
              <w:rPr>
                <w:sz w:val="19"/>
                <w:szCs w:val="19"/>
                <w:color w:val="auto"/>
              </w:rPr>
            </w:pPr>
          </w:p>
        </w:tc>
        <w:tc>
          <w:tcPr>
            <w:tcW w:w="2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December 2027 - December 2045</w:t>
            </w:r>
          </w:p>
        </w:tc>
      </w:tr>
      <w:tr>
        <w:trPr>
          <w:trHeight w:val="210"/>
        </w:trPr>
        <w:tc>
          <w:tcPr>
            <w:tcW w:w="54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Valuation allowance</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(3,343,160)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(3,075,395)</w:t>
            </w:r>
          </w:p>
        </w:tc>
        <w:tc>
          <w:tcPr>
            <w:tcW w:w="8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33"/>
        </w:trPr>
        <w:tc>
          <w:tcPr>
            <w:tcW w:w="5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r>
      <w:tr>
        <w:trPr>
          <w:trHeight w:val="237"/>
        </w:trPr>
        <w:tc>
          <w:tcPr>
            <w:tcW w:w="540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State only, net of valuation allowance</w:t>
            </w: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540" w:type="dxa"/>
            <w:vAlign w:val="bottom"/>
            <w:tcBorders>
              <w:bottom w:val="single" w:sz="8" w:color="CCEEFF"/>
            </w:tcBorders>
            <w:shd w:val="clear" w:color="auto" w:fill="CCEEFF"/>
          </w:tcPr>
          <w:p>
            <w:pPr>
              <w:spacing w:after="0"/>
              <w:rPr>
                <w:sz w:val="20"/>
                <w:szCs w:val="20"/>
                <w:color w:val="auto"/>
              </w:rPr>
            </w:pPr>
          </w:p>
        </w:tc>
      </w:tr>
      <w:tr>
        <w:trPr>
          <w:trHeight w:val="250"/>
        </w:trPr>
        <w:tc>
          <w:tcPr>
            <w:tcW w:w="5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540" w:type="dxa"/>
            <w:vAlign w:val="bottom"/>
          </w:tcPr>
          <w:p>
            <w:pPr>
              <w:spacing w:after="0"/>
              <w:rPr>
                <w:sz w:val="21"/>
                <w:szCs w:val="21"/>
                <w:color w:val="auto"/>
              </w:rPr>
            </w:pPr>
          </w:p>
        </w:tc>
      </w:tr>
      <w:tr>
        <w:trPr>
          <w:trHeight w:val="268"/>
        </w:trPr>
        <w:tc>
          <w:tcPr>
            <w:tcW w:w="540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Total deferred tax asset from net operating loss carryovers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419,357</w:t>
            </w:r>
          </w:p>
        </w:tc>
        <w:tc>
          <w:tcPr>
            <w:tcW w:w="80" w:type="dxa"/>
            <w:vAlign w:val="bottom"/>
            <w:tcBorders>
              <w:bottom w:val="single" w:sz="8" w:color="CCEEFF"/>
            </w:tcBorders>
            <w:shd w:val="clear" w:color="auto" w:fill="CCEEFF"/>
          </w:tcPr>
          <w:p>
            <w:pPr>
              <w:spacing w:after="0"/>
              <w:rPr>
                <w:sz w:val="22"/>
                <w:szCs w:val="22"/>
                <w:color w:val="auto"/>
              </w:rPr>
            </w:pPr>
          </w:p>
        </w:tc>
        <w:tc>
          <w:tcPr>
            <w:tcW w:w="2540" w:type="dxa"/>
            <w:vAlign w:val="bottom"/>
            <w:tcBorders>
              <w:bottom w:val="single" w:sz="8" w:color="CCEEFF"/>
            </w:tcBorders>
            <w:shd w:val="clear" w:color="auto" w:fill="CCEEFF"/>
          </w:tcPr>
          <w:p>
            <w:pPr>
              <w:spacing w:after="0"/>
              <w:rPr>
                <w:sz w:val="22"/>
                <w:szCs w:val="22"/>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r>
    </w:tbl>
    <w:p>
      <w:pPr>
        <w:spacing w:after="0" w:line="283" w:lineRule="exact"/>
        <w:rPr>
          <w:sz w:val="20"/>
          <w:szCs w:val="20"/>
          <w:color w:val="auto"/>
        </w:rPr>
      </w:pPr>
    </w:p>
    <w:p>
      <w:pPr>
        <w:jc w:val="both"/>
        <w:ind w:left="1380" w:hanging="319"/>
        <w:spacing w:after="0" w:line="263" w:lineRule="auto"/>
        <w:tabs>
          <w:tab w:leader="none" w:pos="1375"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Kingstone generates operating losses for state purposes and has prior year NOLs available. The state NOL as of September 30, 2025 and December 31, 2024 was $51,433,225 and $47,313,775, respectively. KICO, the Company’s insurance underwriting subsidiary, is not subject to state income taxes. KICO’s state tax obligations are paid through a gross premiums tax, which is included in the condensed consolidated statements of income and comprehensive income within other underwriting expenses. Kingstone has recorded a full valuation allowance due to the uncertainty of generating enough state taxable income to utilize 100% of the available state NOLs over their remaining lives, which expire between 2027 and 2045.</w:t>
      </w:r>
    </w:p>
    <w:p>
      <w:pPr>
        <w:spacing w:after="0" w:line="180" w:lineRule="exact"/>
        <w:rPr>
          <w:sz w:val="20"/>
          <w:szCs w:val="20"/>
          <w:color w:val="auto"/>
        </w:rPr>
      </w:pPr>
    </w:p>
    <w:p>
      <w:pPr>
        <w:ind w:left="1060"/>
        <w:spacing w:after="0"/>
        <w:tabs>
          <w:tab w:leader="none" w:pos="1360" w:val="left"/>
        </w:tabs>
        <w:rPr>
          <w:sz w:val="20"/>
          <w:szCs w:val="20"/>
          <w:color w:val="auto"/>
        </w:rPr>
      </w:pPr>
      <w:r>
        <w:rPr>
          <w:rFonts w:ascii="Times New Roman" w:cs="Times New Roman" w:eastAsia="Times New Roman" w:hAnsi="Times New Roman"/>
          <w:sz w:val="16"/>
          <w:szCs w:val="16"/>
          <w:color w:val="auto"/>
        </w:rPr>
        <w:t>(2)</w:t>
        <w:tab/>
        <w:t>Deferred tax liability – Investment in KICO</w:t>
      </w:r>
    </w:p>
    <w:p>
      <w:pPr>
        <w:spacing w:after="0" w:line="235" w:lineRule="exact"/>
        <w:rPr>
          <w:sz w:val="20"/>
          <w:szCs w:val="20"/>
          <w:color w:val="auto"/>
        </w:rPr>
      </w:pPr>
    </w:p>
    <w:p>
      <w:pPr>
        <w:jc w:val="both"/>
        <w:ind w:left="1040"/>
        <w:spacing w:after="0" w:line="260" w:lineRule="auto"/>
        <w:rPr>
          <w:sz w:val="20"/>
          <w:szCs w:val="20"/>
          <w:color w:val="auto"/>
        </w:rPr>
      </w:pPr>
      <w:r>
        <w:rPr>
          <w:rFonts w:ascii="Times New Roman" w:cs="Times New Roman" w:eastAsia="Times New Roman" w:hAnsi="Times New Roman"/>
          <w:sz w:val="16"/>
          <w:szCs w:val="16"/>
          <w:color w:val="auto"/>
        </w:rPr>
        <w:t>On July 1, 2009, the Company completed the acquisition of 100% of the issued and outstanding common stock of KICO (formerly known as Commercial Mutual Insurance Company (“CMIC”)) pursuant to the conversion of CMIC from an advance premium cooperative to a stock property and casualty insurance company. Pursuant to the plan of conversion, the Company acquired a 100% equity interest in KICO, in consideration for the exchange of $3,750,000 principal amount of surplus notes of CMIC. In addition, the Company forgave all accrued and unpaid interest on the surplus notes as of the date of conversion. As of the date of acquisition, unpaid accrued interest on the surplus notes along with the accretion of the discount on the original purchase of the surplus notes totaled $2,921,319 (together “Untaxed Interest”).</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1040"/>
        <w:spacing w:after="0" w:line="263" w:lineRule="auto"/>
        <w:rPr>
          <w:sz w:val="20"/>
          <w:szCs w:val="20"/>
          <w:color w:val="auto"/>
        </w:rPr>
      </w:pPr>
      <w:r>
        <w:rPr>
          <w:rFonts w:ascii="Times New Roman" w:cs="Times New Roman" w:eastAsia="Times New Roman" w:hAnsi="Times New Roman"/>
          <w:sz w:val="16"/>
          <w:szCs w:val="16"/>
          <w:color w:val="auto"/>
        </w:rPr>
        <w:t>As of the date of acquisition, the deferred tax liability on the Untaxed Interest was $1,169,000. A temporary difference with an indefinite life exists when the parent has a lower carrying value of its subsidiary for income tax purposes. The deferred tax liability was reduced to $759,543 upon the reduction of federal income tax rates as of December 31, 2017. The Company is required to maintain its deferred tax liability of $759,543 related to this temporary difference until the stock of KICO is sold, or the assets of KICO are sold or KICO and the parent are merged.</w:t>
      </w:r>
    </w:p>
    <w:p>
      <w:pPr>
        <w:spacing w:after="0" w:line="19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assessing the valuation of deferred tax assets, the Company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No valuation allowance against deferred tax assets has been established, except for NOL limitations, as the Company believes it is more likely than not the deferred tax assets will be realized based on the historical taxable income of KICO, or by offset to deferred tax liabilities.</w:t>
      </w:r>
    </w:p>
    <w:p>
      <w:pPr>
        <w:spacing w:after="0" w:line="17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Company had no material unrecognized tax benefit and no adjustments to liabilities or operations were required. There were no interest or penalties related to income taxes that have been accrued or recognized as of and for the nine months ended September 30, 2025 and 2024. If any had been recognized these would have been reported in income tax expense.</w:t>
      </w:r>
    </w:p>
    <w:p>
      <w:pPr>
        <w:spacing w:after="0" w:line="171"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Generally, taxing authorities may examine the Company’s tax returns for the three years from the date of filing. The Company’s tax returns for the years ended December 31, 2021 through December 31, 2024 remain subject to examination.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10 – Earnings Per Common Share</w:t>
      </w:r>
    </w:p>
    <w:p>
      <w:pPr>
        <w:spacing w:after="0" w:line="2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Basic net earnings per common share is computed by dividing net income by the weighted-average number of shares of Common Stock outstanding. Diluted earnings per common share reflects, in periods in which it has a dilutive effect, the impact of shares of Common Stock issuable upon exercise of stock options and warrants as well as non-vested restricted stock awards. The computation of diluted earnings per common share excludes those options and warrants with an exercise price in excess of the average market price of the Company’s Common Stock during the periods presented. For the three months ended September 30, 2025 and 2024, there were -0- options and 61,270 options, respectively, with an exercise price in excess of the average market price of the Company’s Common Stock during the periods. For the nine months ended September 30, 2025 and 2024, there were -0- options and 61,270 options, respectively, with an exercise price in excess of the average market price of the Company’s Common Stock during the periods. For the three months and nine months ended September 30, 2025 and 2024, there were no warrants with an exercise price in excess of the average market price of the Company’s Common Stock during the periods.</w:t>
      </w:r>
    </w:p>
    <w:p>
      <w:pPr>
        <w:spacing w:after="0" w:line="19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computation of diluted earnings per common share excludes outstanding options, warrants and non-vested restricted stock awards in periods where the exercise of such options and warrants or vesting of such restricted stock awards would be anti-dilutive. For the three months ended September 30, 2025 and 2024, there were no options, warrants or restricted stock awards that were anti-dilutive for the relevant periods.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reconciliation of the weighted average number of shares of Common Stock used in the calculation of basic and diluted earnings per common share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20" w:type="dxa"/>
            <w:vAlign w:val="bottom"/>
          </w:tcPr>
          <w:p>
            <w:pPr>
              <w:spacing w:after="0"/>
              <w:rPr>
                <w:sz w:val="16"/>
                <w:szCs w:val="16"/>
                <w:color w:val="auto"/>
              </w:rPr>
            </w:pPr>
          </w:p>
        </w:tc>
        <w:tc>
          <w:tcPr>
            <w:tcW w:w="316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6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25"/>
        </w:trPr>
        <w:tc>
          <w:tcPr>
            <w:tcW w:w="5020" w:type="dxa"/>
            <w:vAlign w:val="bottom"/>
          </w:tcPr>
          <w:p>
            <w:pPr>
              <w:spacing w:after="0"/>
              <w:rPr>
                <w:sz w:val="19"/>
                <w:szCs w:val="19"/>
                <w:color w:val="auto"/>
              </w:rPr>
            </w:pPr>
          </w:p>
        </w:tc>
        <w:tc>
          <w:tcPr>
            <w:tcW w:w="2080" w:type="dxa"/>
            <w:vAlign w:val="bottom"/>
            <w:tcBorders>
              <w:bottom w:val="single" w:sz="8" w:color="auto"/>
            </w:tcBorders>
            <w:gridSpan w:val="3"/>
          </w:tcPr>
          <w:p>
            <w:pPr>
              <w:jc w:val="center"/>
              <w:ind w:left="91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tcBorders>
              <w:bottom w:val="single" w:sz="8" w:color="auto"/>
            </w:tcBorders>
            <w:gridSpan w:val="3"/>
          </w:tcPr>
          <w:p>
            <w:pPr>
              <w:jc w:val="center"/>
              <w:ind w:left="89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020" w:type="dxa"/>
            <w:vAlign w:val="bottom"/>
          </w:tcPr>
          <w:p>
            <w:pPr>
              <w:spacing w:after="0"/>
              <w:rPr>
                <w:sz w:val="18"/>
                <w:szCs w:val="18"/>
                <w:color w:val="auto"/>
              </w:rPr>
            </w:pPr>
          </w:p>
        </w:tc>
        <w:tc>
          <w:tcPr>
            <w:tcW w:w="148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48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31"/>
        </w:trPr>
        <w:tc>
          <w:tcPr>
            <w:tcW w:w="50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number of shares outstanding</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14,142,374</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11,404,360</w:t>
            </w: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13,849,283</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11,142,043</w:t>
            </w:r>
          </w:p>
        </w:tc>
        <w:tc>
          <w:tcPr>
            <w:tcW w:w="0" w:type="dxa"/>
            <w:vAlign w:val="bottom"/>
          </w:tcPr>
          <w:p>
            <w:pPr>
              <w:spacing w:after="0"/>
              <w:rPr>
                <w:sz w:val="1"/>
                <w:szCs w:val="1"/>
                <w:color w:val="auto"/>
              </w:rPr>
            </w:pPr>
          </w:p>
        </w:tc>
      </w:tr>
      <w:tr>
        <w:trPr>
          <w:trHeight w:val="243"/>
        </w:trPr>
        <w:tc>
          <w:tcPr>
            <w:tcW w:w="50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dilutive securities, common share equivalents:</w:t>
            </w:r>
          </w:p>
        </w:tc>
        <w:tc>
          <w:tcPr>
            <w:tcW w:w="14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options</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169,314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182,607</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173,059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159,900</w:t>
            </w:r>
          </w:p>
        </w:tc>
        <w:tc>
          <w:tcPr>
            <w:tcW w:w="0" w:type="dxa"/>
            <w:vAlign w:val="bottom"/>
          </w:tcPr>
          <w:p>
            <w:pPr>
              <w:spacing w:after="0"/>
              <w:rPr>
                <w:sz w:val="1"/>
                <w:szCs w:val="1"/>
                <w:color w:val="auto"/>
              </w:rPr>
            </w:pPr>
          </w:p>
        </w:tc>
      </w:tr>
      <w:tr>
        <w:trPr>
          <w:trHeight w:val="33"/>
        </w:trPr>
        <w:tc>
          <w:tcPr>
            <w:tcW w:w="50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Warrants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228,580</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752,619</w:t>
            </w: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230,149</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731,520</w:t>
            </w:r>
          </w:p>
        </w:tc>
        <w:tc>
          <w:tcPr>
            <w:tcW w:w="0" w:type="dxa"/>
            <w:vAlign w:val="bottom"/>
          </w:tcPr>
          <w:p>
            <w:pPr>
              <w:spacing w:after="0"/>
              <w:rPr>
                <w:sz w:val="1"/>
                <w:szCs w:val="1"/>
                <w:color w:val="auto"/>
              </w:rPr>
            </w:pPr>
          </w:p>
        </w:tc>
      </w:tr>
      <w:tr>
        <w:trPr>
          <w:trHeight w:val="210"/>
        </w:trPr>
        <w:tc>
          <w:tcPr>
            <w:tcW w:w="5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Restricted stock awards</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60,973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241,542</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50,835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216,113</w:t>
            </w:r>
          </w:p>
        </w:tc>
        <w:tc>
          <w:tcPr>
            <w:tcW w:w="0" w:type="dxa"/>
            <w:vAlign w:val="bottom"/>
          </w:tcPr>
          <w:p>
            <w:pPr>
              <w:spacing w:after="0"/>
              <w:rPr>
                <w:sz w:val="1"/>
                <w:szCs w:val="1"/>
                <w:color w:val="auto"/>
              </w:rPr>
            </w:pPr>
          </w:p>
        </w:tc>
      </w:tr>
      <w:tr>
        <w:trPr>
          <w:trHeight w:val="33"/>
        </w:trPr>
        <w:tc>
          <w:tcPr>
            <w:tcW w:w="50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number of shares outstanding, used for computing diluted</w:t>
            </w: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14,601,241</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12,581,128</w:t>
            </w:r>
          </w:p>
        </w:tc>
        <w:tc>
          <w:tcPr>
            <w:tcW w:w="100" w:type="dxa"/>
            <w:vAlign w:val="bottom"/>
          </w:tcPr>
          <w:p>
            <w:pPr>
              <w:spacing w:after="0"/>
              <w:rPr>
                <w:sz w:val="16"/>
                <w:szCs w:val="16"/>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14,303,326</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12,249,576</w:t>
            </w:r>
          </w:p>
        </w:tc>
        <w:tc>
          <w:tcPr>
            <w:tcW w:w="0" w:type="dxa"/>
            <w:vAlign w:val="bottom"/>
          </w:tcPr>
          <w:p>
            <w:pPr>
              <w:spacing w:after="0"/>
              <w:rPr>
                <w:sz w:val="1"/>
                <w:szCs w:val="1"/>
                <w:color w:val="auto"/>
              </w:rPr>
            </w:pPr>
          </w:p>
        </w:tc>
      </w:tr>
      <w:tr>
        <w:trPr>
          <w:trHeight w:val="203"/>
        </w:trPr>
        <w:tc>
          <w:tcPr>
            <w:tcW w:w="5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earnings per share</w:t>
            </w:r>
          </w:p>
        </w:tc>
        <w:tc>
          <w:tcPr>
            <w:tcW w:w="14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0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11 - Commitments and Contingencies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Litigation</w:t>
      </w:r>
    </w:p>
    <w:p>
      <w:pPr>
        <w:spacing w:after="0" w:line="221"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From time to time, the Company is involved in various legal proceedings in the ordinary course of business. For example, to the extent a claim is asserted by a third party in a lawsuit against one of the Company’s insureds covered by a particular policy, the Company may</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have a duty to defend the insured party against the claim. These claims may relate to bodily injury, property damage or other compensable injuries as set forth in the policy.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Such proceedings are considered in estimating the liability for loss and LAE expenses.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Office Lease</w:t>
      </w:r>
    </w:p>
    <w:p>
      <w:pPr>
        <w:spacing w:after="0" w:line="24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The Company enters into lease agreements for real estate that is primarily used for office space in the ordinary course of business. These leases are accounted for as operating leases, whereby lease expense is recognized on a straight-line basis over the term of the lease.</w:t>
      </w:r>
    </w:p>
    <w:p>
      <w:pPr>
        <w:spacing w:after="0" w:line="13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On February 10, 2025, KICO entered into a lease agreement for an office facility located in Kingston, New York under an operating lease. The lease commenced on March 1, 2025 (the "Commencement Date") and will expire on March 31, 2030. KICO has the option to renew the lease for an additional term of five years. KICO may terminate the lease anytime following the third anniversary of the Commencement Date if its insurance business is sold or substantially all of the Company's assets are sold. Base rent over the term of the lease is $269,777 plus a proportionate share of taxes, common area maintenance costs and insurance.</w:t>
      </w:r>
    </w:p>
    <w:p>
      <w:pPr>
        <w:spacing w:after="0" w:line="20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Company was a party to a non-cancellable operating lease, dated March 27, 2015, for its office facility for KICO located in Valley Stream, New York, which expired on March 31, 2024. The lease was not renewed.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Additional information regarding the Company’s office operating leases is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60" w:type="dxa"/>
            <w:vAlign w:val="bottom"/>
            <w:gridSpan w:val="3"/>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4"/>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2"/>
        </w:trPr>
        <w:tc>
          <w:tcPr>
            <w:tcW w:w="5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60" w:type="dxa"/>
            <w:vAlign w:val="bottom"/>
            <w:gridSpan w:val="3"/>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Lease cost</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528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7"/>
                <w:szCs w:val="17"/>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31"/>
        </w:trPr>
        <w:tc>
          <w:tcPr>
            <w:tcW w:w="5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13,391</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31,246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41,342</w:t>
            </w:r>
          </w:p>
        </w:tc>
        <w:tc>
          <w:tcPr>
            <w:tcW w:w="0" w:type="dxa"/>
            <w:vAlign w:val="bottom"/>
          </w:tcPr>
          <w:p>
            <w:pPr>
              <w:spacing w:after="0"/>
              <w:rPr>
                <w:sz w:val="1"/>
                <w:szCs w:val="1"/>
                <w:color w:val="auto"/>
              </w:rPr>
            </w:pPr>
          </w:p>
        </w:tc>
      </w:tr>
      <w:tr>
        <w:trPr>
          <w:trHeight w:val="204"/>
        </w:trPr>
        <w:tc>
          <w:tcPr>
            <w:tcW w:w="52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Total lease cost</w:t>
            </w: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13,391</w:t>
            </w:r>
          </w:p>
        </w:tc>
        <w:tc>
          <w:tcPr>
            <w:tcW w:w="80" w:type="dxa"/>
            <w:vAlign w:val="bottom"/>
          </w:tcPr>
          <w:p>
            <w:pPr>
              <w:spacing w:after="0"/>
              <w:rPr>
                <w:sz w:val="17"/>
                <w:szCs w:val="17"/>
                <w:color w:val="auto"/>
              </w:rPr>
            </w:pPr>
          </w:p>
        </w:tc>
        <w:tc>
          <w:tcPr>
            <w:tcW w:w="960" w:type="dxa"/>
            <w:vAlign w:val="bottom"/>
            <w:tcBorders>
              <w:top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31,246</w:t>
            </w:r>
          </w:p>
        </w:tc>
        <w:tc>
          <w:tcPr>
            <w:tcW w:w="100" w:type="dxa"/>
            <w:vAlign w:val="bottom"/>
          </w:tcPr>
          <w:p>
            <w:pPr>
              <w:spacing w:after="0"/>
              <w:rPr>
                <w:sz w:val="17"/>
                <w:szCs w:val="17"/>
                <w:color w:val="auto"/>
              </w:rPr>
            </w:pPr>
          </w:p>
        </w:tc>
        <w:tc>
          <w:tcPr>
            <w:tcW w:w="50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41,342</w:t>
            </w:r>
          </w:p>
        </w:tc>
        <w:tc>
          <w:tcPr>
            <w:tcW w:w="0" w:type="dxa"/>
            <w:vAlign w:val="bottom"/>
          </w:tcPr>
          <w:p>
            <w:pPr>
              <w:spacing w:after="0"/>
              <w:rPr>
                <w:sz w:val="1"/>
                <w:szCs w:val="1"/>
                <w:color w:val="auto"/>
              </w:rPr>
            </w:pPr>
          </w:p>
        </w:tc>
      </w:tr>
      <w:tr>
        <w:trPr>
          <w:trHeight w:val="33"/>
        </w:trPr>
        <w:tc>
          <w:tcPr>
            <w:tcW w:w="5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Other information on operating leases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5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payments included in the measurement of lease liability reported in</w:t>
            </w:r>
          </w:p>
        </w:tc>
        <w:tc>
          <w:tcPr>
            <w:tcW w:w="340" w:type="dxa"/>
            <w:vAlign w:val="bottom"/>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12,254</w:t>
            </w:r>
          </w:p>
        </w:tc>
        <w:tc>
          <w:tcPr>
            <w:tcW w:w="8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28,592</w:t>
            </w:r>
          </w:p>
        </w:tc>
        <w:tc>
          <w:tcPr>
            <w:tcW w:w="100" w:type="dxa"/>
            <w:vAlign w:val="bottom"/>
            <w:shd w:val="clear" w:color="auto" w:fill="CCEEFF"/>
          </w:tcPr>
          <w:p>
            <w:pPr>
              <w:spacing w:after="0"/>
              <w:rPr>
                <w:sz w:val="16"/>
                <w:szCs w:val="16"/>
                <w:color w:val="auto"/>
              </w:rPr>
            </w:pPr>
          </w:p>
        </w:tc>
        <w:tc>
          <w:tcPr>
            <w:tcW w:w="500" w:type="dxa"/>
            <w:vAlign w:val="bottom"/>
            <w:vMerge w:val="restart"/>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49,145</w:t>
            </w: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cash flows</w:t>
            </w:r>
          </w:p>
        </w:tc>
        <w:tc>
          <w:tcPr>
            <w:tcW w:w="34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440" w:type="dxa"/>
            <w:vAlign w:val="bottom"/>
            <w:gridSpan w:val="2"/>
            <w:vMerge w:val="continue"/>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13.75%</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na</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0" w:type="dxa"/>
            <w:vAlign w:val="bottom"/>
          </w:tcPr>
          <w:p>
            <w:pPr>
              <w:spacing w:after="0"/>
              <w:rPr>
                <w:sz w:val="1"/>
                <w:szCs w:val="1"/>
                <w:color w:val="auto"/>
              </w:rPr>
            </w:pPr>
          </w:p>
        </w:tc>
      </w:tr>
      <w:tr>
        <w:trPr>
          <w:trHeight w:val="33"/>
        </w:trPr>
        <w:tc>
          <w:tcPr>
            <w:tcW w:w="5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Remaining lease term in years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5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Operating lease right-of-use assets, included in other assets, were $154,421 and $0 as of September 30, 2025 and December 31, 2024, respectively. Operating lease right-of-use liabilities, included in accounts payable, accrued expenses and other liabilities, were $154,421 and $-0- as of September 30, 2025 and December 31, 2024, respectively.</w:t>
      </w:r>
    </w:p>
    <w:p>
      <w:pPr>
        <w:spacing w:after="0" w:line="13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Rent expense for the three months ended September 30, 2025 and 2024 amounted to $13,391 and $0, respectively, and is included in the accompanying condensed consolidated statements of income and comprehensive income within other underwriting expenses. Rent expense for the nine months ended September 30, 2025 and 2024 amounted to $31,246 and $41,342, respectively, and is included in the accompanying condensed consolidated statements of income and comprehensive income within other underwriting expenses.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Employment Agreements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Meryl Golden, President and Chief Executive Officer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Employment Agreement effective as of January 1, 2023</w:t>
      </w:r>
    </w:p>
    <w:p>
      <w:pPr>
        <w:spacing w:after="0" w:line="208"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On June 27, 2022, the Company and Meryl Golden, President and Chief Executive Officer of the Company, entered into a second amended and restated employment agreement which took effect as of January 1, 2023, and expired on December 31, 2024 (the “Second Amended Golden Employment Agreement”).</w:t>
      </w:r>
    </w:p>
    <w:p>
      <w:pPr>
        <w:spacing w:after="0" w:line="16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Pursuant to the Second Amended Golden Employment Agreement, Ms. Golden was entitled to receive an annual base salary of $500,000 and an annual bonus equal to 3% of the Company’s consolidated income from operations before taxes, exclusive of the Company’s consolidated net investment income (loss), net unrealized gains (losses) on equity securities and net realized gains (losses) on investments, up to a maximum of 1.25 times her base salary. In addition, pursuant to the Second Amended Golden Employment Agreement, Ms. Golden was granted, under the terms of the 2014 Plan, during each of January 2023 and January 2024, a number of shares of restricted stock determined by dividing $136,500 by the fair market value of the Company’s Common Stock on the date of grant. In January 2023, Ms. Golden was granted 101,111 shares of restricted stock pursuant to this provision. The 2023 grant vested with respect to one-half of the award on the first anniversary of the grant date and one-half of the award on December 31, 2024, based on the continued provision of services through such dates. In January 2024, Ms. Golden was granted 64,085 shares of restricted stock pursuant to this provision. The 2024 grant vested on January 2, 2025, based on the continued provision of services through such date. Further,</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pursuant to the Second Amended Golden Employment Agreement, Ms. Golden would be entitled to receive, under certain circumstances, a payment equal to 1.5 times her then annual base salary and her accrued bonus in the event of the termination of her employment within 18 months following a change of control of the Company.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Employment Agreement effective as of January 1, 2025</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On April 15, 2024, the Company and Ms. Golden entered into a third amended and restated employment agreement (the “Third Amended Golden Employment Agreement”). The Third Amended Golden Employment Agreement was effective as of January 1, 2025 and extends the expiration date of the Second Amended Golden Employment Agreement from December 31, 2024 to December 31, 2026. Pursuant to the Third Amended Golden Employment Agreement, Ms. Golden is entitled to receive an annual base salary of $550,000 (increased from $500,000 previously in effect) and an annual bonus equal to 3% of the Company’s consolidated income from operations before taxes, exclusive of the Company’s consolidated net investment income (loss), net unrealized gains (losses) on equity securities and net realized gains (losses) on investments, up to a maximum of 1.25 times her base annual salary (the same as previously in effect). Pursuant to the Third Amended Golden Employment Agreement (and as was provided for in the Second Amended Golden Employment Agreement), in the event that Ms. Golden’s employment is terminated by the Company without cause or she resigns for good reason (each as defined in the Third Amended Golden Employment Agreement), Ms. Golden would be entitled to receive her base salary and the 3% bonus for the remainder of the term. Ms. Golden would be entitled, under certain circumstances, to a payment equal to 1.5 times her then annual salary and her accrued bonus in the event of the termination of her employment following a change of control of the Company (also as is provided for in the Second Amended Golden Employment Agreement). Pursuant to the Third Amended Golden Employment Agreement, Ms. Golden received during January 2025, and will be entitled to receive during January 2026, under certain circumstances, a grant of 40,000 shares of restricted stock. The 2025 grant will become vested with respect to one-half of the award on the first anniversary of the grant date and one-half on December 31, 2026. The 2026 grant will become vested on the first anniversary of the grant date. In the event that the Company is precluded from making a grant to Ms. Golden in 2026, she would instead be entitled to a cash bonus of $136,500 for such year.</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Randy Patten, Chief Financial Officer, Vice President and Treasurer (effective August 25, 2025)</w:t>
      </w:r>
    </w:p>
    <w:p>
      <w:pPr>
        <w:spacing w:after="0" w:line="23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On July 23, 2025, the Company and Randy Patten entered into an employment agreement (the “Patten Employment Agreement”) pursuant to which Mr. Patten serves as the Company’s Chief Financial Officer, Vice President and Treasurer. Mr. Patten also serves as KICO’s Chief Financial Officer, Vice President and Treasurer. The Patten Employment Agreement was effective as of August 25, 2025 (the "Effective Date") and will expire on August 25, 2028 (the "Expiration Date"). The term of the Patten Employment Agreement shall automatically be extended for one year periods beyond the Expiration Date unless either party provides written notice to the other party, no later than four months preceding the Expiration Date (or the end of the term, if extended), of its or his desire that the term not be extended.</w:t>
      </w:r>
    </w:p>
    <w:p>
      <w:pPr>
        <w:spacing w:after="0" w:line="19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Pursuant to the Patten Employment Agreement, Mr. Patten is entitled to receive an annual base salary of $400,000 and shall participate in the Company's Bonus Plan, including with respect to the SLT RSA bonus, each as described in Note 12 – Employee Benefit Plans, Employee Bonus Plan. In accordance with the Bonus Plan, Mr. Patten's cash bonus target will be 25% of his base salary, and in no event, will the cash bonus for the calendar year ending December 31, 2025 be less than $35,000.</w:t>
      </w:r>
    </w:p>
    <w:p>
      <w:pPr>
        <w:spacing w:after="0" w:line="17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On September 12, 2025, the Company paid to Mr. Patten a sign-on bonus of $200,000 (the “Sign-on Bonus”). In the event that, prior to the first anniversary of the Effective Date, Mr. Patten's employment with the Company is terminated by the Company for cause (as defined in the Patten Employment Agreement) or by Mr. Patten without good reason (as defined in the Patten Employment Agreement), Mr. Patten would be obligated to promptly repay the Sign-on Bonus to the Company. At its option, the Company shall have the right to offset such Sign-on Bonus repayment obligation against any and all amounts payable to Mr. Patten.</w:t>
      </w:r>
    </w:p>
    <w:p>
      <w:pPr>
        <w:spacing w:after="0" w:line="19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Pursuant to the Patten Employment Agreement, Mr. Patten was entitled to receive a restricted stock grant of a number of shares of Common Stock determined by dividing $600,000 by the fair market value of the Company’s Common Stock on the date of grant. On the Effective Date, Mr. Patten was granted 43,290 shares of restricted stock pursuant to this provision. Such stock grant will become vested with respect to 25% of the award on each of the first and second anniversaries of the grant date and 50% on the third anniversary of the grant date.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12 – Employee Benefit Plans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Bonus Plans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Employee Bonus Plan</w:t>
      </w:r>
    </w:p>
    <w:p>
      <w:pPr>
        <w:spacing w:after="0" w:line="22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For the three months ended September 30, 2025 and 2024, the Company accrued $1,414,952 and $873,219, respectively ("Cash Payments"), related to an employee bonus plan (the "Bonus Plan"), of which $322,609 and $199,094, respectively, is allocated and recorded in loss and LAE, and $1,092,343 and $674,125, respectively, is recorded in other underwriting expenses on the accompanying condensed consolidated statements of income and comprehensive income. For the nine months ended September 30, 2025 and 2024, the Company accrued approximately $2,395,343 and $1,457,359, respectively, of Cash Payments related to the Bonus Plan, of which $546,138 and $332,278, respectively, is allocated and recorded in loss and LAE, and $1,849,205 and $1,125,081, respectively, is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recorded in other underwriting expenses on the accompanying condensed consolidated statements of income and comprehensive income. In addition to the Cash Payments, the Bonus Plan provides for a restricted stock award ("RSA") to the Company's senior leadership team ("SLT") and other members of management in an amount up to their Cash Payments if certain performance metrics have been met. The performance metrics for the three months ended September 30, 2025 and 2024 were met, and, accordingly, $149,862 and $150,000 of stock-based compensation liability has been accrued for the three months ended September 30, 2025 for the SLT RSA bonus and is recorded in other operating expenses on the accompanying condensed consolidated statements of income and comprehensive income. The performance metrics for the nine months ended September 30, 2025 and 2024 were met, and, accordingly, $197,868 and $150,000 of stock-based compensation liability has been accrued for the nine months ended September 30, 2025 for the SLT RSA bonus and is recorded in other operating expenses on the accompanying condensed consolidated statements of income and comprehensive income.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Executive Bonus Plan</w:t>
      </w:r>
    </w:p>
    <w:p>
      <w:pPr>
        <w:spacing w:after="0" w:line="25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6"/>
          <w:szCs w:val="16"/>
          <w:color w:val="auto"/>
        </w:rPr>
        <w:t>For the three months ended September 30, 2025 and 2024, the Company accrued approximately $254,000 and $205,000, respectively, for a bonus pursuant to the Third Amended Golden Employment Agreement ("Executive Bonus"), of which $229,000 and $290,000, respectively, is recorded in other underwriting expenses, and $25,000 and $(85,000), respectively, is recorded in other operating expenses on the accompanying condensed consolidated statements of income and comprehensive income. For the nine months ended September 30, 2025, the Company accrued approximately $625,000 and $322,000, respectively, for the Executive Bonus of which $563,000 and $290,000, respectively, is recorded in other underwriting expenses, and $62,000 and $32,000, respectively, is recorded in other operating expenses on the accompanying condensed consolidated statements of income and comprehensive income.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401(k) Plan</w:t>
      </w:r>
    </w:p>
    <w:p>
      <w:pPr>
        <w:spacing w:after="0" w:line="2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The Company maintains a salary reduction plan under Section 401(k) of the Internal Revenue Code (the “401(k) Plan”) for its qualified employees. The Company matches 100% of each participant’s contribution up to 4% of the participant’s eligible contribution. The Company incurred approximately $86,000 and $74,000, respectively, of expense for the three months ended September 30, 2025 and 2024, related to the 401(k) Plan, which is recorded in other underwriting expenses on the accompanying condensed consolidated statements of income and comprehensive income. The Company incurred approximately $271,000 and $212,000, respectively, of expense for the nine months ended September 30, 2025 and 2024, related to the 401(k) Plan, which is recorded in other underwriting expenses on the accompanying condensed consolidated statements of income and comprehensive income.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13 - Segment Information</w:t>
      </w:r>
    </w:p>
    <w:p>
      <w:pPr>
        <w:spacing w:after="0" w:line="2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The Company reports results of operations for its reportable segments consistent with the manner in which its chief operating decision maker ("CODM") reviews the business to assess performance and allocate resources. The Company identifies its CODM to be its President and Chief Executive Officer.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evaluates the results of its single reportable segment as follows:</w:t>
      </w:r>
    </w:p>
    <w:p>
      <w:pPr>
        <w:spacing w:after="0" w:line="235" w:lineRule="exact"/>
        <w:rPr>
          <w:sz w:val="20"/>
          <w:szCs w:val="20"/>
          <w:color w:val="auto"/>
        </w:rPr>
      </w:pPr>
    </w:p>
    <w:p>
      <w:pPr>
        <w:ind w:left="660"/>
        <w:spacing w:after="0" w:line="263" w:lineRule="auto"/>
        <w:rPr>
          <w:sz w:val="20"/>
          <w:szCs w:val="20"/>
          <w:color w:val="auto"/>
        </w:rPr>
      </w:pPr>
      <w:r>
        <w:rPr>
          <w:rFonts w:ascii="Times New Roman" w:cs="Times New Roman" w:eastAsia="Times New Roman" w:hAnsi="Times New Roman"/>
          <w:sz w:val="16"/>
          <w:szCs w:val="16"/>
          <w:color w:val="auto"/>
        </w:rPr>
        <w:t>Insurance operations are evaluated on underwriting results (net premiums earned, ceding commission earned, other income, loss and loss adjustment expenses, commission expense, and other underwriting expenses), equating to the components of the net combined ratio.</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Investments from the insurance operations are primarily evaluated on net investment income and its return on equity contribution.</w:t>
      </w:r>
    </w:p>
    <w:p>
      <w:pPr>
        <w:spacing w:after="0" w:line="235" w:lineRule="exact"/>
        <w:rPr>
          <w:sz w:val="20"/>
          <w:szCs w:val="20"/>
          <w:color w:val="auto"/>
        </w:rPr>
      </w:pPr>
    </w:p>
    <w:p>
      <w:pPr>
        <w:ind w:left="660" w:right="20"/>
        <w:spacing w:after="0" w:line="245" w:lineRule="auto"/>
        <w:rPr>
          <w:sz w:val="20"/>
          <w:szCs w:val="20"/>
          <w:color w:val="auto"/>
        </w:rPr>
      </w:pPr>
      <w:r>
        <w:rPr>
          <w:rFonts w:ascii="Times New Roman" w:cs="Times New Roman" w:eastAsia="Times New Roman" w:hAnsi="Times New Roman"/>
          <w:sz w:val="16"/>
          <w:szCs w:val="16"/>
          <w:color w:val="auto"/>
        </w:rPr>
        <w:t>Net gains on investments, gain on sale of real estate, other operating expenses are corporate expenses, depreciation and amortization, interest expense, and income tax, which are broken out below the insurance operations components of the net combined ratio to return to the consolidated net income.</w:t>
      </w:r>
    </w:p>
    <w:p>
      <w:pPr>
        <w:spacing w:after="0" w:line="20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The Company's CODM uses these measures of profit or loss predominantly in the annual budget and forecasting process, considering budget-to-actual variances throughout the year. The CODM also uses these profit measures for evaluating (i) financial performance, (ii) pricing in the Company's insurance operations, and (iii) employee compensation.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does not allocate items not included in the net combined ratio. Such items include net gains on investments, gain on sale of real estate, depreciation and</w:t>
      </w:r>
    </w:p>
    <w:p>
      <w:pPr>
        <w:spacing w:after="0" w:line="10"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6"/>
          <w:szCs w:val="16"/>
          <w:color w:val="auto"/>
        </w:rPr>
        <w:t>amortization, interest expense, corporate expenses included in other operating expenses, and assets to these segments. The Company does not allocate income taxes to its segments. The Company does not manage those segments on after-tax results.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tables reconcile the revenue and expense components of the net combined ratio to consolidated net income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40" w:type="dxa"/>
            <w:vAlign w:val="bottom"/>
          </w:tcPr>
          <w:p>
            <w:pPr>
              <w:spacing w:after="0"/>
              <w:rPr>
                <w:sz w:val="16"/>
                <w:szCs w:val="16"/>
                <w:color w:val="auto"/>
              </w:rPr>
            </w:pPr>
          </w:p>
        </w:tc>
      </w:tr>
      <w:tr>
        <w:trPr>
          <w:trHeight w:val="212"/>
        </w:trPr>
        <w:tc>
          <w:tcPr>
            <w:tcW w:w="4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6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4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40" w:type="dxa"/>
            <w:vAlign w:val="bottom"/>
          </w:tcPr>
          <w:p>
            <w:pPr>
              <w:spacing w:after="0"/>
              <w:rPr>
                <w:sz w:val="18"/>
                <w:szCs w:val="18"/>
                <w:color w:val="auto"/>
              </w:rPr>
            </w:pPr>
          </w:p>
        </w:tc>
      </w:tr>
      <w:tr>
        <w:trPr>
          <w:trHeight w:val="33"/>
        </w:trPr>
        <w:tc>
          <w:tcPr>
            <w:tcW w:w="42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6"/>
        </w:trPr>
        <w:tc>
          <w:tcPr>
            <w:tcW w:w="4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31"/>
        </w:trPr>
        <w:tc>
          <w:tcPr>
            <w:tcW w:w="42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4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23"/>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 components of net combined ratio</w:t>
            </w:r>
          </w:p>
        </w:tc>
        <w:tc>
          <w:tcPr>
            <w:tcW w:w="4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r>
      <w:tr>
        <w:trPr>
          <w:trHeight w:val="210"/>
        </w:trPr>
        <w:tc>
          <w:tcPr>
            <w:tcW w:w="4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premiums earned</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47,925,053</w:t>
            </w:r>
          </w:p>
        </w:tc>
        <w:tc>
          <w:tcPr>
            <w:tcW w:w="80" w:type="dxa"/>
            <w:vAlign w:val="bottom"/>
          </w:tcPr>
          <w:p>
            <w:pPr>
              <w:spacing w:after="0"/>
              <w:rPr>
                <w:sz w:val="18"/>
                <w:szCs w:val="18"/>
                <w:color w:val="auto"/>
              </w:rPr>
            </w:pPr>
          </w:p>
        </w:tc>
        <w:tc>
          <w:tcPr>
            <w:tcW w:w="68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33,407,194</w:t>
            </w:r>
          </w:p>
        </w:tc>
        <w:tc>
          <w:tcPr>
            <w:tcW w:w="100" w:type="dxa"/>
            <w:vAlign w:val="bottom"/>
          </w:tcPr>
          <w:p>
            <w:pPr>
              <w:spacing w:after="0"/>
              <w:rPr>
                <w:sz w:val="18"/>
                <w:szCs w:val="18"/>
                <w:color w:val="auto"/>
              </w:rPr>
            </w:pP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137,663,376</w:t>
            </w:r>
          </w:p>
        </w:tc>
        <w:tc>
          <w:tcPr>
            <w:tcW w:w="100" w:type="dxa"/>
            <w:vAlign w:val="bottom"/>
          </w:tcPr>
          <w:p>
            <w:pPr>
              <w:spacing w:after="0"/>
              <w:rPr>
                <w:sz w:val="18"/>
                <w:szCs w:val="18"/>
                <w:color w:val="auto"/>
              </w:rPr>
            </w:pPr>
          </w:p>
        </w:tc>
        <w:tc>
          <w:tcPr>
            <w:tcW w:w="64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92,530,708</w:t>
            </w:r>
          </w:p>
        </w:tc>
      </w:tr>
      <w:tr>
        <w:trPr>
          <w:trHeight w:val="33"/>
        </w:trPr>
        <w:tc>
          <w:tcPr>
            <w:tcW w:w="4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3"/>
        </w:trPr>
        <w:tc>
          <w:tcPr>
            <w:tcW w:w="4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Ceding commission revenue</w:t>
            </w:r>
          </w:p>
        </w:tc>
        <w:tc>
          <w:tcPr>
            <w:tcW w:w="4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4,900,401</w:t>
            </w:r>
          </w:p>
        </w:tc>
        <w:tc>
          <w:tcPr>
            <w:tcW w:w="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4,741,676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10,940,648</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13,870,748</w:t>
            </w:r>
          </w:p>
        </w:tc>
      </w:tr>
      <w:tr>
        <w:trPr>
          <w:trHeight w:val="210"/>
        </w:trPr>
        <w:tc>
          <w:tcPr>
            <w:tcW w:w="4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145,779</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139,490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436,906</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392,468</w:t>
            </w:r>
          </w:p>
        </w:tc>
      </w:tr>
      <w:tr>
        <w:trPr>
          <w:trHeight w:val="33"/>
        </w:trPr>
        <w:tc>
          <w:tcPr>
            <w:tcW w:w="42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revenue components of net combined ratio</w:t>
            </w: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52,971,233</w:t>
            </w: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38,288,360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149,040,930</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106,793,924</w:t>
            </w:r>
          </w:p>
        </w:tc>
      </w:tr>
      <w:tr>
        <w:trPr>
          <w:trHeight w:val="250"/>
        </w:trPr>
        <w:tc>
          <w:tcPr>
            <w:tcW w:w="42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r>
      <w:tr>
        <w:trPr>
          <w:trHeight w:val="223"/>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Expense components of net combined ratio</w:t>
            </w:r>
          </w:p>
        </w:tc>
        <w:tc>
          <w:tcPr>
            <w:tcW w:w="4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r>
      <w:tr>
        <w:trPr>
          <w:trHeight w:val="210"/>
        </w:trPr>
        <w:tc>
          <w:tcPr>
            <w:tcW w:w="4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and loss adjustment expenses</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21,232,324</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13,027,597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66,334,564</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45,125,492</w:t>
            </w:r>
          </w:p>
        </w:tc>
      </w:tr>
      <w:tr>
        <w:trPr>
          <w:trHeight w:val="33"/>
        </w:trPr>
        <w:tc>
          <w:tcPr>
            <w:tcW w:w="4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3"/>
        </w:trPr>
        <w:tc>
          <w:tcPr>
            <w:tcW w:w="4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Commission expense</w:t>
            </w:r>
          </w:p>
        </w:tc>
        <w:tc>
          <w:tcPr>
            <w:tcW w:w="4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10,308,092</w:t>
            </w:r>
          </w:p>
        </w:tc>
        <w:tc>
          <w:tcPr>
            <w:tcW w:w="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9,004,254</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30,250,601</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25,088,546</w:t>
            </w:r>
          </w:p>
        </w:tc>
      </w:tr>
      <w:tr>
        <w:trPr>
          <w:trHeight w:val="210"/>
        </w:trPr>
        <w:tc>
          <w:tcPr>
            <w:tcW w:w="4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underwriting expenses</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8,358,432</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6,894,590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23,491,221</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18,675,720</w:t>
            </w:r>
          </w:p>
        </w:tc>
      </w:tr>
      <w:tr>
        <w:trPr>
          <w:trHeight w:val="33"/>
        </w:trPr>
        <w:tc>
          <w:tcPr>
            <w:tcW w:w="42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expense components of net combined ratio</w:t>
            </w: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39,898,848</w:t>
            </w: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28,926,441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120,076,386</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88,889,758</w:t>
            </w:r>
          </w:p>
        </w:tc>
      </w:tr>
      <w:tr>
        <w:trPr>
          <w:trHeight w:val="250"/>
        </w:trPr>
        <w:tc>
          <w:tcPr>
            <w:tcW w:w="42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r>
      <w:tr>
        <w:trPr>
          <w:trHeight w:val="243"/>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segment net income</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13,072,385</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9,361,919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28,964,544</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17,904,166</w:t>
            </w:r>
          </w:p>
        </w:tc>
      </w:tr>
      <w:tr>
        <w:trPr>
          <w:trHeight w:val="250"/>
        </w:trPr>
        <w:tc>
          <w:tcPr>
            <w:tcW w:w="42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r>
      <w:tr>
        <w:trPr>
          <w:trHeight w:val="223"/>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Reconciliation of net income components</w:t>
            </w:r>
          </w:p>
        </w:tc>
        <w:tc>
          <w:tcPr>
            <w:tcW w:w="4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r>
      <w:tr>
        <w:trPr>
          <w:trHeight w:val="210"/>
        </w:trPr>
        <w:tc>
          <w:tcPr>
            <w:tcW w:w="4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excluded from net combined ratio:</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4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2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12"/>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Revenue components excluded from net combined ratio</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1"/>
        </w:trPr>
        <w:tc>
          <w:tcPr>
            <w:tcW w:w="4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3"/>
        </w:trPr>
        <w:tc>
          <w:tcPr>
            <w:tcW w:w="4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investment income</w:t>
            </w:r>
          </w:p>
        </w:tc>
        <w:tc>
          <w:tcPr>
            <w:tcW w:w="4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2,499,071</w:t>
            </w:r>
          </w:p>
        </w:tc>
        <w:tc>
          <w:tcPr>
            <w:tcW w:w="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1,649,673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6,847,934</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4,917,129</w:t>
            </w:r>
          </w:p>
        </w:tc>
      </w:tr>
      <w:tr>
        <w:trPr>
          <w:trHeight w:val="210"/>
        </w:trPr>
        <w:tc>
          <w:tcPr>
            <w:tcW w:w="4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gains on investments</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182,122</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826,522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590,594</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1,319,307</w:t>
            </w:r>
          </w:p>
        </w:tc>
      </w:tr>
      <w:tr>
        <w:trPr>
          <w:trHeight w:val="33"/>
        </w:trPr>
        <w:tc>
          <w:tcPr>
            <w:tcW w:w="4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3"/>
        </w:trPr>
        <w:tc>
          <w:tcPr>
            <w:tcW w:w="4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on sale of real estate</w:t>
            </w:r>
          </w:p>
        </w:tc>
        <w:tc>
          <w:tcPr>
            <w:tcW w:w="4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1,965,989</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4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8,660</w:t>
            </w:r>
          </w:p>
        </w:tc>
      </w:tr>
      <w:tr>
        <w:trPr>
          <w:trHeight w:val="33"/>
        </w:trPr>
        <w:tc>
          <w:tcPr>
            <w:tcW w:w="42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3"/>
        </w:trPr>
        <w:tc>
          <w:tcPr>
            <w:tcW w:w="42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revenue components excluded</w:t>
            </w:r>
          </w:p>
        </w:tc>
        <w:tc>
          <w:tcPr>
            <w:tcW w:w="4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r>
      <w:tr>
        <w:trPr>
          <w:trHeight w:val="210"/>
        </w:trPr>
        <w:tc>
          <w:tcPr>
            <w:tcW w:w="42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from net combined ratio</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2,681,257</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2,483,368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9,405,114</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6,245,096</w:t>
            </w:r>
          </w:p>
        </w:tc>
      </w:tr>
      <w:tr>
        <w:trPr>
          <w:trHeight w:val="33"/>
        </w:trPr>
        <w:tc>
          <w:tcPr>
            <w:tcW w:w="42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42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12"/>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Expense components excluded from net combined ratio</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1"/>
        </w:trPr>
        <w:tc>
          <w:tcPr>
            <w:tcW w:w="4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3"/>
        </w:trPr>
        <w:tc>
          <w:tcPr>
            <w:tcW w:w="42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operating expenses</w:t>
            </w:r>
          </w:p>
        </w:tc>
        <w:tc>
          <w:tcPr>
            <w:tcW w:w="4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1,330,258</w:t>
            </w:r>
          </w:p>
        </w:tc>
        <w:tc>
          <w:tcPr>
            <w:tcW w:w="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1,241,572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3,519,475</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2,820,620</w:t>
            </w:r>
          </w:p>
        </w:tc>
      </w:tr>
      <w:tr>
        <w:trPr>
          <w:trHeight w:val="210"/>
        </w:trPr>
        <w:tc>
          <w:tcPr>
            <w:tcW w:w="4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644,653</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619,056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1,881,880</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1,835,503</w:t>
            </w:r>
          </w:p>
        </w:tc>
      </w:tr>
      <w:tr>
        <w:trPr>
          <w:trHeight w:val="33"/>
        </w:trPr>
        <w:tc>
          <w:tcPr>
            <w:tcW w:w="4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3"/>
        </w:trPr>
        <w:tc>
          <w:tcPr>
            <w:tcW w:w="42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Interest expense</w:t>
            </w:r>
          </w:p>
        </w:tc>
        <w:tc>
          <w:tcPr>
            <w:tcW w:w="4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72,609</w:t>
            </w:r>
          </w:p>
        </w:tc>
        <w:tc>
          <w:tcPr>
            <w:tcW w:w="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900,583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377,137</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2,884,181</w:t>
            </w:r>
          </w:p>
        </w:tc>
      </w:tr>
      <w:tr>
        <w:trPr>
          <w:trHeight w:val="210"/>
        </w:trPr>
        <w:tc>
          <w:tcPr>
            <w:tcW w:w="4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Income tax</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2,833,647</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2,105,931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6,583,699</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3,689,197</w:t>
            </w:r>
          </w:p>
        </w:tc>
      </w:tr>
      <w:tr>
        <w:trPr>
          <w:trHeight w:val="33"/>
        </w:trPr>
        <w:tc>
          <w:tcPr>
            <w:tcW w:w="42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3"/>
        </w:trPr>
        <w:tc>
          <w:tcPr>
            <w:tcW w:w="42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expense components excluded</w:t>
            </w:r>
          </w:p>
        </w:tc>
        <w:tc>
          <w:tcPr>
            <w:tcW w:w="4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r>
      <w:tr>
        <w:trPr>
          <w:trHeight w:val="210"/>
        </w:trPr>
        <w:tc>
          <w:tcPr>
            <w:tcW w:w="4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from net combined ratio</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4,881,167</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4,867,142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12,362,191</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11,229,501</w:t>
            </w:r>
          </w:p>
        </w:tc>
      </w:tr>
      <w:tr>
        <w:trPr>
          <w:trHeight w:val="33"/>
        </w:trPr>
        <w:tc>
          <w:tcPr>
            <w:tcW w:w="42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42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10"/>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net loss components</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4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4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excluded from net combined ratio:</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(2,199,910)</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(2,383,774)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(2,957,077)</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(4,984,405)</w:t>
            </w:r>
          </w:p>
        </w:tc>
      </w:tr>
      <w:tr>
        <w:trPr>
          <w:trHeight w:val="250"/>
        </w:trPr>
        <w:tc>
          <w:tcPr>
            <w:tcW w:w="42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r>
      <w:tr>
        <w:trPr>
          <w:trHeight w:val="268"/>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Consolidated net income</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10,872,475</w:t>
            </w: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6,978,145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26,007,467</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12,919,761</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shows the calculation of the net combined ratio and return on equity from net investment income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gridSpan w:val="3"/>
          </w:tcPr>
          <w:p>
            <w:pPr>
              <w:jc w:val="center"/>
              <w:ind w:left="101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gridSpan w:val="3"/>
          </w:tcPr>
          <w:p>
            <w:pPr>
              <w:jc w:val="center"/>
              <w:ind w:left="101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3"/>
        </w:trPr>
        <w:tc>
          <w:tcPr>
            <w:tcW w:w="38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37"/>
        </w:trPr>
        <w:tc>
          <w:tcPr>
            <w:tcW w:w="38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92"/>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combined ratio</w:t>
            </w:r>
          </w:p>
        </w:tc>
        <w:tc>
          <w:tcPr>
            <w:tcW w:w="10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31"/>
        </w:trPr>
        <w:tc>
          <w:tcPr>
            <w:tcW w:w="38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48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 ratio</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44.3 %</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39.0 %</w:t>
            </w:r>
          </w:p>
        </w:tc>
        <w:tc>
          <w:tcPr>
            <w:tcW w:w="10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48.2 %</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48.8 %</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0"/>
        </w:trPr>
        <w:tc>
          <w:tcPr>
            <w:tcW w:w="48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Net underwriting expense ratio</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28.4 %</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33.0 %</w:t>
            </w:r>
          </w:p>
        </w:tc>
        <w:tc>
          <w:tcPr>
            <w:tcW w:w="1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30.8 %</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31.9 %</w:t>
            </w:r>
          </w:p>
        </w:tc>
        <w:tc>
          <w:tcPr>
            <w:tcW w:w="100" w:type="dxa"/>
            <w:vAlign w:val="bottom"/>
          </w:tcPr>
          <w:p>
            <w:pPr>
              <w:spacing w:after="0"/>
              <w:rPr>
                <w:sz w:val="18"/>
                <w:szCs w:val="18"/>
                <w:color w:val="auto"/>
              </w:rPr>
            </w:pPr>
          </w:p>
        </w:tc>
      </w:tr>
      <w:tr>
        <w:trPr>
          <w:trHeight w:val="33"/>
        </w:trPr>
        <w:tc>
          <w:tcPr>
            <w:tcW w:w="38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62"/>
        </w:trPr>
        <w:tc>
          <w:tcPr>
            <w:tcW w:w="3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combined ratio</w:t>
            </w:r>
          </w:p>
        </w:tc>
        <w:tc>
          <w:tcPr>
            <w:tcW w:w="10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72.7 %</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72.0 %</w:t>
            </w:r>
          </w:p>
        </w:tc>
        <w:tc>
          <w:tcPr>
            <w:tcW w:w="10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79.0 %</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80.7 %</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Reconciliation of net underwriting expense ratio:</w:t>
            </w: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0"/>
        </w:trPr>
        <w:tc>
          <w:tcPr>
            <w:tcW w:w="3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Commission expense and other</w:t>
            </w: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3"/>
        </w:trPr>
        <w:tc>
          <w:tcPr>
            <w:tcW w:w="3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3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underwriting expenses</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18,666,524</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15,898,844</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53,741,822</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43,764,266</w:t>
            </w:r>
          </w:p>
        </w:tc>
        <w:tc>
          <w:tcPr>
            <w:tcW w:w="100" w:type="dxa"/>
            <w:vAlign w:val="bottom"/>
          </w:tcPr>
          <w:p>
            <w:pPr>
              <w:spacing w:after="0"/>
              <w:rPr>
                <w:sz w:val="19"/>
                <w:szCs w:val="19"/>
                <w:color w:val="auto"/>
              </w:rPr>
            </w:pPr>
          </w:p>
        </w:tc>
      </w:tr>
      <w:tr>
        <w:trPr>
          <w:trHeight w:val="210"/>
        </w:trPr>
        <w:tc>
          <w:tcPr>
            <w:tcW w:w="3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Less: Ceding commission revenue</w:t>
            </w:r>
          </w:p>
        </w:tc>
        <w:tc>
          <w:tcPr>
            <w:tcW w:w="420" w:type="dxa"/>
            <w:vAlign w:val="bottom"/>
          </w:tcPr>
          <w:p>
            <w:pPr>
              <w:spacing w:after="0"/>
              <w:rPr>
                <w:sz w:val="18"/>
                <w:szCs w:val="18"/>
                <w:color w:val="auto"/>
              </w:rPr>
            </w:pPr>
          </w:p>
        </w:tc>
        <w:tc>
          <w:tcPr>
            <w:tcW w:w="13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(4,900,401)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(4,741,676)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(10,940,648)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(13,870,748)</w:t>
            </w:r>
          </w:p>
        </w:tc>
        <w:tc>
          <w:tcPr>
            <w:tcW w:w="100" w:type="dxa"/>
            <w:vAlign w:val="bottom"/>
          </w:tcPr>
          <w:p>
            <w:pPr>
              <w:spacing w:after="0"/>
              <w:rPr>
                <w:sz w:val="18"/>
                <w:szCs w:val="18"/>
                <w:color w:val="auto"/>
              </w:rPr>
            </w:pPr>
          </w:p>
        </w:tc>
      </w:tr>
      <w:tr>
        <w:trPr>
          <w:trHeight w:val="33"/>
        </w:trPr>
        <w:tc>
          <w:tcPr>
            <w:tcW w:w="3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38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Less: Other income</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(145,779)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(139,490)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(436,906)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(392,468)</w:t>
            </w:r>
          </w:p>
        </w:tc>
        <w:tc>
          <w:tcPr>
            <w:tcW w:w="100" w:type="dxa"/>
            <w:vAlign w:val="bottom"/>
          </w:tcPr>
          <w:p>
            <w:pPr>
              <w:spacing w:after="0"/>
              <w:rPr>
                <w:sz w:val="21"/>
                <w:szCs w:val="21"/>
                <w:color w:val="auto"/>
              </w:rPr>
            </w:pPr>
          </w:p>
        </w:tc>
      </w:tr>
      <w:tr>
        <w:trPr>
          <w:trHeight w:val="190"/>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commission expense and other</w:t>
            </w:r>
          </w:p>
        </w:tc>
        <w:tc>
          <w:tcPr>
            <w:tcW w:w="4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33"/>
        </w:trPr>
        <w:tc>
          <w:tcPr>
            <w:tcW w:w="3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68"/>
        </w:trPr>
        <w:tc>
          <w:tcPr>
            <w:tcW w:w="38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underwriting expenses</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13,620,344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11,017,678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42,364,268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29,501,050</w:t>
            </w:r>
          </w:p>
        </w:tc>
        <w:tc>
          <w:tcPr>
            <w:tcW w:w="100" w:type="dxa"/>
            <w:vAlign w:val="bottom"/>
          </w:tcPr>
          <w:p>
            <w:pPr>
              <w:spacing w:after="0"/>
              <w:rPr>
                <w:sz w:val="22"/>
                <w:szCs w:val="22"/>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3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8"/>
        </w:trPr>
        <w:tc>
          <w:tcPr>
            <w:tcW w:w="3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earned premium</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47,925,053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33,407,194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137,663,376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92,530,708</w:t>
            </w:r>
          </w:p>
        </w:tc>
        <w:tc>
          <w:tcPr>
            <w:tcW w:w="100" w:type="dxa"/>
            <w:vAlign w:val="bottom"/>
          </w:tcPr>
          <w:p>
            <w:pPr>
              <w:spacing w:after="0"/>
              <w:rPr>
                <w:sz w:val="22"/>
                <w:szCs w:val="22"/>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3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3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Underwriting Expense Ratio</w:t>
            </w:r>
          </w:p>
        </w:tc>
        <w:tc>
          <w:tcPr>
            <w:tcW w:w="4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28.4 %</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33.0 %</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30.8 %</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31.9 %</w:t>
            </w:r>
          </w:p>
        </w:tc>
        <w:tc>
          <w:tcPr>
            <w:tcW w:w="100" w:type="dxa"/>
            <w:vAlign w:val="bottom"/>
          </w:tcPr>
          <w:p>
            <w:pPr>
              <w:spacing w:after="0"/>
              <w:rPr>
                <w:sz w:val="19"/>
                <w:szCs w:val="19"/>
                <w:color w:val="auto"/>
              </w:rPr>
            </w:pPr>
          </w:p>
        </w:tc>
      </w:tr>
      <w:tr>
        <w:trPr>
          <w:trHeight w:val="270"/>
        </w:trPr>
        <w:tc>
          <w:tcPr>
            <w:tcW w:w="38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23"/>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Return on equity on net investment income</w:t>
            </w:r>
          </w:p>
        </w:tc>
        <w:tc>
          <w:tcPr>
            <w:tcW w:w="4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3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Stockholders' equity beginning of period</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94,877,892</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40,802,774</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66,708,451</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34,504,139</w:t>
            </w:r>
          </w:p>
        </w:tc>
        <w:tc>
          <w:tcPr>
            <w:tcW w:w="100" w:type="dxa"/>
            <w:vAlign w:val="bottom"/>
          </w:tcPr>
          <w:p>
            <w:pPr>
              <w:spacing w:after="0"/>
              <w:rPr>
                <w:sz w:val="18"/>
                <w:szCs w:val="18"/>
                <w:color w:val="auto"/>
              </w:rPr>
            </w:pPr>
          </w:p>
        </w:tc>
      </w:tr>
      <w:tr>
        <w:trPr>
          <w:trHeight w:val="33"/>
        </w:trPr>
        <w:tc>
          <w:tcPr>
            <w:tcW w:w="3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3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Stockholders' equity end of period</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107,653,042</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59,669,732</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107,653,042</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59,669,732</w:t>
            </w:r>
          </w:p>
        </w:tc>
        <w:tc>
          <w:tcPr>
            <w:tcW w:w="100" w:type="dxa"/>
            <w:vAlign w:val="bottom"/>
          </w:tcPr>
          <w:p>
            <w:pPr>
              <w:spacing w:after="0"/>
              <w:rPr>
                <w:sz w:val="19"/>
                <w:szCs w:val="19"/>
                <w:color w:val="auto"/>
              </w:rPr>
            </w:pPr>
          </w:p>
        </w:tc>
      </w:tr>
      <w:tr>
        <w:trPr>
          <w:trHeight w:val="210"/>
        </w:trPr>
        <w:tc>
          <w:tcPr>
            <w:tcW w:w="3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Average stockholders' equity</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101,265,467</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50,236,253</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87,180,747</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47,086,936</w:t>
            </w:r>
          </w:p>
        </w:tc>
        <w:tc>
          <w:tcPr>
            <w:tcW w:w="100" w:type="dxa"/>
            <w:vAlign w:val="bottom"/>
          </w:tcPr>
          <w:p>
            <w:pPr>
              <w:spacing w:after="0"/>
              <w:rPr>
                <w:sz w:val="18"/>
                <w:szCs w:val="18"/>
                <w:color w:val="auto"/>
              </w:rPr>
            </w:pPr>
          </w:p>
        </w:tc>
      </w:tr>
      <w:tr>
        <w:trPr>
          <w:trHeight w:val="33"/>
        </w:trPr>
        <w:tc>
          <w:tcPr>
            <w:tcW w:w="3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3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investment income</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2,499,071</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1,649,673</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6,847,934</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4,917,129</w:t>
            </w:r>
          </w:p>
        </w:tc>
        <w:tc>
          <w:tcPr>
            <w:tcW w:w="100" w:type="dxa"/>
            <w:vAlign w:val="bottom"/>
          </w:tcPr>
          <w:p>
            <w:pPr>
              <w:spacing w:after="0"/>
              <w:rPr>
                <w:sz w:val="19"/>
                <w:szCs w:val="19"/>
                <w:color w:val="auto"/>
              </w:rPr>
            </w:pPr>
          </w:p>
        </w:tc>
      </w:tr>
      <w:tr>
        <w:trPr>
          <w:trHeight w:val="210"/>
        </w:trPr>
        <w:tc>
          <w:tcPr>
            <w:tcW w:w="3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Return on equity on net investment income</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8"/>
                <w:szCs w:val="18"/>
                <w:color w:val="auto"/>
              </w:rPr>
            </w:pPr>
          </w:p>
        </w:tc>
      </w:tr>
      <w:tr>
        <w:trPr>
          <w:trHeight w:val="33"/>
        </w:trPr>
        <w:tc>
          <w:tcPr>
            <w:tcW w:w="3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3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Return on equity on net investment income - annualized</w:t>
            </w:r>
          </w:p>
        </w:tc>
        <w:tc>
          <w:tcPr>
            <w:tcW w:w="4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tcPr>
          <w:p>
            <w:pPr>
              <w:spacing w:after="0"/>
              <w:rPr>
                <w:sz w:val="19"/>
                <w:szCs w:val="19"/>
                <w:color w:val="auto"/>
              </w:rPr>
            </w:pPr>
          </w:p>
        </w:tc>
      </w:tr>
      <w:tr>
        <w:trPr>
          <w:trHeight w:val="210"/>
        </w:trPr>
        <w:tc>
          <w:tcPr>
            <w:tcW w:w="3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assets</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428,590,242</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318,292,723</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428,590,242</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318,292,723</w:t>
            </w:r>
          </w:p>
        </w:tc>
        <w:tc>
          <w:tcPr>
            <w:tcW w:w="100" w:type="dxa"/>
            <w:vAlign w:val="bottom"/>
          </w:tcPr>
          <w:p>
            <w:pPr>
              <w:spacing w:after="0"/>
              <w:rPr>
                <w:sz w:val="18"/>
                <w:szCs w:val="18"/>
                <w:color w:val="auto"/>
              </w:rPr>
            </w:pPr>
          </w:p>
        </w:tc>
      </w:tr>
    </w:tbl>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14 - Sale of Real Estate</w:t>
      </w:r>
    </w:p>
    <w:p>
      <w:pPr>
        <w:spacing w:after="0" w:line="21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On February 5, 2025, a subsidiary of the Company entered into a contract of sale with Ulster County, New York (the “County”) for the sale to the County of the Company’s headquarters building in Kingston, New York, along with an adjacent mixed-use property (collectively, the “Property”). The purchase price for the Property was $3,600,000. The closing of the sale was on March 19,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15 – Subsequent Events</w:t>
      </w:r>
    </w:p>
    <w:p>
      <w:pPr>
        <w:spacing w:after="0" w:line="23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Company has evaluated events that occurred subsequent to September 30, 2025 through the date these condensed consolidated financial statements were issued for matters that required disclosure or adjustment in these condensed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Dividend Declared</w:t>
      </w:r>
    </w:p>
    <w:p>
      <w:pPr>
        <w:spacing w:after="0" w:line="22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On October 30, 2025, the Company’s Board of Directors approved a quarterly dividend of $0.05 per share payable in cash on November 26, 2025 to stockholders of record as of the close of business on November 11, 2025 (see Note 8 – Stockholders’ Equity).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were no other subsequent events identified requiring recognition or disclosure in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ITEM 2</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b w:val="1"/>
          <w:bCs w:val="1"/>
          <w:u w:val="single" w:color="auto"/>
          <w:color w:val="auto"/>
        </w:rPr>
        <w:t>MANAGEMENT’S DISCUSSION AND ANALYSIS OF FINANCIAL CONDITION AND RESULTS OF OPERATIONS</w:t>
      </w:r>
      <w:r>
        <w:rPr>
          <w:rFonts w:ascii="Times New Roman" w:cs="Times New Roman" w:eastAsia="Times New Roman" w:hAnsi="Times New Roman"/>
          <w:sz w:val="16"/>
          <w:szCs w:val="16"/>
          <w:color w:val="auto"/>
        </w:rPr>
        <w:t>.</w:t>
      </w:r>
    </w:p>
    <w:p>
      <w:pPr>
        <w:spacing w:after="0" w:line="22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We offer property and casualty insurance products through our wholly-owned subsidiary, Kingstone Insurance Company (“KICO”). KICO is a New York domiciled carrier writing business through retail and wholesale agents and brokers. KICO is actively writing personal lines and commercial auto insurance in New York, and in 2024 was the 12th largest writer of homeowners insurance in New York. KICO is also licensed in the states of New Jersey, Rhode Island, Massachusetts, Connecticut, Pennsylvania, New Hampshire, and Maine. For the three months ended September 30, 2025 and 2024 respectively, 98.0% and 96.3% of KICO’s direct written premiums came from the New York policies. For the nine months ended September 30, 2025 and 2024 respectively, 98.1% and 95.6% of KICO’s direct written premiums came from the New York policies.</w:t>
      </w:r>
    </w:p>
    <w:p>
      <w:pPr>
        <w:spacing w:after="0" w:line="390"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In addition, our subsidiary, Cosi Agency, Inc. (“Cosi”), a multi-state licensed general agency, receives commission revenue from KICO for the policies it places with others and pays commissions to these agencies. Cosi retains the profit between the commission revenue received and the commission expense paid (“Net Cosi Revenue”). Commission expense is reduced by Net Cosi Revenue. Cosi-related operating expenses are minimal and are included in other operating expenses.</w:t>
      </w:r>
    </w:p>
    <w:p>
      <w:pPr>
        <w:spacing w:after="0" w:line="17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We derive substantially all of our revenue from KICO, which includes revenues from earned premiums, ceding commissions from quota share reinsurance, net investment income generated from its portfolio, and net realized gains and losses on investment securities. All of KICO’s insurance policies are written for a one year term. Earned premiums represent premiums received from insureds, which are recognized as revenue over the period of time that insurance coverage is provided (i.e., ratably over the one year life of the policy). A significant period of time can elapse from the receipt of insurance premiums to the payment of insurance claims. During this time, KICO invests the premiums, earns investment income and generates net realized and unrealized investment gains and losses on investments. Our holding company earns investment income from its cash holdings.</w:t>
      </w:r>
    </w:p>
    <w:p>
      <w:pPr>
        <w:spacing w:after="0" w:line="18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Our expenses include the insurance underwriting expenses of KICO and other operating expenses. Insurance companies incur a significant amount of their total expenses from losses incurred by policyholders, which are referred to as claims. In settling these claims, various loss adjustment expenses (“LAE”) are incurred such as insurance adjusters’ fees and legal expenses. In addition, insurance companies incur policy acquisition costs. Policy acquisition costs include commissions paid to producers, premium taxes, and other expenses related to the underwriting process, including employees’ compensation and benefits.</w:t>
      </w:r>
    </w:p>
    <w:p>
      <w:pPr>
        <w:spacing w:after="0" w:line="179" w:lineRule="exact"/>
        <w:rPr>
          <w:sz w:val="20"/>
          <w:szCs w:val="20"/>
          <w:color w:val="auto"/>
        </w:rPr>
      </w:pPr>
    </w:p>
    <w:p>
      <w:pPr>
        <w:jc w:val="both"/>
        <w:ind w:firstLine="607"/>
        <w:spacing w:after="0" w:line="280" w:lineRule="auto"/>
        <w:rPr>
          <w:sz w:val="20"/>
          <w:szCs w:val="20"/>
          <w:color w:val="auto"/>
        </w:rPr>
      </w:pPr>
      <w:r>
        <w:rPr>
          <w:rFonts w:ascii="Times New Roman" w:cs="Times New Roman" w:eastAsia="Times New Roman" w:hAnsi="Times New Roman"/>
          <w:sz w:val="16"/>
          <w:szCs w:val="16"/>
          <w:color w:val="auto"/>
        </w:rPr>
        <w:t>Other operating expenses include our corporate expenses as a holding company. These corporate expenses include legal and auditing fees, executive employment costs and equity compensation, directors' fees, and other costs directly associated with being a public company.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Product Lines</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Our product lines include the following:</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Personal lines</w:t>
      </w:r>
      <w:r>
        <w:rPr>
          <w:rFonts w:ascii="Times New Roman" w:cs="Times New Roman" w:eastAsia="Times New Roman" w:hAnsi="Times New Roman"/>
          <w:sz w:val="16"/>
          <w:szCs w:val="16"/>
          <w:color w:val="auto"/>
        </w:rPr>
        <w:t>: Our largest line of business is personal lines, consisting of homeowners, dwelling fire, cooperative/condominium, renters, and personal umbrella</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policies.</w:t>
      </w:r>
    </w:p>
    <w:p>
      <w:pPr>
        <w:spacing w:after="0" w:line="196" w:lineRule="exact"/>
        <w:rPr>
          <w:sz w:val="20"/>
          <w:szCs w:val="20"/>
          <w:color w:val="auto"/>
        </w:rPr>
      </w:pPr>
    </w:p>
    <w:p>
      <w:pPr>
        <w:jc w:val="both"/>
        <w:ind w:right="20" w:firstLine="607"/>
        <w:spacing w:after="0" w:line="253"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Commercial liability: </w:t>
      </w:r>
      <w:r>
        <w:rPr>
          <w:rFonts w:ascii="Times New Roman" w:cs="Times New Roman" w:eastAsia="Times New Roman" w:hAnsi="Times New Roman"/>
          <w:sz w:val="16"/>
          <w:szCs w:val="16"/>
          <w:color w:val="auto"/>
        </w:rPr>
        <w:t>Through July 2019, we offered businessowners policies, which consist primarily of small business retail, service, and office risks, with</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limited property exposures. We also wrote artisan’s liability policies for small independent contractors with smaller sized workforces. In addition, we wrote special multi-peril policies for larger and more specialized businessowners risks, including those with limited residential exposures. Further, we offered commercial umbrella policies written above our supporting commercial lines policies.</w:t>
      </w:r>
    </w:p>
    <w:p>
      <w:pPr>
        <w:spacing w:after="0" w:line="200"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6"/>
          <w:szCs w:val="16"/>
          <w:color w:val="auto"/>
        </w:rPr>
        <w:t xml:space="preserve">In May 2019, due to the poor performance of these lines we placed a moratorium on new commercial lines and new commercial umbrella submissions while we further reviewed this business. In July 2019, due to the continuing poor performance of these lines, we made the decision to no longer underwrite commercial lines or commercial umbrella risks. In-force policies as of July 31, 2019 for these lines were non-renewed at the end of their annual terms. As of September 30, 2025 and December 31, 2024, there were no commercial liability policies in-force. As of September 30, 2025, these expired policies represented approximately </w:t>
      </w:r>
      <w:r>
        <w:rPr>
          <w:rFonts w:ascii="Times New Roman" w:cs="Times New Roman" w:eastAsia="Times New Roman" w:hAnsi="Times New Roman"/>
          <w:sz w:val="17"/>
          <w:szCs w:val="17"/>
          <w:color w:val="auto"/>
        </w:rPr>
        <w:t>11.3%</w:t>
      </w:r>
      <w:r>
        <w:rPr>
          <w:rFonts w:ascii="Times New Roman" w:cs="Times New Roman" w:eastAsia="Times New Roman" w:hAnsi="Times New Roman"/>
          <w:sz w:val="16"/>
          <w:szCs w:val="16"/>
          <w:color w:val="auto"/>
        </w:rPr>
        <w:t xml:space="preserve"> of loss and LAE reserves net of reinsurance recoverables. See discussion below under “Additional Financial Information”.</w:t>
      </w:r>
    </w:p>
    <w:p>
      <w:pPr>
        <w:spacing w:after="0" w:line="18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 xml:space="preserve">Livery physical damage: </w:t>
      </w:r>
      <w:r>
        <w:rPr>
          <w:rFonts w:ascii="Times New Roman" w:cs="Times New Roman" w:eastAsia="Times New Roman" w:hAnsi="Times New Roman"/>
          <w:sz w:val="16"/>
          <w:szCs w:val="16"/>
          <w:color w:val="auto"/>
        </w:rPr>
        <w:t>We write for-hire vehicle physical damage only policies for livery and car service vehicles and taxicabs. These policies insure only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physical damage portion of insurance for such vehicles, with no liability coverage included.</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Other: </w:t>
      </w:r>
      <w:r>
        <w:rPr>
          <w:rFonts w:ascii="Times New Roman" w:cs="Times New Roman" w:eastAsia="Times New Roman" w:hAnsi="Times New Roman"/>
          <w:sz w:val="16"/>
          <w:szCs w:val="16"/>
          <w:color w:val="auto"/>
        </w:rPr>
        <w:t>We write canine legal liability policies and have a small participation in mandatory state joint underwriting associations.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Key GAAP and Non-GAAP Measures</w:t>
      </w:r>
    </w:p>
    <w:p>
      <w:pPr>
        <w:spacing w:after="0" w:line="22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16"/>
          <w:szCs w:val="16"/>
          <w:color w:val="auto"/>
        </w:rPr>
        <w:t>We utilize the following key GAAP accounting principles generally accepted in the United States and non-GAAP measures in analyzing the results of our insurance underwriting business. See "Non-GAAP Financial Measures" for a reconciliation of the below non-GAAP measures to the most directly comparable GAAP measure:</w:t>
      </w:r>
    </w:p>
    <w:p>
      <w:pPr>
        <w:spacing w:after="0" w:line="359" w:lineRule="exact"/>
        <w:rPr>
          <w:sz w:val="20"/>
          <w:szCs w:val="20"/>
          <w:color w:val="auto"/>
        </w:rPr>
      </w:pPr>
    </w:p>
    <w:p>
      <w:pPr>
        <w:jc w:val="both"/>
        <w:ind w:firstLine="607"/>
        <w:spacing w:after="0" w:line="250" w:lineRule="auto"/>
        <w:rPr>
          <w:sz w:val="20"/>
          <w:szCs w:val="20"/>
          <w:color w:val="auto"/>
        </w:rPr>
      </w:pPr>
      <w:r>
        <w:rPr>
          <w:rFonts w:ascii="Times New Roman" w:cs="Times New Roman" w:eastAsia="Times New Roman" w:hAnsi="Times New Roman"/>
          <w:sz w:val="16"/>
          <w:szCs w:val="16"/>
          <w:b w:val="1"/>
          <w:bCs w:val="1"/>
          <w:i w:val="1"/>
          <w:iCs w:val="1"/>
          <w:color w:val="auto"/>
        </w:rPr>
        <w:t xml:space="preserve">Direct written premiums, net premiums written: </w:t>
      </w:r>
      <w:r>
        <w:rPr>
          <w:rFonts w:ascii="Times New Roman" w:cs="Times New Roman" w:eastAsia="Times New Roman" w:hAnsi="Times New Roman"/>
          <w:sz w:val="16"/>
          <w:szCs w:val="16"/>
          <w:color w:val="auto"/>
        </w:rPr>
        <w:t>Direct written premiums represent the total premiums charged on policies issued by an insurance company during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respective fiscal period. Net written premiums are direct written premiums less premiums ceded to reinsurers. Net premiums earned, the GAAP measure most comparable to direct written premiums and net written premiums, are net written premiums that are pro-rata earned during the fiscal period presented. All of our policies are written for a twelve-month period. Management uses direct written premiums and net written premiums, along with other measures, to gauge our performance and evaluate results. Direct written premiums and net written premiums are provided as supplemental information, not as a substitute for net premiums earned, and do not reflect the Company’s net premiums earned.</w:t>
      </w:r>
    </w:p>
    <w:p>
      <w:pPr>
        <w:spacing w:after="0" w:line="173" w:lineRule="exact"/>
        <w:rPr>
          <w:sz w:val="20"/>
          <w:szCs w:val="20"/>
          <w:color w:val="auto"/>
        </w:rPr>
      </w:pPr>
    </w:p>
    <w:p>
      <w:pPr>
        <w:jc w:val="both"/>
        <w:ind w:right="20" w:firstLine="607"/>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 xml:space="preserve">Net loss ratio: </w:t>
      </w:r>
      <w:r>
        <w:rPr>
          <w:rFonts w:ascii="Times New Roman" w:cs="Times New Roman" w:eastAsia="Times New Roman" w:hAnsi="Times New Roman"/>
          <w:sz w:val="16"/>
          <w:szCs w:val="16"/>
          <w:color w:val="auto"/>
        </w:rPr>
        <w:t>The net loss ratio is a measure of the underwriting profitability of an insurance company’s business. Expressed as a percentage, this is the ratio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net losses and LAE incurred to net premiums earned.</w:t>
      </w:r>
    </w:p>
    <w:p>
      <w:pPr>
        <w:spacing w:after="0" w:line="14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6"/>
          <w:szCs w:val="16"/>
          <w:b w:val="1"/>
          <w:bCs w:val="1"/>
          <w:i w:val="1"/>
          <w:iCs w:val="1"/>
          <w:color w:val="auto"/>
        </w:rPr>
        <w:t xml:space="preserve">Underlying loss ratio: </w:t>
      </w:r>
      <w:r>
        <w:rPr>
          <w:rFonts w:ascii="Times New Roman" w:cs="Times New Roman" w:eastAsia="Times New Roman" w:hAnsi="Times New Roman"/>
          <w:sz w:val="16"/>
          <w:szCs w:val="16"/>
          <w:color w:val="auto"/>
        </w:rPr>
        <w:t>The underlying loss ratio is a non-GAAP ratio, which is computed as the GAAP net loss ratio excluding the effect of prior year loss reserve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development and catastrophes losses. Management believes that this ratio is useful to investors, and it is used by management to reveal the trends in our business that may be obscured by prior year loss reserve development and catastrophe losses. Catastrophe losses cause our loss ratios to vary significantly between periods as a result of their incidence of occurrence and magnitude and can have a significant impact on the net loss ratio. Management believes that this measure is useful for investors to evaluate this component separately when reviewing our underwriting performance. The most directly comparable GAAP measure is the net loss ratio. The underlying loss ratio should not be considered a substitute for the net loss ratio and does not reflect our net loss ratio.</w:t>
      </w:r>
    </w:p>
    <w:p>
      <w:pPr>
        <w:spacing w:after="0" w:line="21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6"/>
          <w:szCs w:val="16"/>
          <w:b w:val="1"/>
          <w:bCs w:val="1"/>
          <w:i w:val="1"/>
          <w:iCs w:val="1"/>
          <w:color w:val="auto"/>
        </w:rPr>
        <w:t xml:space="preserve">Net loss ratio excluding the effect of catastrophes: </w:t>
      </w:r>
      <w:r>
        <w:rPr>
          <w:rFonts w:ascii="Times New Roman" w:cs="Times New Roman" w:eastAsia="Times New Roman" w:hAnsi="Times New Roman"/>
          <w:sz w:val="16"/>
          <w:szCs w:val="16"/>
          <w:color w:val="auto"/>
        </w:rPr>
        <w:t>The net loss ratio excluding the effect of catastrophes is a non-GAAP ratio, which is computed as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difference between the GAAP net loss ratio and the effect of catastrophes on the net loss ratio. Management believes that this ratio is useful to investors, and it is used by management to reveal the trends in our business that may be obscured by catastrophe losses. Catastrophe losses cause our net loss ratios to vary significantly between periods as a result of their incidence of occurrence and magnitude and can have a significant impact on the net loss ratio. Management believes that this measure is useful for investors to evaluate this component separately when reviewing our underwriting performance. The most directly comparable GAAP measure is the net loss ratio. The net loss ratio excluding the effect of catastrophes should not be considered a substitute for the net loss ratio and does not reflect our net loss ratio.</w:t>
      </w:r>
    </w:p>
    <w:p>
      <w:pPr>
        <w:spacing w:after="0" w:line="20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 xml:space="preserve">Net loss ratio excluding commercial lines business: </w:t>
      </w:r>
      <w:r>
        <w:rPr>
          <w:rFonts w:ascii="Times New Roman" w:cs="Times New Roman" w:eastAsia="Times New Roman" w:hAnsi="Times New Roman"/>
          <w:sz w:val="16"/>
          <w:szCs w:val="16"/>
          <w:color w:val="auto"/>
        </w:rPr>
        <w:t>The net loss ratio excluding commercial lines business is a non-GAAP ratio, which is computed as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difference between the GAAP net loss ratio and the effect of commercial lines on the net loss ratio. Management believes that this ratio is useful to investors, and it is used by management to reveal the trends in our business that may be obscured by losses from commercial lines business. Our commercial lines business has been in run-off since July 2019. Commercial lines losses cause our net loss ratios to vary between periods as a result of changes to their loss reserves during the run-off period and have an impact on the net loss ratio. Management believes that this measure is useful for investors to evaluate this component separately when reviewing our underwriting performance. The most directly comparable GAAP measure is the net loss ratio. The net loss ratio excluding commercial lines business should not be considered a substitute for the net loss ratio and does not reflect our net loss ratio.</w:t>
      </w:r>
    </w:p>
    <w:p>
      <w:pPr>
        <w:spacing w:after="0" w:line="189" w:lineRule="exact"/>
        <w:rPr>
          <w:sz w:val="20"/>
          <w:szCs w:val="20"/>
          <w:color w:val="auto"/>
        </w:rPr>
      </w:pPr>
    </w:p>
    <w:p>
      <w:pPr>
        <w:jc w:val="both"/>
        <w:ind w:firstLine="607"/>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 xml:space="preserve">Net underwriting expense ratio: </w:t>
      </w:r>
      <w:r>
        <w:rPr>
          <w:rFonts w:ascii="Times New Roman" w:cs="Times New Roman" w:eastAsia="Times New Roman" w:hAnsi="Times New Roman"/>
          <w:sz w:val="16"/>
          <w:szCs w:val="16"/>
          <w:color w:val="auto"/>
        </w:rPr>
        <w:t>The net underwriting expense ratio is a measure of an insurance company’s operational efficiency in administering its business.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Expressed as a percentage, this is the ratio of the sum of acquisition costs (the most significant being commissions paid to our producers) and other underwriting expenses less ceding commission revenue less other income to net premiums earned.</w:t>
      </w:r>
    </w:p>
    <w:p>
      <w:pPr>
        <w:spacing w:after="0" w:line="19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Net underwriting expense ratio excluding the effect of catastrophes: </w:t>
      </w:r>
      <w:r>
        <w:rPr>
          <w:rFonts w:ascii="Times New Roman" w:cs="Times New Roman" w:eastAsia="Times New Roman" w:hAnsi="Times New Roman"/>
          <w:sz w:val="16"/>
          <w:szCs w:val="16"/>
          <w:color w:val="auto"/>
        </w:rPr>
        <w:t>The net underwriting expense ratio excluding the effect of catastrophes is a non-GAAP</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ratio, which is computed as the difference between the GAAP net underwriting expense ratio and the effect of catastrophes on the net underwriting expense ratio. Management believes that this ratio is useful to investors, and it is used by management to reveal the trends in our business that may be obscured by catastrophe losses. Catastrophe losses may cause our net underwriting expense ratios to vary significantly between periods as a result of their incidence of occurrence and magnitude and may, but currently do not, have any significant impact on the underwriting expense ratio. Management believes that this measure is useful for investors to evaluate this component separately when reviewing our underwriting performance if there should be a catastrophe effect on the net underwriting expense ratio. The most directly comparable GAAP measure is the net underwriting expense ratio. The net underwriting expense ratio excluding the effect of catastrophes should not be considered a substitute for the net underwriting expense ratio and does not reflect our net underwriting expense ratio.</w:t>
      </w:r>
    </w:p>
    <w:p>
      <w:pPr>
        <w:spacing w:after="0" w:line="167"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 xml:space="preserve">Net combined ratio: </w:t>
      </w:r>
      <w:r>
        <w:rPr>
          <w:rFonts w:ascii="Times New Roman" w:cs="Times New Roman" w:eastAsia="Times New Roman" w:hAnsi="Times New Roman"/>
          <w:sz w:val="16"/>
          <w:szCs w:val="16"/>
          <w:color w:val="auto"/>
        </w:rPr>
        <w:t>The net combined ratio is a measure of an insurance company’s overall underwriting profit. This is the sum of the net loss and net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underwriting expense ratios. If the net combined ratio is at or above 100 percent, an insurance company cannot be profitable without investment income, and may not be profitable if investment income is insufficient.</w:t>
      </w:r>
    </w:p>
    <w:p>
      <w:pPr>
        <w:spacing w:after="0" w:line="171"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Net combined ratio excluding the effect of catastrophes: </w:t>
      </w:r>
      <w:r>
        <w:rPr>
          <w:rFonts w:ascii="Times New Roman" w:cs="Times New Roman" w:eastAsia="Times New Roman" w:hAnsi="Times New Roman"/>
          <w:sz w:val="16"/>
          <w:szCs w:val="16"/>
          <w:color w:val="auto"/>
        </w:rPr>
        <w:t>The net combined ratio excluding the effect of catastrophes is a non-GAAP ratio, which is computed as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difference between the GAAP combined ratio and the effect of catastrophes on the net combined ratio. Management believes that this ratio is useful to investors, and it is used by management to reveal the trends in our business that</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may be obscured by catastrophe losses. Catastrophe losses cause our net combined ratios to vary significantly between periods as a result of their incidence of occurrence and magnitude and can have a significant impact on the net combined ratio. Management believes that this measure is useful for investors to evaluate this component separately when reviewing our underwriting performance. The most directly comparable GAAP measure is the net combined ratio. The net combined ratio excluding the effect of catastrophes should not be considered a substitute for the net combined ratio and does not reflect our net combined ratio.</w:t>
      </w:r>
    </w:p>
    <w:p>
      <w:pPr>
        <w:spacing w:after="0" w:line="175" w:lineRule="exact"/>
        <w:rPr>
          <w:sz w:val="20"/>
          <w:szCs w:val="20"/>
          <w:color w:val="auto"/>
        </w:rPr>
      </w:pPr>
    </w:p>
    <w:p>
      <w:pPr>
        <w:jc w:val="both"/>
        <w:ind w:firstLine="607"/>
        <w:spacing w:after="0" w:line="253" w:lineRule="auto"/>
        <w:rPr>
          <w:sz w:val="20"/>
          <w:szCs w:val="20"/>
          <w:color w:val="auto"/>
        </w:rPr>
      </w:pPr>
      <w:r>
        <w:rPr>
          <w:rFonts w:ascii="Times New Roman" w:cs="Times New Roman" w:eastAsia="Times New Roman" w:hAnsi="Times New Roman"/>
          <w:sz w:val="16"/>
          <w:szCs w:val="16"/>
          <w:b w:val="1"/>
          <w:bCs w:val="1"/>
          <w:i w:val="1"/>
          <w:iCs w:val="1"/>
          <w:color w:val="auto"/>
        </w:rPr>
        <w:t xml:space="preserve">Underwriting income: </w:t>
      </w:r>
      <w:r>
        <w:rPr>
          <w:rFonts w:ascii="Times New Roman" w:cs="Times New Roman" w:eastAsia="Times New Roman" w:hAnsi="Times New Roman"/>
          <w:sz w:val="16"/>
          <w:szCs w:val="16"/>
          <w:color w:val="auto"/>
        </w:rPr>
        <w:t>Underwriting income is net pre-tax income attributable to our insurance underwriting business before investment activity. It excludes net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investment income, net realized gains from investments, gain on sale of real estate, depreciation and amortization, and interest expense (net premiums earned less expenses included in combined ratio). Underwriting income is a measure of an insurance company’s overall operating profitability before items such as investment income, depreciation and amortization, interest expense and income taxes.</w:t>
      </w:r>
    </w:p>
    <w:p>
      <w:pPr>
        <w:spacing w:after="0" w:line="19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Net income from insurance underwriting business on a standalone basis: </w:t>
      </w:r>
      <w:r>
        <w:rPr>
          <w:rFonts w:ascii="Times New Roman" w:cs="Times New Roman" w:eastAsia="Times New Roman" w:hAnsi="Times New Roman"/>
          <w:sz w:val="16"/>
          <w:szCs w:val="16"/>
          <w:color w:val="auto"/>
        </w:rPr>
        <w:t>Net income from insurance underwriting business on a standalone basis is a non-GAAP measure, which is computed as GAAP net income without the effect of holding company operations on GAAP net income. Management believes that this measure is useful to investors, and it is used by management to reveal the trends in our insurance underwriting business that may be obscured by holding company operations. Holding company operations cause our GAAP net income to vary significantly between periods as a result of their magnitude and can have a significant impact on GAAP net income. Management believes that this measure is useful for investors to evaluate this component separately when reviewing our underwriting performance. The most directly comparable GAAP measure is GAAP net income. Net income from insurance underwriting business on a standalone basis should not be considered a substitute for GAAP net income and does not reflect our GAAP net income.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Estimates</w:t>
      </w:r>
    </w:p>
    <w:p>
      <w:pPr>
        <w:spacing w:after="0" w:line="23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Our condensed consolidated financial statements include the accounts of Kingstone Companies, Inc. and all wholly-owned subsidiaries. The preparation of financial statements in conformity with GAAP requires our management to make estimates and assumptions in certain circumstances that affect amounts reported in our condensed consolidated financial statements and related notes. In preparing these condensed consolidated financial statements, our management has utilized information including our past history, industry standards, and the current economic environment, and other factors, in forming its estimates and judgments of certain amounts included in the condensed consolidated financial statements, giving due consideration to materiality. It is possible that the ultimate outcome as anticipated by our management in formulating its estimates in these financial statements may not materialize.</w:t>
      </w:r>
    </w:p>
    <w:p>
      <w:pPr>
        <w:spacing w:after="0" w:line="181"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Application of the critical accounting policies involves the exercise of judgment and use of assumptions as to future uncertainties and, as a result, actual results could differ from these estimates. In addition, other companies may utilize different estimates, which may impact comparability of our results of operations to those of similar companies.</w:t>
      </w:r>
    </w:p>
    <w:p>
      <w:pPr>
        <w:spacing w:after="0" w:line="171" w:lineRule="exact"/>
        <w:rPr>
          <w:sz w:val="20"/>
          <w:szCs w:val="20"/>
          <w:color w:val="auto"/>
        </w:rPr>
      </w:pPr>
    </w:p>
    <w:p>
      <w:pPr>
        <w:jc w:val="both"/>
        <w:ind w:firstLine="648"/>
        <w:spacing w:after="0" w:line="298" w:lineRule="auto"/>
        <w:rPr>
          <w:sz w:val="20"/>
          <w:szCs w:val="20"/>
          <w:color w:val="auto"/>
        </w:rPr>
      </w:pPr>
      <w:r>
        <w:rPr>
          <w:rFonts w:ascii="Times New Roman" w:cs="Times New Roman" w:eastAsia="Times New Roman" w:hAnsi="Times New Roman"/>
          <w:sz w:val="16"/>
          <w:szCs w:val="16"/>
          <w:color w:val="auto"/>
        </w:rPr>
        <w:t>See below a description of these critical accounting estimates. Also see Note 2 to the consolidated financial statements in our Annual Report on Form 10-K for the year ended December 31, 2024.</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Loss and Loss Adjustment Expense Reserves</w:t>
      </w:r>
    </w:p>
    <w:p>
      <w:pPr>
        <w:spacing w:after="0" w:line="23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Property and casualty loss and loss adjustment expense (“LAE”) reserves are established to provide for the estimated cost of settling both reported (“case”) and incurred but not reported (“IBNR”) claims and claims adjusting expenses. The liability for these reserves is estimated on an undiscounted basis, using individual case-basis valuations and paid claims, pending claims, statistical analyses and various actuarial reserving methodologies. Due to the inherent uncertainty of the reserve process, actual loss costs could vary significantly compared to estimated loss costs. The below table provides detail of our reserves as of September 30, 2025 and December 31, 2024:</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25"/>
        </w:trPr>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12"/>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300" w:type="dxa"/>
            <w:vAlign w:val="bottom"/>
          </w:tcPr>
          <w:p>
            <w:pPr>
              <w:spacing w:after="0"/>
              <w:rPr>
                <w:sz w:val="18"/>
                <w:szCs w:val="18"/>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30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Ceded</w:t>
            </w:r>
          </w:p>
        </w:tc>
        <w:tc>
          <w:tcPr>
            <w:tcW w:w="360" w:type="dxa"/>
            <w:vAlign w:val="bottom"/>
          </w:tcPr>
          <w:p>
            <w:pPr>
              <w:spacing w:after="0"/>
              <w:rPr>
                <w:sz w:val="18"/>
                <w:szCs w:val="18"/>
                <w:color w:val="auto"/>
              </w:rPr>
            </w:pPr>
          </w:p>
        </w:tc>
        <w:tc>
          <w:tcPr>
            <w:tcW w:w="110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Net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30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Ceded</w:t>
            </w:r>
          </w:p>
        </w:tc>
        <w:tc>
          <w:tcPr>
            <w:tcW w:w="360" w:type="dxa"/>
            <w:vAlign w:val="bottom"/>
          </w:tcPr>
          <w:p>
            <w:pPr>
              <w:spacing w:after="0"/>
              <w:rPr>
                <w:sz w:val="18"/>
                <w:szCs w:val="18"/>
                <w:color w:val="auto"/>
              </w:rPr>
            </w:pPr>
          </w:p>
        </w:tc>
        <w:tc>
          <w:tcPr>
            <w:tcW w:w="11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Net</w:t>
            </w:r>
          </w:p>
        </w:tc>
      </w:tr>
      <w:tr>
        <w:trPr>
          <w:trHeight w:val="31"/>
        </w:trPr>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1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Case loss</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72,628</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21,024</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51,604</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64,087</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17,721</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46,366</w:t>
            </w:r>
          </w:p>
        </w:tc>
      </w:tr>
      <w:tr>
        <w:trPr>
          <w:trHeight w:val="210"/>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Case LAE</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5,137</w:t>
            </w:r>
          </w:p>
        </w:tc>
      </w:tr>
      <w:tr>
        <w:trPr>
          <w:trHeight w:val="33"/>
        </w:trPr>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3"/>
        </w:trPr>
        <w:tc>
          <w:tcPr>
            <w:tcW w:w="2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IBNR loss</w:t>
            </w:r>
          </w:p>
        </w:tc>
        <w:tc>
          <w:tcPr>
            <w:tcW w:w="3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43,469</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33,656</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38,681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10,661</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28,020</w:t>
            </w:r>
          </w:p>
        </w:tc>
      </w:tr>
      <w:tr>
        <w:trPr>
          <w:trHeight w:val="210"/>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IBNR LAE</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18,072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15,761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16,879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14,365</w:t>
            </w:r>
          </w:p>
        </w:tc>
      </w:tr>
      <w:tr>
        <w:trPr>
          <w:trHeight w:val="33"/>
        </w:trPr>
        <w:tc>
          <w:tcPr>
            <w:tcW w:w="1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2"/>
        </w:trPr>
        <w:tc>
          <w:tcPr>
            <w:tcW w:w="2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141,194</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34,817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106,378</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126,210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32,322</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93,888</w:t>
            </w: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(Components may not sum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firstLine="607"/>
        <w:spacing w:after="0" w:line="280" w:lineRule="auto"/>
        <w:rPr>
          <w:sz w:val="20"/>
          <w:szCs w:val="20"/>
          <w:color w:val="auto"/>
        </w:rPr>
      </w:pPr>
      <w:r>
        <w:rPr>
          <w:rFonts w:ascii="Times New Roman" w:cs="Times New Roman" w:eastAsia="Times New Roman" w:hAnsi="Times New Roman"/>
          <w:sz w:val="16"/>
          <w:szCs w:val="16"/>
          <w:color w:val="auto"/>
        </w:rPr>
        <w:t>Case Reserves – Reserves for reported losses are based on an estimate of ultimate loss costs of an individual claim derived from individual case-basis valuations, actual claims paid, pending claims, statistical analyses and various actuarial reserving methodologies.</w:t>
      </w:r>
    </w:p>
    <w:p>
      <w:pPr>
        <w:spacing w:after="0" w:line="16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6"/>
          <w:szCs w:val="16"/>
          <w:color w:val="auto"/>
        </w:rPr>
        <w:t>IBNR Reserves – IBNR reserves are estimates of claims that have occurred but as to which we have not yet been notified to establish the case reserve. IBNR also accounts for loss development on claims that have been reported. IBNR is determined using historical information aggregated by line of insurance and adjusted to current conditions.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Reinsurance</w:t>
      </w:r>
    </w:p>
    <w:p>
      <w:pPr>
        <w:spacing w:after="0" w:line="23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We purchase reinsurance to manage our underwriting risk on certain policies. Reinsurance receivables represent management’s best estimate of loss and LAE recoverable from reinsurers. Reinsurance receivables are estimated using the same methodologies as loss and LAE reserves. Changes in the methods and assumptions used could result in significant variances between actual and estimated losses.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Deferred Income Taxes</w:t>
      </w:r>
    </w:p>
    <w:p>
      <w:pPr>
        <w:spacing w:after="0" w:line="223" w:lineRule="exact"/>
        <w:rPr>
          <w:sz w:val="20"/>
          <w:szCs w:val="20"/>
          <w:color w:val="auto"/>
        </w:rPr>
      </w:pPr>
    </w:p>
    <w:p>
      <w:pPr>
        <w:jc w:val="both"/>
        <w:ind w:firstLine="648"/>
        <w:spacing w:after="0" w:line="298" w:lineRule="auto"/>
        <w:rPr>
          <w:sz w:val="20"/>
          <w:szCs w:val="20"/>
          <w:color w:val="auto"/>
        </w:rPr>
      </w:pPr>
      <w:r>
        <w:rPr>
          <w:rFonts w:ascii="Times New Roman" w:cs="Times New Roman" w:eastAsia="Times New Roman" w:hAnsi="Times New Roman"/>
          <w:sz w:val="16"/>
          <w:szCs w:val="16"/>
          <w:color w:val="auto"/>
        </w:rPr>
        <w:t>Our effective tax rate is based on GAAP income at statutory tax rates, adjusted for non-taxable and non-deductible items, and tax credits. Changes in estimates used in preparing the condensed consolidated statements of income and comprehensive income could result in significant changes to our deferred tax asset or liability.</w:t>
      </w:r>
    </w:p>
    <w:p>
      <w:pPr>
        <w:spacing w:after="0" w:line="151"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16"/>
          <w:szCs w:val="16"/>
          <w:color w:val="auto"/>
        </w:rPr>
        <w:t>Deferred tax assets or liabilities are recognized for estimated future tax consequences which result in differences between the financial statement carrying amounts of assets and liabilities and their respective tax basis. These assets and liabilities are carried at the enacted tax rates expected to apply when the asset or liability is expected to be recovered or settled. Changes in estimates and assumptions in the condensed consolidated statements of income and comprehensive income, or changes in the enacted tax rate, could result in significant variances between our carried deferred tax and tax recognized on the recovery or settlement of the asset or liability.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Investments</w:t>
      </w:r>
    </w:p>
    <w:p>
      <w:pPr>
        <w:spacing w:after="0" w:line="23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Bonds are classified as held-to-maturity (“HTM”) or available-for-sale (“AFS”), and stocks are generally classified as AFS. Investments classified as HTM are carried at amortized cost, which requires very little judgement. Investments in stocks classified as AFS are generally carried at fair value with an unrealized gain/loss recorded in net income. Investments in bonds classified as AFS are generally carried at fair value with an unrealized gain/loss recorded in accumulated other comprehensive income. Actual results could vary significantly from the fair values recognized in the condensed consolidated statements of income and comprehensive income.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Policies in Force and Direct Written Premiums</w:t>
      </w:r>
    </w:p>
    <w:p>
      <w:pPr>
        <w:spacing w:after="0" w:line="23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See the tables below for our policies in force as of September 30, 2025 and 2024 and direct written premiums for the three months and nine months ended September 30, 2025 and 2024. For the three months ended September 30, 2025, our direct written premiums increased by 13.8% compared to the three months ended September 30, 2024, while policies in force increased by 4.2% as of September 30, 2025 as compared to September 30, 2024. For the nine months ended September 30, 2025, our direct written premiums increased by 15.1% compared to the nine months ended September 30, 2024, while policies in force increased by 4.2% as of September 30, 2025 as compared to September 30, 2024.</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7"/>
          </w:tcPr>
          <w:p>
            <w:pPr>
              <w:ind w:left="880"/>
              <w:spacing w:after="0"/>
              <w:rPr>
                <w:sz w:val="20"/>
                <w:szCs w:val="20"/>
                <w:color w:val="auto"/>
              </w:rPr>
            </w:pPr>
            <w:r>
              <w:rPr>
                <w:rFonts w:ascii="Times New Roman" w:cs="Times New Roman" w:eastAsia="Times New Roman" w:hAnsi="Times New Roman"/>
                <w:sz w:val="16"/>
                <w:szCs w:val="16"/>
                <w:b w:val="1"/>
                <w:bCs w:val="1"/>
                <w:color w:val="auto"/>
                <w:w w:val="99"/>
              </w:rPr>
              <w:t>As of September 30,</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0" w:type="dxa"/>
            <w:vAlign w:val="bottom"/>
          </w:tcPr>
          <w:p>
            <w:pPr>
              <w:spacing w:after="0"/>
              <w:rPr>
                <w:sz w:val="1"/>
                <w:szCs w:val="1"/>
                <w:color w:val="auto"/>
              </w:rPr>
            </w:pPr>
          </w:p>
        </w:tc>
      </w:tr>
      <w:tr>
        <w:trPr>
          <w:trHeight w:val="31"/>
        </w:trPr>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Policies In Force</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78,026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74,887</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3,139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0" w:type="dxa"/>
            <w:vAlign w:val="bottom"/>
          </w:tcPr>
          <w:p>
            <w:pPr>
              <w:spacing w:after="0"/>
              <w:rPr>
                <w:sz w:val="1"/>
                <w:szCs w:val="1"/>
                <w:color w:val="auto"/>
              </w:rPr>
            </w:pPr>
          </w:p>
        </w:tc>
      </w:tr>
      <w:tr>
        <w:trPr>
          <w:trHeight w:val="528"/>
        </w:trPr>
        <w:tc>
          <w:tcPr>
            <w:tcW w:w="14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2660" w:type="dxa"/>
            <w:vAlign w:val="bottom"/>
            <w:tcBorders>
              <w:top w:val="single" w:sz="8" w:color="auto"/>
              <w:bottom w:val="single" w:sz="8" w:color="auto"/>
            </w:tcBorders>
            <w:gridSpan w:val="10"/>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0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400" w:type="dxa"/>
            <w:vAlign w:val="bottom"/>
            <w:tcBorders>
              <w:top w:val="single" w:sz="8" w:color="auto"/>
              <w:bottom w:val="single" w:sz="8" w:color="auto"/>
            </w:tcBorders>
            <w:gridSpan w:val="9"/>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22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580" w:type="dxa"/>
            <w:vAlign w:val="bottom"/>
            <w:gridSpan w:val="2"/>
          </w:tcPr>
          <w:p>
            <w:pPr>
              <w:ind w:left="20"/>
              <w:spacing w:after="0" w:line="173" w:lineRule="exact"/>
              <w:rPr>
                <w:sz w:val="20"/>
                <w:szCs w:val="20"/>
                <w:color w:val="auto"/>
              </w:rPr>
            </w:pPr>
            <w:r>
              <w:rPr>
                <w:rFonts w:ascii="Times New Roman" w:cs="Times New Roman" w:eastAsia="Times New Roman" w:hAnsi="Times New Roman"/>
                <w:sz w:val="16"/>
                <w:szCs w:val="16"/>
                <w:b w:val="1"/>
                <w:bCs w:val="1"/>
                <w:color w:val="auto"/>
              </w:rPr>
              <w:t>(000’s except</w:t>
            </w:r>
          </w:p>
        </w:tc>
        <w:tc>
          <w:tcPr>
            <w:tcW w:w="240" w:type="dxa"/>
            <w:vAlign w:val="bottom"/>
          </w:tcPr>
          <w:p>
            <w:pPr>
              <w:spacing w:after="0"/>
              <w:rPr>
                <w:sz w:val="15"/>
                <w:szCs w:val="15"/>
                <w:color w:val="auto"/>
              </w:rPr>
            </w:pPr>
          </w:p>
        </w:tc>
        <w:tc>
          <w:tcPr>
            <w:tcW w:w="84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5"/>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40" w:type="dxa"/>
            <w:vAlign w:val="bottom"/>
            <w:gridSpan w:val="4"/>
            <w:vMerge w:val="restart"/>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92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gridSpan w:val="2"/>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2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0" w:type="dxa"/>
            <w:vAlign w:val="bottom"/>
          </w:tcPr>
          <w:p>
            <w:pPr>
              <w:spacing w:after="0"/>
              <w:rPr>
                <w:sz w:val="1"/>
                <w:szCs w:val="1"/>
                <w:color w:val="auto"/>
              </w:rPr>
            </w:pPr>
          </w:p>
        </w:tc>
      </w:tr>
      <w:tr>
        <w:trPr>
          <w:trHeight w:val="225"/>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percentages)</w:t>
            </w:r>
          </w:p>
        </w:tc>
        <w:tc>
          <w:tcPr>
            <w:tcW w:w="2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5"/>
            <w:vMerge w:val="continue"/>
          </w:tcPr>
          <w:p>
            <w:pPr>
              <w:spacing w:after="0"/>
              <w:rPr>
                <w:sz w:val="19"/>
                <w:szCs w:val="19"/>
                <w:color w:val="auto"/>
              </w:rPr>
            </w:pPr>
          </w:p>
        </w:tc>
        <w:tc>
          <w:tcPr>
            <w:tcW w:w="1240" w:type="dxa"/>
            <w:vAlign w:val="bottom"/>
            <w:gridSpan w:val="4"/>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gridSpan w:val="4"/>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1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Direct written</w:t>
            </w:r>
          </w:p>
        </w:tc>
        <w:tc>
          <w:tcPr>
            <w:tcW w:w="24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75,810</w:t>
            </w:r>
          </w:p>
        </w:tc>
        <w:tc>
          <w:tcPr>
            <w:tcW w:w="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66,627</w:t>
            </w:r>
          </w:p>
        </w:tc>
        <w:tc>
          <w:tcPr>
            <w:tcW w:w="10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9,183</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gridSpan w:val="4"/>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13.8%  $</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195,047</w:t>
            </w:r>
          </w:p>
        </w:tc>
        <w:tc>
          <w:tcPr>
            <w:tcW w:w="520" w:type="dxa"/>
            <w:vAlign w:val="bottom"/>
            <w:gridSpan w:val="3"/>
            <w:vMerge w:val="restart"/>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169,447</w:t>
            </w:r>
          </w:p>
        </w:tc>
        <w:tc>
          <w:tcPr>
            <w:tcW w:w="10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25,600</w:t>
            </w:r>
          </w:p>
        </w:tc>
        <w:tc>
          <w:tcPr>
            <w:tcW w:w="10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0" w:type="dxa"/>
            <w:vAlign w:val="bottom"/>
          </w:tcPr>
          <w:p>
            <w:pPr>
              <w:spacing w:after="0"/>
              <w:rPr>
                <w:sz w:val="1"/>
                <w:szCs w:val="1"/>
                <w:color w:val="auto"/>
              </w:rPr>
            </w:pPr>
          </w:p>
        </w:tc>
      </w:tr>
      <w:tr>
        <w:trPr>
          <w:trHeight w:val="230"/>
        </w:trPr>
        <w:tc>
          <w:tcPr>
            <w:tcW w:w="1580" w:type="dxa"/>
            <w:vAlign w:val="bottom"/>
            <w:tcBorders>
              <w:bottom w:val="single" w:sz="8" w:color="auto"/>
            </w:tcBorders>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6"/>
                <w:szCs w:val="16"/>
                <w:color w:val="auto"/>
              </w:rPr>
              <w:t>premiums</w:t>
            </w:r>
            <w:r>
              <w:rPr>
                <w:rFonts w:ascii="Times New Roman" w:cs="Times New Roman" w:eastAsia="Times New Roman" w:hAnsi="Times New Roman"/>
                <w:sz w:val="21"/>
                <w:szCs w:val="21"/>
                <w:color w:val="auto"/>
                <w:vertAlign w:val="superscript"/>
              </w:rPr>
              <w:t>1</w:t>
            </w: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320" w:type="dxa"/>
            <w:vAlign w:val="bottom"/>
            <w:tcBorders>
              <w:bottom w:val="single" w:sz="8" w:color="auto"/>
            </w:tcBorders>
            <w:gridSpan w:val="2"/>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gridSpan w:val="2"/>
            <w:vMerge w:val="continue"/>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4"/>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520" w:type="dxa"/>
            <w:vAlign w:val="bottom"/>
            <w:tcBorders>
              <w:bottom w:val="single" w:sz="8" w:color="auto"/>
            </w:tcBorders>
            <w:gridSpan w:val="3"/>
            <w:vMerge w:val="continue"/>
            <w:shd w:val="clear" w:color="auto" w:fill="CCEEFF"/>
          </w:tcPr>
          <w:p>
            <w:pPr>
              <w:spacing w:after="0"/>
              <w:rPr>
                <w:sz w:val="19"/>
                <w:szCs w:val="19"/>
                <w:color w:val="auto"/>
              </w:rPr>
            </w:pPr>
          </w:p>
        </w:tc>
        <w:tc>
          <w:tcPr>
            <w:tcW w:w="720" w:type="dxa"/>
            <w:vAlign w:val="bottom"/>
            <w:tcBorders>
              <w:bottom w:val="single" w:sz="8" w:color="auto"/>
            </w:tcBorders>
            <w:gridSpan w:val="2"/>
            <w:vMerge w:val="continue"/>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gridSpan w:val="3"/>
            <w:vMerge w:val="continue"/>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right="460"/>
        <w:spacing w:after="0" w:line="225" w:lineRule="auto"/>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Direct written premiums is a non-GAAP measure defined above under "Key GAAP and Non-GAAP Measures". See "Non-GAAP Financial Measures" below for the reconciliation of direct written premiums to the GAAP measure of net premiums earned.</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Change in Market Dynamics (underway), and 5-Year Growth Plan (underway)</w:t>
      </w:r>
    </w:p>
    <w:p>
      <w:pPr>
        <w:spacing w:after="0" w:line="210" w:lineRule="exact"/>
        <w:rPr>
          <w:sz w:val="20"/>
          <w:szCs w:val="20"/>
          <w:color w:val="auto"/>
        </w:rPr>
      </w:pPr>
    </w:p>
    <w:p>
      <w:pPr>
        <w:ind w:left="1300" w:hanging="320"/>
        <w:spacing w:after="0"/>
        <w:tabs>
          <w:tab w:leader="none" w:pos="13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 in Market Dynamics</w:t>
      </w:r>
    </w:p>
    <w:p>
      <w:pPr>
        <w:spacing w:after="0" w:line="208"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6"/>
          <w:szCs w:val="16"/>
          <w:color w:val="auto"/>
        </w:rPr>
        <w:t>On August 2, 2024, two large competitors announced a plan to wind down their personal lines operations in New York State and to non-renew or mid-term cancel their entire book of business before year end 2024. The policyholders of such competitors needed to find alternative coverage. Beginning in the quarter ended September 30, 2024, we began seeing a sizable increase in our policies in force and direct written premiums from these non-renewed and cancelled policies. We refer to this new business as a Change in Market Dynamics.</w:t>
      </w:r>
    </w:p>
    <w:p>
      <w:pPr>
        <w:spacing w:after="0" w:line="182"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16"/>
          <w:szCs w:val="16"/>
          <w:color w:val="auto"/>
        </w:rPr>
        <w:t>On April 14, 2025, KICO entered into an agreement to offer a quote for a replacement policy to selected homeowners policyholders in Downstate New York as one of our competitors pivots focus away from admitted personal lines business (the "Withdrawal Plan"). The Withdrawal Plan, which includes this transaction, has been</w:t>
      </w:r>
    </w:p>
    <w:p>
      <w:pPr>
        <w:spacing w:after="0" w:line="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6"/>
          <w:szCs w:val="16"/>
          <w:color w:val="auto"/>
        </w:rPr>
        <w:t>approved by the New York Department of Financial Services. This competitor wrote approximately $70 million in written premium. The Withdrawal Plan will enable KICO to work with new distribution partners to further increase our footprint in Downstate New York by offering an alternative policy to selected homeowners policyholders with effective dates that started in late third quarter of 2025. This transaction is being handled in a similar manner to the Change in Market Dynamics, except that we are streamlining the process by providing a quote for eligible policyholders to our producers.</w:t>
      </w:r>
    </w:p>
    <w:p>
      <w:pPr>
        <w:spacing w:after="0" w:line="182" w:lineRule="exact"/>
        <w:rPr>
          <w:sz w:val="20"/>
          <w:szCs w:val="20"/>
          <w:color w:val="auto"/>
        </w:rPr>
      </w:pPr>
    </w:p>
    <w:p>
      <w:pPr>
        <w:ind w:left="1300" w:hanging="320"/>
        <w:spacing w:after="0"/>
        <w:tabs>
          <w:tab w:leader="none" w:pos="13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5-Year Growth Plan</w:t>
      </w:r>
    </w:p>
    <w:p>
      <w:pPr>
        <w:spacing w:after="0" w:line="194"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6"/>
          <w:szCs w:val="16"/>
          <w:color w:val="auto"/>
        </w:rPr>
        <w:t>We recently announced our 5-year goal of $500 million in direct written premium (the "5-Year Growth Plan"), effectively doubling the size of our company relative to today. We are diligently working on a strategic plan that outlines how we will achieve this goal through a combination of organic initiatives and strategic inorganic opportunities in our core state of New York along with measured geographic expansion into new states. We intend to maintain our focus on our core-expertise of insuring catastrophe-exposed properties.</w:t>
      </w:r>
    </w:p>
    <w:p>
      <w:pPr>
        <w:spacing w:after="0" w:line="182"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16"/>
          <w:szCs w:val="16"/>
          <w:color w:val="auto"/>
        </w:rPr>
        <w:t>Relative to geographic expansion, we have conducted a thorough study of selected geographies and states with the help of industry-leading third-party advisors and overlaid important lessons learned from our past challenges to ensure that we do not face such challenges again. We plan to pursue prudent growth at a measured pace in</w:t>
      </w:r>
    </w:p>
    <w:p>
      <w:pPr>
        <w:spacing w:after="0" w:line="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our chosen new states, testing and validating rate adequacy commensurate with risk factors in the new geographies. Our current plan is to go live in two states in 2026, and two additional states in 2027.</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b w:val="1"/>
          <w:bCs w:val="1"/>
          <w:color w:val="auto"/>
        </w:rPr>
        <w:t>Consolidated Results of Operations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Nine Months Ended September 30, 2025 Compared to Nine Months Ended September 30, 2024</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summarizes the changes in the results of our operations (in thousands)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Direct written premiums (1)</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195,047</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169,447</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25,600</w:t>
            </w:r>
          </w:p>
        </w:tc>
        <w:tc>
          <w:tcPr>
            <w:tcW w:w="1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0" w:type="dxa"/>
            <w:vAlign w:val="bottom"/>
          </w:tcPr>
          <w:p>
            <w:pPr>
              <w:spacing w:after="0"/>
              <w:rPr>
                <w:sz w:val="1"/>
                <w:szCs w:val="1"/>
                <w:color w:val="auto"/>
              </w:rPr>
            </w:pPr>
          </w:p>
        </w:tc>
      </w:tr>
      <w:tr>
        <w:trPr>
          <w:trHeight w:val="193"/>
        </w:trPr>
        <w:tc>
          <w:tcPr>
            <w:tcW w:w="4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Ceded written premiums</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Ceded to quota share treaties (2)</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13,205</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35,209</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(22,004)</w:t>
            </w:r>
          </w:p>
        </w:tc>
        <w:tc>
          <w:tcPr>
            <w:tcW w:w="1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 %</w:t>
            </w:r>
          </w:p>
        </w:tc>
        <w:tc>
          <w:tcPr>
            <w:tcW w:w="0" w:type="dxa"/>
            <w:vAlign w:val="bottom"/>
          </w:tcPr>
          <w:p>
            <w:pPr>
              <w:spacing w:after="0"/>
              <w:rPr>
                <w:sz w:val="1"/>
                <w:szCs w:val="1"/>
                <w:color w:val="auto"/>
              </w:rPr>
            </w:pPr>
          </w:p>
        </w:tc>
      </w:tr>
      <w:tr>
        <w:trPr>
          <w:trHeight w:val="193"/>
        </w:trPr>
        <w:tc>
          <w:tcPr>
            <w:tcW w:w="48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Ceded to excess of loss treaties</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00" w:type="dxa"/>
            <w:vAlign w:val="bottom"/>
          </w:tcPr>
          <w:p>
            <w:pPr>
              <w:spacing w:after="0"/>
              <w:rPr>
                <w:sz w:val="16"/>
                <w:szCs w:val="16"/>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Ceded to catastrophe treaties</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32,738</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29,682</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3,056</w:t>
            </w:r>
          </w:p>
        </w:tc>
        <w:tc>
          <w:tcPr>
            <w:tcW w:w="1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186"/>
        </w:trPr>
        <w:tc>
          <w:tcPr>
            <w:tcW w:w="4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ceded written premiums</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50,178</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69,381</w:t>
            </w: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(19,203)</w:t>
            </w:r>
          </w:p>
        </w:tc>
        <w:tc>
          <w:tcPr>
            <w:tcW w:w="100" w:type="dxa"/>
            <w:vAlign w:val="bottom"/>
          </w:tcPr>
          <w:p>
            <w:pPr>
              <w:spacing w:after="0"/>
              <w:rPr>
                <w:sz w:val="16"/>
                <w:szCs w:val="16"/>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(27.7) %</w:t>
            </w:r>
          </w:p>
        </w:tc>
        <w:tc>
          <w:tcPr>
            <w:tcW w:w="0" w:type="dxa"/>
            <w:vAlign w:val="bottom"/>
          </w:tcPr>
          <w:p>
            <w:pPr>
              <w:spacing w:after="0"/>
              <w:rPr>
                <w:sz w:val="1"/>
                <w:szCs w:val="1"/>
                <w:color w:val="auto"/>
              </w:rPr>
            </w:pPr>
          </w:p>
        </w:tc>
      </w:tr>
      <w:tr>
        <w:trPr>
          <w:trHeight w:val="23"/>
        </w:trPr>
        <w:tc>
          <w:tcPr>
            <w:tcW w:w="4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written premiums (1)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144,869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100,065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44,804</w:t>
            </w:r>
          </w:p>
        </w:tc>
        <w:tc>
          <w:tcPr>
            <w:tcW w:w="100" w:type="dxa"/>
            <w:vAlign w:val="bottom"/>
          </w:tcPr>
          <w:p>
            <w:pPr>
              <w:spacing w:after="0"/>
              <w:rPr>
                <w:sz w:val="16"/>
                <w:szCs w:val="16"/>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44.8%</w:t>
            </w:r>
          </w:p>
        </w:tc>
        <w:tc>
          <w:tcPr>
            <w:tcW w:w="0" w:type="dxa"/>
            <w:vAlign w:val="bottom"/>
          </w:tcPr>
          <w:p>
            <w:pPr>
              <w:spacing w:after="0"/>
              <w:rPr>
                <w:sz w:val="1"/>
                <w:szCs w:val="1"/>
                <w:color w:val="auto"/>
              </w:rPr>
            </w:pPr>
          </w:p>
        </w:tc>
      </w:tr>
      <w:tr>
        <w:trPr>
          <w:trHeight w:val="23"/>
        </w:trPr>
        <w:tc>
          <w:tcPr>
            <w:tcW w:w="4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Change in unearned premiums</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62.8%</w:t>
            </w:r>
          </w:p>
        </w:tc>
        <w:tc>
          <w:tcPr>
            <w:tcW w:w="0" w:type="dxa"/>
            <w:vAlign w:val="bottom"/>
          </w:tcPr>
          <w:p>
            <w:pPr>
              <w:spacing w:after="0" w:line="20" w:lineRule="exact"/>
              <w:rPr>
                <w:sz w:val="1"/>
                <w:szCs w:val="1"/>
                <w:color w:val="auto"/>
              </w:rPr>
            </w:pPr>
          </w:p>
        </w:tc>
      </w:tr>
      <w:tr>
        <w:trPr>
          <w:trHeight w:val="196"/>
        </w:trPr>
        <w:tc>
          <w:tcPr>
            <w:tcW w:w="4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Direct</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(5,339)</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(14,353)</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9,014</w:t>
            </w:r>
          </w:p>
        </w:tc>
        <w:tc>
          <w:tcPr>
            <w:tcW w:w="100" w:type="dxa"/>
            <w:vAlign w:val="bottom"/>
            <w:tcBorders>
              <w:bottom w:val="single" w:sz="8" w:color="CCEEFF"/>
            </w:tcBorders>
            <w:shd w:val="clear" w:color="auto" w:fill="CCEEFF"/>
          </w:tcPr>
          <w:p>
            <w:pPr>
              <w:spacing w:after="0"/>
              <w:rPr>
                <w:sz w:val="17"/>
                <w:szCs w:val="17"/>
                <w:color w:val="auto"/>
              </w:rPr>
            </w:pPr>
          </w:p>
        </w:tc>
        <w:tc>
          <w:tcPr>
            <w:tcW w:w="16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8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Ceded to reinsurance treaties (2)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(8,685)</w:t>
            </w: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3"/>
        </w:trPr>
        <w:tc>
          <w:tcPr>
            <w:tcW w:w="4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 in net unearned premiums</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(7,206)</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(7,535)</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10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Premiums earned</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8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Direct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189,708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155,093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34,615</w:t>
            </w:r>
          </w:p>
        </w:tc>
        <w:tc>
          <w:tcPr>
            <w:tcW w:w="100" w:type="dxa"/>
            <w:vAlign w:val="bottom"/>
          </w:tcPr>
          <w:p>
            <w:pPr>
              <w:spacing w:after="0"/>
              <w:rPr>
                <w:sz w:val="16"/>
                <w:szCs w:val="16"/>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Ceded to reinsurance treaties</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(52,044)</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(62,563)</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10,519</w:t>
            </w:r>
          </w:p>
        </w:tc>
        <w:tc>
          <w:tcPr>
            <w:tcW w:w="1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0" w:type="dxa"/>
            <w:vAlign w:val="bottom"/>
          </w:tcPr>
          <w:p>
            <w:pPr>
              <w:spacing w:after="0"/>
              <w:rPr>
                <w:sz w:val="1"/>
                <w:szCs w:val="1"/>
                <w:color w:val="auto"/>
              </w:rPr>
            </w:pPr>
          </w:p>
        </w:tc>
      </w:tr>
      <w:tr>
        <w:trPr>
          <w:trHeight w:val="186"/>
        </w:trPr>
        <w:tc>
          <w:tcPr>
            <w:tcW w:w="4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premiums earned</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137,663</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92,531</w:t>
            </w: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45,132</w:t>
            </w:r>
          </w:p>
        </w:tc>
        <w:tc>
          <w:tcPr>
            <w:tcW w:w="100" w:type="dxa"/>
            <w:vAlign w:val="bottom"/>
          </w:tcPr>
          <w:p>
            <w:pPr>
              <w:spacing w:after="0"/>
              <w:rPr>
                <w:sz w:val="16"/>
                <w:szCs w:val="16"/>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Ceding commission revenue (2)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10,941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13,871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(2,930)</w:t>
            </w:r>
          </w:p>
        </w:tc>
        <w:tc>
          <w:tcPr>
            <w:tcW w:w="100" w:type="dxa"/>
            <w:vAlign w:val="bottom"/>
          </w:tcPr>
          <w:p>
            <w:pPr>
              <w:spacing w:after="0"/>
              <w:rPr>
                <w:sz w:val="16"/>
                <w:szCs w:val="16"/>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(21.1) %</w:t>
            </w: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investment income</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6,848</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4,917</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1,931</w:t>
            </w:r>
          </w:p>
        </w:tc>
        <w:tc>
          <w:tcPr>
            <w:tcW w:w="1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0" w:type="dxa"/>
            <w:vAlign w:val="bottom"/>
          </w:tcPr>
          <w:p>
            <w:pPr>
              <w:spacing w:after="0"/>
              <w:rPr>
                <w:sz w:val="1"/>
                <w:szCs w:val="1"/>
                <w:color w:val="auto"/>
              </w:rPr>
            </w:pPr>
          </w:p>
        </w:tc>
      </w:tr>
      <w:tr>
        <w:trPr>
          <w:trHeight w:val="193"/>
        </w:trPr>
        <w:tc>
          <w:tcPr>
            <w:tcW w:w="4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gains on investments</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100" w:type="dxa"/>
            <w:vAlign w:val="bottom"/>
          </w:tcPr>
          <w:p>
            <w:pPr>
              <w:spacing w:after="0"/>
              <w:rPr>
                <w:sz w:val="16"/>
                <w:szCs w:val="16"/>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(55.2) %</w:t>
            </w: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Gain on sale of real estate</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1,966</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40"/>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income</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48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revenues</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158,446</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113,039</w:t>
            </w: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45,407</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4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 and loss adjustment expenses</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Direct and assumed:</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8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Loss and loss adjustment expenses excluding the effect of catastrophes</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81,275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55,481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25,794</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Losses from catastrophes (3)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1,373</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3,389</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(2,016)</w:t>
            </w:r>
          </w:p>
        </w:tc>
        <w:tc>
          <w:tcPr>
            <w:tcW w:w="1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 %</w:t>
            </w:r>
          </w:p>
        </w:tc>
        <w:tc>
          <w:tcPr>
            <w:tcW w:w="0" w:type="dxa"/>
            <w:vAlign w:val="bottom"/>
          </w:tcPr>
          <w:p>
            <w:pPr>
              <w:spacing w:after="0"/>
              <w:rPr>
                <w:sz w:val="1"/>
                <w:szCs w:val="1"/>
                <w:color w:val="auto"/>
              </w:rPr>
            </w:pPr>
          </w:p>
        </w:tc>
      </w:tr>
      <w:tr>
        <w:trPr>
          <w:trHeight w:val="186"/>
        </w:trPr>
        <w:tc>
          <w:tcPr>
            <w:tcW w:w="48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direct and assumed loss and loss adjustment expenses</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82,648</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58,870</w:t>
            </w: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23,778</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4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8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Ceded loss and loss adjustment expenses:</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Loss and loss adjustment expenses excluding the effect of catastrophes</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16,093</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12,809</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3,284</w:t>
            </w:r>
          </w:p>
        </w:tc>
        <w:tc>
          <w:tcPr>
            <w:tcW w:w="1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8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Losses from catastrophes (3)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w:t>
            </w:r>
          </w:p>
        </w:tc>
        <w:tc>
          <w:tcPr>
            <w:tcW w:w="100" w:type="dxa"/>
            <w:vAlign w:val="bottom"/>
          </w:tcPr>
          <w:p>
            <w:pPr>
              <w:spacing w:after="0"/>
              <w:rPr>
                <w:sz w:val="16"/>
                <w:szCs w:val="16"/>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(76.5) %</w:t>
            </w:r>
          </w:p>
        </w:tc>
        <w:tc>
          <w:tcPr>
            <w:tcW w:w="0" w:type="dxa"/>
            <w:vAlign w:val="bottom"/>
          </w:tcPr>
          <w:p>
            <w:pPr>
              <w:spacing w:after="0"/>
              <w:rPr>
                <w:sz w:val="1"/>
                <w:szCs w:val="1"/>
                <w:color w:val="auto"/>
              </w:rPr>
            </w:pPr>
          </w:p>
        </w:tc>
      </w:tr>
      <w:tr>
        <w:trPr>
          <w:trHeight w:val="23"/>
        </w:trPr>
        <w:tc>
          <w:tcPr>
            <w:tcW w:w="4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Total ceded loss and loss adjustment expenses</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16,313</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13,744</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2,569</w:t>
            </w:r>
          </w:p>
        </w:tc>
        <w:tc>
          <w:tcPr>
            <w:tcW w:w="10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Net loss and loss adjustment expenses:</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8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Loss and loss adjustment expenses excluding the effect of catastrophes</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65,181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42,672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22,509</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Losses from catastrophes (3)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1,154</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2,454</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w:t>
            </w:r>
          </w:p>
        </w:tc>
        <w:tc>
          <w:tcPr>
            <w:tcW w:w="1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 %</w:t>
            </w:r>
          </w:p>
        </w:tc>
        <w:tc>
          <w:tcPr>
            <w:tcW w:w="0" w:type="dxa"/>
            <w:vAlign w:val="bottom"/>
          </w:tcPr>
          <w:p>
            <w:pPr>
              <w:spacing w:after="0"/>
              <w:rPr>
                <w:sz w:val="1"/>
                <w:szCs w:val="1"/>
                <w:color w:val="auto"/>
              </w:rPr>
            </w:pPr>
          </w:p>
        </w:tc>
      </w:tr>
      <w:tr>
        <w:trPr>
          <w:trHeight w:val="186"/>
        </w:trPr>
        <w:tc>
          <w:tcPr>
            <w:tcW w:w="48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Net loss and loss adjustment expenses</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66,335</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45,125</w:t>
            </w: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21,210</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4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Commission expense</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30,251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25,089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5,162</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underwriting expenses</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23,491</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18,676</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4,815</w:t>
            </w:r>
          </w:p>
        </w:tc>
        <w:tc>
          <w:tcPr>
            <w:tcW w:w="1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operating expenses</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1,882</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1,836</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expense</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(2,507)</w:t>
            </w:r>
          </w:p>
        </w:tc>
        <w:tc>
          <w:tcPr>
            <w:tcW w:w="100" w:type="dxa"/>
            <w:vAlign w:val="bottom"/>
          </w:tcPr>
          <w:p>
            <w:pPr>
              <w:spacing w:after="0"/>
              <w:rPr>
                <w:sz w:val="16"/>
                <w:szCs w:val="16"/>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(86.9) %</w:t>
            </w:r>
          </w:p>
        </w:tc>
        <w:tc>
          <w:tcPr>
            <w:tcW w:w="0" w:type="dxa"/>
            <w:vAlign w:val="bottom"/>
          </w:tcPr>
          <w:p>
            <w:pPr>
              <w:spacing w:after="0"/>
              <w:rPr>
                <w:sz w:val="1"/>
                <w:szCs w:val="1"/>
                <w:color w:val="auto"/>
              </w:rPr>
            </w:pPr>
          </w:p>
        </w:tc>
      </w:tr>
      <w:tr>
        <w:trPr>
          <w:trHeight w:val="24"/>
        </w:trPr>
        <w:tc>
          <w:tcPr>
            <w:tcW w:w="4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Total expenses</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125,855</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96,430</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29,425</w:t>
            </w:r>
          </w:p>
        </w:tc>
        <w:tc>
          <w:tcPr>
            <w:tcW w:w="10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before taxes</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32,591</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16,609</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15,982</w:t>
            </w:r>
          </w:p>
        </w:tc>
        <w:tc>
          <w:tcPr>
            <w:tcW w:w="1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Income tax expense</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2,895</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4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12,920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13,087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(Columns in the table above may not sum to totals due to rounding)</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620" w:right="260" w:hanging="802"/>
        <w:spacing w:after="0" w:line="280" w:lineRule="auto"/>
        <w:tabs>
          <w:tab w:leader="none" w:pos="16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 written premiums and net premiums written are non-GAAP measures, defined above under "Key GAAP and Non-GAAP Measures", and reconciled in the table herein to the GAAP measure of net premiums earned.</w:t>
      </w:r>
    </w:p>
    <w:p>
      <w:pPr>
        <w:spacing w:after="0" w:line="178" w:lineRule="exact"/>
        <w:rPr>
          <w:rFonts w:ascii="Times New Roman" w:cs="Times New Roman" w:eastAsia="Times New Roman" w:hAnsi="Times New Roman"/>
          <w:sz w:val="16"/>
          <w:szCs w:val="16"/>
          <w:color w:val="auto"/>
        </w:rPr>
      </w:pPr>
    </w:p>
    <w:p>
      <w:pPr>
        <w:ind w:left="1620" w:right="100" w:hanging="802"/>
        <w:spacing w:after="0" w:line="272" w:lineRule="auto"/>
        <w:tabs>
          <w:tab w:leader="none" w:pos="16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nine months ended September 30, 2024, our personal lines business was subject to a 27% quota share treaty, expiring on January 1, 2025, which included a runoff of a 3.0% portion of the prior quota share reinsurance treaty through the remainder of 2024. Effective January 1, 2025, we entered into a 16% personal lines quota share treaty, under a cutoff basis.</w:t>
      </w:r>
    </w:p>
    <w:p>
      <w:pPr>
        <w:spacing w:after="0" w:line="170" w:lineRule="exact"/>
        <w:rPr>
          <w:rFonts w:ascii="Times New Roman" w:cs="Times New Roman" w:eastAsia="Times New Roman" w:hAnsi="Times New Roman"/>
          <w:sz w:val="16"/>
          <w:szCs w:val="16"/>
          <w:color w:val="auto"/>
        </w:rPr>
      </w:pPr>
    </w:p>
    <w:p>
      <w:pPr>
        <w:ind w:left="1620" w:right="60" w:hanging="802"/>
        <w:spacing w:after="0" w:line="263" w:lineRule="auto"/>
        <w:tabs>
          <w:tab w:leader="none" w:pos="16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nine months ended September 30, 2025 and 2024 include catastrophe losses, which are defined as losses from an event for which a catastrophe bulletin and related serial number has been issued by the Property Claims Services (PCS) unit of the Insurance Services Office (ISO). PCS catastrophe bulletins are issued for events that cause more than $25 million in total insured losses and affect a significant number of policyholders and insurers.</w:t>
      </w:r>
    </w:p>
    <w:p>
      <w:pPr>
        <w:spacing w:after="0" w:line="23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2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10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Point</w:t>
            </w:r>
          </w:p>
        </w:tc>
        <w:tc>
          <w:tcPr>
            <w:tcW w:w="100" w:type="dxa"/>
            <w:vAlign w:val="bottom"/>
          </w:tcPr>
          <w:p>
            <w:pPr>
              <w:spacing w:after="0"/>
              <w:rPr>
                <w:sz w:val="16"/>
                <w:szCs w:val="16"/>
                <w:color w:val="auto"/>
              </w:rPr>
            </w:pPr>
          </w:p>
        </w:tc>
        <w:tc>
          <w:tcPr>
            <w:tcW w:w="1580" w:type="dxa"/>
            <w:vAlign w:val="bottom"/>
            <w:vMerge w:val="restart"/>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0" w:type="dxa"/>
            <w:vAlign w:val="bottom"/>
          </w:tcPr>
          <w:p>
            <w:pPr>
              <w:spacing w:after="0"/>
              <w:rPr>
                <w:sz w:val="1"/>
                <w:szCs w:val="1"/>
                <w:color w:val="auto"/>
              </w:rPr>
            </w:pPr>
          </w:p>
        </w:tc>
      </w:tr>
      <w:tr>
        <w:trPr>
          <w:trHeight w:val="29"/>
        </w:trPr>
        <w:tc>
          <w:tcPr>
            <w:tcW w:w="4820" w:type="dxa"/>
            <w:vAlign w:val="bottom"/>
            <w:vMerge w:val="restart"/>
          </w:tcPr>
          <w:p>
            <w:pPr>
              <w:spacing w:after="0"/>
              <w:rPr>
                <w:sz w:val="2"/>
                <w:szCs w:val="2"/>
                <w:color w:val="auto"/>
              </w:rPr>
            </w:pPr>
          </w:p>
        </w:tc>
        <w:tc>
          <w:tcPr>
            <w:tcW w:w="104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vMerge w:val="restart"/>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2"/>
                <w:szCs w:val="2"/>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0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820" w:type="dxa"/>
            <w:vAlign w:val="bottom"/>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408"/>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Key ratios:</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8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loss ratio</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1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10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0"/>
        </w:trPr>
        <w:tc>
          <w:tcPr>
            <w:tcW w:w="58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Net underwriting expense ratio</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33"/>
        </w:trPr>
        <w:tc>
          <w:tcPr>
            <w:tcW w:w="48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4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combined ratio</w:t>
            </w:r>
          </w:p>
        </w:tc>
        <w:tc>
          <w:tcPr>
            <w:tcW w:w="104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Direct Written Premiums(1)</w:t>
      </w:r>
    </w:p>
    <w:p>
      <w:pPr>
        <w:spacing w:after="0" w:line="22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Direct written premiums during the nine months ended September 30, 2025 (“Nine Months 2025”) were $195,047,000 compared to $169,447,000 during the nine months ended September 30, 2024 (“Nine Months 2024”). The increase of $25,600,000, or 15.1%, was primarily due to an increase in premiums from our personal lines business. Direct written premiums from our personal lines business for Nine Months 2025 were $184,276,000, an increase of $25,063,000, or 15.7%, from $159,213,000 in Nine Months 2024. The 15.7% increase in premiums from our personal lines business was primarily due to the increases in both rate and enhanced utilization of replacement cost (together "Policy Price Increases"), and premiums associated with the change in Market Dynamics.</w:t>
      </w:r>
    </w:p>
    <w:p>
      <w:pPr>
        <w:spacing w:after="0" w:line="19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Direct written premiums from our livery physical damage business for Nine Months 2025 were $10,722,000, an increase of $556,000, or 5.5%, from $10,166,000 in Nine Months 2024. The increase in livery physical damage direct written premiums was due to the loosening of an underwriting restriction in place in Nine Months 2024 to exclude certain electric vehicles until the approval of adequate rate for the risk was received, which happened in July 2024. The increase was also due to an increase in the values of the autos insured.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w:t>
      </w:r>
    </w:p>
    <w:p>
      <w:pPr>
        <w:spacing w:after="0" w:line="217" w:lineRule="exact"/>
        <w:rPr>
          <w:sz w:val="20"/>
          <w:szCs w:val="20"/>
          <w:color w:val="auto"/>
        </w:rPr>
      </w:pPr>
    </w:p>
    <w:p>
      <w:pPr>
        <w:ind w:firstLine="656"/>
        <w:spacing w:after="0" w:line="280" w:lineRule="auto"/>
        <w:tabs>
          <w:tab w:leader="none" w:pos="896"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 written premiums is a non-GAAP measure, defined above under "Key GAAP and Non-GAAP Measures", and reconciled in the table above to the GAAP measure of net premiums earned.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Net Written Premiums(1) and Net Premiums Earned</w:t>
      </w:r>
    </w:p>
    <w:p>
      <w:pPr>
        <w:spacing w:after="0" w:line="22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Net written premiums increased $44,804,000, or 44.8%, to $144,869,000 in Nine Months 2025 from $100,065,000 in Nine Months 2024. Net written premiums include direct premiums, less the amount of written premiums ceded under our reinsurance treaties (quota share, excess of loss, and catastrophe). The increase in Nine Months 2025 is primarily due to the additional premiums from Policy Price Increases, the Change in Market Dynamics, and changes to our personal lines quota share reinsurance treaty. See quota share reinsurance treaties discussion below.</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i w:val="1"/>
          <w:iCs w:val="1"/>
          <w:color w:val="auto"/>
        </w:rPr>
        <w:t>Quota share reinsurance treaties</w:t>
      </w:r>
    </w:p>
    <w:p>
      <w:pPr>
        <w:spacing w:after="0" w:line="22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Effective January 1, 2024, we entered into a 27% quota share reinsurance treaty for our personal lines business, covering the period from January 1, 2024 through January 1, 2025 (“2024/2025 Treaty”). Upon expiration of the 2024/2025 Treaty on January 1, 2025, we entered into a new 16% quota share reinsurance treaty for our personal lines business, covering the period from January 1, 2025 through January 1, 2026 (“2025/2026 Treaty”). Our personal lines business was subject to the 2025/2026 Treaty in Nine Months 2025, and the 2024/2025 Treaty in Nine Months 2024. In Nine Months 2025, our premiums ceded under quota share treaties decreased by $22,004,000 in comparison to premiums ceded under quota share treaties in Nine Months 2024 (see table above). The decrease in Nine Months 2025 was attributable to the decrease in the quota share ceding percentage rate, offset by an increase in direct written premiums subject to the 2025/2026 Treaty compared to direct written premiums subject to the 2024/2025 Treaty. The inception of the</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2025/2026 Treaty was recorded as a cutoff, resulting in the return of $11,471,000 from reinsurers to us of previously ceded written premiums that were unearned as of January 1, 2025.</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i w:val="1"/>
          <w:iCs w:val="1"/>
          <w:color w:val="auto"/>
        </w:rPr>
        <w:t>Excess of loss reinsurance treaties</w:t>
      </w:r>
    </w:p>
    <w:p>
      <w:pPr>
        <w:spacing w:after="0" w:line="22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In Nine Months 2025, our ceded excess of loss reinsurance premiums decreased $256,000 compared to the ceded excess of loss premiums for Nine Months 2024. Effective January 1, 2024, we entered into an underlying excess of loss reinsurance treaty (the “Underlying XOL Treaty”) covering the period from January 1, 2024 through January 1, 2025. The Underlying XOL Treaty provided 50% reinsurance coverage for losses of $400,000 in excess of $600,000. Losses from named storms were excluded from the Underlying XOL Treaty. Effective January 1, 2025, the Underlying XOL Treaty was renewed covering the period from January 1, 2025 through June 30, 2026. The Underlying XOL Treaty combined with the excess of loss treaty provide 50% reinsurance coverage for losses of $250,000 in excess of $750,000, and 100% reinsurance coverage for losses in excess of $1,000,000 up to $9,000,000 together with facultative coverage. Retention was increased to $715,000 from $640,000 under the 2025/2026 Treaty</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i w:val="1"/>
          <w:iCs w:val="1"/>
          <w:color w:val="auto"/>
        </w:rPr>
        <w:t>Catastrophe reinsurance treaties</w:t>
      </w:r>
    </w:p>
    <w:p>
      <w:pPr>
        <w:spacing w:after="0" w:line="22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Most of the premiums written under our personal lines policies are also subject to our catastrophe reinsurance treaties. An increase in our personal lines business historically gave rise to more property exposure, which increased our exposure to catastrophe risk; therefore, our premiums ceded under catastrophe treaties would increase. An increase in our personal lines business historically resulted in an increase in premiums ceded under our catastrophe treaties if reinsurance rates were stable or were increasing. With regard to treaties entered into on July 1, 2025 ("2025/2026 Catastrophe Treaty") and 2024 ("2024/2025 Catastrophe Treaty"), we recorded our catastrophe premiums written for the entire treaty period covering July 1 through June 30, resulting in the entire annual premium written being recorded in the third quarter of 2025 and 2024. The 2025/2026 Catastrophe Treaty covers 80% of losses on the first layer of $5,000,000 in excess of $5,000,000 (Catastrophe coverage of $4,000,000), and losses of $435,000,000 in excess of $5,000,000 (Catastrophe coverage of $430,000,000), for a total catastrophe coverage of $434,000,000. The 2024/2025 Catastrophe Treaty covered 80% of losses on the first layer of $5,000,000 in excess of $5,000,000 (Catastrophe coverage of $4,000,000), and losses of $275,000,000 in excess of $10,000,000 (Catastrophe coverage of $265,000,000), for a total catastrophe coverage of $269,000,000. Catastrophe coverage under the 2025/2026 Catastrophe Treaty increased by $165,000,000 compared to the 2024/2025 Catastrophe Treaty. In Nine Months 2025, our premiums ceded under our catastrophe treaties increased by $3,056,000 in comparison to premiums ceded under catastrophe treaties in Nine Months 2024 (see table above). The increase in Nine Months 2025 was primarily attributable to the $169,000,000 increase in catastrophe coverage discussed above.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i w:val="1"/>
          <w:iCs w:val="1"/>
          <w:color w:val="auto"/>
        </w:rPr>
        <w:t>Net premiums earned</w:t>
      </w:r>
    </w:p>
    <w:p>
      <w:pPr>
        <w:spacing w:after="0" w:line="22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6"/>
          <w:szCs w:val="16"/>
          <w:color w:val="auto"/>
        </w:rPr>
        <w:t>Net premiums earned increased $45,132,000, or 48.8%, to $137,663,000 in Nine Months 2025 from 92,531,000 in Nine Months 2024. The increase was due to the 11 percentage point reduction in quota share rates discussed above, and the increase in premiums from the Change in Market Dynamics which began in the third quarter of 2024, partially offset by an increase in catastrophe premiums due to the increase in catastrophe coverage reflected in ceded catastrophe premiums earned, which increased the amount of growth in net premiums earned.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w:t>
      </w:r>
    </w:p>
    <w:p>
      <w:pPr>
        <w:spacing w:after="0" w:line="221" w:lineRule="exact"/>
        <w:rPr>
          <w:sz w:val="20"/>
          <w:szCs w:val="20"/>
          <w:color w:val="auto"/>
        </w:rPr>
      </w:pPr>
    </w:p>
    <w:p>
      <w:pPr>
        <w:ind w:firstLine="656"/>
        <w:spacing w:after="0" w:line="298" w:lineRule="auto"/>
        <w:tabs>
          <w:tab w:leader="none" w:pos="882"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written premiums is a non-GAAP measure, defined above under "Key GAAP and Non-GAAP Measures", and reconciled in the table above to the GAAP measure of net premiums earned.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Ceding Commission Revenue</w:t>
      </w:r>
    </w:p>
    <w:p>
      <w:pPr>
        <w:spacing w:after="0" w:line="2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summarizes the changes in the components of ceding commission revenue (in thousands) for the periods indicated: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gridSpan w:val="4"/>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498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0" w:type="dxa"/>
            <w:vAlign w:val="bottom"/>
          </w:tcPr>
          <w:p>
            <w:pPr>
              <w:spacing w:after="0"/>
              <w:rPr>
                <w:sz w:val="17"/>
                <w:szCs w:val="17"/>
                <w:color w:val="auto"/>
              </w:rPr>
            </w:pPr>
          </w:p>
        </w:tc>
        <w:tc>
          <w:tcPr>
            <w:tcW w:w="160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0" w:type="dxa"/>
            <w:vAlign w:val="bottom"/>
          </w:tcPr>
          <w:p>
            <w:pPr>
              <w:spacing w:after="0"/>
              <w:rPr>
                <w:sz w:val="1"/>
                <w:szCs w:val="1"/>
                <w:color w:val="auto"/>
              </w:rPr>
            </w:pPr>
          </w:p>
        </w:tc>
      </w:tr>
      <w:tr>
        <w:trPr>
          <w:trHeight w:val="31"/>
        </w:trPr>
        <w:tc>
          <w:tcPr>
            <w:tcW w:w="4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Provisional ceding commissions earned</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13,860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(3,665)</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0" w:type="dxa"/>
            <w:vAlign w:val="bottom"/>
          </w:tcPr>
          <w:p>
            <w:pPr>
              <w:spacing w:after="0"/>
              <w:rPr>
                <w:sz w:val="1"/>
                <w:szCs w:val="1"/>
                <w:color w:val="auto"/>
              </w:rPr>
            </w:pPr>
          </w:p>
        </w:tc>
      </w:tr>
      <w:tr>
        <w:trPr>
          <w:trHeight w:val="210"/>
        </w:trPr>
        <w:tc>
          <w:tcPr>
            <w:tcW w:w="49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Contingent ceding commissions earned</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33"/>
        </w:trPr>
        <w:tc>
          <w:tcPr>
            <w:tcW w:w="4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9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Total ceding commission revenue</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10,941</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13,871</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(2,930)</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0" w:type="dxa"/>
            <w:vAlign w:val="bottom"/>
          </w:tcPr>
          <w:p>
            <w:pPr>
              <w:spacing w:after="0"/>
              <w:rPr>
                <w:sz w:val="1"/>
                <w:szCs w:val="1"/>
                <w:color w:val="auto"/>
              </w:rPr>
            </w:pPr>
          </w:p>
        </w:tc>
      </w:tr>
      <w:tr>
        <w:trPr>
          <w:trHeight w:val="24"/>
        </w:trPr>
        <w:tc>
          <w:tcPr>
            <w:tcW w:w="4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right="20" w:firstLine="648"/>
        <w:spacing w:after="0" w:line="280" w:lineRule="auto"/>
        <w:rPr>
          <w:sz w:val="20"/>
          <w:szCs w:val="20"/>
          <w:color w:val="auto"/>
        </w:rPr>
      </w:pPr>
      <w:r>
        <w:rPr>
          <w:rFonts w:ascii="Times New Roman" w:cs="Times New Roman" w:eastAsia="Times New Roman" w:hAnsi="Times New Roman"/>
          <w:sz w:val="16"/>
          <w:szCs w:val="16"/>
          <w:color w:val="auto"/>
        </w:rPr>
        <w:t>Ceding commission revenue was $10,941,000 in Nine Months 2025 compared to $13,871,000 in Nine Months 2024. The decrease of $2,930,000 is explained below in the discussion of provisional ceding commissions earned and contingent ceding commissions earned.</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i w:val="1"/>
          <w:iCs w:val="1"/>
          <w:color w:val="auto"/>
        </w:rPr>
        <w:t>Provisional Ceding Commissions Earned</w:t>
      </w:r>
    </w:p>
    <w:p>
      <w:pPr>
        <w:spacing w:after="0" w:line="22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6"/>
          <w:szCs w:val="16"/>
          <w:color w:val="auto"/>
        </w:rPr>
        <w:t>In Nine Months 2025, we earned provisional ceding commissions of $10,195,000 from personal lines earned premiums ceded under the 2025/2026 Treaty, and in Nine Months 2024, we earned provisional ceding commissions of $13,860,000 from personal lines earned premiums ceded under the 2024/2025 Treaty. The decrease of $3,665,000 in provisional ceding commissions earned was due to the decrease in premiums ceded under these treaties during Nine Months 2025 compared to Nine Months 2024, offset by an increase in ceding commission rates under the 2025/2026 Treaty.</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i w:val="1"/>
          <w:iCs w:val="1"/>
          <w:color w:val="auto"/>
        </w:rPr>
        <w:t>Contingent Ceding Commissions Earned</w:t>
      </w:r>
    </w:p>
    <w:p>
      <w:pPr>
        <w:spacing w:after="0" w:line="22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Under our 2025/2026 Treaty and prior years’ quota share treaties before July 1, 2017, we received a contingent ceding commission based on a Sliding Scale of commission rates and ultimate treaty year loss ratio on the policies reinsured under this agreement based upon which contingent ceding commissions are earned. The Sliding Scale includes minimum and maximum commission rates in relation to specified ultimate loss ratio. The commission rate and contingent ceding commissions earned increase when the estimated ultimate loss ratio decreases and, conversely, the commission rate and contingent ceding commissions earned decrease when the estimated ultimate loss ratio increases. The lower the ceded loss ratio, the more contingent commission we received.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structure of the 2024/2025 Treaty called for a fixed provisional ceding commission with no opportunity to earn additional contingent ceding commissions.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Net Investment Income</w:t>
      </w:r>
    </w:p>
    <w:p>
      <w:pPr>
        <w:spacing w:after="0" w:line="221"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Net investment income was $6,848,000 in Nine Months 2025 compared to $4,917,000 in Nine Months 2024, an increase of $1,931,000, or 39.3%, primarily due to an increase in invested assets and average yield on non-cash invested assets. The average yield on non-cash invested assets was 4.0% as of September 30, 2025 compared to 3.5% as of September 30, 2024.</w:t>
      </w:r>
    </w:p>
    <w:p>
      <w:pPr>
        <w:spacing w:after="0" w:line="171" w:lineRule="exact"/>
        <w:rPr>
          <w:sz w:val="20"/>
          <w:szCs w:val="20"/>
          <w:color w:val="auto"/>
        </w:rPr>
      </w:pPr>
    </w:p>
    <w:p>
      <w:pPr>
        <w:jc w:val="both"/>
        <w:ind w:right="20" w:firstLine="648"/>
        <w:spacing w:after="0" w:line="298" w:lineRule="auto"/>
        <w:rPr>
          <w:sz w:val="20"/>
          <w:szCs w:val="20"/>
          <w:color w:val="auto"/>
        </w:rPr>
      </w:pPr>
      <w:r>
        <w:rPr>
          <w:rFonts w:ascii="Times New Roman" w:cs="Times New Roman" w:eastAsia="Times New Roman" w:hAnsi="Times New Roman"/>
          <w:sz w:val="16"/>
          <w:szCs w:val="16"/>
          <w:color w:val="auto"/>
        </w:rPr>
        <w:t>Cash and invested assets were $300,755,000 as of September 30, 2025 compared to $221,847,000 as of September 30, 2024, an increase of $78,908,000, primarily driven by cash flows from operations.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Net Gains on Investments</w:t>
      </w:r>
    </w:p>
    <w:p>
      <w:pPr>
        <w:spacing w:after="0" w:line="221"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Net gains on investments were $591,000 in Nine Months 2025 compared to net gains on investments of $1,319,000 in Nine Months 2024. Unrealized gains on our equity securities and other investments in Nine Months 2025 were $603,000, compared to unrealized gains of $1,379,000 in Nine Months 2024. Net realized (losses) on sales of investments were $(12,000) in Nine Months 2025 compared to net realized (losses) of $(60,000) in Nine Months 2024.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Gain on Sale of Real Estate</w:t>
      </w:r>
    </w:p>
    <w:p>
      <w:pPr>
        <w:spacing w:after="0" w:line="221"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Gain on sale of real estate was $1,966,000 in Nine Months 2025 compared to $0 in Nine Months 2024. On March 19, 2025 one of our subsidiaries closed on the sale of our headquarters building in Kingston, New York, along with an adjacent mixed-use property (collectively, the “Property”). The purchase price for the Property was $3,600,000. We are now renting a smaller facility in Kingston, New York.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Other Income</w:t>
      </w:r>
    </w:p>
    <w:p>
      <w:pPr>
        <w:spacing w:after="0" w:line="2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Other income was $438,000 in Nine Months 2025 compared to $401,000 in Nine Months 2024, an increase of $37,000, or 9.2%.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Net Loss and LAE</w:t>
      </w:r>
    </w:p>
    <w:p>
      <w:pPr>
        <w:spacing w:after="0" w:line="221" w:lineRule="exact"/>
        <w:rPr>
          <w:sz w:val="20"/>
          <w:szCs w:val="20"/>
          <w:color w:val="auto"/>
        </w:rPr>
      </w:pPr>
    </w:p>
    <w:p>
      <w:pPr>
        <w:jc w:val="both"/>
        <w:ind w:firstLine="648"/>
        <w:spacing w:after="0" w:line="298" w:lineRule="auto"/>
        <w:rPr>
          <w:sz w:val="20"/>
          <w:szCs w:val="20"/>
          <w:color w:val="auto"/>
        </w:rPr>
      </w:pPr>
      <w:r>
        <w:rPr>
          <w:rFonts w:ascii="Times New Roman" w:cs="Times New Roman" w:eastAsia="Times New Roman" w:hAnsi="Times New Roman"/>
          <w:sz w:val="16"/>
          <w:szCs w:val="16"/>
          <w:color w:val="auto"/>
        </w:rPr>
        <w:t>Net loss and LAE was $66,335,000 for Nine Months 2025 compared to $45,125,000 for Nine Months 2024. The net loss ratio was 48.2% in Nine Months 2025 compared to 48.8% in Nine Months 2024, a decrease of 0.6 percentage points.</w:t>
      </w:r>
    </w:p>
    <w:p>
      <w:pPr>
        <w:spacing w:after="0" w:line="137"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The net loss ratio for Nine Months 2025 improved compared to Nine Months 2024. For Nine Months 2025, the improvement was primarily due to a lower catastrophe impact.</w:t>
      </w:r>
    </w:p>
    <w:p>
      <w:pPr>
        <w:spacing w:after="0" w:line="178"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6"/>
          <w:szCs w:val="16"/>
          <w:color w:val="auto"/>
        </w:rPr>
        <w:t>The underlying loss ratio</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(loss ratio excluding the impact of catastrophes and prior year development) was 48.0% for Nine Months 2025, an increase of 0.1 points from the 47.9% underlying loss ratio recorded for Nine Months 2024. Overall personal lines non-catastrophe frequency for Nine Months 2025 was lower than for the same period in 2024, which is believed to be the result of our Select product as well as our active efforts to manage less profitable lines of business. The favorable frequency for Nine Months 2025 was offset by higher overall personal lines non-catastrophe severity, primarily driven by a greater impact from large losses.</w:t>
      </w:r>
    </w:p>
    <w:p>
      <w:pPr>
        <w:spacing w:after="0" w:line="22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There were eight newly designated catastrophe events for Nine Months 2025 but no major events affecting us. The estimated total net catastrophe impact for the calendar year was $1,154,000, which contributed 0.8 points to the loss ratio. By comparison, the catastrophe impact for Nine Months 2024 was 2.7 points.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firstLine="648"/>
        <w:spacing w:after="0" w:line="263" w:lineRule="auto"/>
        <w:rPr>
          <w:sz w:val="20"/>
          <w:szCs w:val="20"/>
          <w:color w:val="auto"/>
        </w:rPr>
      </w:pPr>
      <w:r>
        <w:rPr>
          <w:rFonts w:ascii="Times New Roman" w:cs="Times New Roman" w:eastAsia="Times New Roman" w:hAnsi="Times New Roman"/>
          <w:sz w:val="16"/>
          <w:szCs w:val="16"/>
          <w:color w:val="auto"/>
        </w:rPr>
        <w:t>There was favorable prior year development of $822,000 for Nine Months 2025, which translates to a 0.6 point decrease to the loss ratio. By comparison, the impact of prior year development for Nine Months 2024 was a decrease of 1.8 points.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w:t>
      </w:r>
    </w:p>
    <w:p>
      <w:pPr>
        <w:spacing w:after="0" w:line="221" w:lineRule="exact"/>
        <w:rPr>
          <w:sz w:val="20"/>
          <w:szCs w:val="20"/>
          <w:color w:val="auto"/>
        </w:rPr>
      </w:pPr>
    </w:p>
    <w:p>
      <w:pPr>
        <w:jc w:val="both"/>
        <w:ind w:firstLine="615"/>
        <w:spacing w:after="0" w:line="263" w:lineRule="auto"/>
        <w:tabs>
          <w:tab w:leader="none" w:pos="854"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Underlying loss ratio is a non-GAAP ratio, which is computed as the GAAP net loss ratio excluding the effect of prior year loss reserve development and catastrophe losses. Net loss ratio excluding commercial lines business is a non-GAAP ratio, which is computed as the difference between the GAAP net loss ratio and the effect of commercial lines business. See "Non-GAAP Financial Measures" for the reconciliation of underlying loss ratio and net loss ratio excluding commercial lines business to the GAAP measure of net loss ratio.</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See table below under “Additional Financial Information” summarizing net loss ratios by line of business.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Commission Expense</w:t>
      </w:r>
    </w:p>
    <w:p>
      <w:pPr>
        <w:spacing w:after="0" w:line="2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6"/>
          <w:szCs w:val="16"/>
          <w:color w:val="auto"/>
        </w:rPr>
        <w:t>Commission expense was $30,251,000 in Nine Months 2025 or 15.9% of direct earned premiums. Commission expense was $25,089,000 in Nine Months 2024 or 16.2% of direct earned premiums The increase of $5,162,000 in the Nine Months 2025 compared to the Nine Months 2024 was primarily due to an increase in direct earned premiums of $34,615,000 and an increase of $417,000 for an accrual of estimated contingent commission based on the profitability of the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Other Underwriting Expenses</w:t>
      </w:r>
    </w:p>
    <w:p>
      <w:pPr>
        <w:spacing w:after="0" w:line="221"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6"/>
          <w:szCs w:val="16"/>
          <w:color w:val="auto"/>
        </w:rPr>
        <w:t>Other underwriting expenses were $23,491,000, or 12.4% of direct earned premiums, in Nine Months 2025 compared to $18,676,000, or 12.0% of direct earned premiums, in Nine Months 2024. The increase of $4,815,000, or 25.8%, was primarily due to increases in salaries and employment costs as described below, an increase in underwriting fees due to growth and an increase in premium taxes due to the increase in direct earned premiums. In addition, we realized a $365,000 gain on the commutations of prior years’ quota share reinsurance treaties from a group of reinsurers, in Nine Months 2024, with no such gain in Nine Months 2025.</w:t>
      </w:r>
    </w:p>
    <w:p>
      <w:pPr>
        <w:spacing w:after="0" w:line="218"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6"/>
          <w:szCs w:val="16"/>
          <w:color w:val="auto"/>
        </w:rPr>
        <w:t>Our largest single component of other underwriting expenses is salaries and employment costs, with costs of $12,175,000 in Nine Months 2025 compared to $9,595,000 in Nine Months 2024. Salaries and employment costs were 8.8 points of the net underwriting expense ratio in Nine Months 2025, a reduction of 1.6 points from 10.4 points in Nine Months 2024. The dollar increase in salaries and employment costs was due to hiring additional staff to handle the new business from the Change in Market Dynamics, anticipated new business in accordance with our 5-Year Growth Plan, the strengthening of our professional team by investing in the hiring of higher-level and higher compensated managers, and annual employee salary increases effective January 1, 2025. In addition, the increase in salaries and employment costs was due to $2,412,000 accrued under our employee and executive bonus plans, an increase of $997,000 from Nine Months 2024. The increase was due to higher higher profitability in our insurance operations in Nine Months 2025 compared to Nine Months 2024.</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firstLine="648"/>
        <w:spacing w:after="0" w:line="280" w:lineRule="auto"/>
        <w:rPr>
          <w:sz w:val="20"/>
          <w:szCs w:val="20"/>
          <w:color w:val="auto"/>
        </w:rPr>
      </w:pPr>
      <w:r>
        <w:rPr>
          <w:rFonts w:ascii="Times New Roman" w:cs="Times New Roman" w:eastAsia="Times New Roman" w:hAnsi="Times New Roman"/>
          <w:sz w:val="16"/>
          <w:szCs w:val="16"/>
          <w:color w:val="auto"/>
        </w:rPr>
        <w:t>Our net underwriting expense ratio in Nine Months 2025 was 30.8%, compared with 31.9% in Nine Months 2024. The following table shows the individual components of our net underwriting expense ratio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0" w:type="dxa"/>
            <w:vAlign w:val="bottom"/>
          </w:tcPr>
          <w:p>
            <w:pPr>
              <w:spacing w:after="0"/>
              <w:rPr>
                <w:sz w:val="1"/>
                <w:szCs w:val="1"/>
                <w:color w:val="auto"/>
              </w:rPr>
            </w:pPr>
          </w:p>
        </w:tc>
      </w:tr>
      <w:tr>
        <w:trPr>
          <w:trHeight w:val="33"/>
        </w:trPr>
        <w:tc>
          <w:tcPr>
            <w:tcW w:w="64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64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80" w:type="dxa"/>
            <w:vAlign w:val="bottom"/>
          </w:tcPr>
          <w:p>
            <w:pPr>
              <w:spacing w:after="0"/>
              <w:rPr>
                <w:sz w:val="17"/>
                <w:szCs w:val="17"/>
                <w:color w:val="auto"/>
              </w:rPr>
            </w:pPr>
          </w:p>
        </w:tc>
        <w:tc>
          <w:tcPr>
            <w:tcW w:w="14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Point Change</w:t>
            </w:r>
          </w:p>
        </w:tc>
        <w:tc>
          <w:tcPr>
            <w:tcW w:w="0" w:type="dxa"/>
            <w:vAlign w:val="bottom"/>
          </w:tcPr>
          <w:p>
            <w:pPr>
              <w:spacing w:after="0"/>
              <w:rPr>
                <w:sz w:val="1"/>
                <w:szCs w:val="1"/>
                <w:color w:val="auto"/>
              </w:rPr>
            </w:pPr>
          </w:p>
        </w:tc>
      </w:tr>
      <w:tr>
        <w:trPr>
          <w:trHeight w:val="31"/>
        </w:trPr>
        <w:tc>
          <w:tcPr>
            <w:tcW w:w="64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Other underwriting expenses</w:t>
            </w: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20" w:type="dxa"/>
            <w:vAlign w:val="bottom"/>
            <w:vMerge w:val="continue"/>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6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Employment costs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8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0"/>
        </w:trPr>
        <w:tc>
          <w:tcPr>
            <w:tcW w:w="73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Underwriting fees (inspections/surveys)</w:t>
            </w:r>
          </w:p>
        </w:tc>
        <w:tc>
          <w:tcPr>
            <w:tcW w:w="6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33"/>
        </w:trPr>
        <w:tc>
          <w:tcPr>
            <w:tcW w:w="6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IT expenses</w:t>
            </w:r>
          </w:p>
        </w:tc>
        <w:tc>
          <w:tcPr>
            <w:tcW w:w="6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10"/>
        </w:trPr>
        <w:tc>
          <w:tcPr>
            <w:tcW w:w="73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Professional fees</w:t>
            </w:r>
          </w:p>
        </w:tc>
        <w:tc>
          <w:tcPr>
            <w:tcW w:w="6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33"/>
        </w:trPr>
        <w:tc>
          <w:tcPr>
            <w:tcW w:w="6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3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expenses</w:t>
            </w:r>
          </w:p>
        </w:tc>
        <w:tc>
          <w:tcPr>
            <w:tcW w:w="6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04"/>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other underwriting expenses</w:t>
            </w:r>
          </w:p>
        </w:tc>
        <w:tc>
          <w:tcPr>
            <w:tcW w:w="9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20.2</w:t>
            </w:r>
          </w:p>
        </w:tc>
        <w:tc>
          <w:tcPr>
            <w:tcW w:w="80" w:type="dxa"/>
            <w:vAlign w:val="bottom"/>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33"/>
        </w:trPr>
        <w:tc>
          <w:tcPr>
            <w:tcW w:w="64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4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Commission expense</w:t>
            </w:r>
          </w:p>
        </w:tc>
        <w:tc>
          <w:tcPr>
            <w:tcW w:w="6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27.1</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33"/>
        </w:trPr>
        <w:tc>
          <w:tcPr>
            <w:tcW w:w="64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4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Ceding commission revenue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Provisional</w:t>
            </w:r>
          </w:p>
        </w:tc>
        <w:tc>
          <w:tcPr>
            <w:tcW w:w="6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(15.0)</w:t>
            </w:r>
          </w:p>
        </w:tc>
        <w:tc>
          <w:tcPr>
            <w:tcW w:w="8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10"/>
        </w:trPr>
        <w:tc>
          <w:tcPr>
            <w:tcW w:w="73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Contingent</w:t>
            </w:r>
          </w:p>
        </w:tc>
        <w:tc>
          <w:tcPr>
            <w:tcW w:w="6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33"/>
        </w:trPr>
        <w:tc>
          <w:tcPr>
            <w:tcW w:w="64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ceding commission revenue</w:t>
            </w: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(15.0)</w:t>
            </w: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50"/>
        </w:trPr>
        <w:tc>
          <w:tcPr>
            <w:tcW w:w="6420" w:type="dxa"/>
            <w:vAlign w:val="bottom"/>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6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0"/>
        </w:trPr>
        <w:tc>
          <w:tcPr>
            <w:tcW w:w="6420" w:type="dxa"/>
            <w:vAlign w:val="bottom"/>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7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underwriting expense ratio</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(Components may not sum to totals due to rounding)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Other Operating Expenses</w:t>
      </w:r>
    </w:p>
    <w:p>
      <w:pPr>
        <w:spacing w:after="0" w:line="235" w:lineRule="exact"/>
        <w:rPr>
          <w:sz w:val="20"/>
          <w:szCs w:val="20"/>
          <w:color w:val="auto"/>
        </w:rPr>
      </w:pPr>
    </w:p>
    <w:p>
      <w:pPr>
        <w:jc w:val="both"/>
        <w:ind w:right="20" w:firstLine="648"/>
        <w:spacing w:after="0" w:line="280" w:lineRule="auto"/>
        <w:rPr>
          <w:sz w:val="20"/>
          <w:szCs w:val="20"/>
          <w:color w:val="auto"/>
        </w:rPr>
      </w:pPr>
      <w:r>
        <w:rPr>
          <w:rFonts w:ascii="Times New Roman" w:cs="Times New Roman" w:eastAsia="Times New Roman" w:hAnsi="Times New Roman"/>
          <w:sz w:val="16"/>
          <w:szCs w:val="16"/>
          <w:color w:val="auto"/>
        </w:rPr>
        <w:t>Other operating expenses, related to the expenses of our holding company and Cosi, were $3,519,000 for Nine Months 2025 compared to $2,821,000 for Nine Months 2024. The following table shows a breakdown of the significant components of other operating expenses for the periods indicated:</w:t>
      </w:r>
    </w:p>
    <w:p>
      <w:pPr>
        <w:spacing w:after="0" w:line="203" w:lineRule="exact"/>
        <w:rPr>
          <w:sz w:val="20"/>
          <w:szCs w:val="20"/>
          <w:color w:val="auto"/>
        </w:rPr>
      </w:pPr>
    </w:p>
    <w:p>
      <w:pPr>
        <w:jc w:val="center"/>
        <w:ind w:left="164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pacing w:after="0" w:line="25" w:lineRule="exact"/>
        <w:rPr>
          <w:sz w:val="20"/>
          <w:szCs w:val="20"/>
          <w:color w:val="auto"/>
        </w:rPr>
      </w:pPr>
    </w:p>
    <w:p>
      <w:pPr>
        <w:jc w:val="center"/>
        <w:ind w:left="164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64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31"/>
        </w:trPr>
        <w:tc>
          <w:tcPr>
            <w:tcW w:w="4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460"/>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operating expenses</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3"/>
        </w:trPr>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23"/>
        </w:trPr>
        <w:tc>
          <w:tcPr>
            <w:tcW w:w="49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Employment costs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r>
      <w:tr>
        <w:trPr>
          <w:trHeight w:val="210"/>
        </w:trPr>
        <w:tc>
          <w:tcPr>
            <w:tcW w:w="496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Executive bonus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8"/>
                <w:szCs w:val="18"/>
                <w:color w:val="auto"/>
              </w:rPr>
            </w:pPr>
          </w:p>
        </w:tc>
        <w:tc>
          <w:tcPr>
            <w:tcW w:w="16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96.9</w:t>
            </w:r>
          </w:p>
        </w:tc>
      </w:tr>
      <w:tr>
        <w:trPr>
          <w:trHeight w:val="33"/>
        </w:trPr>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23"/>
        </w:trPr>
        <w:tc>
          <w:tcPr>
            <w:tcW w:w="49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Equity compensation</w:t>
            </w: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37.0</w:t>
            </w:r>
          </w:p>
        </w:tc>
      </w:tr>
      <w:tr>
        <w:trPr>
          <w:trHeight w:val="210"/>
        </w:trPr>
        <w:tc>
          <w:tcPr>
            <w:tcW w:w="496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Equity compensation - liability</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r>
      <w:tr>
        <w:trPr>
          <w:trHeight w:val="33"/>
        </w:trPr>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23"/>
        </w:trPr>
        <w:tc>
          <w:tcPr>
            <w:tcW w:w="49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Professional</w:t>
            </w: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77.7</w:t>
            </w:r>
          </w:p>
        </w:tc>
      </w:tr>
      <w:tr>
        <w:trPr>
          <w:trHeight w:val="210"/>
        </w:trPr>
        <w:tc>
          <w:tcPr>
            <w:tcW w:w="496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Directors fees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Pr>
          <w:p>
            <w:pPr>
              <w:spacing w:after="0"/>
              <w:rPr>
                <w:sz w:val="18"/>
                <w:szCs w:val="18"/>
                <w:color w:val="auto"/>
              </w:rPr>
            </w:pPr>
          </w:p>
        </w:tc>
        <w:tc>
          <w:tcPr>
            <w:tcW w:w="16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47.8</w:t>
            </w:r>
          </w:p>
        </w:tc>
      </w:tr>
      <w:tr>
        <w:trPr>
          <w:trHeight w:val="33"/>
        </w:trPr>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23"/>
        </w:trPr>
        <w:tc>
          <w:tcPr>
            <w:tcW w:w="49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Insurance</w:t>
            </w: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(17.4)</w:t>
            </w:r>
          </w:p>
        </w:tc>
      </w:tr>
      <w:tr>
        <w:trPr>
          <w:trHeight w:val="210"/>
        </w:trPr>
        <w:tc>
          <w:tcPr>
            <w:tcW w:w="496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r>
      <w:tr>
        <w:trPr>
          <w:trHeight w:val="33"/>
        </w:trPr>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3"/>
        </w:trPr>
        <w:tc>
          <w:tcPr>
            <w:tcW w:w="49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Other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40.7</w:t>
            </w:r>
          </w:p>
        </w:tc>
      </w:tr>
      <w:tr>
        <w:trPr>
          <w:trHeight w:val="204"/>
        </w:trPr>
        <w:tc>
          <w:tcPr>
            <w:tcW w:w="49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Total other operating expenses</w:t>
            </w: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3,519</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2,821</w:t>
            </w:r>
          </w:p>
        </w:tc>
        <w:tc>
          <w:tcPr>
            <w:tcW w:w="100" w:type="dxa"/>
            <w:vAlign w:val="bottom"/>
          </w:tcPr>
          <w:p>
            <w:pPr>
              <w:spacing w:after="0"/>
              <w:rPr>
                <w:sz w:val="17"/>
                <w:szCs w:val="17"/>
                <w:color w:val="auto"/>
              </w:rPr>
            </w:pP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100" w:type="dxa"/>
            <w:vAlign w:val="bottom"/>
          </w:tcPr>
          <w:p>
            <w:pPr>
              <w:spacing w:after="0"/>
              <w:rPr>
                <w:sz w:val="17"/>
                <w:szCs w:val="17"/>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w:t>
            </w:r>
          </w:p>
        </w:tc>
      </w:tr>
      <w:tr>
        <w:trPr>
          <w:trHeight w:val="33"/>
        </w:trPr>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1"/>
        </w:trPr>
        <w:tc>
          <w:tcPr>
            <w:tcW w:w="4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(Components may not sum to totals due to rounding)</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firstLine="607"/>
        <w:spacing w:after="0" w:line="257" w:lineRule="auto"/>
        <w:rPr>
          <w:sz w:val="20"/>
          <w:szCs w:val="20"/>
          <w:color w:val="auto"/>
        </w:rPr>
      </w:pPr>
      <w:r>
        <w:rPr>
          <w:rFonts w:ascii="Times New Roman" w:cs="Times New Roman" w:eastAsia="Times New Roman" w:hAnsi="Times New Roman"/>
          <w:sz w:val="16"/>
          <w:szCs w:val="16"/>
          <w:color w:val="auto"/>
        </w:rPr>
        <w:t>The increase in Nine Months 2025 of $698,000, or 24.7%, as compared to Nine Months 2024 was primarily due to an increase in equity compensation and professional fees, partially offset by a decrease in employment costs and loss on extinguishment of debt. The increase in equity compensation is due to additional restricted stock awards granted to our senior leadership team as of December 31, 2024 pursuant to our employee bonus plan. The increase in professional fees is due to incurring additional expenses related to our upcoming requirement for the audit of our internal controls over financial reporting. The loss on extinguishment of debt loss is due to writing off the balance of unamortized debt issue costs upon the prepayment of the 2024 Notes in Nine Months 2025 and 2024 as disclosed in Note 7 to the condensed consolidated financial statements. The decrease in employment costs was due to fluctuations in deferred compensation liability in Nine Months 2024 related to changes in the underlying invested portfolio. The deferred compensation plan was terminated in Nine Months 2024. Beginning in March 2025, after the 2024 Notes were paid in full, the monthly cost of warrant amortization and the write-off of unamortized balances of warrants that were exercised have been included in other expenses. The increase in Nine Months 2025 of $189,000 represents $189,000 of such warrant costs, compared to $0 in Nine Months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Depreciation and Amortization</w:t>
      </w:r>
    </w:p>
    <w:p>
      <w:pPr>
        <w:spacing w:after="0" w:line="221" w:lineRule="exact"/>
        <w:rPr>
          <w:sz w:val="20"/>
          <w:szCs w:val="20"/>
          <w:color w:val="auto"/>
        </w:rPr>
      </w:pPr>
    </w:p>
    <w:p>
      <w:pPr>
        <w:jc w:val="both"/>
        <w:ind w:right="20" w:firstLine="648"/>
        <w:spacing w:after="0" w:line="280" w:lineRule="auto"/>
        <w:rPr>
          <w:sz w:val="20"/>
          <w:szCs w:val="20"/>
          <w:color w:val="auto"/>
        </w:rPr>
      </w:pPr>
      <w:r>
        <w:rPr>
          <w:rFonts w:ascii="Times New Roman" w:cs="Times New Roman" w:eastAsia="Times New Roman" w:hAnsi="Times New Roman"/>
          <w:sz w:val="16"/>
          <w:szCs w:val="16"/>
          <w:color w:val="auto"/>
        </w:rPr>
        <w:t>Depreciation and amortization was $1,882,000 in Nine Months 2025 compared to $1,836,000 in Nine Months 2024. The increase of $46,000, or 2.5%, in depreciation and amortization was primarily due to the difference between additional depreciation on software acquired compared to software being fully depreciated.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Interest Expense</w:t>
      </w:r>
    </w:p>
    <w:p>
      <w:pPr>
        <w:spacing w:after="0" w:line="2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Interest expense in Nine Months 2025 was $377,000 compared to $2,884,000 in Nine Months 2024, a decrease of $2,507,000 or 86.9%. In Nine Months 2025 and Nine Months 2024, as disclosed in Note 7 to the condensed consolidated financial statements, we incurred interest expense in connection with the 2024 Notes and 2022 Notes, respectively. The 2022 Notes provided for interest at the rate of 12% per annum. In September 2024, in accordance with the 2024 Exchange Agreement, we paid $5,000,000 of principal on the 2022 Notes, reducing the principal balance to $14,950,000 from $19,950,000. Under the 2024 Exchange Agreement, the balance of the 2022 Notes were exchanged for the 2024 Notes, which provided for interest at the rate of 13.75% per annum. Beginning in the third quarter of 2024 through February 2025, we paid optional principal amounts, reducing the balance of the 2024 Notes, and completely satisfying the obligation on February 24, 2025. In addition, we also incurred interest expense on the 2022 equipment financing.</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Income Tax Expense</w:t>
      </w:r>
    </w:p>
    <w:p>
      <w:pPr>
        <w:spacing w:after="0" w:line="22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Income tax expense in Nine Months 2025 was $6,584,000, which resulted in an effective tax rate of 20.2%. Income tax expense in Nine Months 2024 was $3,689,000, which resulted in an effective tax rate of 22.2%. The difference in effective tax rate is due to the effect of permanent differences in Nine Months 2025 compared to Nine Months 2024. In Nine Months 2025, the vesting of restricted stock awards resulted in an income tax benefit, due to the increase in the stock price on the vesting date as compared to the grant date, which had the effect of reducing the effective tax rate. In Nine Months 2024, the vesting of restricted stock awards resulted in additional income tax, due to the decrease in the stock price on the vesting date as compared to the grant date, which had the effect of increasing the effective tax rate.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Net Income</w:t>
      </w:r>
    </w:p>
    <w:p>
      <w:pPr>
        <w:spacing w:after="0" w:line="235"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Net income was $26,007,000 in Nine Months 2025 compared to $12,920,000 in Nine Months 2024. The increase in net income of $13,087,000 was due to the items described above.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Three Months Ended September 30, 2025 Compared to Three Months Ended September 30, 2024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summarizes the changes in the results of our operations (in thousands) for the periods indicated:</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3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c>
          <w:tcPr>
            <w:tcW w:w="118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3"/>
        </w:trPr>
        <w:tc>
          <w:tcPr>
            <w:tcW w:w="6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Direct written premiums (1)</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75,810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66,627</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9,183</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13.8 %</w:t>
            </w:r>
          </w:p>
        </w:tc>
        <w:tc>
          <w:tcPr>
            <w:tcW w:w="0" w:type="dxa"/>
            <w:vAlign w:val="bottom"/>
          </w:tcPr>
          <w:p>
            <w:pPr>
              <w:spacing w:after="0"/>
              <w:rPr>
                <w:sz w:val="1"/>
                <w:szCs w:val="1"/>
                <w:color w:val="auto"/>
              </w:rPr>
            </w:pPr>
          </w:p>
        </w:tc>
      </w:tr>
      <w:tr>
        <w:trPr>
          <w:trHeight w:val="193"/>
        </w:trPr>
        <w:tc>
          <w:tcPr>
            <w:tcW w:w="6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Assumed written premiums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3"/>
        </w:trPr>
        <w:tc>
          <w:tcPr>
            <w:tcW w:w="6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75,810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66,627</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9,183</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13.8 %</w:t>
            </w:r>
          </w:p>
        </w:tc>
        <w:tc>
          <w:tcPr>
            <w:tcW w:w="0" w:type="dxa"/>
            <w:vAlign w:val="bottom"/>
          </w:tcPr>
          <w:p>
            <w:pPr>
              <w:spacing w:after="0"/>
              <w:rPr>
                <w:sz w:val="1"/>
                <w:szCs w:val="1"/>
                <w:color w:val="auto"/>
              </w:rPr>
            </w:pPr>
          </w:p>
        </w:tc>
      </w:tr>
      <w:tr>
        <w:trPr>
          <w:trHeight w:val="173"/>
        </w:trPr>
        <w:tc>
          <w:tcPr>
            <w:tcW w:w="6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Ceded written premiums</w:t>
            </w: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36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Ceded to quota share treaties (2)</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14,168</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(4,506)</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0" w:type="dxa"/>
            <w:vAlign w:val="bottom"/>
          </w:tcPr>
          <w:p>
            <w:pPr>
              <w:spacing w:after="0"/>
              <w:rPr>
                <w:sz w:val="1"/>
                <w:szCs w:val="1"/>
                <w:color w:val="auto"/>
              </w:rPr>
            </w:pPr>
          </w:p>
        </w:tc>
      </w:tr>
      <w:tr>
        <w:trPr>
          <w:trHeight w:val="193"/>
        </w:trPr>
        <w:tc>
          <w:tcPr>
            <w:tcW w:w="636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Ceded to excess of loss treaties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6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Ceded to catastrophe treaties</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33,144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30,188</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2,956</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9.8 %</w:t>
            </w:r>
          </w:p>
        </w:tc>
        <w:tc>
          <w:tcPr>
            <w:tcW w:w="0" w:type="dxa"/>
            <w:vAlign w:val="bottom"/>
          </w:tcPr>
          <w:p>
            <w:pPr>
              <w:spacing w:after="0"/>
              <w:rPr>
                <w:sz w:val="1"/>
                <w:szCs w:val="1"/>
                <w:color w:val="auto"/>
              </w:rPr>
            </w:pPr>
          </w:p>
        </w:tc>
      </w:tr>
      <w:tr>
        <w:trPr>
          <w:trHeight w:val="186"/>
        </w:trPr>
        <w:tc>
          <w:tcPr>
            <w:tcW w:w="6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Total ceded written premiums</w:t>
            </w: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44,161</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46,081</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23"/>
        </w:trPr>
        <w:tc>
          <w:tcPr>
            <w:tcW w:w="6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Net written premiums (1)</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31,649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20,545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11,104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54.0 %</w:t>
            </w:r>
          </w:p>
        </w:tc>
        <w:tc>
          <w:tcPr>
            <w:tcW w:w="0" w:type="dxa"/>
            <w:vAlign w:val="bottom"/>
          </w:tcPr>
          <w:p>
            <w:pPr>
              <w:spacing w:after="0"/>
              <w:rPr>
                <w:sz w:val="1"/>
                <w:szCs w:val="1"/>
                <w:color w:val="auto"/>
              </w:rPr>
            </w:pPr>
          </w:p>
        </w:tc>
      </w:tr>
      <w:tr>
        <w:trPr>
          <w:trHeight w:val="23"/>
        </w:trPr>
        <w:tc>
          <w:tcPr>
            <w:tcW w:w="6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Change in unearned premiums</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3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Direct and assumed</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(9,778)</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(12,540)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2,762</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0" w:type="dxa"/>
            <w:vAlign w:val="bottom"/>
          </w:tcPr>
          <w:p>
            <w:pPr>
              <w:spacing w:after="0"/>
              <w:rPr>
                <w:sz w:val="1"/>
                <w:szCs w:val="1"/>
                <w:color w:val="auto"/>
              </w:rPr>
            </w:pPr>
          </w:p>
        </w:tc>
      </w:tr>
      <w:tr>
        <w:trPr>
          <w:trHeight w:val="193"/>
        </w:trPr>
        <w:tc>
          <w:tcPr>
            <w:tcW w:w="63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Ceded to reinsurance treaties (2)</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26,054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25,402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0" w:type="dxa"/>
            <w:vAlign w:val="bottom"/>
          </w:tcPr>
          <w:p>
            <w:pPr>
              <w:spacing w:after="0"/>
              <w:rPr>
                <w:sz w:val="1"/>
                <w:szCs w:val="1"/>
                <w:color w:val="auto"/>
              </w:rPr>
            </w:pPr>
          </w:p>
        </w:tc>
      </w:tr>
      <w:tr>
        <w:trPr>
          <w:trHeight w:val="23"/>
        </w:trPr>
        <w:tc>
          <w:tcPr>
            <w:tcW w:w="6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 in net unearned premiums</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16,276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12,862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3,414</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26.5 %</w:t>
            </w:r>
          </w:p>
        </w:tc>
        <w:tc>
          <w:tcPr>
            <w:tcW w:w="0" w:type="dxa"/>
            <w:vAlign w:val="bottom"/>
          </w:tcPr>
          <w:p>
            <w:pPr>
              <w:spacing w:after="0"/>
              <w:rPr>
                <w:sz w:val="1"/>
                <w:szCs w:val="1"/>
                <w:color w:val="auto"/>
              </w:rPr>
            </w:pPr>
          </w:p>
        </w:tc>
      </w:tr>
      <w:tr>
        <w:trPr>
          <w:trHeight w:val="183"/>
        </w:trPr>
        <w:tc>
          <w:tcPr>
            <w:tcW w:w="6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Premiums earned</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3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Direct and assumed</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66,032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54,087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11,945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22.1 %</w:t>
            </w: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Ceded to reinsurance treaties</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(18,107)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(20,679)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2,572</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12.4 %</w:t>
            </w:r>
          </w:p>
        </w:tc>
        <w:tc>
          <w:tcPr>
            <w:tcW w:w="0" w:type="dxa"/>
            <w:vAlign w:val="bottom"/>
          </w:tcPr>
          <w:p>
            <w:pPr>
              <w:spacing w:after="0"/>
              <w:rPr>
                <w:sz w:val="1"/>
                <w:szCs w:val="1"/>
                <w:color w:val="auto"/>
              </w:rPr>
            </w:pPr>
          </w:p>
        </w:tc>
      </w:tr>
      <w:tr>
        <w:trPr>
          <w:trHeight w:val="186"/>
        </w:trPr>
        <w:tc>
          <w:tcPr>
            <w:tcW w:w="6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Net premiums earned</w:t>
            </w: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47,925</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33,407</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14,518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43.5 %</w:t>
            </w: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Ceding commission revenue (2)</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3.4 %</w:t>
            </w: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investment income</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51.5 %</w:t>
            </w:r>
          </w:p>
        </w:tc>
        <w:tc>
          <w:tcPr>
            <w:tcW w:w="0" w:type="dxa"/>
            <w:vAlign w:val="bottom"/>
          </w:tcPr>
          <w:p>
            <w:pPr>
              <w:spacing w:after="0"/>
              <w:rPr>
                <w:sz w:val="1"/>
                <w:szCs w:val="1"/>
                <w:color w:val="auto"/>
              </w:rPr>
            </w:pPr>
          </w:p>
        </w:tc>
      </w:tr>
      <w:tr>
        <w:trPr>
          <w:trHeight w:val="193"/>
        </w:trPr>
        <w:tc>
          <w:tcPr>
            <w:tcW w:w="6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Net gains on investments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income</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86"/>
        </w:trPr>
        <w:tc>
          <w:tcPr>
            <w:tcW w:w="63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Total revenues</w:t>
            </w: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55,652</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40,772</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14,880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36.5 %</w:t>
            </w:r>
          </w:p>
        </w:tc>
        <w:tc>
          <w:tcPr>
            <w:tcW w:w="0" w:type="dxa"/>
            <w:vAlign w:val="bottom"/>
          </w:tcPr>
          <w:p>
            <w:pPr>
              <w:spacing w:after="0"/>
              <w:rPr>
                <w:sz w:val="1"/>
                <w:szCs w:val="1"/>
                <w:color w:val="auto"/>
              </w:rPr>
            </w:pPr>
          </w:p>
        </w:tc>
      </w:tr>
      <w:tr>
        <w:trPr>
          <w:trHeight w:val="23"/>
        </w:trPr>
        <w:tc>
          <w:tcPr>
            <w:tcW w:w="6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Loss and loss adjustment expenses</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3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Direct and assumed:</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3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Loss and loss adjustment expenses excluding the effect of catastrophes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26,764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16,212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10,552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65.1 %</w:t>
            </w: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Losses from catastrophes (3)</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w:t>
            </w:r>
          </w:p>
        </w:tc>
        <w:tc>
          <w:tcPr>
            <w:tcW w:w="0" w:type="dxa"/>
            <w:vAlign w:val="bottom"/>
          </w:tcPr>
          <w:p>
            <w:pPr>
              <w:spacing w:after="0"/>
              <w:rPr>
                <w:sz w:val="1"/>
                <w:szCs w:val="1"/>
                <w:color w:val="auto"/>
              </w:rPr>
            </w:pPr>
          </w:p>
        </w:tc>
      </w:tr>
      <w:tr>
        <w:trPr>
          <w:trHeight w:val="186"/>
        </w:trPr>
        <w:tc>
          <w:tcPr>
            <w:tcW w:w="63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Total direct and assumed loss and loss adjustment expenses</w:t>
            </w: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26,900</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16,952</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9,948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58.7 %</w:t>
            </w:r>
          </w:p>
        </w:tc>
        <w:tc>
          <w:tcPr>
            <w:tcW w:w="0" w:type="dxa"/>
            <w:vAlign w:val="bottom"/>
          </w:tcPr>
          <w:p>
            <w:pPr>
              <w:spacing w:after="0"/>
              <w:rPr>
                <w:sz w:val="1"/>
                <w:szCs w:val="1"/>
                <w:color w:val="auto"/>
              </w:rPr>
            </w:pPr>
          </w:p>
        </w:tc>
      </w:tr>
      <w:tr>
        <w:trPr>
          <w:trHeight w:val="23"/>
        </w:trPr>
        <w:tc>
          <w:tcPr>
            <w:tcW w:w="6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3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Ceded loss and loss adjustment expenses:</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3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Loss and loss adjustment expenses excluding the effect of catastrophes</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3,766</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1,880</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49.9 %</w:t>
            </w:r>
          </w:p>
        </w:tc>
        <w:tc>
          <w:tcPr>
            <w:tcW w:w="0" w:type="dxa"/>
            <w:vAlign w:val="bottom"/>
          </w:tcPr>
          <w:p>
            <w:pPr>
              <w:spacing w:after="0"/>
              <w:rPr>
                <w:sz w:val="1"/>
                <w:szCs w:val="1"/>
                <w:color w:val="auto"/>
              </w:rPr>
            </w:pPr>
          </w:p>
        </w:tc>
      </w:tr>
      <w:tr>
        <w:trPr>
          <w:trHeight w:val="193"/>
        </w:trPr>
        <w:tc>
          <w:tcPr>
            <w:tcW w:w="63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Losses from catastrophes (3)</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(86.1)%</w:t>
            </w:r>
          </w:p>
        </w:tc>
        <w:tc>
          <w:tcPr>
            <w:tcW w:w="0" w:type="dxa"/>
            <w:vAlign w:val="bottom"/>
          </w:tcPr>
          <w:p>
            <w:pPr>
              <w:spacing w:after="0"/>
              <w:rPr>
                <w:sz w:val="1"/>
                <w:szCs w:val="1"/>
                <w:color w:val="auto"/>
              </w:rPr>
            </w:pPr>
          </w:p>
        </w:tc>
      </w:tr>
      <w:tr>
        <w:trPr>
          <w:trHeight w:val="23"/>
        </w:trPr>
        <w:tc>
          <w:tcPr>
            <w:tcW w:w="6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3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ceded loss and loss adjustment expenses</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1,744</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44.4 %</w:t>
            </w:r>
          </w:p>
        </w:tc>
        <w:tc>
          <w:tcPr>
            <w:tcW w:w="0" w:type="dxa"/>
            <w:vAlign w:val="bottom"/>
          </w:tcPr>
          <w:p>
            <w:pPr>
              <w:spacing w:after="0"/>
              <w:rPr>
                <w:sz w:val="1"/>
                <w:szCs w:val="1"/>
                <w:color w:val="auto"/>
              </w:rPr>
            </w:pPr>
          </w:p>
        </w:tc>
      </w:tr>
      <w:tr>
        <w:trPr>
          <w:trHeight w:val="183"/>
        </w:trPr>
        <w:tc>
          <w:tcPr>
            <w:tcW w:w="6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3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loss and loss adjustment expenses:</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3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Loss and loss adjustment expenses excluding the effect of catastrophes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21,118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12,445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8,673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69.7 %</w:t>
            </w: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Losses from catastrophes (3)</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w:t>
            </w:r>
          </w:p>
        </w:tc>
        <w:tc>
          <w:tcPr>
            <w:tcW w:w="0" w:type="dxa"/>
            <w:vAlign w:val="bottom"/>
          </w:tcPr>
          <w:p>
            <w:pPr>
              <w:spacing w:after="0"/>
              <w:rPr>
                <w:sz w:val="1"/>
                <w:szCs w:val="1"/>
                <w:color w:val="auto"/>
              </w:rPr>
            </w:pPr>
          </w:p>
        </w:tc>
      </w:tr>
      <w:tr>
        <w:trPr>
          <w:trHeight w:val="186"/>
        </w:trPr>
        <w:tc>
          <w:tcPr>
            <w:tcW w:w="63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Net loss and loss adjustment expenses</w:t>
            </w: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21,232</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13,028</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8,204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63.0 %</w:t>
            </w:r>
          </w:p>
        </w:tc>
        <w:tc>
          <w:tcPr>
            <w:tcW w:w="0" w:type="dxa"/>
            <w:vAlign w:val="bottom"/>
          </w:tcPr>
          <w:p>
            <w:pPr>
              <w:spacing w:after="0"/>
              <w:rPr>
                <w:sz w:val="1"/>
                <w:szCs w:val="1"/>
                <w:color w:val="auto"/>
              </w:rPr>
            </w:pPr>
          </w:p>
        </w:tc>
      </w:tr>
      <w:tr>
        <w:trPr>
          <w:trHeight w:val="24"/>
        </w:trPr>
        <w:tc>
          <w:tcPr>
            <w:tcW w:w="6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Commission expense</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14.5 %</w:t>
            </w:r>
          </w:p>
        </w:tc>
        <w:tc>
          <w:tcPr>
            <w:tcW w:w="0" w:type="dxa"/>
            <w:vAlign w:val="bottom"/>
          </w:tcPr>
          <w:p>
            <w:pPr>
              <w:spacing w:after="0"/>
              <w:rPr>
                <w:sz w:val="1"/>
                <w:szCs w:val="1"/>
                <w:color w:val="auto"/>
              </w:rPr>
            </w:pPr>
          </w:p>
        </w:tc>
      </w:tr>
      <w:tr>
        <w:trPr>
          <w:trHeight w:val="24"/>
        </w:trPr>
        <w:tc>
          <w:tcPr>
            <w:tcW w:w="6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underwriting expenses</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8,358</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6,895</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1,463</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21.2 %</w:t>
            </w:r>
          </w:p>
        </w:tc>
        <w:tc>
          <w:tcPr>
            <w:tcW w:w="0" w:type="dxa"/>
            <w:vAlign w:val="bottom"/>
          </w:tcPr>
          <w:p>
            <w:pPr>
              <w:spacing w:after="0"/>
              <w:rPr>
                <w:sz w:val="1"/>
                <w:szCs w:val="1"/>
                <w:color w:val="auto"/>
              </w:rPr>
            </w:pPr>
          </w:p>
        </w:tc>
      </w:tr>
      <w:tr>
        <w:trPr>
          <w:trHeight w:val="192"/>
        </w:trPr>
        <w:tc>
          <w:tcPr>
            <w:tcW w:w="6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Other operating expenses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7.1 %</w:t>
            </w:r>
          </w:p>
        </w:tc>
        <w:tc>
          <w:tcPr>
            <w:tcW w:w="0" w:type="dxa"/>
            <w:vAlign w:val="bottom"/>
          </w:tcPr>
          <w:p>
            <w:pPr>
              <w:spacing w:after="0"/>
              <w:rPr>
                <w:sz w:val="1"/>
                <w:szCs w:val="1"/>
                <w:color w:val="auto"/>
              </w:rPr>
            </w:pPr>
          </w:p>
        </w:tc>
      </w:tr>
      <w:tr>
        <w:trPr>
          <w:trHeight w:val="24"/>
        </w:trPr>
        <w:tc>
          <w:tcPr>
            <w:tcW w:w="6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4.4 %</w:t>
            </w:r>
          </w:p>
        </w:tc>
        <w:tc>
          <w:tcPr>
            <w:tcW w:w="0" w:type="dxa"/>
            <w:vAlign w:val="bottom"/>
          </w:tcPr>
          <w:p>
            <w:pPr>
              <w:spacing w:after="0"/>
              <w:rPr>
                <w:sz w:val="1"/>
                <w:szCs w:val="1"/>
                <w:color w:val="auto"/>
              </w:rPr>
            </w:pPr>
          </w:p>
        </w:tc>
      </w:tr>
      <w:tr>
        <w:trPr>
          <w:trHeight w:val="193"/>
        </w:trPr>
        <w:tc>
          <w:tcPr>
            <w:tcW w:w="6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Interest expense</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(91.9)%</w:t>
            </w:r>
          </w:p>
        </w:tc>
        <w:tc>
          <w:tcPr>
            <w:tcW w:w="0" w:type="dxa"/>
            <w:vAlign w:val="bottom"/>
          </w:tcPr>
          <w:p>
            <w:pPr>
              <w:spacing w:after="0"/>
              <w:rPr>
                <w:sz w:val="1"/>
                <w:szCs w:val="1"/>
                <w:color w:val="auto"/>
              </w:rPr>
            </w:pPr>
          </w:p>
        </w:tc>
      </w:tr>
      <w:tr>
        <w:trPr>
          <w:trHeight w:val="24"/>
        </w:trPr>
        <w:tc>
          <w:tcPr>
            <w:tcW w:w="6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3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expenses</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41,946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31,688</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10,258</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32.4 %</w:t>
            </w:r>
          </w:p>
        </w:tc>
        <w:tc>
          <w:tcPr>
            <w:tcW w:w="0" w:type="dxa"/>
            <w:vAlign w:val="bottom"/>
          </w:tcPr>
          <w:p>
            <w:pPr>
              <w:spacing w:after="0"/>
              <w:rPr>
                <w:sz w:val="1"/>
                <w:szCs w:val="1"/>
                <w:color w:val="auto"/>
              </w:rPr>
            </w:pPr>
          </w:p>
        </w:tc>
      </w:tr>
      <w:tr>
        <w:trPr>
          <w:trHeight w:val="183"/>
        </w:trPr>
        <w:tc>
          <w:tcPr>
            <w:tcW w:w="6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before taxes</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13,706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9,084</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4,622</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50.9 %</w:t>
            </w:r>
          </w:p>
        </w:tc>
        <w:tc>
          <w:tcPr>
            <w:tcW w:w="0" w:type="dxa"/>
            <w:vAlign w:val="bottom"/>
          </w:tcPr>
          <w:p>
            <w:pPr>
              <w:spacing w:after="0"/>
              <w:rPr>
                <w:sz w:val="1"/>
                <w:szCs w:val="1"/>
                <w:color w:val="auto"/>
              </w:rPr>
            </w:pPr>
          </w:p>
        </w:tc>
      </w:tr>
      <w:tr>
        <w:trPr>
          <w:trHeight w:val="193"/>
        </w:trPr>
        <w:tc>
          <w:tcPr>
            <w:tcW w:w="6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Income tax expense</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34.6 %</w:t>
            </w:r>
          </w:p>
        </w:tc>
        <w:tc>
          <w:tcPr>
            <w:tcW w:w="0" w:type="dxa"/>
            <w:vAlign w:val="bottom"/>
          </w:tcPr>
          <w:p>
            <w:pPr>
              <w:spacing w:after="0"/>
              <w:rPr>
                <w:sz w:val="1"/>
                <w:szCs w:val="1"/>
                <w:color w:val="auto"/>
              </w:rPr>
            </w:pPr>
          </w:p>
        </w:tc>
      </w:tr>
      <w:tr>
        <w:trPr>
          <w:trHeight w:val="24"/>
        </w:trPr>
        <w:tc>
          <w:tcPr>
            <w:tcW w:w="6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10,872</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3,894</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55.8 %</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800" w:hanging="982"/>
        <w:spacing w:after="0" w:line="280" w:lineRule="auto"/>
        <w:tabs>
          <w:tab w:leader="none" w:pos="18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 written premiums and net premiums written are non-GAAP measures, defined above under "Key GAAP and Non-GAAP Measures", and reconciled in the table herein to the GAAP measure of net premiums earned.</w:t>
      </w:r>
    </w:p>
    <w:p>
      <w:pPr>
        <w:spacing w:after="0" w:line="178" w:lineRule="exact"/>
        <w:rPr>
          <w:rFonts w:ascii="Times New Roman" w:cs="Times New Roman" w:eastAsia="Times New Roman" w:hAnsi="Times New Roman"/>
          <w:sz w:val="16"/>
          <w:szCs w:val="16"/>
          <w:color w:val="auto"/>
        </w:rPr>
      </w:pPr>
    </w:p>
    <w:p>
      <w:pPr>
        <w:jc w:val="both"/>
        <w:ind w:left="1800" w:hanging="982"/>
        <w:spacing w:after="0" w:line="272" w:lineRule="auto"/>
        <w:tabs>
          <w:tab w:leader="none" w:pos="18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three months ended September 30, 2024, our personal lines business was subject to a 27% quota share treaty, expiring on January 1, 2025, which included a runoff of a 3.0% portion of the prior quota share reinsurance treaty through the remainder of 2024. Effective January 1, 2025, we entered into a 16% personal lines quota share treaty, under a cutoff basis.</w:t>
      </w:r>
    </w:p>
    <w:p>
      <w:pPr>
        <w:spacing w:after="0" w:line="170" w:lineRule="exact"/>
        <w:rPr>
          <w:rFonts w:ascii="Times New Roman" w:cs="Times New Roman" w:eastAsia="Times New Roman" w:hAnsi="Times New Roman"/>
          <w:sz w:val="16"/>
          <w:szCs w:val="16"/>
          <w:color w:val="auto"/>
        </w:rPr>
      </w:pPr>
    </w:p>
    <w:p>
      <w:pPr>
        <w:jc w:val="both"/>
        <w:ind w:left="1800" w:hanging="982"/>
        <w:spacing w:after="0" w:line="263" w:lineRule="auto"/>
        <w:tabs>
          <w:tab w:leader="none" w:pos="18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three months ended September 30, 2025 and 2024 include catastrophe losses, which are defined as losses from an event for which a catastrophe bulletin and related serial number has been issued by the Property Claims Services (PCS) unit of the Insurance Services Office (ISO). PCS catastrophe bulletins are issued for events that cause more than $25 million in total insured losses and affect a significant number of policyholders and insurers.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gridSpan w:val="3"/>
          </w:tcPr>
          <w:p>
            <w:pPr>
              <w:ind w:left="3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33"/>
        </w:trPr>
        <w:tc>
          <w:tcPr>
            <w:tcW w:w="48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67"/>
        </w:trPr>
        <w:tc>
          <w:tcPr>
            <w:tcW w:w="4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b w:val="1"/>
                <w:bCs w:val="1"/>
                <w:color w:val="auto"/>
              </w:rPr>
              <w:t>Percentage</w:t>
            </w: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26"/>
        </w:trPr>
        <w:tc>
          <w:tcPr>
            <w:tcW w:w="5860" w:type="dxa"/>
            <w:vAlign w:val="bottom"/>
            <w:gridSpan w:val="2"/>
          </w:tcPr>
          <w:p>
            <w:pPr>
              <w:ind w:left="54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Point Change</w:t>
            </w:r>
          </w:p>
        </w:tc>
        <w:tc>
          <w:tcPr>
            <w:tcW w:w="100" w:type="dxa"/>
            <w:vAlign w:val="bottom"/>
          </w:tcPr>
          <w:p>
            <w:pPr>
              <w:spacing w:after="0"/>
              <w:rPr>
                <w:sz w:val="19"/>
                <w:szCs w:val="19"/>
                <w:color w:val="auto"/>
              </w:rPr>
            </w:pPr>
          </w:p>
        </w:tc>
        <w:tc>
          <w:tcPr>
            <w:tcW w:w="15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Percent Change</w:t>
            </w:r>
          </w:p>
        </w:tc>
      </w:tr>
      <w:tr>
        <w:trPr>
          <w:trHeight w:val="33"/>
        </w:trPr>
        <w:tc>
          <w:tcPr>
            <w:tcW w:w="48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460"/>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Key ratios:</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3"/>
        </w:trPr>
        <w:tc>
          <w:tcPr>
            <w:tcW w:w="4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23"/>
        </w:trPr>
        <w:tc>
          <w:tcPr>
            <w:tcW w:w="58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loss ratio</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1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10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center"/>
              <w:ind w:left="1039"/>
              <w:spacing w:after="0"/>
              <w:rPr>
                <w:sz w:val="20"/>
                <w:szCs w:val="20"/>
                <w:color w:val="auto"/>
              </w:rPr>
            </w:pPr>
            <w:r>
              <w:rPr>
                <w:rFonts w:ascii="Times New Roman" w:cs="Times New Roman" w:eastAsia="Times New Roman" w:hAnsi="Times New Roman"/>
                <w:sz w:val="16"/>
                <w:szCs w:val="16"/>
                <w:color w:val="auto"/>
              </w:rPr>
              <w:t>5.3</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13.6 %</w:t>
            </w:r>
          </w:p>
        </w:tc>
      </w:tr>
      <w:tr>
        <w:trPr>
          <w:trHeight w:val="210"/>
        </w:trPr>
        <w:tc>
          <w:tcPr>
            <w:tcW w:w="58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Net underwriting expense ratio</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tcPr>
          <w:p>
            <w:pPr>
              <w:spacing w:after="0"/>
              <w:rPr>
                <w:sz w:val="18"/>
                <w:szCs w:val="18"/>
                <w:color w:val="auto"/>
              </w:rPr>
            </w:pPr>
          </w:p>
        </w:tc>
        <w:tc>
          <w:tcPr>
            <w:tcW w:w="1460" w:type="dxa"/>
            <w:vAlign w:val="bottom"/>
          </w:tcPr>
          <w:p>
            <w:pPr>
              <w:jc w:val="center"/>
              <w:ind w:left="1019"/>
              <w:spacing w:after="0"/>
              <w:rPr>
                <w:sz w:val="20"/>
                <w:szCs w:val="20"/>
                <w:color w:val="auto"/>
              </w:rPr>
            </w:pPr>
            <w:r>
              <w:rPr>
                <w:rFonts w:ascii="Times New Roman" w:cs="Times New Roman" w:eastAsia="Times New Roman" w:hAnsi="Times New Roman"/>
                <w:sz w:val="16"/>
                <w:szCs w:val="16"/>
                <w:color w:val="auto"/>
              </w:rPr>
              <w:t>(4.6)</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(13.9)%</w:t>
            </w:r>
          </w:p>
        </w:tc>
      </w:tr>
      <w:tr>
        <w:trPr>
          <w:trHeight w:val="33"/>
        </w:trPr>
        <w:tc>
          <w:tcPr>
            <w:tcW w:w="48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59"/>
        </w:trPr>
        <w:tc>
          <w:tcPr>
            <w:tcW w:w="4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combined ratio</w:t>
            </w:r>
          </w:p>
        </w:tc>
        <w:tc>
          <w:tcPr>
            <w:tcW w:w="104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center"/>
              <w:ind w:left="1039"/>
              <w:spacing w:after="0"/>
              <w:rPr>
                <w:sz w:val="20"/>
                <w:szCs w:val="20"/>
                <w:color w:val="auto"/>
              </w:rPr>
            </w:pPr>
            <w:r>
              <w:rPr>
                <w:rFonts w:ascii="Times New Roman" w:cs="Times New Roman" w:eastAsia="Times New Roman" w:hAnsi="Times New Roman"/>
                <w:sz w:val="16"/>
                <w:szCs w:val="16"/>
                <w:color w:val="auto"/>
              </w:rPr>
              <w:t>0.7</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Direct Written Premiums(1)</w:t>
      </w:r>
    </w:p>
    <w:p>
      <w:pPr>
        <w:spacing w:after="0" w:line="20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6"/>
          <w:szCs w:val="16"/>
          <w:color w:val="auto"/>
        </w:rPr>
        <w:t>Direct written premiums during the three months ended September 30, 2025 (“Three Months 2025”) were $75,810,000 compared to $66,627,000 during the three months ended September 30, 2024 (“Three Months 2024”). The increase of $9,183,000, or 13.8%, was primarily due to an increase in premiums from our personal lines business. Direct written premiums from our personal lines business for Three Months 2025 were $72,207,000, an increase of $8,871,000, or 14.0%, from $63,336,000 in Three Months 2024. The 14.0% increase in premiums from our personal lines business was primarily due to the increases in both rate and enhanced utilization of replacement cost (together "Policy Price Increases") as well as an increase in retention, and premiums associated with the Change in Market Dynamics.</w:t>
      </w:r>
    </w:p>
    <w:p>
      <w:pPr>
        <w:spacing w:after="0" w:line="191"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Direct written premiums from our livery physical damage business for Three Months 2025 were $3,585,000, an increase of $319,000, or 9.8%, from $3,266,000 in Three Months 2024. The increase in livery physical damage direct written premiums was due to an increase in the values of the autos insured.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w:t>
      </w:r>
    </w:p>
    <w:p>
      <w:pPr>
        <w:spacing w:after="0" w:line="221" w:lineRule="exact"/>
        <w:rPr>
          <w:sz w:val="20"/>
          <w:szCs w:val="20"/>
          <w:color w:val="auto"/>
        </w:rPr>
      </w:pPr>
    </w:p>
    <w:p>
      <w:pPr>
        <w:ind w:firstLine="656"/>
        <w:spacing w:after="0" w:line="298" w:lineRule="auto"/>
        <w:tabs>
          <w:tab w:leader="none" w:pos="896"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 written premiums is a non-GAAP measure, defined above under "Key GAAP and Non-GAAP Measures", and reconciled in the table above to the GAAP measure of net premiums earned.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Net Written Premiums(1) and Net Premiums Earned</w:t>
      </w:r>
    </w:p>
    <w:p>
      <w:pPr>
        <w:spacing w:after="0" w:line="22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6"/>
          <w:szCs w:val="16"/>
          <w:color w:val="auto"/>
        </w:rPr>
        <w:t>Net written premiums increased $11,104,000, or 54.0%, to $31,649,000 in Three Months 2025 from $20,545,000 in Three Months 2024. Net written premiums include direct premiums, less the amount of written premiums ceded under our reinsurance treaties (quota share, excess of loss, and catastrophe). The increase in Three Months 2025 is primarily due to the additional premiums from Policy Price Increases, the Change in Market Dynamics, and changes to our personal lines quota share reinsurance treaty. See quota share reinsurance treaties discussion below.</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i w:val="1"/>
          <w:iCs w:val="1"/>
          <w:color w:val="auto"/>
        </w:rPr>
        <w:t>Quota share reinsurance treaties</w:t>
      </w:r>
    </w:p>
    <w:p>
      <w:pPr>
        <w:spacing w:after="0" w:line="22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On January 1, 2024, we entered into a new 27% quota share reinsurance treaty for our personal lines business, covering the period from January 1, 2024 through January 1, 2025 (“2024/2025 Treaty”). Upon expiration of the 2024/2025 Treaty on January 1, 2025, we entered into a new 16% quota share reinsurance treaty for our personal lines business, covering the period from January 1, 2025 through January 1, 2026 (“2025/2026 Treaty”). Our personal lines business was subject to the 2025/2026 Treaty in Three Months 2025, and the 2024/2025 Treaty in Three Months 2024. In Three Months 2025, our premiums ceded under quota share treaties decreased by $4,506,000 in comparison to premiums ceded under quota share treaties in Three Months 2024 (see table above). The decrease in Three Months 2025 was attributable to the decrease in the quota share ceding percentage rate, offset by an increase in direct written premiums subject to the 2025/2026 Treaty compared to direct written premiums subject to the 2024/2025 Treaty.</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i w:val="1"/>
          <w:iCs w:val="1"/>
          <w:color w:val="auto"/>
        </w:rPr>
        <w:t>Excess of loss reinsurance treaties</w:t>
      </w:r>
    </w:p>
    <w:p>
      <w:pPr>
        <w:spacing w:after="0" w:line="22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In Three Months 2025, our ceded excess of loss reinsurance premiums increased $371,000 compared to the ceded excess of loss premiums for Three Months 2024. Effective January 1, 2024, we entered into an underlying excess of loss reinsurance treaty (the “Underlying XOL Treaty”) covering the period from January 1, 2024 through January 1, 2025. The Underlying XOL Treaty provided 50% reinsurance coverage for losses of $400,000 in excess of $600,000. Losses from named storms were excluded from the Underlying XOL Treaty. Effective January 1, 2025, the Underlying XOL Treaty was renewed covering the period from January 1, 2025 through June 30, 2026. The Underlying XOL Treaty combined with the excess of loss treaty provide 50% reinsurance coverage for losses of $250,000 in excess of $750,000, and 100% reinsurance coverage for losses in excess of $1,000,000 up to $9,000,000 together with facultative coverage. Retention was increased to $715,000 from $640,000 under the 2025/2026 Treaty</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i w:val="1"/>
          <w:iCs w:val="1"/>
          <w:color w:val="auto"/>
        </w:rPr>
        <w:t>Catastrophe reinsurance treaties</w:t>
      </w:r>
    </w:p>
    <w:p>
      <w:pPr>
        <w:spacing w:after="0" w:line="23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Most of the premiums written under our personal lines policies are also subject to our catastrophe reinsurance treaties. An increase in our personal lines business historically gave rise to more property exposure, which increased our exposure to catastrophe risk; therefore, our premiums ceded under catastrophe treaties would increase. An increase in our personal lines business historically resulted in an increase in premiums ceded under our catastrophe treaties if reinsurance rates were stable or were increasing. With regard to treaties entered into on July 1, 2025 ("2025/2026 Catastrophe Treaty") and 2024 ("2024/2025 Catastrophe Treaty"), we recorded our catastrophe premiums written for the entire treaty period covering July 1 through June 30, resulting in the entire annual premium written being recorded in the third quarter of 2025 and 2024. The $406,000 and $506,000 negative catastrophe premiums in Three Months 2025 and Three Months 2024, respectively, was due to a no loss bonus from one of our reinsurers. The 2025/2026 Catastrophe Treaty covers 80% of losses on the first layer of $5,000,000 in excess of $5,000,000 (Catastrophe coverage of $4,000,000), and losses of $435,000,000 in excess of $5,000,000 (Catastrophe coverage of $430,000,000), for a total catastrophe coverage of $434,000,000. The 2024/2025 Catastrophe Treaty covered 80% of losses on the first layer of $5,000,000 in excess of $5,000,000 (Catastrophe coverage of $4,000,000), and losses of $275,000,000 in excess of $10,000,000 (Catastrophe coverage of $265,000,000), for a total catastrophe coverage of $269,000,000. Catastrophe coverage under the 2025/2026 Catastrophe Treaty increased by $165,000,000 compared to the 2024/2025 Catastrophe Treaty. In Three Months 2025, our premiums ceded under our catastrophe treaties increased by $2,956,000 in comparison to premiums ceded under catastrophe treaties in Three Months 2024 (see table above). The increase in Three Months 2025 was primarily attributable to the $169,000,000 increase in catastrophe coverage discussed above.</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i w:val="1"/>
          <w:iCs w:val="1"/>
          <w:color w:val="auto"/>
        </w:rPr>
        <w:t>Net premiums earned</w:t>
      </w:r>
    </w:p>
    <w:p>
      <w:pPr>
        <w:spacing w:after="0" w:line="22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Net premiums earned increased $14,518,000, or 43.5%, to $47,925,000 in Three Months 2025 from $33,407,000 in Three Months 2024. The increase was due to the 11 percentage point reduction in quota share rates discussed above, and the increase in premiums from the Change in Market Dynamics which began in the third quarter of 2024, partially offset by an increase in catastrophe premiums due to the increase in catastrophe coverage reflected in ceded catastrophe premiums earned, which increased the amount of growth in net premiums earned.</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___________________</w:t>
      </w:r>
    </w:p>
    <w:p>
      <w:pPr>
        <w:spacing w:after="0" w:line="221" w:lineRule="exact"/>
        <w:rPr>
          <w:sz w:val="20"/>
          <w:szCs w:val="20"/>
          <w:color w:val="auto"/>
        </w:rPr>
      </w:pPr>
    </w:p>
    <w:p>
      <w:pPr>
        <w:ind w:firstLine="656"/>
        <w:spacing w:after="0" w:line="280" w:lineRule="auto"/>
        <w:tabs>
          <w:tab w:leader="none" w:pos="882"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written premiums is a non-GAAP measure, defined above under "Key GAAP and Non-GAAP Measures", and reconciled in the table above to the GAAP measure of net premiums earned.</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u w:val="single" w:color="auto"/>
          <w:color w:val="auto"/>
        </w:rPr>
        <w:t>Ceding Commission Revenue</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summarizes the changes in the components of ceding commission revenue (in thousands) for the periods indicated: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gridSpan w:val="4"/>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498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0" w:type="dxa"/>
            <w:vAlign w:val="bottom"/>
          </w:tcPr>
          <w:p>
            <w:pPr>
              <w:spacing w:after="0"/>
              <w:rPr>
                <w:sz w:val="17"/>
                <w:szCs w:val="17"/>
                <w:color w:val="auto"/>
              </w:rPr>
            </w:pPr>
          </w:p>
        </w:tc>
        <w:tc>
          <w:tcPr>
            <w:tcW w:w="160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0" w:type="dxa"/>
            <w:vAlign w:val="bottom"/>
          </w:tcPr>
          <w:p>
            <w:pPr>
              <w:spacing w:after="0"/>
              <w:rPr>
                <w:sz w:val="1"/>
                <w:szCs w:val="1"/>
                <w:color w:val="auto"/>
              </w:rPr>
            </w:pPr>
          </w:p>
        </w:tc>
      </w:tr>
      <w:tr>
        <w:trPr>
          <w:trHeight w:val="31"/>
        </w:trPr>
        <w:tc>
          <w:tcPr>
            <w:tcW w:w="4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9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Provisional ceding commissions earned</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210"/>
        </w:trPr>
        <w:tc>
          <w:tcPr>
            <w:tcW w:w="49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Contingent ceding commissions earned</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1,346</w:t>
            </w:r>
          </w:p>
        </w:tc>
        <w:tc>
          <w:tcPr>
            <w:tcW w:w="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33"/>
        </w:trPr>
        <w:tc>
          <w:tcPr>
            <w:tcW w:w="4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9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Total ceding commission revenue</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4,901</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4,742</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0" w:type="dxa"/>
            <w:vAlign w:val="bottom"/>
          </w:tcPr>
          <w:p>
            <w:pPr>
              <w:spacing w:after="0"/>
              <w:rPr>
                <w:sz w:val="1"/>
                <w:szCs w:val="1"/>
                <w:color w:val="auto"/>
              </w:rPr>
            </w:pPr>
          </w:p>
        </w:tc>
      </w:tr>
      <w:tr>
        <w:trPr>
          <w:trHeight w:val="24"/>
        </w:trPr>
        <w:tc>
          <w:tcPr>
            <w:tcW w:w="4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ind w:firstLine="607"/>
        <w:spacing w:after="0" w:line="298" w:lineRule="auto"/>
        <w:rPr>
          <w:sz w:val="20"/>
          <w:szCs w:val="20"/>
          <w:color w:val="auto"/>
        </w:rPr>
      </w:pPr>
      <w:r>
        <w:rPr>
          <w:rFonts w:ascii="Times New Roman" w:cs="Times New Roman" w:eastAsia="Times New Roman" w:hAnsi="Times New Roman"/>
          <w:sz w:val="16"/>
          <w:szCs w:val="16"/>
          <w:color w:val="auto"/>
        </w:rPr>
        <w:t>Ceding commission revenue was $4,901,000 in Three Months 2025 compared to $4,742,000 in Three Months 2024. The increase of $159,000 is explained below in the discussion of provisional ceding commissions earned and contingent ceding commissions earned.</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i w:val="1"/>
          <w:iCs w:val="1"/>
          <w:color w:val="auto"/>
        </w:rPr>
        <w:t>Provisional Ceding Commissions Earned</w:t>
      </w:r>
    </w:p>
    <w:p>
      <w:pPr>
        <w:spacing w:after="0" w:line="22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6"/>
          <w:szCs w:val="16"/>
          <w:color w:val="auto"/>
        </w:rPr>
        <w:t>In Three Months 2025, we earned provisional ceding commissions of $3,555,000 from personal lines earned premiums ceded under the 2025/2026 Treaty, and in Three Months 2024, we earned provisional ceding commissions of $4,743,000 from personal lines earned premiums ceded under the 2024/2025 Treaty. The decrease of $1,188,000 in provisional ceding commissions earned was due to the decrease in premiums ceded under these treaties during Three Months 2025 compared to Three Months 2024, offset by an increase in ceding commission rates under the 2025/2026 Treaty.</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i w:val="1"/>
          <w:iCs w:val="1"/>
          <w:color w:val="auto"/>
        </w:rPr>
        <w:t>Contingent Ceding Commissions Earned</w:t>
      </w:r>
    </w:p>
    <w:p>
      <w:pPr>
        <w:spacing w:after="0" w:line="210"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16"/>
          <w:szCs w:val="16"/>
          <w:color w:val="auto"/>
        </w:rPr>
        <w:t>Under our 2025/2026 Treaty and prior years’ quota share treaties before July 1, 2017, we received a contingent ceding commission based on a Sliding Scale of commission rates and ultimate treaty year loss ratio on the policies reinsured under this agreement based upon which contingent ceding commissions are earned. The Sliding Scale includes minimum and maximum commission rates in relation to specified ultimate loss ratio. The commission rate and contingent ceding commissions earned increase when the estimated ultimate loss ratio decreases and, conversely, the commission rate and contingent ceding commissions earned decrease when the estimated</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6"/>
          <w:szCs w:val="16"/>
          <w:color w:val="auto"/>
        </w:rPr>
        <w:t>ultimate loss ratio increases. The lower the ceded loss ratio, the more contingent commission we receive. During Three Months 2025, we recognized $1,400,000 in sliding scale ceding commission under 2025/2026 Treaty, reflecting low catastrophe losses. While sliding scale ceding commission for the attritional loss ratio is booked quarterly,</w:t>
      </w:r>
    </w:p>
    <w:p>
      <w:pPr>
        <w:spacing w:after="0"/>
        <w:rPr>
          <w:sz w:val="20"/>
          <w:szCs w:val="20"/>
          <w:color w:val="auto"/>
        </w:rPr>
      </w:pPr>
      <w:r>
        <w:rPr>
          <w:rFonts w:ascii="Times New Roman" w:cs="Times New Roman" w:eastAsia="Times New Roman" w:hAnsi="Times New Roman"/>
          <w:sz w:val="16"/>
          <w:szCs w:val="16"/>
          <w:color w:val="auto"/>
        </w:rPr>
        <w:t>sliding scale ceding commission for the catastrophe loss ratio could not be reasonably estimated until after the peak of the hurricane season, so it was recognized this quarter.</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structure of the 2024/2025 Treaty called for a fixed provisional ceding commission with no opportunity to earn additional contingent ceding commissions.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Net Investment Income</w:t>
      </w:r>
    </w:p>
    <w:p>
      <w:pPr>
        <w:spacing w:after="0" w:line="221"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Net investment income was $2,499,000 in Three Months 2025 compared to $1,650,000 in Three Months 2024, an increase of $849,000, or 51.5%, primarily due to an increase in invested assets and average yield on non-cash invested assets. The average yield on non-cash invested assets was 4.0% as of September 30, 2025 compared to 3.5% as of September 30, 2024.</w:t>
      </w:r>
    </w:p>
    <w:p>
      <w:pPr>
        <w:spacing w:after="0" w:line="171" w:lineRule="exact"/>
        <w:rPr>
          <w:sz w:val="20"/>
          <w:szCs w:val="20"/>
          <w:color w:val="auto"/>
        </w:rPr>
      </w:pPr>
    </w:p>
    <w:p>
      <w:pPr>
        <w:jc w:val="both"/>
        <w:ind w:right="20" w:firstLine="648"/>
        <w:spacing w:after="0" w:line="280" w:lineRule="auto"/>
        <w:rPr>
          <w:sz w:val="20"/>
          <w:szCs w:val="20"/>
          <w:color w:val="auto"/>
        </w:rPr>
      </w:pPr>
      <w:r>
        <w:rPr>
          <w:rFonts w:ascii="Times New Roman" w:cs="Times New Roman" w:eastAsia="Times New Roman" w:hAnsi="Times New Roman"/>
          <w:sz w:val="16"/>
          <w:szCs w:val="16"/>
          <w:color w:val="auto"/>
        </w:rPr>
        <w:t>Cash and invested assets were $300,755,000 as of September 30, 2025 compared to $221,847,000 as of September 30, 2024, an increase of $78,908,000 primarily driven by cash flows from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Net Gains (Losses) on Investments</w:t>
      </w:r>
    </w:p>
    <w:p>
      <w:pPr>
        <w:spacing w:after="0" w:line="221"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Net gains on investments were $182,000 in Three Months 2025 compared to net gains of $827,000 in Three Months 2024. Unrealized gains on our equity securities and other investments in Three Months 2025 were $188,000, compared to unrealized gains of $461,000 in Three Months 2024. Net realized (losses) on sales of investments were $(6,000) in Three Months 2025 compared to net realized gains of $366,000 in Three Months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Other Income</w:t>
      </w:r>
    </w:p>
    <w:p>
      <w:pPr>
        <w:spacing w:after="0" w:line="2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Other income was $146,000 in Three Months 2025 compared to $147,000 in Three Months 2024, a decrease of $1,000, or 0.6%.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Net Loss and LAE</w:t>
      </w:r>
    </w:p>
    <w:p>
      <w:pPr>
        <w:spacing w:after="0" w:line="235"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Net loss and LAE was $21,232,000 for Three Months 2025 compared to $13,028,000 for Three Months 2024. The net loss ratio was 44.3% in Three Months 2025 compared to 39.0% in Three Months 2024, an increase of 5.3 percentage points.</w:t>
      </w:r>
    </w:p>
    <w:p>
      <w:pPr>
        <w:spacing w:after="0" w:line="151"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The net loss ratio for Three Months 2025 was higher than for Three Months 2024 primarily driven by an increase in the severity of non-catastrophe losses and less favorable prior year reserve development, partially offset by a decrease in the frequency of losses and a decrease in catastrophe losses.</w:t>
      </w:r>
    </w:p>
    <w:p>
      <w:pPr>
        <w:spacing w:after="0" w:line="151"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16"/>
          <w:szCs w:val="16"/>
          <w:color w:val="auto"/>
        </w:rPr>
        <w:t>For the Three Months 2025, the underlying loss ratio (loss ratio excluding the impact of catastrophes and prior year development) was higher than for the Three Months 2024. The underlying loss ratio</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was 44.1% for Three Months 2025, an increase of 4.9 points from the 39.2% for Three Months 2024. Overall personal lines non-catastrophe severity for Three Months 2025 was higher than the same period in 2024 primarily due to a greater impact from large fire losses. The higher severity was partially offset by lower personal lines non-catastrophe frequency, which is believed to be the result of a mix shift to more preferred risks in our Select product rollout as well as our active efforts to manage less profitable segments.</w:t>
      </w:r>
    </w:p>
    <w:p>
      <w:pPr>
        <w:spacing w:after="0" w:line="21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6"/>
          <w:szCs w:val="16"/>
          <w:color w:val="auto"/>
        </w:rPr>
        <w:t>There were two newly designated catastrophe events for Three Months 2025, but no major events affecting us. The estimated total net catastrophe impact for the calendar quarter was $115,000, which contributed 0.2 points to the loss ratio. By comparison, the impact to the loss ratio from catastrophes for Three Months 2024 was 1.7 points.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96"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16"/>
          <w:szCs w:val="16"/>
          <w:color w:val="auto"/>
        </w:rPr>
        <w:t>There was favorable prior year development of $10,000 for Three Months 2025, which had a minimal impact on the loss ratio. By comparison, the impact of favorable prior year development for Three Months 2024 was a decrease of 1.9 points to the loss ratio.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w:t>
      </w:r>
    </w:p>
    <w:p>
      <w:pPr>
        <w:spacing w:after="0" w:line="203" w:lineRule="exact"/>
        <w:rPr>
          <w:sz w:val="20"/>
          <w:szCs w:val="20"/>
          <w:color w:val="auto"/>
        </w:rPr>
      </w:pPr>
    </w:p>
    <w:p>
      <w:pPr>
        <w:jc w:val="both"/>
        <w:ind w:firstLine="615"/>
        <w:spacing w:after="0" w:line="263" w:lineRule="auto"/>
        <w:tabs>
          <w:tab w:leader="none" w:pos="854"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Underlying loss ratio is a non-GAAP ratio, which is computed as the GAAP net loss ratio excluding the effect of prior year loss reserve development and catastrophe losses.Net loss ratio excluding commercial lines business is a non-GAAP ratio, which is computed as the difference between the GAAP net loss ratio and the effect of commercial lines business. See "Non-GAAP Financial Measures" for the reconciliation of underlying loss ratio and net loss ratio excluding commercial lines business to the GAAP measure of net loss ratio.</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See table below under “Additional Financial Information” summarizing net loss ratios by line of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Commission Expense</w:t>
      </w:r>
    </w:p>
    <w:p>
      <w:pPr>
        <w:spacing w:after="0" w:line="2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6"/>
          <w:szCs w:val="16"/>
          <w:color w:val="auto"/>
        </w:rPr>
        <w:t>Commission expense was $10,308,000 in Three Months 2025 or 15.6% of direct earned premiums. Commission expense was $9,004,000 in Three Months 2024 or 16.6% of direct earned premiums. The increase of $1,304,000 was primarily due to an increase in direct earned premiums of $11,945,000, offset by a decrease of $450,000 in Three Months 2025 compared to Three Months 2024 for an accrual of estimated contingent commission based on the profitability of the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Other Underwriting Expenses</w:t>
      </w:r>
    </w:p>
    <w:p>
      <w:pPr>
        <w:spacing w:after="0" w:line="20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6"/>
          <w:szCs w:val="16"/>
          <w:color w:val="auto"/>
        </w:rPr>
        <w:t>Other underwriting expenses were $8,358,000, or 12.7% of direct earned premiums, in Three Months 2025 compared to $6,895,000, or 12.7% of direct earned premiums, in Three Months 2024. The increase of $1,463,000, or 21.2%, was primarily due to increases in salaries and employment costs as described below, an increase in underwriting fees due to growth and an increase in premium taxes due to the increase in direct earned premiums.</w:t>
      </w:r>
    </w:p>
    <w:p>
      <w:pPr>
        <w:spacing w:after="0" w:line="185"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6"/>
          <w:szCs w:val="16"/>
          <w:color w:val="auto"/>
        </w:rPr>
        <w:t>Our largest single component of other underwriting expenses is salaries and employment costs, with costs of $4,743,000 in Three Months 2025 compared to $3,857,000 in Three Months 2024. Salaries and employment costs were 9.9 points of the net underwriting expense ratio in Three Months 2025, a reduction of 1.6 points from 11.5 points in Three Months 2024. The dollar increase in salaries and employment costs was due to hiring additional staff to handle the new business from the Change in Market Dynamics, anticipated new business in accordance with our 5-Year Growth Plan, the strengthening of our professional team by investing in the hiring of higher-level and higher compensated managers, and annual employee salary increases effective January 1, 2025. In addition, the increase in salaries and employment costs was due to $1,321,000 accrued under our employee and executive bonus plans, an increase of $357,000 from Three Months 2024. The increase was due to higher profitability in our insurance operations in Three Months 2025 compared to Three Months 2024.</w:t>
      </w:r>
    </w:p>
    <w:p>
      <w:pPr>
        <w:spacing w:after="0" w:line="211" w:lineRule="exact"/>
        <w:rPr>
          <w:sz w:val="20"/>
          <w:szCs w:val="20"/>
          <w:color w:val="auto"/>
        </w:rPr>
      </w:pPr>
    </w:p>
    <w:p>
      <w:pPr>
        <w:jc w:val="both"/>
        <w:ind w:right="20" w:firstLine="648"/>
        <w:spacing w:after="0" w:line="280" w:lineRule="auto"/>
        <w:rPr>
          <w:sz w:val="20"/>
          <w:szCs w:val="20"/>
          <w:color w:val="auto"/>
        </w:rPr>
      </w:pPr>
      <w:r>
        <w:rPr>
          <w:rFonts w:ascii="Times New Roman" w:cs="Times New Roman" w:eastAsia="Times New Roman" w:hAnsi="Times New Roman"/>
          <w:sz w:val="16"/>
          <w:szCs w:val="16"/>
          <w:color w:val="auto"/>
        </w:rPr>
        <w:t>Our net underwriting expense ratio in Three Months 2025 was 28.4% compared to 33.0% in Three Months 2024. The following table shows the individual components of our net underwriting expense ratio for the periods indicated:</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20" w:type="dxa"/>
            <w:vAlign w:val="bottom"/>
          </w:tcPr>
          <w:p>
            <w:pPr>
              <w:spacing w:after="0"/>
              <w:rPr>
                <w:sz w:val="16"/>
                <w:szCs w:val="16"/>
                <w:color w:val="auto"/>
              </w:rPr>
            </w:pPr>
          </w:p>
        </w:tc>
        <w:tc>
          <w:tcPr>
            <w:tcW w:w="2660" w:type="dxa"/>
            <w:vAlign w:val="bottom"/>
            <w:gridSpan w:val="4"/>
          </w:tcPr>
          <w:p>
            <w:pPr>
              <w:jc w:val="center"/>
              <w:ind w:left="51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8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0" w:type="dxa"/>
            <w:vAlign w:val="bottom"/>
          </w:tcPr>
          <w:p>
            <w:pPr>
              <w:spacing w:after="0"/>
              <w:rPr>
                <w:sz w:val="1"/>
                <w:szCs w:val="1"/>
                <w:color w:val="auto"/>
              </w:rPr>
            </w:pPr>
          </w:p>
        </w:tc>
      </w:tr>
      <w:tr>
        <w:trPr>
          <w:trHeight w:val="33"/>
        </w:trPr>
        <w:tc>
          <w:tcPr>
            <w:tcW w:w="64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64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Point Change</w:t>
            </w:r>
          </w:p>
        </w:tc>
        <w:tc>
          <w:tcPr>
            <w:tcW w:w="0" w:type="dxa"/>
            <w:vAlign w:val="bottom"/>
          </w:tcPr>
          <w:p>
            <w:pPr>
              <w:spacing w:after="0"/>
              <w:rPr>
                <w:sz w:val="1"/>
                <w:szCs w:val="1"/>
                <w:color w:val="auto"/>
              </w:rPr>
            </w:pPr>
          </w:p>
        </w:tc>
      </w:tr>
      <w:tr>
        <w:trPr>
          <w:trHeight w:val="31"/>
        </w:trPr>
        <w:tc>
          <w:tcPr>
            <w:tcW w:w="64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Other underwriting expenses</w:t>
            </w: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20" w:type="dxa"/>
            <w:vAlign w:val="bottom"/>
            <w:vMerge w:val="continue"/>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6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Employment costs</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9.9 %</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8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0"/>
        </w:trPr>
        <w:tc>
          <w:tcPr>
            <w:tcW w:w="740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Underwriting fees (inspections/surveys)</w:t>
            </w:r>
          </w:p>
        </w:tc>
        <w:tc>
          <w:tcPr>
            <w:tcW w:w="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IT expenses</w:t>
            </w:r>
          </w:p>
        </w:tc>
        <w:tc>
          <w:tcPr>
            <w:tcW w:w="6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10"/>
        </w:trPr>
        <w:tc>
          <w:tcPr>
            <w:tcW w:w="740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Professional fees</w:t>
            </w:r>
          </w:p>
        </w:tc>
        <w:tc>
          <w:tcPr>
            <w:tcW w:w="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0.6</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33"/>
        </w:trPr>
        <w:tc>
          <w:tcPr>
            <w:tcW w:w="6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Other expenses</w:t>
            </w:r>
          </w:p>
        </w:tc>
        <w:tc>
          <w:tcPr>
            <w:tcW w:w="6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04"/>
        </w:trPr>
        <w:tc>
          <w:tcPr>
            <w:tcW w:w="64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other underwriting expenses</w:t>
            </w:r>
          </w:p>
        </w:tc>
        <w:tc>
          <w:tcPr>
            <w:tcW w:w="9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20.6</w:t>
            </w:r>
          </w:p>
        </w:tc>
        <w:tc>
          <w:tcPr>
            <w:tcW w:w="80" w:type="dxa"/>
            <w:vAlign w:val="bottom"/>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33"/>
        </w:trPr>
        <w:tc>
          <w:tcPr>
            <w:tcW w:w="64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4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Commission expense</w:t>
            </w:r>
          </w:p>
        </w:tc>
        <w:tc>
          <w:tcPr>
            <w:tcW w:w="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27.0</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33"/>
        </w:trPr>
        <w:tc>
          <w:tcPr>
            <w:tcW w:w="64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4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Ceding commission revenue</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Provisional</w:t>
            </w: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(14.2)</w:t>
            </w:r>
          </w:p>
        </w:tc>
        <w:tc>
          <w:tcPr>
            <w:tcW w:w="8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10"/>
        </w:trPr>
        <w:tc>
          <w:tcPr>
            <w:tcW w:w="740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Contingent</w:t>
            </w:r>
          </w:p>
        </w:tc>
        <w:tc>
          <w:tcPr>
            <w:tcW w:w="6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33"/>
        </w:trPr>
        <w:tc>
          <w:tcPr>
            <w:tcW w:w="64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ceding commission revenue</w:t>
            </w:r>
          </w:p>
        </w:tc>
        <w:tc>
          <w:tcPr>
            <w:tcW w:w="9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(14.2)</w:t>
            </w: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50"/>
        </w:trPr>
        <w:tc>
          <w:tcPr>
            <w:tcW w:w="6420" w:type="dxa"/>
            <w:vAlign w:val="bottom"/>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(0.4)</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50"/>
        </w:trPr>
        <w:tc>
          <w:tcPr>
            <w:tcW w:w="6420" w:type="dxa"/>
            <w:vAlign w:val="bottom"/>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7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underwriting expense ratio</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(Components may not sum to totals due to rounding)</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Other Operating Expenses</w:t>
      </w:r>
    </w:p>
    <w:p>
      <w:pPr>
        <w:spacing w:after="0" w:line="235"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Other operating expenses, related to the expenses of our holding company and Cosi, were $1,330,000 for Three Month 2025 compared to $1,242,000 for Three Month 2024. The following table shows a breakdown of the significant components of other operating expenses for the periods indicated:</w:t>
      </w:r>
    </w:p>
    <w:p>
      <w:pPr>
        <w:spacing w:after="0" w:line="203" w:lineRule="exact"/>
        <w:rPr>
          <w:sz w:val="20"/>
          <w:szCs w:val="20"/>
          <w:color w:val="auto"/>
        </w:rPr>
      </w:pPr>
    </w:p>
    <w:p>
      <w:pPr>
        <w:jc w:val="center"/>
        <w:ind w:left="17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5" w:lineRule="exact"/>
        <w:rPr>
          <w:sz w:val="20"/>
          <w:szCs w:val="20"/>
          <w:color w:val="auto"/>
        </w:rPr>
      </w:pPr>
    </w:p>
    <w:p>
      <w:pPr>
        <w:jc w:val="center"/>
        <w:ind w:left="172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60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31"/>
        </w:trPr>
        <w:tc>
          <w:tcPr>
            <w:tcW w:w="4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460"/>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operating expenses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3"/>
        </w:trPr>
        <w:tc>
          <w:tcPr>
            <w:tcW w:w="4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3"/>
        </w:trPr>
        <w:tc>
          <w:tcPr>
            <w:tcW w:w="498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Employment costs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72.1 %</w:t>
            </w:r>
          </w:p>
        </w:tc>
      </w:tr>
      <w:tr>
        <w:trPr>
          <w:trHeight w:val="210"/>
        </w:trPr>
        <w:tc>
          <w:tcPr>
            <w:tcW w:w="498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Executive bonus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80" w:type="dxa"/>
            <w:vAlign w:val="bottom"/>
          </w:tcPr>
          <w:p>
            <w:pPr>
              <w:spacing w:after="0"/>
              <w:rPr>
                <w:sz w:val="18"/>
                <w:szCs w:val="18"/>
                <w:color w:val="auto"/>
              </w:rPr>
            </w:pPr>
          </w:p>
        </w:tc>
        <w:tc>
          <w:tcPr>
            <w:tcW w:w="16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(130.6)</w:t>
            </w:r>
          </w:p>
        </w:tc>
      </w:tr>
      <w:tr>
        <w:trPr>
          <w:trHeight w:val="33"/>
        </w:trPr>
        <w:tc>
          <w:tcPr>
            <w:tcW w:w="4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3"/>
        </w:trPr>
        <w:tc>
          <w:tcPr>
            <w:tcW w:w="498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Equity compensation</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8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19.8</w:t>
            </w:r>
          </w:p>
        </w:tc>
      </w:tr>
      <w:tr>
        <w:trPr>
          <w:trHeight w:val="210"/>
        </w:trPr>
        <w:tc>
          <w:tcPr>
            <w:tcW w:w="498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Equity compensation - liability</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3"/>
        </w:trPr>
        <w:tc>
          <w:tcPr>
            <w:tcW w:w="498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Professional</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8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94.7</w:t>
            </w:r>
          </w:p>
        </w:tc>
      </w:tr>
      <w:tr>
        <w:trPr>
          <w:trHeight w:val="210"/>
        </w:trPr>
        <w:tc>
          <w:tcPr>
            <w:tcW w:w="498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Directors fees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Pr>
          <w:p>
            <w:pPr>
              <w:spacing w:after="0"/>
              <w:rPr>
                <w:sz w:val="18"/>
                <w:szCs w:val="18"/>
                <w:color w:val="auto"/>
              </w:rPr>
            </w:pP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20.0</w:t>
            </w:r>
          </w:p>
        </w:tc>
      </w:tr>
      <w:tr>
        <w:trPr>
          <w:trHeight w:val="33"/>
        </w:trPr>
        <w:tc>
          <w:tcPr>
            <w:tcW w:w="4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3"/>
        </w:trPr>
        <w:tc>
          <w:tcPr>
            <w:tcW w:w="498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Insurance</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(38.3)</w:t>
            </w:r>
          </w:p>
        </w:tc>
      </w:tr>
      <w:tr>
        <w:trPr>
          <w:trHeight w:val="210"/>
        </w:trPr>
        <w:tc>
          <w:tcPr>
            <w:tcW w:w="498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3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80" w:type="dxa"/>
            <w:vAlign w:val="bottom"/>
          </w:tcPr>
          <w:p>
            <w:pPr>
              <w:spacing w:after="0"/>
              <w:rPr>
                <w:sz w:val="18"/>
                <w:szCs w:val="18"/>
                <w:color w:val="auto"/>
              </w:rPr>
            </w:pPr>
          </w:p>
        </w:tc>
        <w:tc>
          <w:tcPr>
            <w:tcW w:w="16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(100.0)</w:t>
            </w:r>
          </w:p>
        </w:tc>
      </w:tr>
      <w:tr>
        <w:trPr>
          <w:trHeight w:val="33"/>
        </w:trPr>
        <w:tc>
          <w:tcPr>
            <w:tcW w:w="4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498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Other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17.7</w:t>
            </w:r>
          </w:p>
        </w:tc>
      </w:tr>
      <w:tr>
        <w:trPr>
          <w:trHeight w:val="204"/>
        </w:trPr>
        <w:tc>
          <w:tcPr>
            <w:tcW w:w="49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other operating expenses</w:t>
            </w: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1,330</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1,242</w:t>
            </w:r>
          </w:p>
        </w:tc>
        <w:tc>
          <w:tcPr>
            <w:tcW w:w="100" w:type="dxa"/>
            <w:vAlign w:val="bottom"/>
          </w:tcPr>
          <w:p>
            <w:pPr>
              <w:spacing w:after="0"/>
              <w:rPr>
                <w:sz w:val="17"/>
                <w:szCs w:val="17"/>
                <w:color w:val="auto"/>
              </w:rPr>
            </w:pP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80" w:type="dxa"/>
            <w:vAlign w:val="bottom"/>
          </w:tcPr>
          <w:p>
            <w:pPr>
              <w:spacing w:after="0"/>
              <w:rPr>
                <w:sz w:val="17"/>
                <w:szCs w:val="17"/>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7.1 %</w:t>
            </w:r>
          </w:p>
        </w:tc>
      </w:tr>
      <w:tr>
        <w:trPr>
          <w:trHeight w:val="33"/>
        </w:trPr>
        <w:tc>
          <w:tcPr>
            <w:tcW w:w="4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4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(Components may not sum to totals due to rounding)</w:t>
      </w:r>
    </w:p>
    <w:p>
      <w:pPr>
        <w:spacing w:after="0" w:line="237" w:lineRule="exact"/>
        <w:rPr>
          <w:sz w:val="20"/>
          <w:szCs w:val="20"/>
          <w:color w:val="auto"/>
        </w:rPr>
      </w:pPr>
    </w:p>
    <w:p>
      <w:pPr>
        <w:jc w:val="both"/>
        <w:ind w:firstLine="607"/>
        <w:spacing w:after="0" w:line="263" w:lineRule="auto"/>
        <w:rPr>
          <w:sz w:val="20"/>
          <w:szCs w:val="20"/>
          <w:color w:val="auto"/>
        </w:rPr>
      </w:pPr>
      <w:r>
        <w:rPr>
          <w:rFonts w:ascii="Times New Roman" w:cs="Times New Roman" w:eastAsia="Times New Roman" w:hAnsi="Times New Roman"/>
          <w:sz w:val="16"/>
          <w:szCs w:val="16"/>
          <w:color w:val="auto"/>
        </w:rPr>
        <w:t>The increase in Three Months 2025 of $88,000, or 7.1%, as compared to Three Months 2024 was primarily due to increases in equity compensation, executive bonus and professional fees, partially offset by a decrease in loss on extinguishment of debt. The increase in equity compensation is due to additional restricted stock awards granted to our senior leadership team as of December 31, 2024 pursuant to our employee bonus plan. The increase in professional fees is due to incurring additional expenses related to our</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upcoming requirement for the audit of our internal controls over financial reporting. The increase in executive bonus of $111,000 is due to a reallocation of the bonus to other underwriting expenses after June 30, 2024, with the amount in Three Months 2025 representing 10% of the accrued bonus, compared to a reallocation adjustment to equal 10% of the accrued bonus for Three Months 2024. In Three Months 2024 we recorded a $297,000 loss on extinguishment of debt loss due to writing off the balance of unamortized debt issue costs from the 2022 Notes at the time of the 2024 Exchange Agreement as disclosed in Note 7 to the condensed consolidated financial statements. In Three Months 2025 there was no such loss.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Depreciation and Amortization</w:t>
      </w:r>
    </w:p>
    <w:p>
      <w:pPr>
        <w:spacing w:after="0" w:line="221" w:lineRule="exact"/>
        <w:rPr>
          <w:sz w:val="20"/>
          <w:szCs w:val="20"/>
          <w:color w:val="auto"/>
        </w:rPr>
      </w:pPr>
    </w:p>
    <w:p>
      <w:pPr>
        <w:jc w:val="both"/>
        <w:ind w:firstLine="648"/>
        <w:spacing w:after="0" w:line="298" w:lineRule="auto"/>
        <w:rPr>
          <w:sz w:val="20"/>
          <w:szCs w:val="20"/>
          <w:color w:val="auto"/>
        </w:rPr>
      </w:pPr>
      <w:r>
        <w:rPr>
          <w:rFonts w:ascii="Times New Roman" w:cs="Times New Roman" w:eastAsia="Times New Roman" w:hAnsi="Times New Roman"/>
          <w:sz w:val="16"/>
          <w:szCs w:val="16"/>
          <w:color w:val="auto"/>
        </w:rPr>
        <w:t>Depreciation and amortization was $645,000 in Three Months 2025 compared to $619,000 in Three Months 2024. The increase of $26,000, or 4.2%, in depreciation and amortization was primarily due to the difference between additional depreciation on software acquired compared to software being fully depreciated.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Interest Expense</w:t>
      </w:r>
    </w:p>
    <w:p>
      <w:pPr>
        <w:spacing w:after="0" w:line="23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Interest expense in Three Months 2025 was $73,000 compared to $901,000 in Three Months 2024, a decrease of $828,000 or 91.9%. In Three Months 2024, as disclosed in Note 7 to the condensed consolidated financial statements, we incurred interest expense in connection with the 2022 Notes. The 2022 Notes provided for interest at the rate of 12% per annum. In September 2024, in accordance with the 2024 Exchange Agreement, we paid $5,000,000 of principal on the 2022 Notes, reducing the principal balance to $14,950,000 from $19,950,000. Under the 2024 Exchange Agreement, the balance of the 2022 Notes were exchanged for the 2024 Notes, which provided for interest at the rate of 13.75% per annum. Beginning in the third quarter of 2024 through the first quarter of 2025, we paid optional principal amounts, reducing the balance of the 2024 Notes, and completely satisfying the obligation on February 24, 2025. In addition, we also incurred interest expense on the 2022 equipment financing.</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Income Tax Expense</w:t>
      </w:r>
    </w:p>
    <w:p>
      <w:pPr>
        <w:spacing w:after="0" w:line="23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Income tax expense in Three Months 2025 was $2,834,000, which resulted in an effective tax rate of 20.7%. Income tax expense in Three Months 2024 was $2,106,000, which resulted in an effective tax rate of 23.2%. The difference in effective tax rate is due to the effect of permanent differences in Three Months 2025 compared to Three Months 2024. In Three Months 2025, the vesting of restricted stock awards resulted in an income tax benefit, due to the increase in the stock price on the vesting date as compared to the grant date, which had the effect of reducing the effective tax rate. In Three Months 2024, the vesting of restricted stock awards resulted in additional income tax, due to the decrease in the stock price on the vesting date as compared to the grant date, which had the effect of increasing the effective tax rate.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Net Income</w:t>
      </w:r>
    </w:p>
    <w:p>
      <w:pPr>
        <w:spacing w:after="0" w:line="221"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Net income was $10,872,000 in Three Months 2025 compared to a net income of $6,978,000 in Three Months 2024. The increase in net income of $3,894,000 was due to the circumstances described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Additional Financial Information</w:t>
      </w:r>
    </w:p>
    <w:p>
      <w:pPr>
        <w:spacing w:after="0" w:line="223" w:lineRule="exact"/>
        <w:rPr>
          <w:sz w:val="20"/>
          <w:szCs w:val="20"/>
          <w:color w:val="auto"/>
        </w:rPr>
      </w:pPr>
    </w:p>
    <w:p>
      <w:pPr>
        <w:jc w:val="both"/>
        <w:ind w:firstLine="607"/>
        <w:spacing w:after="0" w:line="272" w:lineRule="auto"/>
        <w:rPr>
          <w:sz w:val="20"/>
          <w:szCs w:val="20"/>
          <w:color w:val="auto"/>
        </w:rPr>
      </w:pPr>
      <w:r>
        <w:rPr>
          <w:rFonts w:ascii="Times New Roman" w:cs="Times New Roman" w:eastAsia="Times New Roman" w:hAnsi="Times New Roman"/>
          <w:sz w:val="16"/>
          <w:szCs w:val="16"/>
          <w:color w:val="auto"/>
        </w:rPr>
        <w:t>We operate our business as one segment, property and casualty insurance. Within this segment, we offer an array of property and casualty policies to our producers. The following table summarizes gross and net written premiums, net premiums earned, and net loss and loss adjustment expenses by major product type, which were determined based primarily on similar economic characteristics and risks of loss.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0" w:type="dxa"/>
            <w:vAlign w:val="bottom"/>
            <w:gridSpan w:val="5"/>
          </w:tcPr>
          <w:p>
            <w:pPr>
              <w:ind w:left="5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60" w:type="dxa"/>
            <w:vAlign w:val="bottom"/>
          </w:tcPr>
          <w:p>
            <w:pPr>
              <w:spacing w:after="0"/>
              <w:rPr>
                <w:sz w:val="16"/>
                <w:szCs w:val="16"/>
                <w:color w:val="auto"/>
              </w:rPr>
            </w:pPr>
          </w:p>
        </w:tc>
        <w:tc>
          <w:tcPr>
            <w:tcW w:w="3060" w:type="dxa"/>
            <w:vAlign w:val="bottom"/>
            <w:gridSpan w:val="4"/>
          </w:tcPr>
          <w:p>
            <w:pPr>
              <w:ind w:left="66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25"/>
        </w:trPr>
        <w:tc>
          <w:tcPr>
            <w:tcW w:w="44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31"/>
        </w:trPr>
        <w:tc>
          <w:tcPr>
            <w:tcW w:w="44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Direct premiums written(1):</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Personal lines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72,207,410</w:t>
            </w: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63,336,355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184,275,889</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159,213,386</w:t>
            </w:r>
          </w:p>
        </w:tc>
        <w:tc>
          <w:tcPr>
            <w:tcW w:w="0" w:type="dxa"/>
            <w:vAlign w:val="bottom"/>
          </w:tcPr>
          <w:p>
            <w:pPr>
              <w:spacing w:after="0"/>
              <w:rPr>
                <w:sz w:val="1"/>
                <w:szCs w:val="1"/>
                <w:color w:val="auto"/>
              </w:rPr>
            </w:pPr>
          </w:p>
        </w:tc>
      </w:tr>
      <w:tr>
        <w:trPr>
          <w:trHeight w:val="210"/>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Livery physical damage</w:t>
            </w: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3,584,810</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3,265,709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10,722,055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10,165,891</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Other(1)</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17,643</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24,600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49,324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67,326</w:t>
            </w:r>
          </w:p>
        </w:tc>
        <w:tc>
          <w:tcPr>
            <w:tcW w:w="0" w:type="dxa"/>
            <w:vAlign w:val="bottom"/>
          </w:tcPr>
          <w:p>
            <w:pPr>
              <w:spacing w:after="0"/>
              <w:rPr>
                <w:sz w:val="1"/>
                <w:szCs w:val="1"/>
                <w:color w:val="auto"/>
              </w:rPr>
            </w:pPr>
          </w:p>
        </w:tc>
      </w:tr>
      <w:tr>
        <w:trPr>
          <w:trHeight w:val="204"/>
        </w:trPr>
        <w:tc>
          <w:tcPr>
            <w:tcW w:w="4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gross premiums written</w:t>
            </w: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75,809,863</w:t>
            </w:r>
          </w:p>
        </w:tc>
        <w:tc>
          <w:tcPr>
            <w:tcW w:w="80" w:type="dxa"/>
            <w:vAlign w:val="bottom"/>
          </w:tcPr>
          <w:p>
            <w:pPr>
              <w:spacing w:after="0"/>
              <w:rPr>
                <w:sz w:val="17"/>
                <w:szCs w:val="17"/>
                <w:color w:val="auto"/>
              </w:rPr>
            </w:pPr>
          </w:p>
        </w:tc>
        <w:tc>
          <w:tcPr>
            <w:tcW w:w="560" w:type="dxa"/>
            <w:vAlign w:val="bottom"/>
            <w:tcBorders>
              <w:top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66,626,664</w:t>
            </w:r>
          </w:p>
        </w:tc>
        <w:tc>
          <w:tcPr>
            <w:tcW w:w="100" w:type="dxa"/>
            <w:vAlign w:val="bottom"/>
          </w:tcPr>
          <w:p>
            <w:pPr>
              <w:spacing w:after="0"/>
              <w:rPr>
                <w:sz w:val="17"/>
                <w:szCs w:val="17"/>
                <w:color w:val="auto"/>
              </w:rPr>
            </w:pP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195,047,268</w:t>
            </w:r>
          </w:p>
        </w:tc>
        <w:tc>
          <w:tcPr>
            <w:tcW w:w="100" w:type="dxa"/>
            <w:vAlign w:val="bottom"/>
          </w:tcPr>
          <w:p>
            <w:pPr>
              <w:spacing w:after="0"/>
              <w:rPr>
                <w:sz w:val="17"/>
                <w:szCs w:val="17"/>
                <w:color w:val="auto"/>
              </w:rPr>
            </w:pPr>
          </w:p>
        </w:tc>
        <w:tc>
          <w:tcPr>
            <w:tcW w:w="48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169,446,603</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premiums written(1):</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4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Personal lines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28,049,114</w:t>
            </w: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17,261,087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134,101,008</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89,848,898</w:t>
            </w:r>
          </w:p>
        </w:tc>
        <w:tc>
          <w:tcPr>
            <w:tcW w:w="0" w:type="dxa"/>
            <w:vAlign w:val="bottom"/>
          </w:tcPr>
          <w:p>
            <w:pPr>
              <w:spacing w:after="0"/>
              <w:rPr>
                <w:sz w:val="1"/>
                <w:szCs w:val="1"/>
                <w:color w:val="auto"/>
              </w:rPr>
            </w:pPr>
          </w:p>
        </w:tc>
      </w:tr>
      <w:tr>
        <w:trPr>
          <w:trHeight w:val="210"/>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Livery physical damage</w:t>
            </w: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3,584,810</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3,265,709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10,722,055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10,165,891</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Other(2)</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14,976</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18,395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45,918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50,478</w:t>
            </w:r>
          </w:p>
        </w:tc>
        <w:tc>
          <w:tcPr>
            <w:tcW w:w="0" w:type="dxa"/>
            <w:vAlign w:val="bottom"/>
          </w:tcPr>
          <w:p>
            <w:pPr>
              <w:spacing w:after="0"/>
              <w:rPr>
                <w:sz w:val="1"/>
                <w:szCs w:val="1"/>
                <w:color w:val="auto"/>
              </w:rPr>
            </w:pPr>
          </w:p>
        </w:tc>
      </w:tr>
      <w:tr>
        <w:trPr>
          <w:trHeight w:val="204"/>
        </w:trPr>
        <w:tc>
          <w:tcPr>
            <w:tcW w:w="4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net premiums written</w:t>
            </w: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31,648,900</w:t>
            </w:r>
          </w:p>
        </w:tc>
        <w:tc>
          <w:tcPr>
            <w:tcW w:w="80" w:type="dxa"/>
            <w:vAlign w:val="bottom"/>
          </w:tcPr>
          <w:p>
            <w:pPr>
              <w:spacing w:after="0"/>
              <w:rPr>
                <w:sz w:val="17"/>
                <w:szCs w:val="17"/>
                <w:color w:val="auto"/>
              </w:rPr>
            </w:pPr>
          </w:p>
        </w:tc>
        <w:tc>
          <w:tcPr>
            <w:tcW w:w="560" w:type="dxa"/>
            <w:vAlign w:val="bottom"/>
            <w:tcBorders>
              <w:top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20,545,191</w:t>
            </w:r>
          </w:p>
        </w:tc>
        <w:tc>
          <w:tcPr>
            <w:tcW w:w="100" w:type="dxa"/>
            <w:vAlign w:val="bottom"/>
          </w:tcPr>
          <w:p>
            <w:pPr>
              <w:spacing w:after="0"/>
              <w:rPr>
                <w:sz w:val="17"/>
                <w:szCs w:val="17"/>
                <w:color w:val="auto"/>
              </w:rPr>
            </w:pP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144,868,981</w:t>
            </w:r>
          </w:p>
        </w:tc>
        <w:tc>
          <w:tcPr>
            <w:tcW w:w="100" w:type="dxa"/>
            <w:vAlign w:val="bottom"/>
          </w:tcPr>
          <w:p>
            <w:pPr>
              <w:spacing w:after="0"/>
              <w:rPr>
                <w:sz w:val="17"/>
                <w:szCs w:val="17"/>
                <w:color w:val="auto"/>
              </w:rPr>
            </w:pPr>
          </w:p>
        </w:tc>
        <w:tc>
          <w:tcPr>
            <w:tcW w:w="48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100,065,267</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premiums earned:</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4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Personal lines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44,202,199</w:t>
            </w: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29,801,629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126,720,128</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81,558,589</w:t>
            </w:r>
          </w:p>
        </w:tc>
        <w:tc>
          <w:tcPr>
            <w:tcW w:w="0" w:type="dxa"/>
            <w:vAlign w:val="bottom"/>
          </w:tcPr>
          <w:p>
            <w:pPr>
              <w:spacing w:after="0"/>
              <w:rPr>
                <w:sz w:val="1"/>
                <w:szCs w:val="1"/>
                <w:color w:val="auto"/>
              </w:rPr>
            </w:pPr>
          </w:p>
        </w:tc>
      </w:tr>
      <w:tr>
        <w:trPr>
          <w:trHeight w:val="210"/>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Livery physical damage</w:t>
            </w: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3,707,416</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3,587,808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10,893,432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10,916,903</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Other(2)</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15,438</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17,757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49,816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55,216</w:t>
            </w:r>
          </w:p>
        </w:tc>
        <w:tc>
          <w:tcPr>
            <w:tcW w:w="0" w:type="dxa"/>
            <w:vAlign w:val="bottom"/>
          </w:tcPr>
          <w:p>
            <w:pPr>
              <w:spacing w:after="0"/>
              <w:rPr>
                <w:sz w:val="1"/>
                <w:szCs w:val="1"/>
                <w:color w:val="auto"/>
              </w:rPr>
            </w:pPr>
          </w:p>
        </w:tc>
      </w:tr>
      <w:tr>
        <w:trPr>
          <w:trHeight w:val="204"/>
        </w:trPr>
        <w:tc>
          <w:tcPr>
            <w:tcW w:w="4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net premiums earned</w:t>
            </w: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47,925,053</w:t>
            </w:r>
          </w:p>
        </w:tc>
        <w:tc>
          <w:tcPr>
            <w:tcW w:w="80" w:type="dxa"/>
            <w:vAlign w:val="bottom"/>
          </w:tcPr>
          <w:p>
            <w:pPr>
              <w:spacing w:after="0"/>
              <w:rPr>
                <w:sz w:val="17"/>
                <w:szCs w:val="17"/>
                <w:color w:val="auto"/>
              </w:rPr>
            </w:pPr>
          </w:p>
        </w:tc>
        <w:tc>
          <w:tcPr>
            <w:tcW w:w="560" w:type="dxa"/>
            <w:vAlign w:val="bottom"/>
            <w:tcBorders>
              <w:top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33,407,194</w:t>
            </w:r>
          </w:p>
        </w:tc>
        <w:tc>
          <w:tcPr>
            <w:tcW w:w="100" w:type="dxa"/>
            <w:vAlign w:val="bottom"/>
          </w:tcPr>
          <w:p>
            <w:pPr>
              <w:spacing w:after="0"/>
              <w:rPr>
                <w:sz w:val="17"/>
                <w:szCs w:val="17"/>
                <w:color w:val="auto"/>
              </w:rPr>
            </w:pP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137,663,376</w:t>
            </w:r>
          </w:p>
        </w:tc>
        <w:tc>
          <w:tcPr>
            <w:tcW w:w="100" w:type="dxa"/>
            <w:vAlign w:val="bottom"/>
          </w:tcPr>
          <w:p>
            <w:pPr>
              <w:spacing w:after="0"/>
              <w:rPr>
                <w:sz w:val="17"/>
                <w:szCs w:val="17"/>
                <w:color w:val="auto"/>
              </w:rPr>
            </w:pPr>
          </w:p>
        </w:tc>
        <w:tc>
          <w:tcPr>
            <w:tcW w:w="48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92,530,708</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and loss adjustment expenses(4):</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4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Personal lines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17,533,308</w:t>
            </w: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9,806,057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57,085,068</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35,548,883</w:t>
            </w:r>
          </w:p>
        </w:tc>
        <w:tc>
          <w:tcPr>
            <w:tcW w:w="0" w:type="dxa"/>
            <w:vAlign w:val="bottom"/>
          </w:tcPr>
          <w:p>
            <w:pPr>
              <w:spacing w:after="0"/>
              <w:rPr>
                <w:sz w:val="1"/>
                <w:szCs w:val="1"/>
                <w:color w:val="auto"/>
              </w:rPr>
            </w:pPr>
          </w:p>
        </w:tc>
      </w:tr>
      <w:tr>
        <w:trPr>
          <w:trHeight w:val="210"/>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Livery physical damage</w:t>
            </w: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1,394,720</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1,546,732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4,166,889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4,715,035</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Other(2)</w:t>
            </w: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19,469</w:t>
            </w: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(10,938)</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(3,257)</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(40,133)</w:t>
            </w:r>
          </w:p>
        </w:tc>
        <w:tc>
          <w:tcPr>
            <w:tcW w:w="0" w:type="dxa"/>
            <w:vAlign w:val="bottom"/>
          </w:tcPr>
          <w:p>
            <w:pPr>
              <w:spacing w:after="0"/>
              <w:rPr>
                <w:sz w:val="1"/>
                <w:szCs w:val="1"/>
                <w:color w:val="auto"/>
              </w:rPr>
            </w:pPr>
          </w:p>
        </w:tc>
      </w:tr>
      <w:tr>
        <w:trPr>
          <w:trHeight w:val="210"/>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Unallocated loss adjustment expenses</w:t>
            </w: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1,741,242</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1,396,211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4,556,307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3,858,810</w:t>
            </w:r>
          </w:p>
        </w:tc>
        <w:tc>
          <w:tcPr>
            <w:tcW w:w="0" w:type="dxa"/>
            <w:vAlign w:val="bottom"/>
          </w:tcPr>
          <w:p>
            <w:pPr>
              <w:spacing w:after="0"/>
              <w:rPr>
                <w:sz w:val="1"/>
                <w:szCs w:val="1"/>
                <w:color w:val="auto"/>
              </w:rPr>
            </w:pPr>
          </w:p>
        </w:tc>
      </w:tr>
      <w:tr>
        <w:trPr>
          <w:trHeight w:val="33"/>
        </w:trPr>
        <w:tc>
          <w:tcPr>
            <w:tcW w:w="4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4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without commercial lines in run-off</w:t>
            </w: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20,688,739</w:t>
            </w: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12,738,062</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65,805,007</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44,082,595</w:t>
            </w:r>
          </w:p>
        </w:tc>
        <w:tc>
          <w:tcPr>
            <w:tcW w:w="0" w:type="dxa"/>
            <w:vAlign w:val="bottom"/>
          </w:tcPr>
          <w:p>
            <w:pPr>
              <w:spacing w:after="0"/>
              <w:rPr>
                <w:sz w:val="1"/>
                <w:szCs w:val="1"/>
                <w:color w:val="auto"/>
              </w:rPr>
            </w:pPr>
          </w:p>
        </w:tc>
      </w:tr>
      <w:tr>
        <w:trPr>
          <w:trHeight w:val="210"/>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lines (in run-off effective July 2019)(2)</w:t>
            </w: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543,585</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289,535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529,557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1,042,897</w:t>
            </w:r>
          </w:p>
        </w:tc>
        <w:tc>
          <w:tcPr>
            <w:tcW w:w="0" w:type="dxa"/>
            <w:vAlign w:val="bottom"/>
          </w:tcPr>
          <w:p>
            <w:pPr>
              <w:spacing w:after="0"/>
              <w:rPr>
                <w:sz w:val="1"/>
                <w:szCs w:val="1"/>
                <w:color w:val="auto"/>
              </w:rPr>
            </w:pPr>
          </w:p>
        </w:tc>
      </w:tr>
      <w:tr>
        <w:trPr>
          <w:trHeight w:val="33"/>
        </w:trPr>
        <w:tc>
          <w:tcPr>
            <w:tcW w:w="4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44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net loss and loss adjustment expenses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21,232,324</w:t>
            </w: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13,027,597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66,334,564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45,125,492</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Net loss ratio(4):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Personal lines</w:t>
            </w:r>
          </w:p>
        </w:tc>
        <w:tc>
          <w:tcPr>
            <w:tcW w:w="2120" w:type="dxa"/>
            <w:vAlign w:val="bottom"/>
          </w:tcPr>
          <w:p>
            <w:pPr>
              <w:jc w:val="right"/>
              <w:ind w:right="519"/>
              <w:spacing w:after="0"/>
              <w:rPr>
                <w:sz w:val="20"/>
                <w:szCs w:val="20"/>
                <w:color w:val="auto"/>
              </w:rPr>
            </w:pPr>
            <w:r>
              <w:rPr>
                <w:rFonts w:ascii="Times New Roman" w:cs="Times New Roman" w:eastAsia="Times New Roman" w:hAnsi="Times New Roman"/>
                <w:sz w:val="16"/>
                <w:szCs w:val="16"/>
                <w:color w:val="auto"/>
              </w:rPr>
              <w:t>39.7%</w:t>
            </w:r>
          </w:p>
        </w:tc>
        <w:tc>
          <w:tcPr>
            <w:tcW w:w="178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32.9%</w:t>
            </w:r>
          </w:p>
        </w:tc>
        <w:tc>
          <w:tcPr>
            <w:tcW w:w="174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rPr>
              <w:t>45.0%</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w:t>
            </w:r>
          </w:p>
        </w:tc>
      </w:tr>
      <w:tr>
        <w:trPr>
          <w:trHeight w:val="33"/>
        </w:trPr>
        <w:tc>
          <w:tcPr>
            <w:tcW w:w="44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Livery physical damage</w:t>
            </w:r>
          </w:p>
        </w:tc>
        <w:tc>
          <w:tcPr>
            <w:tcW w:w="2120" w:type="dxa"/>
            <w:vAlign w:val="bottom"/>
            <w:tcBorders>
              <w:bottom w:val="single" w:sz="8" w:color="CCEEFF"/>
            </w:tcBorders>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color w:val="auto"/>
              </w:rPr>
              <w:t>37.6%</w:t>
            </w:r>
          </w:p>
        </w:tc>
        <w:tc>
          <w:tcPr>
            <w:tcW w:w="1780" w:type="dxa"/>
            <w:vAlign w:val="bottom"/>
            <w:tcBorders>
              <w:bottom w:val="single" w:sz="8" w:color="CCEEFF"/>
            </w:tcBorders>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rPr>
              <w:t>43.1%</w:t>
            </w:r>
          </w:p>
        </w:tc>
        <w:tc>
          <w:tcPr>
            <w:tcW w:w="1740" w:type="dxa"/>
            <w:vAlign w:val="bottom"/>
            <w:tcBorders>
              <w:bottom w:val="single" w:sz="8" w:color="CCEEFF"/>
            </w:tcBorders>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rPr>
              <w:t>38.3%</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w:t>
            </w:r>
          </w:p>
        </w:tc>
      </w:tr>
      <w:tr>
        <w:trPr>
          <w:trHeight w:val="210"/>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Other(2)</w:t>
            </w:r>
          </w:p>
        </w:tc>
        <w:tc>
          <w:tcPr>
            <w:tcW w:w="2120" w:type="dxa"/>
            <w:vAlign w:val="bottom"/>
          </w:tcPr>
          <w:p>
            <w:pPr>
              <w:jc w:val="right"/>
              <w:ind w:right="519"/>
              <w:spacing w:after="0"/>
              <w:rPr>
                <w:sz w:val="20"/>
                <w:szCs w:val="20"/>
                <w:color w:val="auto"/>
              </w:rPr>
            </w:pPr>
            <w:r>
              <w:rPr>
                <w:rFonts w:ascii="Times New Roman" w:cs="Times New Roman" w:eastAsia="Times New Roman" w:hAnsi="Times New Roman"/>
                <w:sz w:val="16"/>
                <w:szCs w:val="16"/>
                <w:color w:val="auto"/>
              </w:rPr>
              <w:t>126.1%</w:t>
            </w:r>
          </w:p>
        </w:tc>
        <w:tc>
          <w:tcPr>
            <w:tcW w:w="178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rPr>
              <w:t>(61.6%)</w:t>
            </w:r>
          </w:p>
        </w:tc>
        <w:tc>
          <w:tcPr>
            <w:tcW w:w="1740" w:type="dxa"/>
            <w:vAlign w:val="bottom"/>
          </w:tcPr>
          <w:p>
            <w:pPr>
              <w:jc w:val="right"/>
              <w:ind w:right="519"/>
              <w:spacing w:after="0"/>
              <w:rPr>
                <w:sz w:val="20"/>
                <w:szCs w:val="20"/>
                <w:color w:val="auto"/>
              </w:rPr>
            </w:pPr>
            <w:r>
              <w:rPr>
                <w:rFonts w:ascii="Times New Roman" w:cs="Times New Roman" w:eastAsia="Times New Roman" w:hAnsi="Times New Roman"/>
                <w:sz w:val="16"/>
                <w:szCs w:val="16"/>
                <w:color w:val="auto"/>
              </w:rPr>
              <w:t>(6.5%)</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w:t>
            </w:r>
          </w:p>
        </w:tc>
      </w:tr>
      <w:tr>
        <w:trPr>
          <w:trHeight w:val="33"/>
        </w:trPr>
        <w:tc>
          <w:tcPr>
            <w:tcW w:w="44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without commercial lines in run-off</w:t>
            </w:r>
          </w:p>
        </w:tc>
        <w:tc>
          <w:tcPr>
            <w:tcW w:w="2120" w:type="dxa"/>
            <w:vAlign w:val="bottom"/>
            <w:tcBorders>
              <w:bottom w:val="single" w:sz="8" w:color="CCEEFF"/>
            </w:tcBorders>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color w:val="auto"/>
              </w:rPr>
              <w:t>43.2%</w:t>
            </w:r>
          </w:p>
        </w:tc>
        <w:tc>
          <w:tcPr>
            <w:tcW w:w="1780" w:type="dxa"/>
            <w:vAlign w:val="bottom"/>
            <w:tcBorders>
              <w:bottom w:val="single" w:sz="8" w:color="CCEEFF"/>
            </w:tcBorders>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rPr>
              <w:t>38.1%</w:t>
            </w:r>
          </w:p>
        </w:tc>
        <w:tc>
          <w:tcPr>
            <w:tcW w:w="1740" w:type="dxa"/>
            <w:vAlign w:val="bottom"/>
            <w:tcBorders>
              <w:bottom w:val="single" w:sz="8" w:color="CCEEFF"/>
            </w:tcBorders>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rPr>
              <w:t>47.8%</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w:t>
            </w:r>
          </w:p>
        </w:tc>
      </w:tr>
      <w:tr>
        <w:trPr>
          <w:trHeight w:val="210"/>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lines (in run-off effective July 2019)(3)</w:t>
            </w:r>
          </w:p>
        </w:tc>
        <w:tc>
          <w:tcPr>
            <w:tcW w:w="212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na</w:t>
            </w:r>
          </w:p>
        </w:tc>
        <w:tc>
          <w:tcPr>
            <w:tcW w:w="178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rPr>
              <w:t>na</w:t>
            </w:r>
          </w:p>
        </w:tc>
        <w:tc>
          <w:tcPr>
            <w:tcW w:w="1740" w:type="dxa"/>
            <w:vAlign w:val="bottom"/>
          </w:tcPr>
          <w:p>
            <w:pPr>
              <w:jc w:val="right"/>
              <w:ind w:right="519"/>
              <w:spacing w:after="0"/>
              <w:rPr>
                <w:sz w:val="20"/>
                <w:szCs w:val="20"/>
                <w:color w:val="auto"/>
              </w:rPr>
            </w:pPr>
            <w:r>
              <w:rPr>
                <w:rFonts w:ascii="Times New Roman" w:cs="Times New Roman" w:eastAsia="Times New Roman" w:hAnsi="Times New Roman"/>
                <w:sz w:val="16"/>
                <w:szCs w:val="16"/>
                <w:color w:val="auto"/>
              </w:rPr>
              <w:t>na</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r>
      <w:tr>
        <w:trPr>
          <w:trHeight w:val="33"/>
        </w:trPr>
        <w:tc>
          <w:tcPr>
            <w:tcW w:w="44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0"/>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212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color w:val="auto"/>
              </w:rPr>
              <w:t>44.3%</w:t>
            </w:r>
          </w:p>
        </w:tc>
        <w:tc>
          <w:tcPr>
            <w:tcW w:w="178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rPr>
              <w:t>39.0%</w:t>
            </w:r>
          </w:p>
        </w:tc>
        <w:tc>
          <w:tcPr>
            <w:tcW w:w="174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rPr>
              <w:t>48.2%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w:t>
            </w:r>
          </w:p>
        </w:tc>
      </w:tr>
      <w:tr>
        <w:trPr>
          <w:trHeight w:val="33"/>
        </w:trPr>
        <w:tc>
          <w:tcPr>
            <w:tcW w:w="446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189" w:lineRule="exact"/>
        <w:rPr>
          <w:sz w:val="20"/>
          <w:szCs w:val="20"/>
          <w:color w:val="auto"/>
        </w:rPr>
      </w:pPr>
    </w:p>
    <w:p>
      <w:pPr>
        <w:jc w:val="both"/>
        <w:ind w:left="1100" w:right="360" w:hanging="1092"/>
        <w:spacing w:after="0" w:line="263" w:lineRule="auto"/>
        <w:tabs>
          <w:tab w:leader="none" w:pos="1091"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 written premiums and net written premiums are non-GAAP measures, defined above under "Key GAAP and Non-GAAP Measures". See "Non-GAAP Financial Measures" below for the reconciliation of direct written premiums, and net written premiums to the GAAP measure of net premiums earned.</w:t>
      </w:r>
    </w:p>
    <w:p>
      <w:pPr>
        <w:spacing w:after="0" w:line="83" w:lineRule="exact"/>
        <w:rPr>
          <w:rFonts w:ascii="Times New Roman" w:cs="Times New Roman" w:eastAsia="Times New Roman" w:hAnsi="Times New Roman"/>
          <w:sz w:val="16"/>
          <w:szCs w:val="16"/>
          <w:color w:val="auto"/>
        </w:rPr>
      </w:pPr>
    </w:p>
    <w:p>
      <w:pPr>
        <w:ind w:left="1100" w:right="460" w:hanging="1092"/>
        <w:spacing w:after="0" w:line="260" w:lineRule="auto"/>
        <w:tabs>
          <w:tab w:leader="none" w:pos="1091"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includes, among other things, premiums and loss and loss adjustment expenses from our participation in a mandatory state joint underwriting association and loss and loss adjustment expenses from commercial auto.</w:t>
      </w:r>
    </w:p>
    <w:p>
      <w:pPr>
        <w:ind w:left="1100" w:right="160" w:hanging="1092"/>
        <w:spacing w:after="0" w:line="253" w:lineRule="auto"/>
        <w:tabs>
          <w:tab w:leader="none" w:pos="1091"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July 2019, we decided that we will no longer underwrite Commercial Liability risks. See discussions above regarding the discontinuation of this line of business.</w:t>
      </w:r>
    </w:p>
    <w:p>
      <w:pPr>
        <w:ind w:left="1100" w:right="400" w:hanging="1092"/>
        <w:spacing w:after="0" w:line="275" w:lineRule="auto"/>
        <w:tabs>
          <w:tab w:leader="none" w:pos="1091"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discussion above with regard to “Net Loss and LAE”, as to catastrophe losses in the three months and nine months ended September 30, 2025 and 2024.</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Insurance Underwriting Business on a Standalone Basis</w:t>
      </w:r>
      <w:r>
        <w:rPr>
          <w:rFonts w:ascii="Times New Roman" w:cs="Times New Roman" w:eastAsia="Times New Roman" w:hAnsi="Times New Roman"/>
          <w:sz w:val="21"/>
          <w:szCs w:val="21"/>
          <w:b w:val="1"/>
          <w:bCs w:val="1"/>
          <w:color w:val="auto"/>
          <w:vertAlign w:val="superscript"/>
        </w:rPr>
        <w:t>(1)</w:t>
      </w:r>
    </w:p>
    <w:p>
      <w:pPr>
        <w:ind w:left="660"/>
        <w:spacing w:after="0"/>
        <w:rPr>
          <w:sz w:val="20"/>
          <w:szCs w:val="20"/>
          <w:color w:val="auto"/>
        </w:rPr>
      </w:pPr>
      <w:r>
        <w:rPr>
          <w:rFonts w:ascii="Times New Roman" w:cs="Times New Roman" w:eastAsia="Times New Roman" w:hAnsi="Times New Roman"/>
          <w:sz w:val="16"/>
          <w:szCs w:val="16"/>
          <w:color w:val="auto"/>
        </w:rPr>
        <w:t>Our insurance underwriting business reported on a standalone basis</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for the periods indicated is as follows: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60" w:type="dxa"/>
            <w:vAlign w:val="bottom"/>
            <w:gridSpan w:val="5"/>
          </w:tcPr>
          <w:p>
            <w:pPr>
              <w:ind w:left="5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40" w:type="dxa"/>
            <w:vAlign w:val="bottom"/>
          </w:tcPr>
          <w:p>
            <w:pPr>
              <w:spacing w:after="0"/>
              <w:rPr>
                <w:sz w:val="16"/>
                <w:szCs w:val="16"/>
                <w:color w:val="auto"/>
              </w:rPr>
            </w:pPr>
          </w:p>
        </w:tc>
        <w:tc>
          <w:tcPr>
            <w:tcW w:w="2900" w:type="dxa"/>
            <w:vAlign w:val="bottom"/>
            <w:gridSpan w:val="4"/>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2"/>
        </w:trPr>
        <w:tc>
          <w:tcPr>
            <w:tcW w:w="4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6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4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31"/>
        </w:trPr>
        <w:tc>
          <w:tcPr>
            <w:tcW w:w="46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6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premiums earned</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47,925,053</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33,407,194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137,663,376</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92,530,708</w:t>
            </w:r>
          </w:p>
        </w:tc>
        <w:tc>
          <w:tcPr>
            <w:tcW w:w="0" w:type="dxa"/>
            <w:vAlign w:val="bottom"/>
          </w:tcPr>
          <w:p>
            <w:pPr>
              <w:spacing w:after="0"/>
              <w:rPr>
                <w:sz w:val="1"/>
                <w:szCs w:val="1"/>
                <w:color w:val="auto"/>
              </w:rPr>
            </w:pPr>
          </w:p>
        </w:tc>
      </w:tr>
      <w:tr>
        <w:trPr>
          <w:trHeight w:val="210"/>
        </w:trPr>
        <w:tc>
          <w:tcPr>
            <w:tcW w:w="4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Ceding commission revenue</w:t>
            </w: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4,900,401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4,741,676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10,940,648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13,870,748</w:t>
            </w:r>
          </w:p>
        </w:tc>
        <w:tc>
          <w:tcPr>
            <w:tcW w:w="0" w:type="dxa"/>
            <w:vAlign w:val="bottom"/>
          </w:tcPr>
          <w:p>
            <w:pPr>
              <w:spacing w:after="0"/>
              <w:rPr>
                <w:sz w:val="1"/>
                <w:szCs w:val="1"/>
                <w:color w:val="auto"/>
              </w:rPr>
            </w:pPr>
          </w:p>
        </w:tc>
      </w:tr>
      <w:tr>
        <w:trPr>
          <w:trHeight w:val="33"/>
        </w:trPr>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6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investment income</w:t>
            </w: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2,499,071</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1,649,673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6,847,934</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4,917,129</w:t>
            </w:r>
          </w:p>
        </w:tc>
        <w:tc>
          <w:tcPr>
            <w:tcW w:w="0" w:type="dxa"/>
            <w:vAlign w:val="bottom"/>
          </w:tcPr>
          <w:p>
            <w:pPr>
              <w:spacing w:after="0"/>
              <w:rPr>
                <w:sz w:val="1"/>
                <w:szCs w:val="1"/>
                <w:color w:val="auto"/>
              </w:rPr>
            </w:pPr>
          </w:p>
        </w:tc>
      </w:tr>
      <w:tr>
        <w:trPr>
          <w:trHeight w:val="210"/>
        </w:trPr>
        <w:tc>
          <w:tcPr>
            <w:tcW w:w="4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gains on investments</w:t>
            </w: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182,122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855,778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590,594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1,264,246</w:t>
            </w:r>
          </w:p>
        </w:tc>
        <w:tc>
          <w:tcPr>
            <w:tcW w:w="0" w:type="dxa"/>
            <w:vAlign w:val="bottom"/>
          </w:tcPr>
          <w:p>
            <w:pPr>
              <w:spacing w:after="0"/>
              <w:rPr>
                <w:sz w:val="1"/>
                <w:szCs w:val="1"/>
                <w:color w:val="auto"/>
              </w:rPr>
            </w:pPr>
          </w:p>
        </w:tc>
      </w:tr>
      <w:tr>
        <w:trPr>
          <w:trHeight w:val="33"/>
        </w:trPr>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6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Gain on sale of real estate</w:t>
            </w:r>
          </w:p>
        </w:tc>
        <w:tc>
          <w:tcPr>
            <w:tcW w:w="3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1,965,989</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4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income</w:t>
            </w: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145,779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139,490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436,906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392,468</w:t>
            </w:r>
          </w:p>
        </w:tc>
        <w:tc>
          <w:tcPr>
            <w:tcW w:w="0" w:type="dxa"/>
            <w:vAlign w:val="bottom"/>
          </w:tcPr>
          <w:p>
            <w:pPr>
              <w:spacing w:after="0"/>
              <w:rPr>
                <w:sz w:val="1"/>
                <w:szCs w:val="1"/>
                <w:color w:val="auto"/>
              </w:rPr>
            </w:pPr>
          </w:p>
        </w:tc>
      </w:tr>
      <w:tr>
        <w:trPr>
          <w:trHeight w:val="33"/>
        </w:trPr>
        <w:tc>
          <w:tcPr>
            <w:tcW w:w="4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revenues</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55,652,426</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40,793,811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158,445,447</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112,975,299</w:t>
            </w:r>
          </w:p>
        </w:tc>
        <w:tc>
          <w:tcPr>
            <w:tcW w:w="0" w:type="dxa"/>
            <w:vAlign w:val="bottom"/>
          </w:tcPr>
          <w:p>
            <w:pPr>
              <w:spacing w:after="0"/>
              <w:rPr>
                <w:sz w:val="1"/>
                <w:szCs w:val="1"/>
                <w:color w:val="auto"/>
              </w:rPr>
            </w:pPr>
          </w:p>
        </w:tc>
      </w:tr>
      <w:tr>
        <w:trPr>
          <w:trHeight w:val="250"/>
        </w:trPr>
        <w:tc>
          <w:tcPr>
            <w:tcW w:w="468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Loss and loss adjustment expenses</w:t>
            </w: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21,232,324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13,027,597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66,334,564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45,125,492</w:t>
            </w:r>
          </w:p>
        </w:tc>
        <w:tc>
          <w:tcPr>
            <w:tcW w:w="0" w:type="dxa"/>
            <w:vAlign w:val="bottom"/>
          </w:tcPr>
          <w:p>
            <w:pPr>
              <w:spacing w:after="0"/>
              <w:rPr>
                <w:sz w:val="1"/>
                <w:szCs w:val="1"/>
                <w:color w:val="auto"/>
              </w:rPr>
            </w:pPr>
          </w:p>
        </w:tc>
      </w:tr>
      <w:tr>
        <w:trPr>
          <w:trHeight w:val="33"/>
        </w:trPr>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6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Commission expense</w:t>
            </w: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10,308,092</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9,004,254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30,250,601</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25,088,546</w:t>
            </w:r>
          </w:p>
        </w:tc>
        <w:tc>
          <w:tcPr>
            <w:tcW w:w="0" w:type="dxa"/>
            <w:vAlign w:val="bottom"/>
          </w:tcPr>
          <w:p>
            <w:pPr>
              <w:spacing w:after="0"/>
              <w:rPr>
                <w:sz w:val="1"/>
                <w:szCs w:val="1"/>
                <w:color w:val="auto"/>
              </w:rPr>
            </w:pPr>
          </w:p>
        </w:tc>
      </w:tr>
      <w:tr>
        <w:trPr>
          <w:trHeight w:val="210"/>
        </w:trPr>
        <w:tc>
          <w:tcPr>
            <w:tcW w:w="4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underwriting expenses</w:t>
            </w: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8,358,432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6,894,590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23,491,221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18,675,720</w:t>
            </w:r>
          </w:p>
        </w:tc>
        <w:tc>
          <w:tcPr>
            <w:tcW w:w="0" w:type="dxa"/>
            <w:vAlign w:val="bottom"/>
          </w:tcPr>
          <w:p>
            <w:pPr>
              <w:spacing w:after="0"/>
              <w:rPr>
                <w:sz w:val="1"/>
                <w:szCs w:val="1"/>
                <w:color w:val="auto"/>
              </w:rPr>
            </w:pPr>
          </w:p>
        </w:tc>
      </w:tr>
      <w:tr>
        <w:trPr>
          <w:trHeight w:val="33"/>
        </w:trPr>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6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644,653</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619,056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1,881,880</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1,835,503</w:t>
            </w:r>
          </w:p>
        </w:tc>
        <w:tc>
          <w:tcPr>
            <w:tcW w:w="0" w:type="dxa"/>
            <w:vAlign w:val="bottom"/>
          </w:tcPr>
          <w:p>
            <w:pPr>
              <w:spacing w:after="0"/>
              <w:rPr>
                <w:sz w:val="1"/>
                <w:szCs w:val="1"/>
                <w:color w:val="auto"/>
              </w:rPr>
            </w:pPr>
          </w:p>
        </w:tc>
      </w:tr>
      <w:tr>
        <w:trPr>
          <w:trHeight w:val="210"/>
        </w:trPr>
        <w:tc>
          <w:tcPr>
            <w:tcW w:w="4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expense</w:t>
            </w: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72,608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90,090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231,159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282,849</w:t>
            </w:r>
          </w:p>
        </w:tc>
        <w:tc>
          <w:tcPr>
            <w:tcW w:w="0" w:type="dxa"/>
            <w:vAlign w:val="bottom"/>
          </w:tcPr>
          <w:p>
            <w:pPr>
              <w:spacing w:after="0"/>
              <w:rPr>
                <w:sz w:val="1"/>
                <w:szCs w:val="1"/>
                <w:color w:val="auto"/>
              </w:rPr>
            </w:pPr>
          </w:p>
        </w:tc>
      </w:tr>
      <w:tr>
        <w:trPr>
          <w:trHeight w:val="33"/>
        </w:trPr>
        <w:tc>
          <w:tcPr>
            <w:tcW w:w="4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expenses</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40,616,109</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29,635,587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122,189,425</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91,008,110</w:t>
            </w:r>
          </w:p>
        </w:tc>
        <w:tc>
          <w:tcPr>
            <w:tcW w:w="0" w:type="dxa"/>
            <w:vAlign w:val="bottom"/>
          </w:tcPr>
          <w:p>
            <w:pPr>
              <w:spacing w:after="0"/>
              <w:rPr>
                <w:sz w:val="1"/>
                <w:szCs w:val="1"/>
                <w:color w:val="auto"/>
              </w:rPr>
            </w:pPr>
          </w:p>
        </w:tc>
      </w:tr>
      <w:tr>
        <w:trPr>
          <w:trHeight w:val="250"/>
        </w:trPr>
        <w:tc>
          <w:tcPr>
            <w:tcW w:w="468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6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Income from operations</w:t>
            </w: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15,036,317</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11,158,224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36,256,022</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21,967,189</w:t>
            </w:r>
          </w:p>
        </w:tc>
        <w:tc>
          <w:tcPr>
            <w:tcW w:w="0" w:type="dxa"/>
            <w:vAlign w:val="bottom"/>
          </w:tcPr>
          <w:p>
            <w:pPr>
              <w:spacing w:after="0"/>
              <w:rPr>
                <w:sz w:val="1"/>
                <w:szCs w:val="1"/>
                <w:color w:val="auto"/>
              </w:rPr>
            </w:pPr>
          </w:p>
        </w:tc>
      </w:tr>
      <w:tr>
        <w:trPr>
          <w:trHeight w:val="210"/>
        </w:trPr>
        <w:tc>
          <w:tcPr>
            <w:tcW w:w="4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Income tax expense</w:t>
            </w: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3,132,454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2,322,229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7,566,806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4,602,922</w:t>
            </w:r>
          </w:p>
        </w:tc>
        <w:tc>
          <w:tcPr>
            <w:tcW w:w="0" w:type="dxa"/>
            <w:vAlign w:val="bottom"/>
          </w:tcPr>
          <w:p>
            <w:pPr>
              <w:spacing w:after="0"/>
              <w:rPr>
                <w:sz w:val="1"/>
                <w:szCs w:val="1"/>
                <w:color w:val="auto"/>
              </w:rPr>
            </w:pPr>
          </w:p>
        </w:tc>
      </w:tr>
      <w:tr>
        <w:trPr>
          <w:trHeight w:val="33"/>
        </w:trPr>
        <w:tc>
          <w:tcPr>
            <w:tcW w:w="4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468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6"/>
                <w:szCs w:val="16"/>
                <w:b w:val="1"/>
                <w:bCs w:val="1"/>
                <w:color w:val="auto"/>
              </w:rPr>
              <w:t>Net income from insurance underwriting business on a standalone</w:t>
            </w:r>
          </w:p>
        </w:tc>
        <w:tc>
          <w:tcPr>
            <w:tcW w:w="360" w:type="dxa"/>
            <w:vAlign w:val="bottom"/>
            <w:vMerge w:val="restart"/>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11,903,863</w:t>
            </w:r>
          </w:p>
        </w:tc>
        <w:tc>
          <w:tcPr>
            <w:tcW w:w="10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8,835,995</w:t>
            </w:r>
          </w:p>
        </w:tc>
        <w:tc>
          <w:tcPr>
            <w:tcW w:w="10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28,689,216</w:t>
            </w:r>
          </w:p>
        </w:tc>
        <w:tc>
          <w:tcPr>
            <w:tcW w:w="100" w:type="dxa"/>
            <w:vAlign w:val="bottom"/>
            <w:shd w:val="clear" w:color="auto" w:fill="CCEEFF"/>
          </w:tcPr>
          <w:p>
            <w:pPr>
              <w:spacing w:after="0"/>
              <w:rPr>
                <w:sz w:val="14"/>
                <w:szCs w:val="14"/>
                <w:color w:val="auto"/>
              </w:rPr>
            </w:pPr>
          </w:p>
        </w:tc>
        <w:tc>
          <w:tcPr>
            <w:tcW w:w="500" w:type="dxa"/>
            <w:vAlign w:val="bottom"/>
            <w:vMerge w:val="restart"/>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17,364,267</w:t>
            </w:r>
          </w:p>
        </w:tc>
        <w:tc>
          <w:tcPr>
            <w:tcW w:w="0" w:type="dxa"/>
            <w:vAlign w:val="bottom"/>
          </w:tcPr>
          <w:p>
            <w:pPr>
              <w:spacing w:after="0"/>
              <w:rPr>
                <w:sz w:val="1"/>
                <w:szCs w:val="1"/>
                <w:color w:val="auto"/>
              </w:rPr>
            </w:pPr>
          </w:p>
        </w:tc>
      </w:tr>
      <w:tr>
        <w:trPr>
          <w:trHeight w:val="225"/>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basis(1)</w:t>
            </w: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vMerge w:val="continue"/>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Key Measures:</w:t>
            </w: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loss ratio</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44.3 %</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48.2 %</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48.8 %</w:t>
            </w:r>
          </w:p>
        </w:tc>
        <w:tc>
          <w:tcPr>
            <w:tcW w:w="0" w:type="dxa"/>
            <w:vAlign w:val="bottom"/>
          </w:tcPr>
          <w:p>
            <w:pPr>
              <w:spacing w:after="0"/>
              <w:rPr>
                <w:sz w:val="1"/>
                <w:szCs w:val="1"/>
                <w:color w:val="auto"/>
              </w:rPr>
            </w:pPr>
          </w:p>
        </w:tc>
      </w:tr>
      <w:tr>
        <w:trPr>
          <w:trHeight w:val="33"/>
        </w:trPr>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underwriting expense ratio</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28.4 %</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30.8 %</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31.9 %</w:t>
            </w:r>
          </w:p>
        </w:tc>
        <w:tc>
          <w:tcPr>
            <w:tcW w:w="0" w:type="dxa"/>
            <w:vAlign w:val="bottom"/>
          </w:tcPr>
          <w:p>
            <w:pPr>
              <w:spacing w:after="0"/>
              <w:rPr>
                <w:sz w:val="1"/>
                <w:szCs w:val="1"/>
                <w:color w:val="auto"/>
              </w:rPr>
            </w:pPr>
          </w:p>
        </w:tc>
      </w:tr>
      <w:tr>
        <w:trPr>
          <w:trHeight w:val="204"/>
        </w:trPr>
        <w:tc>
          <w:tcPr>
            <w:tcW w:w="4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combined ratio</w:t>
            </w: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72.7 %</w:t>
            </w:r>
          </w:p>
        </w:tc>
        <w:tc>
          <w:tcPr>
            <w:tcW w:w="10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72.0 %</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79.0 %</w:t>
            </w:r>
          </w:p>
        </w:tc>
        <w:tc>
          <w:tcPr>
            <w:tcW w:w="10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80.7 %</w:t>
            </w:r>
          </w:p>
        </w:tc>
        <w:tc>
          <w:tcPr>
            <w:tcW w:w="0" w:type="dxa"/>
            <w:vAlign w:val="bottom"/>
          </w:tcPr>
          <w:p>
            <w:pPr>
              <w:spacing w:after="0"/>
              <w:rPr>
                <w:sz w:val="1"/>
                <w:szCs w:val="1"/>
                <w:color w:val="auto"/>
              </w:rPr>
            </w:pPr>
          </w:p>
        </w:tc>
      </w:tr>
      <w:tr>
        <w:trPr>
          <w:trHeight w:val="33"/>
        </w:trPr>
        <w:tc>
          <w:tcPr>
            <w:tcW w:w="46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Reconciliation of net underwriting expense ratio:</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6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Acquisition costs and other</w:t>
            </w: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underwriting expenses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18,666,524</w:t>
            </w:r>
          </w:p>
        </w:tc>
        <w:tc>
          <w:tcPr>
            <w:tcW w:w="10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15,898,844</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53,741,822</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43,764,266</w:t>
            </w:r>
          </w:p>
        </w:tc>
        <w:tc>
          <w:tcPr>
            <w:tcW w:w="0" w:type="dxa"/>
            <w:vAlign w:val="bottom"/>
          </w:tcPr>
          <w:p>
            <w:pPr>
              <w:spacing w:after="0"/>
              <w:rPr>
                <w:sz w:val="1"/>
                <w:szCs w:val="1"/>
                <w:color w:val="auto"/>
              </w:rPr>
            </w:pPr>
          </w:p>
        </w:tc>
      </w:tr>
      <w:tr>
        <w:trPr>
          <w:trHeight w:val="33"/>
        </w:trPr>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6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Less: Ceding commission revenue</w:t>
            </w: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(4,900,401)</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(4,741,676)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(10,940,648)</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(13,870,748)</w:t>
            </w:r>
          </w:p>
        </w:tc>
        <w:tc>
          <w:tcPr>
            <w:tcW w:w="0" w:type="dxa"/>
            <w:vAlign w:val="bottom"/>
          </w:tcPr>
          <w:p>
            <w:pPr>
              <w:spacing w:after="0"/>
              <w:rPr>
                <w:sz w:val="1"/>
                <w:szCs w:val="1"/>
                <w:color w:val="auto"/>
              </w:rPr>
            </w:pPr>
          </w:p>
        </w:tc>
      </w:tr>
      <w:tr>
        <w:trPr>
          <w:trHeight w:val="210"/>
        </w:trPr>
        <w:tc>
          <w:tcPr>
            <w:tcW w:w="4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Less: Other income</w:t>
            </w:r>
          </w:p>
        </w:tc>
        <w:tc>
          <w:tcPr>
            <w:tcW w:w="360" w:type="dxa"/>
            <w:vAlign w:val="bottom"/>
          </w:tcPr>
          <w:p>
            <w:pPr>
              <w:spacing w:after="0"/>
              <w:rPr>
                <w:sz w:val="18"/>
                <w:szCs w:val="18"/>
                <w:color w:val="auto"/>
              </w:rPr>
            </w:pP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(145,779)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(139,490)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(436,906)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(392,468)</w:t>
            </w:r>
          </w:p>
        </w:tc>
        <w:tc>
          <w:tcPr>
            <w:tcW w:w="0" w:type="dxa"/>
            <w:vAlign w:val="bottom"/>
          </w:tcPr>
          <w:p>
            <w:pPr>
              <w:spacing w:after="0"/>
              <w:rPr>
                <w:sz w:val="1"/>
                <w:szCs w:val="1"/>
                <w:color w:val="auto"/>
              </w:rPr>
            </w:pPr>
          </w:p>
        </w:tc>
      </w:tr>
      <w:tr>
        <w:trPr>
          <w:trHeight w:val="33"/>
        </w:trPr>
        <w:tc>
          <w:tcPr>
            <w:tcW w:w="4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46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underwriting expenses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13,620,344</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11,017,678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42,364,268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29,501,050</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46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premiums earned</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47,925,053</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33,407,194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137,663,376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92,530,708</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46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Underwriting Expense Ratio</w:t>
            </w: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28.4 %</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33.0 %</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30.8 %</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31.9 %</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4" w:lineRule="exact"/>
        <w:rPr>
          <w:sz w:val="20"/>
          <w:szCs w:val="20"/>
          <w:color w:val="auto"/>
        </w:rPr>
      </w:pPr>
    </w:p>
    <w:p>
      <w:pPr>
        <w:ind w:right="60" w:firstLine="615"/>
        <w:spacing w:after="0" w:line="263" w:lineRule="auto"/>
        <w:tabs>
          <w:tab w:leader="none" w:pos="837"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income from insurance underwriting business on a standalone basis is a non-GAAP measure, which is computed as GAAP net income without the effect of holding company operations on GAAP net income. See "Non-GAAP Financial Measures" for the reconciliation of net income from insurance underwriting business on a standalone basis to the GAAP measure of net income.</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An analysis of our direct, assumed and ceded earned premiums, loss and loss adjustment expenses, and loss ratios is shown below:</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220" w:type="dxa"/>
        <w:tblCellMar>
          <w:top w:w="0" w:type="dxa"/>
          <w:left w:w="0" w:type="dxa"/>
          <w:bottom w:w="0" w:type="dxa"/>
          <w:right w:w="0" w:type="dxa"/>
        </w:tblCellMar>
      </w:tblPr>
      <w:tr>
        <w:trPr>
          <w:trHeight w:val="212"/>
        </w:trPr>
        <w:tc>
          <w:tcPr>
            <w:tcW w:w="5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Direct</w:t>
            </w:r>
          </w:p>
        </w:tc>
        <w:tc>
          <w:tcPr>
            <w:tcW w:w="320" w:type="dxa"/>
            <w:vAlign w:val="bottom"/>
          </w:tcPr>
          <w:p>
            <w:pPr>
              <w:spacing w:after="0"/>
              <w:rPr>
                <w:sz w:val="18"/>
                <w:szCs w:val="18"/>
                <w:color w:val="auto"/>
              </w:rPr>
            </w:pPr>
          </w:p>
        </w:tc>
        <w:tc>
          <w:tcPr>
            <w:tcW w:w="136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Ceded</w:t>
            </w:r>
          </w:p>
        </w:tc>
        <w:tc>
          <w:tcPr>
            <w:tcW w:w="340" w:type="dxa"/>
            <w:vAlign w:val="bottom"/>
          </w:tcPr>
          <w:p>
            <w:pPr>
              <w:spacing w:after="0"/>
              <w:rPr>
                <w:sz w:val="18"/>
                <w:szCs w:val="18"/>
                <w:color w:val="auto"/>
              </w:rPr>
            </w:pPr>
          </w:p>
        </w:tc>
        <w:tc>
          <w:tcPr>
            <w:tcW w:w="126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Net</w:t>
            </w:r>
          </w:p>
        </w:tc>
      </w:tr>
      <w:tr>
        <w:trPr>
          <w:trHeight w:val="33"/>
        </w:trPr>
        <w:tc>
          <w:tcPr>
            <w:tcW w:w="5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6"/>
        </w:trPr>
        <w:tc>
          <w:tcPr>
            <w:tcW w:w="5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31"/>
        </w:trPr>
        <w:tc>
          <w:tcPr>
            <w:tcW w:w="5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3"/>
        </w:trPr>
        <w:tc>
          <w:tcPr>
            <w:tcW w:w="5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Written premiums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195,047,268</w:t>
            </w: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(50,178,287)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144,868,981</w:t>
            </w:r>
          </w:p>
        </w:tc>
      </w:tr>
      <w:tr>
        <w:trPr>
          <w:trHeight w:val="210"/>
        </w:trPr>
        <w:tc>
          <w:tcPr>
            <w:tcW w:w="5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 in unearned premiums</w:t>
            </w:r>
          </w:p>
        </w:tc>
        <w:tc>
          <w:tcPr>
            <w:tcW w:w="320" w:type="dxa"/>
            <w:vAlign w:val="bottom"/>
          </w:tcPr>
          <w:p>
            <w:pPr>
              <w:spacing w:after="0"/>
              <w:rPr>
                <w:sz w:val="18"/>
                <w:szCs w:val="18"/>
                <w:color w:val="auto"/>
              </w:rPr>
            </w:pP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(5,339,407)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(1,866,198)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(7,205,605)</w:t>
            </w:r>
          </w:p>
        </w:tc>
      </w:tr>
      <w:tr>
        <w:trPr>
          <w:trHeight w:val="33"/>
        </w:trPr>
        <w:tc>
          <w:tcPr>
            <w:tcW w:w="5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2"/>
        </w:trPr>
        <w:tc>
          <w:tcPr>
            <w:tcW w:w="5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Earned premiums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189,707,861</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(52,044,485)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137,663,376</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55"/>
        </w:trPr>
        <w:tc>
          <w:tcPr>
            <w:tcW w:w="57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23"/>
        </w:trPr>
        <w:tc>
          <w:tcPr>
            <w:tcW w:w="5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Loss and loss adjustment expenses excluding</w:t>
            </w:r>
          </w:p>
        </w:tc>
        <w:tc>
          <w:tcPr>
            <w:tcW w:w="3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r>
      <w:tr>
        <w:trPr>
          <w:trHeight w:val="210"/>
        </w:trPr>
        <w:tc>
          <w:tcPr>
            <w:tcW w:w="5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the effect of catastrophes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81,274,528</w:t>
            </w:r>
          </w:p>
        </w:tc>
        <w:tc>
          <w:tcPr>
            <w:tcW w:w="200" w:type="dxa"/>
            <w:vAlign w:val="bottom"/>
          </w:tcPr>
          <w:p>
            <w:pPr>
              <w:spacing w:after="0"/>
              <w:rPr>
                <w:sz w:val="18"/>
                <w:szCs w:val="18"/>
                <w:color w:val="auto"/>
              </w:rPr>
            </w:pP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(16,093,496)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65,181,032</w:t>
            </w:r>
          </w:p>
        </w:tc>
      </w:tr>
      <w:tr>
        <w:trPr>
          <w:trHeight w:val="33"/>
        </w:trPr>
        <w:tc>
          <w:tcPr>
            <w:tcW w:w="5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5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Catastrophe loss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1,373,253</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(219,721)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1,153,532</w:t>
            </w:r>
          </w:p>
        </w:tc>
      </w:tr>
      <w:tr>
        <w:trPr>
          <w:trHeight w:val="204"/>
        </w:trPr>
        <w:tc>
          <w:tcPr>
            <w:tcW w:w="5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Loss and loss adjustment expenses</w:t>
            </w: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82,647,781</w:t>
            </w:r>
          </w:p>
        </w:tc>
        <w:tc>
          <w:tcPr>
            <w:tcW w:w="200" w:type="dxa"/>
            <w:vAlign w:val="bottom"/>
          </w:tcPr>
          <w:p>
            <w:pPr>
              <w:spacing w:after="0"/>
              <w:rPr>
                <w:sz w:val="17"/>
                <w:szCs w:val="17"/>
                <w:color w:val="auto"/>
              </w:rPr>
            </w:pPr>
          </w:p>
        </w:tc>
        <w:tc>
          <w:tcPr>
            <w:tcW w:w="32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(16,313,217)</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66,334,564</w:t>
            </w:r>
          </w:p>
        </w:tc>
      </w:tr>
      <w:tr>
        <w:trPr>
          <w:trHeight w:val="33"/>
        </w:trPr>
        <w:tc>
          <w:tcPr>
            <w:tcW w:w="57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75"/>
        </w:trPr>
        <w:tc>
          <w:tcPr>
            <w:tcW w:w="57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r>
      <w:tr>
        <w:trPr>
          <w:trHeight w:val="210"/>
        </w:trPr>
        <w:tc>
          <w:tcPr>
            <w:tcW w:w="5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Loss ratio excluding the effect of catastrophes(2)</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w:t>
            </w:r>
          </w:p>
        </w:tc>
      </w:tr>
      <w:tr>
        <w:trPr>
          <w:trHeight w:val="33"/>
        </w:trPr>
        <w:tc>
          <w:tcPr>
            <w:tcW w:w="5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5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Catastrophe loss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04"/>
        </w:trPr>
        <w:tc>
          <w:tcPr>
            <w:tcW w:w="5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Loss ratio</w:t>
            </w:r>
          </w:p>
        </w:tc>
        <w:tc>
          <w:tcPr>
            <w:tcW w:w="3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2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w:t>
            </w:r>
          </w:p>
        </w:tc>
      </w:tr>
      <w:tr>
        <w:trPr>
          <w:trHeight w:val="33"/>
        </w:trPr>
        <w:tc>
          <w:tcPr>
            <w:tcW w:w="57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83"/>
        </w:trPr>
        <w:tc>
          <w:tcPr>
            <w:tcW w:w="5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12"/>
        </w:trPr>
        <w:tc>
          <w:tcPr>
            <w:tcW w:w="5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Nine months ended September 30, 2024</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1"/>
        </w:trPr>
        <w:tc>
          <w:tcPr>
            <w:tcW w:w="5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3"/>
        </w:trPr>
        <w:tc>
          <w:tcPr>
            <w:tcW w:w="5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Written premiums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169,446,603</w:t>
            </w: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(69,381,336)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100,065,267</w:t>
            </w:r>
          </w:p>
        </w:tc>
      </w:tr>
      <w:tr>
        <w:trPr>
          <w:trHeight w:val="210"/>
        </w:trPr>
        <w:tc>
          <w:tcPr>
            <w:tcW w:w="5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 in unearned premiums</w:t>
            </w:r>
          </w:p>
        </w:tc>
        <w:tc>
          <w:tcPr>
            <w:tcW w:w="320" w:type="dxa"/>
            <w:vAlign w:val="bottom"/>
          </w:tcPr>
          <w:p>
            <w:pPr>
              <w:spacing w:after="0"/>
              <w:rPr>
                <w:sz w:val="18"/>
                <w:szCs w:val="18"/>
                <w:color w:val="auto"/>
              </w:rPr>
            </w:pP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(14,353,242)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6,818,683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(7,534,559)</w:t>
            </w:r>
          </w:p>
        </w:tc>
      </w:tr>
      <w:tr>
        <w:trPr>
          <w:trHeight w:val="33"/>
        </w:trPr>
        <w:tc>
          <w:tcPr>
            <w:tcW w:w="5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1"/>
        </w:trPr>
        <w:tc>
          <w:tcPr>
            <w:tcW w:w="5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Earned premiums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155,093,361</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(62,562,653)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92,530,708</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55"/>
        </w:trPr>
        <w:tc>
          <w:tcPr>
            <w:tcW w:w="57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23"/>
        </w:trPr>
        <w:tc>
          <w:tcPr>
            <w:tcW w:w="5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Loss and loss adjustment expenses excluding</w:t>
            </w:r>
          </w:p>
        </w:tc>
        <w:tc>
          <w:tcPr>
            <w:tcW w:w="3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r>
      <w:tr>
        <w:trPr>
          <w:trHeight w:val="210"/>
        </w:trPr>
        <w:tc>
          <w:tcPr>
            <w:tcW w:w="5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the effect of catastrophes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55,480,785</w:t>
            </w:r>
          </w:p>
        </w:tc>
        <w:tc>
          <w:tcPr>
            <w:tcW w:w="200" w:type="dxa"/>
            <w:vAlign w:val="bottom"/>
          </w:tcPr>
          <w:p>
            <w:pPr>
              <w:spacing w:after="0"/>
              <w:rPr>
                <w:sz w:val="18"/>
                <w:szCs w:val="18"/>
                <w:color w:val="auto"/>
              </w:rPr>
            </w:pP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(12,809,452)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42,671,333</w:t>
            </w:r>
          </w:p>
        </w:tc>
      </w:tr>
      <w:tr>
        <w:trPr>
          <w:trHeight w:val="33"/>
        </w:trPr>
        <w:tc>
          <w:tcPr>
            <w:tcW w:w="5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5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Catastrophe loss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3,388,937</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(934,778)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2,454,159</w:t>
            </w:r>
          </w:p>
        </w:tc>
      </w:tr>
      <w:tr>
        <w:trPr>
          <w:trHeight w:val="204"/>
        </w:trPr>
        <w:tc>
          <w:tcPr>
            <w:tcW w:w="5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Loss and loss adjustment expenses</w:t>
            </w: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58,869,722</w:t>
            </w:r>
          </w:p>
        </w:tc>
        <w:tc>
          <w:tcPr>
            <w:tcW w:w="200" w:type="dxa"/>
            <w:vAlign w:val="bottom"/>
          </w:tcPr>
          <w:p>
            <w:pPr>
              <w:spacing w:after="0"/>
              <w:rPr>
                <w:sz w:val="17"/>
                <w:szCs w:val="17"/>
                <w:color w:val="auto"/>
              </w:rPr>
            </w:pPr>
          </w:p>
        </w:tc>
        <w:tc>
          <w:tcPr>
            <w:tcW w:w="32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(13,744,230)</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45,125,492</w:t>
            </w:r>
          </w:p>
        </w:tc>
      </w:tr>
      <w:tr>
        <w:trPr>
          <w:trHeight w:val="33"/>
        </w:trPr>
        <w:tc>
          <w:tcPr>
            <w:tcW w:w="57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75"/>
        </w:trPr>
        <w:tc>
          <w:tcPr>
            <w:tcW w:w="57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r>
      <w:tr>
        <w:trPr>
          <w:trHeight w:val="210"/>
        </w:trPr>
        <w:tc>
          <w:tcPr>
            <w:tcW w:w="5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Loss ratio excluding the effect of catastrophes(2)</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w:t>
            </w:r>
          </w:p>
        </w:tc>
      </w:tr>
      <w:tr>
        <w:trPr>
          <w:trHeight w:val="33"/>
        </w:trPr>
        <w:tc>
          <w:tcPr>
            <w:tcW w:w="5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5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Catastrophe loss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04"/>
        </w:trPr>
        <w:tc>
          <w:tcPr>
            <w:tcW w:w="5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Loss ratio</w:t>
            </w:r>
          </w:p>
        </w:tc>
        <w:tc>
          <w:tcPr>
            <w:tcW w:w="3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2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48.8%</w:t>
            </w:r>
          </w:p>
        </w:tc>
      </w:tr>
      <w:tr>
        <w:trPr>
          <w:trHeight w:val="33"/>
        </w:trPr>
        <w:tc>
          <w:tcPr>
            <w:tcW w:w="57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83"/>
        </w:trPr>
        <w:tc>
          <w:tcPr>
            <w:tcW w:w="5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12"/>
        </w:trPr>
        <w:tc>
          <w:tcPr>
            <w:tcW w:w="5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Three months ended September 30, 2025</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1"/>
        </w:trPr>
        <w:tc>
          <w:tcPr>
            <w:tcW w:w="5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3"/>
        </w:trPr>
        <w:tc>
          <w:tcPr>
            <w:tcW w:w="5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Written premiums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75,809,863</w:t>
            </w: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(44,160,963)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31,648,900</w:t>
            </w:r>
          </w:p>
        </w:tc>
      </w:tr>
      <w:tr>
        <w:trPr>
          <w:trHeight w:val="210"/>
        </w:trPr>
        <w:tc>
          <w:tcPr>
            <w:tcW w:w="5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 in unearned premiums</w:t>
            </w:r>
          </w:p>
        </w:tc>
        <w:tc>
          <w:tcPr>
            <w:tcW w:w="320" w:type="dxa"/>
            <w:vAlign w:val="bottom"/>
          </w:tcPr>
          <w:p>
            <w:pPr>
              <w:spacing w:after="0"/>
              <w:rPr>
                <w:sz w:val="18"/>
                <w:szCs w:val="18"/>
                <w:color w:val="auto"/>
              </w:rPr>
            </w:pP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(9,778,044)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26,054,197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16,276,153</w:t>
            </w:r>
          </w:p>
        </w:tc>
      </w:tr>
      <w:tr>
        <w:trPr>
          <w:trHeight w:val="33"/>
        </w:trPr>
        <w:tc>
          <w:tcPr>
            <w:tcW w:w="5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2"/>
        </w:trPr>
        <w:tc>
          <w:tcPr>
            <w:tcW w:w="5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Earned premiums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66,031,819</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(18,106,766)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47,925,053</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55"/>
        </w:trPr>
        <w:tc>
          <w:tcPr>
            <w:tcW w:w="57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23"/>
        </w:trPr>
        <w:tc>
          <w:tcPr>
            <w:tcW w:w="5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Loss and loss adjustment expenses excluding</w:t>
            </w:r>
          </w:p>
        </w:tc>
        <w:tc>
          <w:tcPr>
            <w:tcW w:w="3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r>
      <w:tr>
        <w:trPr>
          <w:trHeight w:val="210"/>
        </w:trPr>
        <w:tc>
          <w:tcPr>
            <w:tcW w:w="5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the effect of catastrophes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26,763,724</w:t>
            </w:r>
          </w:p>
        </w:tc>
        <w:tc>
          <w:tcPr>
            <w:tcW w:w="200" w:type="dxa"/>
            <w:vAlign w:val="bottom"/>
          </w:tcPr>
          <w:p>
            <w:pPr>
              <w:spacing w:after="0"/>
              <w:rPr>
                <w:sz w:val="18"/>
                <w:szCs w:val="18"/>
                <w:color w:val="auto"/>
              </w:rPr>
            </w:pP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(5,646,047)</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21,117,677</w:t>
            </w:r>
          </w:p>
        </w:tc>
      </w:tr>
      <w:tr>
        <w:trPr>
          <w:trHeight w:val="33"/>
        </w:trPr>
        <w:tc>
          <w:tcPr>
            <w:tcW w:w="5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5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Catastrophe loss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136,485</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(21,838)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114,647</w:t>
            </w:r>
          </w:p>
        </w:tc>
      </w:tr>
      <w:tr>
        <w:trPr>
          <w:trHeight w:val="204"/>
        </w:trPr>
        <w:tc>
          <w:tcPr>
            <w:tcW w:w="5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Loss and loss adjustment expenses</w:t>
            </w: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26,900,209</w:t>
            </w:r>
          </w:p>
        </w:tc>
        <w:tc>
          <w:tcPr>
            <w:tcW w:w="200" w:type="dxa"/>
            <w:vAlign w:val="bottom"/>
          </w:tcPr>
          <w:p>
            <w:pPr>
              <w:spacing w:after="0"/>
              <w:rPr>
                <w:sz w:val="17"/>
                <w:szCs w:val="17"/>
                <w:color w:val="auto"/>
              </w:rPr>
            </w:pPr>
          </w:p>
        </w:tc>
        <w:tc>
          <w:tcPr>
            <w:tcW w:w="32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(5,667,885)</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21,232,324</w:t>
            </w:r>
          </w:p>
        </w:tc>
      </w:tr>
      <w:tr>
        <w:trPr>
          <w:trHeight w:val="33"/>
        </w:trPr>
        <w:tc>
          <w:tcPr>
            <w:tcW w:w="57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75"/>
        </w:trPr>
        <w:tc>
          <w:tcPr>
            <w:tcW w:w="57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r>
      <w:tr>
        <w:trPr>
          <w:trHeight w:val="210"/>
        </w:trPr>
        <w:tc>
          <w:tcPr>
            <w:tcW w:w="5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Loss ratio excluding the effect of catastrophes(2)</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40.5 %</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44.1 %</w:t>
            </w:r>
          </w:p>
        </w:tc>
      </w:tr>
      <w:tr>
        <w:trPr>
          <w:trHeight w:val="33"/>
        </w:trPr>
        <w:tc>
          <w:tcPr>
            <w:tcW w:w="5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5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Catastrophe loss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r>
      <w:tr>
        <w:trPr>
          <w:trHeight w:val="204"/>
        </w:trPr>
        <w:tc>
          <w:tcPr>
            <w:tcW w:w="5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Loss ratio</w:t>
            </w:r>
          </w:p>
        </w:tc>
        <w:tc>
          <w:tcPr>
            <w:tcW w:w="3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40.7 %</w:t>
            </w:r>
          </w:p>
        </w:tc>
        <w:tc>
          <w:tcPr>
            <w:tcW w:w="2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31.3 %</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44.3 %</w:t>
            </w:r>
          </w:p>
        </w:tc>
      </w:tr>
      <w:tr>
        <w:trPr>
          <w:trHeight w:val="33"/>
        </w:trPr>
        <w:tc>
          <w:tcPr>
            <w:tcW w:w="57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57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12"/>
        </w:trPr>
        <w:tc>
          <w:tcPr>
            <w:tcW w:w="5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Three months ended September 30, 2024</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1"/>
        </w:trPr>
        <w:tc>
          <w:tcPr>
            <w:tcW w:w="5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3"/>
        </w:trPr>
        <w:tc>
          <w:tcPr>
            <w:tcW w:w="5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Written premiums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66,626,664</w:t>
            </w: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(46,081,473)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20,545,191</w:t>
            </w:r>
          </w:p>
        </w:tc>
      </w:tr>
      <w:tr>
        <w:trPr>
          <w:trHeight w:val="210"/>
        </w:trPr>
        <w:tc>
          <w:tcPr>
            <w:tcW w:w="5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 in unearned premiums</w:t>
            </w:r>
          </w:p>
        </w:tc>
        <w:tc>
          <w:tcPr>
            <w:tcW w:w="320" w:type="dxa"/>
            <w:vAlign w:val="bottom"/>
          </w:tcPr>
          <w:p>
            <w:pPr>
              <w:spacing w:after="0"/>
              <w:rPr>
                <w:sz w:val="18"/>
                <w:szCs w:val="18"/>
                <w:color w:val="auto"/>
              </w:rPr>
            </w:pP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(12,540,101)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25,402,104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12,862,003</w:t>
            </w:r>
          </w:p>
        </w:tc>
      </w:tr>
      <w:tr>
        <w:trPr>
          <w:trHeight w:val="33"/>
        </w:trPr>
        <w:tc>
          <w:tcPr>
            <w:tcW w:w="5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1"/>
        </w:trPr>
        <w:tc>
          <w:tcPr>
            <w:tcW w:w="5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Earned premiums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54,086,563</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(20,679,369)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33,407,194</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55"/>
        </w:trPr>
        <w:tc>
          <w:tcPr>
            <w:tcW w:w="57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23"/>
        </w:trPr>
        <w:tc>
          <w:tcPr>
            <w:tcW w:w="5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Loss and loss adjustment expenses excluding</w:t>
            </w:r>
          </w:p>
        </w:tc>
        <w:tc>
          <w:tcPr>
            <w:tcW w:w="3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r>
      <w:tr>
        <w:trPr>
          <w:trHeight w:val="210"/>
        </w:trPr>
        <w:tc>
          <w:tcPr>
            <w:tcW w:w="5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the effect of catastrophes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16,211,617</w:t>
            </w:r>
          </w:p>
        </w:tc>
        <w:tc>
          <w:tcPr>
            <w:tcW w:w="200" w:type="dxa"/>
            <w:vAlign w:val="bottom"/>
          </w:tcPr>
          <w:p>
            <w:pPr>
              <w:spacing w:after="0"/>
              <w:rPr>
                <w:sz w:val="18"/>
                <w:szCs w:val="18"/>
                <w:color w:val="auto"/>
              </w:rPr>
            </w:pP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(3,766,144)</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12,445,473</w:t>
            </w:r>
          </w:p>
        </w:tc>
      </w:tr>
      <w:tr>
        <w:trPr>
          <w:trHeight w:val="33"/>
        </w:trPr>
        <w:tc>
          <w:tcPr>
            <w:tcW w:w="5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5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Catastrophe loss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740,127</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(158,003)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582,124</w:t>
            </w:r>
          </w:p>
        </w:tc>
      </w:tr>
      <w:tr>
        <w:trPr>
          <w:trHeight w:val="204"/>
        </w:trPr>
        <w:tc>
          <w:tcPr>
            <w:tcW w:w="5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Loss and loss adjustment expenses</w:t>
            </w: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16,951,744</w:t>
            </w:r>
          </w:p>
        </w:tc>
        <w:tc>
          <w:tcPr>
            <w:tcW w:w="200" w:type="dxa"/>
            <w:vAlign w:val="bottom"/>
          </w:tcPr>
          <w:p>
            <w:pPr>
              <w:spacing w:after="0"/>
              <w:rPr>
                <w:sz w:val="17"/>
                <w:szCs w:val="17"/>
                <w:color w:val="auto"/>
              </w:rPr>
            </w:pPr>
          </w:p>
        </w:tc>
        <w:tc>
          <w:tcPr>
            <w:tcW w:w="32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(3,924,147)</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13,027,597</w:t>
            </w:r>
          </w:p>
        </w:tc>
      </w:tr>
      <w:tr>
        <w:trPr>
          <w:trHeight w:val="33"/>
        </w:trPr>
        <w:tc>
          <w:tcPr>
            <w:tcW w:w="57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75"/>
        </w:trPr>
        <w:tc>
          <w:tcPr>
            <w:tcW w:w="57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r>
      <w:tr>
        <w:trPr>
          <w:trHeight w:val="210"/>
        </w:trPr>
        <w:tc>
          <w:tcPr>
            <w:tcW w:w="5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Loss ratio excluding the effect of catastrophes(2)</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w:t>
            </w:r>
          </w:p>
        </w:tc>
      </w:tr>
      <w:tr>
        <w:trPr>
          <w:trHeight w:val="33"/>
        </w:trPr>
        <w:tc>
          <w:tcPr>
            <w:tcW w:w="5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5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Catastrophe loss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04"/>
        </w:trPr>
        <w:tc>
          <w:tcPr>
            <w:tcW w:w="5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Loss ratio</w:t>
            </w:r>
          </w:p>
        </w:tc>
        <w:tc>
          <w:tcPr>
            <w:tcW w:w="3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2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w:t>
            </w:r>
          </w:p>
        </w:tc>
      </w:tr>
      <w:tr>
        <w:trPr>
          <w:trHeight w:val="33"/>
        </w:trPr>
        <w:tc>
          <w:tcPr>
            <w:tcW w:w="57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5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i w:val="1"/>
          <w:iCs w:val="1"/>
          <w:color w:val="auto"/>
        </w:rPr>
        <w:t>(Percent components may not sum to totals due to rounding)</w:t>
      </w:r>
    </w:p>
    <w:p>
      <w:pPr>
        <w:sectPr>
          <w:pgSz w:w="11900" w:h="16838" w:orient="portrait"/>
          <w:cols w:equalWidth="0" w:num="1">
            <w:col w:w="11060"/>
          </w:cols>
          <w:pgMar w:left="320" w:top="119" w:right="519" w:bottom="10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9" w:right="519" w:bottom="1001"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key measures for our insurance underwriting business for the periods indicated are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60" w:type="dxa"/>
            <w:vAlign w:val="bottom"/>
            <w:gridSpan w:val="5"/>
          </w:tcPr>
          <w:p>
            <w:pPr>
              <w:ind w:left="5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40" w:type="dxa"/>
            <w:vAlign w:val="bottom"/>
          </w:tcPr>
          <w:p>
            <w:pPr>
              <w:spacing w:after="0"/>
              <w:rPr>
                <w:sz w:val="16"/>
                <w:szCs w:val="16"/>
                <w:color w:val="auto"/>
              </w:rPr>
            </w:pPr>
          </w:p>
        </w:tc>
        <w:tc>
          <w:tcPr>
            <w:tcW w:w="2900" w:type="dxa"/>
            <w:vAlign w:val="bottom"/>
            <w:gridSpan w:val="4"/>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4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40" w:type="dxa"/>
            <w:vAlign w:val="bottom"/>
          </w:tcPr>
          <w:p>
            <w:pPr>
              <w:spacing w:after="0"/>
              <w:rPr>
                <w:sz w:val="18"/>
                <w:szCs w:val="18"/>
                <w:color w:val="auto"/>
              </w:rPr>
            </w:pPr>
          </w:p>
        </w:tc>
      </w:tr>
      <w:tr>
        <w:trPr>
          <w:trHeight w:val="33"/>
        </w:trPr>
        <w:tc>
          <w:tcPr>
            <w:tcW w:w="46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6"/>
        </w:trPr>
        <w:tc>
          <w:tcPr>
            <w:tcW w:w="4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31"/>
        </w:trPr>
        <w:tc>
          <w:tcPr>
            <w:tcW w:w="46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4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23"/>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premiums earned</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47,925,053</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33,407,194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137,663,376</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92,530,708</w:t>
            </w:r>
          </w:p>
        </w:tc>
      </w:tr>
      <w:tr>
        <w:trPr>
          <w:trHeight w:val="210"/>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Ceding commission revenue</w:t>
            </w: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4,900,401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4,741,676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10,940,648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13,870,748</w:t>
            </w:r>
          </w:p>
        </w:tc>
      </w:tr>
      <w:tr>
        <w:trPr>
          <w:trHeight w:val="33"/>
        </w:trPr>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3"/>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145,779</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139,490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436,906</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392,468</w:t>
            </w:r>
          </w:p>
        </w:tc>
      </w:tr>
      <w:tr>
        <w:trPr>
          <w:trHeight w:val="270"/>
        </w:trPr>
        <w:tc>
          <w:tcPr>
            <w:tcW w:w="4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23"/>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and loss adjustment expenses(1)</w:t>
            </w: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21,232,324</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13,027,597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66,334,564</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45,125,492</w:t>
            </w:r>
          </w:p>
        </w:tc>
      </w:tr>
      <w:tr>
        <w:trPr>
          <w:trHeight w:val="270"/>
        </w:trPr>
        <w:tc>
          <w:tcPr>
            <w:tcW w:w="4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23"/>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costs and other underwriting expenses:</w:t>
            </w: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r>
      <w:tr>
        <w:trPr>
          <w:trHeight w:val="210"/>
        </w:trPr>
        <w:tc>
          <w:tcPr>
            <w:tcW w:w="4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Commission expense</w:t>
            </w: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10,308,092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9,004,254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30,250,601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25,088,546</w:t>
            </w:r>
          </w:p>
        </w:tc>
      </w:tr>
      <w:tr>
        <w:trPr>
          <w:trHeight w:val="33"/>
        </w:trPr>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46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underwriting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8,358,432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6,894,590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23,491,221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18,675,720</w:t>
            </w:r>
          </w:p>
        </w:tc>
      </w:tr>
      <w:tr>
        <w:trPr>
          <w:trHeight w:val="204"/>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acquisition costs and other underwriting expenses</w:t>
            </w: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18,666,524</w:t>
            </w:r>
          </w:p>
        </w:tc>
        <w:tc>
          <w:tcPr>
            <w:tcW w:w="10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15,898,844</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53,741,822</w:t>
            </w:r>
          </w:p>
        </w:tc>
        <w:tc>
          <w:tcPr>
            <w:tcW w:w="10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43,764,266</w:t>
            </w:r>
          </w:p>
        </w:tc>
      </w:tr>
      <w:tr>
        <w:trPr>
          <w:trHeight w:val="33"/>
        </w:trPr>
        <w:tc>
          <w:tcPr>
            <w:tcW w:w="4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46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10"/>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Underwriting income</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13,072,385</w:t>
            </w:r>
          </w:p>
        </w:tc>
        <w:tc>
          <w:tcPr>
            <w:tcW w:w="10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9,361,919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28,964,544</w:t>
            </w:r>
          </w:p>
        </w:tc>
        <w:tc>
          <w:tcPr>
            <w:tcW w:w="10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17,904,166</w:t>
            </w:r>
          </w:p>
        </w:tc>
      </w:tr>
      <w:tr>
        <w:trPr>
          <w:trHeight w:val="33"/>
        </w:trPr>
        <w:tc>
          <w:tcPr>
            <w:tcW w:w="46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46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Key Measures: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33"/>
        </w:trPr>
        <w:tc>
          <w:tcPr>
            <w:tcW w:w="46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23"/>
        </w:trPr>
        <w:tc>
          <w:tcPr>
            <w:tcW w:w="46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loss ratio excluding the effect of catastrophes(2)</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1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0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1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w:t>
            </w:r>
          </w:p>
        </w:tc>
      </w:tr>
      <w:tr>
        <w:trPr>
          <w:trHeight w:val="210"/>
        </w:trPr>
        <w:tc>
          <w:tcPr>
            <w:tcW w:w="4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Effect of catastrophe loss on net loss ratio(1)(2)</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33"/>
        </w:trPr>
        <w:tc>
          <w:tcPr>
            <w:tcW w:w="46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7"/>
        </w:trPr>
        <w:tc>
          <w:tcPr>
            <w:tcW w:w="46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loss ratio</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1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10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1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w:t>
            </w:r>
          </w:p>
        </w:tc>
      </w:tr>
      <w:tr>
        <w:trPr>
          <w:trHeight w:val="20"/>
        </w:trPr>
        <w:tc>
          <w:tcPr>
            <w:tcW w:w="468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line="56" w:lineRule="exact"/>
        <w:rPr>
          <w:sz w:val="20"/>
          <w:szCs w:val="20"/>
          <w:color w:val="auto"/>
        </w:rPr>
      </w:pPr>
    </w:p>
    <w:p>
      <w:pPr>
        <w:ind w:left="20" w:right="540" w:firstLine="180"/>
        <w:spacing w:after="0" w:line="272" w:lineRule="auto"/>
        <w:rPr>
          <w:sz w:val="20"/>
          <w:szCs w:val="20"/>
          <w:color w:val="auto"/>
        </w:rPr>
      </w:pPr>
      <w:r>
        <w:rPr>
          <w:rFonts w:ascii="Times New Roman" w:cs="Times New Roman" w:eastAsia="Times New Roman" w:hAnsi="Times New Roman"/>
          <w:sz w:val="16"/>
          <w:szCs w:val="16"/>
          <w:color w:val="auto"/>
        </w:rPr>
        <w:t>Net underwriting expense ratio excluding the effect of catastrophes(2)</w:t>
      </w:r>
    </w:p>
    <w:p>
      <w:pPr>
        <w:spacing w:after="0" w:line="1" w:lineRule="exact"/>
        <w:rPr>
          <w:sz w:val="20"/>
          <w:szCs w:val="20"/>
          <w:color w:val="auto"/>
        </w:rPr>
      </w:pPr>
    </w:p>
    <w:p>
      <w:pPr>
        <w:ind w:left="200"/>
        <w:spacing w:after="0" w:line="351" w:lineRule="auto"/>
        <w:rPr>
          <w:sz w:val="20"/>
          <w:szCs w:val="20"/>
          <w:color w:val="auto"/>
        </w:rPr>
      </w:pPr>
      <w:r>
        <w:rPr>
          <w:rFonts w:ascii="Times New Roman" w:cs="Times New Roman" w:eastAsia="Times New Roman" w:hAnsi="Times New Roman"/>
          <w:sz w:val="16"/>
          <w:szCs w:val="16"/>
          <w:color w:val="auto"/>
        </w:rPr>
        <w:t>Effect of catastrophe loss on net underwriting expense ratio(2) Net underwriting expense ratio</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w:t>
            </w:r>
          </w:p>
        </w:tc>
      </w:tr>
      <w:tr>
        <w:trPr>
          <w:trHeight w:val="243"/>
        </w:trPr>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w:t>
            </w:r>
          </w:p>
        </w:tc>
      </w:tr>
      <w:tr>
        <w:trPr>
          <w:trHeight w:val="33"/>
        </w:trPr>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4"/>
        </w:trPr>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w:t>
            </w:r>
          </w:p>
        </w:tc>
      </w:tr>
      <w:tr>
        <w:trPr>
          <w:trHeight w:val="33"/>
        </w:trPr>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-2966085</wp:posOffset>
            </wp:positionH>
            <wp:positionV relativeFrom="paragraph">
              <wp:posOffset>-590550</wp:posOffset>
            </wp:positionV>
            <wp:extent cx="7132320" cy="2654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-170815</wp:posOffset>
            </wp:positionV>
            <wp:extent cx="7132320" cy="1631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24" w:lineRule="exact"/>
        <w:rPr>
          <w:sz w:val="20"/>
          <w:szCs w:val="20"/>
          <w:color w:val="auto"/>
        </w:rPr>
      </w:pPr>
    </w:p>
    <w:p>
      <w:pPr>
        <w:sectPr>
          <w:pgSz w:w="11900" w:h="16838" w:orient="portrait"/>
          <w:cols w:equalWidth="0" w:num="2">
            <w:col w:w="4260" w:space="420"/>
            <w:col w:w="6560"/>
          </w:cols>
          <w:pgMar w:left="320" w:top="119" w:right="339" w:bottom="1440" w:gutter="0" w:footer="0" w:header="0"/>
          <w:type w:val="continuous"/>
        </w:sectPr>
      </w:pP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combined ratio excluding the effect of catastrophes(2)</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w:t>
            </w:r>
          </w:p>
        </w:tc>
      </w:tr>
      <w:tr>
        <w:trPr>
          <w:trHeight w:val="210"/>
        </w:trPr>
        <w:tc>
          <w:tcPr>
            <w:tcW w:w="4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Effect of catastrophe loss on net combined ratio(1)(2)</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33"/>
        </w:trPr>
        <w:tc>
          <w:tcPr>
            <w:tcW w:w="46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1"/>
        </w:trPr>
        <w:tc>
          <w:tcPr>
            <w:tcW w:w="46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combined ratio</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0" w:lineRule="exact"/>
        <w:rPr>
          <w:sz w:val="20"/>
          <w:szCs w:val="20"/>
          <w:color w:val="auto"/>
        </w:rPr>
      </w:pPr>
    </w:p>
    <w:p>
      <w:pPr>
        <w:jc w:val="both"/>
        <w:ind w:left="1080" w:hanging="1072"/>
        <w:spacing w:after="0" w:line="272" w:lineRule="auto"/>
        <w:tabs>
          <w:tab w:leader="none" w:pos="107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three months ended September 30, 2025 and 2024, includes the sum of net catastrophe losses and loss adjustment expenses of $114,647 and $582,124, respectively. For the nine months ended September 30, 2025 and 2024, includes the sum of net catastrophe losses and loss adjustment expenses of $1,153,532 and $2,454,159, respectively.</w:t>
      </w:r>
    </w:p>
    <w:p>
      <w:pPr>
        <w:spacing w:after="0" w:line="170" w:lineRule="exact"/>
        <w:rPr>
          <w:rFonts w:ascii="Times New Roman" w:cs="Times New Roman" w:eastAsia="Times New Roman" w:hAnsi="Times New Roman"/>
          <w:sz w:val="16"/>
          <w:szCs w:val="16"/>
          <w:color w:val="auto"/>
        </w:rPr>
      </w:pPr>
    </w:p>
    <w:p>
      <w:pPr>
        <w:jc w:val="both"/>
        <w:ind w:left="1080" w:hanging="1072"/>
        <w:spacing w:after="0" w:line="258" w:lineRule="auto"/>
        <w:tabs>
          <w:tab w:leader="none" w:pos="107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loss ratio excluding the effect of catastrophes is a non-GAAP ratio, which is computed as the difference between the GAAP net loss ratio and the effect of catastrophes on the net loss ratio. See "Non-GAAP Financial Measures" for the reconciliation of net loss ratio excluding the effect of catastrophes to the GAAP measure of net loss ratio. Net underwriting expense ratio excluding the effect of catastrophes is also a non-GAAP ratio, which is computed as the difference between the GAAP net underwriting expense ratio and the effect of catastrophes on the net underwriting expense ratio. See "Non-GAAP Financial Measures" for the reconciliation of net underwriting expense ratio excluding the effect of catastrophes to the GAAP measure of net underwriting expense ratio. Net combined ratio excluding the effect of catastrophes is also a non-GAAP ratio, which is computed as the difference between the GAAP net combined ratio and the effect of catastrophes on the net combined ratio. See "Non-GAAP Financial Measures" for the reconciliation of net combined ratio excluding the effect of catastrophes to the GAAP measure of net combined ratio.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Investments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Portfolio Summary</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u w:val="single" w:color="auto"/>
          <w:color w:val="auto"/>
        </w:rPr>
        <w:t>Fixed-Maturity Securities</w:t>
      </w:r>
    </w:p>
    <w:p>
      <w:pPr>
        <w:spacing w:after="0" w:line="221" w:lineRule="exact"/>
        <w:rPr>
          <w:sz w:val="20"/>
          <w:szCs w:val="20"/>
          <w:color w:val="auto"/>
        </w:rPr>
      </w:pPr>
    </w:p>
    <w:p>
      <w:pPr>
        <w:ind w:right="20" w:firstLine="648"/>
        <w:spacing w:after="0" w:line="298" w:lineRule="auto"/>
        <w:rPr>
          <w:sz w:val="20"/>
          <w:szCs w:val="20"/>
          <w:color w:val="auto"/>
        </w:rPr>
      </w:pPr>
      <w:r>
        <w:rPr>
          <w:rFonts w:ascii="Times New Roman" w:cs="Times New Roman" w:eastAsia="Times New Roman" w:hAnsi="Times New Roman"/>
          <w:sz w:val="16"/>
          <w:szCs w:val="16"/>
          <w:color w:val="auto"/>
        </w:rPr>
        <w:t>The following table presents a breakdown of the amortized cost, estimated fair value, and gross unrealized gains and losses of our investments in fixed-maturity securities classified as available-for-sale for which an allowance for credit loss has not been recorded, as of September 30, 2025 and December 31, 2024:</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Cost or</w:t>
            </w:r>
          </w:p>
        </w:tc>
        <w:tc>
          <w:tcPr>
            <w:tcW w:w="220" w:type="dxa"/>
            <w:vAlign w:val="bottom"/>
          </w:tcPr>
          <w:p>
            <w:pPr>
              <w:spacing w:after="0"/>
              <w:rPr>
                <w:sz w:val="18"/>
                <w:szCs w:val="18"/>
                <w:color w:val="auto"/>
              </w:rPr>
            </w:pPr>
          </w:p>
        </w:tc>
        <w:tc>
          <w:tcPr>
            <w:tcW w:w="13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80" w:type="dxa"/>
            <w:vAlign w:val="bottom"/>
          </w:tcPr>
          <w:p>
            <w:pPr>
              <w:spacing w:after="0"/>
              <w:rPr>
                <w:sz w:val="18"/>
                <w:szCs w:val="18"/>
                <w:color w:val="auto"/>
              </w:rPr>
            </w:pPr>
          </w:p>
        </w:tc>
        <w:tc>
          <w:tcPr>
            <w:tcW w:w="2880" w:type="dxa"/>
            <w:vAlign w:val="bottom"/>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Gross Unrealized Losses</w:t>
            </w:r>
          </w:p>
        </w:tc>
        <w:tc>
          <w:tcPr>
            <w:tcW w:w="240" w:type="dxa"/>
            <w:vAlign w:val="bottom"/>
          </w:tcPr>
          <w:p>
            <w:pPr>
              <w:spacing w:after="0"/>
              <w:rPr>
                <w:sz w:val="18"/>
                <w:szCs w:val="18"/>
                <w:color w:val="auto"/>
              </w:rPr>
            </w:pPr>
          </w:p>
        </w:tc>
        <w:tc>
          <w:tcPr>
            <w:tcW w:w="13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 of</w:t>
            </w:r>
          </w:p>
        </w:tc>
        <w:tc>
          <w:tcPr>
            <w:tcW w:w="0" w:type="dxa"/>
            <w:vAlign w:val="bottom"/>
          </w:tcPr>
          <w:p>
            <w:pPr>
              <w:spacing w:after="0"/>
              <w:rPr>
                <w:sz w:val="1"/>
                <w:szCs w:val="1"/>
                <w:color w:val="auto"/>
              </w:rPr>
            </w:pPr>
          </w:p>
        </w:tc>
      </w:tr>
      <w:tr>
        <w:trPr>
          <w:trHeight w:val="31"/>
        </w:trPr>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5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center"/>
              <w:ind w:right="320"/>
              <w:spacing w:after="0" w:line="181"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220" w:type="dxa"/>
            <w:vAlign w:val="bottom"/>
          </w:tcPr>
          <w:p>
            <w:pPr>
              <w:spacing w:after="0"/>
              <w:rPr>
                <w:sz w:val="15"/>
                <w:szCs w:val="15"/>
                <w:color w:val="auto"/>
              </w:rPr>
            </w:pPr>
          </w:p>
        </w:tc>
        <w:tc>
          <w:tcPr>
            <w:tcW w:w="1320" w:type="dxa"/>
            <w:vAlign w:val="bottom"/>
            <w:gridSpan w:val="2"/>
          </w:tcPr>
          <w:p>
            <w:pPr>
              <w:jc w:val="center"/>
              <w:ind w:right="320"/>
              <w:spacing w:after="0" w:line="181"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80" w:type="dxa"/>
            <w:vAlign w:val="bottom"/>
          </w:tcPr>
          <w:p>
            <w:pPr>
              <w:spacing w:after="0"/>
              <w:rPr>
                <w:sz w:val="15"/>
                <w:szCs w:val="15"/>
                <w:color w:val="auto"/>
              </w:rPr>
            </w:pPr>
          </w:p>
        </w:tc>
        <w:tc>
          <w:tcPr>
            <w:tcW w:w="1340" w:type="dxa"/>
            <w:vAlign w:val="bottom"/>
            <w:gridSpan w:val="2"/>
          </w:tcPr>
          <w:p>
            <w:pPr>
              <w:jc w:val="center"/>
              <w:ind w:right="280"/>
              <w:spacing w:after="0" w:line="181" w:lineRule="exact"/>
              <w:rPr>
                <w:sz w:val="20"/>
                <w:szCs w:val="20"/>
                <w:color w:val="auto"/>
              </w:rPr>
            </w:pPr>
            <w:r>
              <w:rPr>
                <w:rFonts w:ascii="Times New Roman" w:cs="Times New Roman" w:eastAsia="Times New Roman" w:hAnsi="Times New Roman"/>
                <w:sz w:val="16"/>
                <w:szCs w:val="16"/>
                <w:b w:val="1"/>
                <w:bCs w:val="1"/>
                <w:color w:val="auto"/>
              </w:rPr>
              <w:t>Less than 12</w:t>
            </w:r>
          </w:p>
        </w:tc>
        <w:tc>
          <w:tcPr>
            <w:tcW w:w="180" w:type="dxa"/>
            <w:vAlign w:val="bottom"/>
          </w:tcPr>
          <w:p>
            <w:pPr>
              <w:spacing w:after="0"/>
              <w:rPr>
                <w:sz w:val="15"/>
                <w:szCs w:val="15"/>
                <w:color w:val="auto"/>
              </w:rPr>
            </w:pPr>
          </w:p>
        </w:tc>
        <w:tc>
          <w:tcPr>
            <w:tcW w:w="1260" w:type="dxa"/>
            <w:vAlign w:val="bottom"/>
          </w:tcPr>
          <w:p>
            <w:pPr>
              <w:jc w:val="center"/>
              <w:ind w:right="99"/>
              <w:spacing w:after="0" w:line="181" w:lineRule="exact"/>
              <w:rPr>
                <w:sz w:val="20"/>
                <w:szCs w:val="20"/>
                <w:color w:val="auto"/>
              </w:rPr>
            </w:pPr>
            <w:r>
              <w:rPr>
                <w:rFonts w:ascii="Times New Roman" w:cs="Times New Roman" w:eastAsia="Times New Roman" w:hAnsi="Times New Roman"/>
                <w:sz w:val="16"/>
                <w:szCs w:val="16"/>
                <w:b w:val="1"/>
                <w:bCs w:val="1"/>
                <w:color w:val="auto"/>
                <w:w w:val="99"/>
              </w:rPr>
              <w:t>More than 12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center"/>
              <w:ind w:right="360"/>
              <w:spacing w:after="0" w:line="181" w:lineRule="exact"/>
              <w:rPr>
                <w:sz w:val="20"/>
                <w:szCs w:val="20"/>
                <w:color w:val="auto"/>
              </w:rPr>
            </w:pPr>
            <w:r>
              <w:rPr>
                <w:rFonts w:ascii="Times New Roman" w:cs="Times New Roman" w:eastAsia="Times New Roman" w:hAnsi="Times New Roman"/>
                <w:sz w:val="16"/>
                <w:szCs w:val="16"/>
                <w:b w:val="1"/>
                <w:bCs w:val="1"/>
                <w:color w:val="auto"/>
              </w:rPr>
              <w:t>Fair</w:t>
            </w:r>
          </w:p>
        </w:tc>
        <w:tc>
          <w:tcPr>
            <w:tcW w:w="156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239"/>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Category</w:t>
            </w:r>
          </w:p>
        </w:tc>
        <w:tc>
          <w:tcPr>
            <w:tcW w:w="240" w:type="dxa"/>
            <w:vAlign w:val="bottom"/>
          </w:tcPr>
          <w:p>
            <w:pPr>
              <w:spacing w:after="0"/>
              <w:rPr>
                <w:sz w:val="20"/>
                <w:szCs w:val="20"/>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220" w:type="dxa"/>
            <w:vAlign w:val="bottom"/>
          </w:tcPr>
          <w:p>
            <w:pPr>
              <w:spacing w:after="0"/>
              <w:rPr>
                <w:sz w:val="20"/>
                <w:szCs w:val="20"/>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80" w:type="dxa"/>
            <w:vAlign w:val="bottom"/>
          </w:tcPr>
          <w:p>
            <w:pPr>
              <w:spacing w:after="0"/>
              <w:rPr>
                <w:sz w:val="20"/>
                <w:szCs w:val="20"/>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Months</w:t>
            </w:r>
          </w:p>
        </w:tc>
        <w:tc>
          <w:tcPr>
            <w:tcW w:w="180" w:type="dxa"/>
            <w:vAlign w:val="bottom"/>
          </w:tcPr>
          <w:p>
            <w:pPr>
              <w:spacing w:after="0"/>
              <w:rPr>
                <w:sz w:val="20"/>
                <w:szCs w:val="20"/>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Months</w:t>
            </w:r>
          </w:p>
        </w:tc>
        <w:tc>
          <w:tcPr>
            <w:tcW w:w="240" w:type="dxa"/>
            <w:vAlign w:val="bottom"/>
          </w:tcPr>
          <w:p>
            <w:pPr>
              <w:spacing w:after="0"/>
              <w:rPr>
                <w:sz w:val="20"/>
                <w:szCs w:val="20"/>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0" w:type="dxa"/>
            <w:vAlign w:val="bottom"/>
          </w:tcPr>
          <w:p>
            <w:pPr>
              <w:spacing w:after="0"/>
              <w:rPr>
                <w:sz w:val="1"/>
                <w:szCs w:val="1"/>
                <w:color w:val="auto"/>
              </w:rPr>
            </w:pPr>
          </w:p>
        </w:tc>
      </w:tr>
      <w:tr>
        <w:trPr>
          <w:trHeight w:val="257"/>
        </w:trPr>
        <w:tc>
          <w:tcPr>
            <w:tcW w:w="19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securities and</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00" w:type="dxa"/>
            <w:vAlign w:val="bottom"/>
            <w:gridSpan w:val="2"/>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obligations of U.S.</w:t>
            </w: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government corporations</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and agencies (1)</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997,057</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1,008,130</w:t>
            </w:r>
          </w:p>
        </w:tc>
        <w:tc>
          <w:tcPr>
            <w:tcW w:w="1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0" w:type="dxa"/>
            <w:vAlign w:val="bottom"/>
          </w:tcPr>
          <w:p>
            <w:pPr>
              <w:spacing w:after="0"/>
              <w:rPr>
                <w:sz w:val="1"/>
                <w:szCs w:val="1"/>
                <w:color w:val="auto"/>
              </w:rPr>
            </w:pPr>
          </w:p>
        </w:tc>
      </w:tr>
      <w:tr>
        <w:trPr>
          <w:trHeight w:val="270"/>
        </w:trPr>
        <w:tc>
          <w:tcPr>
            <w:tcW w:w="1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Political subdivisions of</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00" w:type="dxa"/>
            <w:vAlign w:val="bottom"/>
            <w:gridSpan w:val="2"/>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States, Territories and</w:t>
            </w: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Possessions</w:t>
            </w:r>
          </w:p>
        </w:tc>
        <w:tc>
          <w:tcPr>
            <w:tcW w:w="2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24,258,552</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190,585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(2,551,987)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21,897,150</w:t>
            </w:r>
          </w:p>
        </w:tc>
        <w:tc>
          <w:tcPr>
            <w:tcW w:w="1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8.7 %</w:t>
            </w:r>
          </w:p>
        </w:tc>
        <w:tc>
          <w:tcPr>
            <w:tcW w:w="0" w:type="dxa"/>
            <w:vAlign w:val="bottom"/>
          </w:tcPr>
          <w:p>
            <w:pPr>
              <w:spacing w:after="0"/>
              <w:rPr>
                <w:sz w:val="1"/>
                <w:szCs w:val="1"/>
                <w:color w:val="auto"/>
              </w:rPr>
            </w:pPr>
          </w:p>
        </w:tc>
      </w:tr>
      <w:tr>
        <w:trPr>
          <w:trHeight w:val="270"/>
        </w:trPr>
        <w:tc>
          <w:tcPr>
            <w:tcW w:w="1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and other bonds</w:t>
            </w:r>
          </w:p>
        </w:tc>
        <w:tc>
          <w:tcPr>
            <w:tcW w:w="24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123,065,335</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481,632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(41,640)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(2,890,680)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120,614,647</w:t>
            </w:r>
          </w:p>
        </w:tc>
        <w:tc>
          <w:tcPr>
            <w:tcW w:w="100" w:type="dxa"/>
            <w:vAlign w:val="bottom"/>
            <w:shd w:val="clear" w:color="auto" w:fill="CCEEFF"/>
          </w:tcPr>
          <w:p>
            <w:pPr>
              <w:spacing w:after="0"/>
              <w:rPr>
                <w:sz w:val="16"/>
                <w:szCs w:val="16"/>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47.7 %</w:t>
            </w:r>
          </w:p>
        </w:tc>
        <w:tc>
          <w:tcPr>
            <w:tcW w:w="0" w:type="dxa"/>
            <w:vAlign w:val="bottom"/>
          </w:tcPr>
          <w:p>
            <w:pPr>
              <w:spacing w:after="0"/>
              <w:rPr>
                <w:sz w:val="1"/>
                <w:szCs w:val="1"/>
                <w:color w:val="auto"/>
              </w:rPr>
            </w:pPr>
          </w:p>
        </w:tc>
      </w:tr>
      <w:tr>
        <w:trPr>
          <w:trHeight w:val="230"/>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Industrial and miscellaneous</w:t>
            </w:r>
          </w:p>
        </w:tc>
        <w:tc>
          <w:tcPr>
            <w:tcW w:w="24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 and</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00" w:type="dxa"/>
            <w:vAlign w:val="bottom"/>
            <w:gridSpan w:val="2"/>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other asset backed securities</w:t>
            </w: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 (2)</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112,859,590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1,085,476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(4,786,312)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109,120,501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43.2 %</w:t>
            </w:r>
          </w:p>
        </w:tc>
        <w:tc>
          <w:tcPr>
            <w:tcW w:w="0" w:type="dxa"/>
            <w:vAlign w:val="bottom"/>
          </w:tcPr>
          <w:p>
            <w:pPr>
              <w:spacing w:after="0"/>
              <w:rPr>
                <w:sz w:val="1"/>
                <w:szCs w:val="1"/>
                <w:color w:val="auto"/>
              </w:rPr>
            </w:pPr>
          </w:p>
        </w:tc>
      </w:tr>
      <w:tr>
        <w:trPr>
          <w:trHeight w:val="169"/>
        </w:trPr>
        <w:tc>
          <w:tcPr>
            <w:tcW w:w="2000" w:type="dxa"/>
            <w:vAlign w:val="bottom"/>
            <w:gridSpan w:val="2"/>
          </w:tcPr>
          <w:p>
            <w:pPr>
              <w:ind w:left="180"/>
              <w:spacing w:after="0" w:line="169" w:lineRule="exact"/>
              <w:rPr>
                <w:sz w:val="20"/>
                <w:szCs w:val="20"/>
                <w:color w:val="auto"/>
              </w:rPr>
            </w:pPr>
            <w:r>
              <w:rPr>
                <w:rFonts w:ascii="Times New Roman" w:cs="Times New Roman" w:eastAsia="Times New Roman" w:hAnsi="Times New Roman"/>
                <w:sz w:val="16"/>
                <w:szCs w:val="16"/>
                <w:color w:val="auto"/>
              </w:rPr>
              <w:t>Total fixed-maturity</w:t>
            </w:r>
          </w:p>
        </w:tc>
        <w:tc>
          <w:tcPr>
            <w:tcW w:w="240" w:type="dxa"/>
            <w:vAlign w:val="bottom"/>
            <w:tcBorders>
              <w:top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261,180,534</w:t>
            </w:r>
          </w:p>
        </w:tc>
        <w:tc>
          <w:tcPr>
            <w:tcW w:w="80" w:type="dxa"/>
            <w:vAlign w:val="bottom"/>
          </w:tcPr>
          <w:p>
            <w:pPr>
              <w:spacing w:after="0"/>
              <w:rPr>
                <w:sz w:val="14"/>
                <w:szCs w:val="14"/>
                <w:color w:val="auto"/>
              </w:rPr>
            </w:pPr>
          </w:p>
        </w:tc>
        <w:tc>
          <w:tcPr>
            <w:tcW w:w="220" w:type="dxa"/>
            <w:vAlign w:val="bottom"/>
            <w:tcBorders>
              <w:top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1,768,766</w:t>
            </w:r>
          </w:p>
        </w:tc>
        <w:tc>
          <w:tcPr>
            <w:tcW w:w="100" w:type="dxa"/>
            <w:vAlign w:val="bottom"/>
          </w:tcPr>
          <w:p>
            <w:pPr>
              <w:spacing w:after="0"/>
              <w:rPr>
                <w:sz w:val="14"/>
                <w:szCs w:val="14"/>
                <w:color w:val="auto"/>
              </w:rPr>
            </w:pPr>
          </w:p>
        </w:tc>
        <w:tc>
          <w:tcPr>
            <w:tcW w:w="18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(79,893)</w:t>
            </w:r>
          </w:p>
        </w:tc>
        <w:tc>
          <w:tcPr>
            <w:tcW w:w="100" w:type="dxa"/>
            <w:vAlign w:val="bottom"/>
          </w:tcPr>
          <w:p>
            <w:pPr>
              <w:spacing w:after="0"/>
              <w:rPr>
                <w:sz w:val="14"/>
                <w:szCs w:val="14"/>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(10,228,979)</w:t>
            </w:r>
          </w:p>
        </w:tc>
        <w:tc>
          <w:tcPr>
            <w:tcW w:w="100" w:type="dxa"/>
            <w:vAlign w:val="bottom"/>
          </w:tcPr>
          <w:p>
            <w:pPr>
              <w:spacing w:after="0"/>
              <w:rPr>
                <w:sz w:val="14"/>
                <w:szCs w:val="14"/>
                <w:color w:val="auto"/>
              </w:rPr>
            </w:pPr>
          </w:p>
        </w:tc>
        <w:tc>
          <w:tcPr>
            <w:tcW w:w="240" w:type="dxa"/>
            <w:vAlign w:val="bottom"/>
            <w:tcBorders>
              <w:top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252,640,428</w:t>
            </w:r>
          </w:p>
        </w:tc>
        <w:tc>
          <w:tcPr>
            <w:tcW w:w="100" w:type="dxa"/>
            <w:vAlign w:val="bottom"/>
          </w:tcPr>
          <w:p>
            <w:pPr>
              <w:spacing w:after="0"/>
              <w:rPr>
                <w:sz w:val="14"/>
                <w:szCs w:val="14"/>
                <w:color w:val="auto"/>
              </w:rPr>
            </w:pPr>
          </w:p>
        </w:tc>
        <w:tc>
          <w:tcPr>
            <w:tcW w:w="15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08"/>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securities</w:t>
            </w:r>
          </w:p>
        </w:tc>
        <w:tc>
          <w:tcPr>
            <w:tcW w:w="240" w:type="dxa"/>
            <w:vAlign w:val="bottom"/>
            <w:tcBorders>
              <w:bottom w:val="single" w:sz="8" w:color="auto"/>
            </w:tcBorders>
            <w:vMerge w:val="continue"/>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Cost or</w:t>
            </w: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2960" w:type="dxa"/>
            <w:vAlign w:val="bottom"/>
            <w:gridSpan w:val="3"/>
          </w:tcPr>
          <w:p>
            <w:pPr>
              <w:ind w:left="640"/>
              <w:spacing w:after="0"/>
              <w:rPr>
                <w:sz w:val="20"/>
                <w:szCs w:val="20"/>
                <w:color w:val="auto"/>
              </w:rPr>
            </w:pPr>
            <w:r>
              <w:rPr>
                <w:rFonts w:ascii="Times New Roman" w:cs="Times New Roman" w:eastAsia="Times New Roman" w:hAnsi="Times New Roman"/>
                <w:sz w:val="16"/>
                <w:szCs w:val="16"/>
                <w:b w:val="1"/>
                <w:bCs w:val="1"/>
                <w:color w:val="auto"/>
              </w:rPr>
              <w:t>Gross Unrealized Losses</w:t>
            </w:r>
          </w:p>
        </w:tc>
        <w:tc>
          <w:tcPr>
            <w:tcW w:w="100" w:type="dxa"/>
            <w:vAlign w:val="bottom"/>
          </w:tcPr>
          <w:p>
            <w:pPr>
              <w:spacing w:after="0"/>
              <w:rPr>
                <w:sz w:val="18"/>
                <w:szCs w:val="18"/>
                <w:color w:val="auto"/>
              </w:rPr>
            </w:pPr>
          </w:p>
        </w:tc>
        <w:tc>
          <w:tcPr>
            <w:tcW w:w="15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 of</w:t>
            </w:r>
          </w:p>
        </w:tc>
        <w:tc>
          <w:tcPr>
            <w:tcW w:w="0" w:type="dxa"/>
            <w:vAlign w:val="bottom"/>
          </w:tcPr>
          <w:p>
            <w:pPr>
              <w:spacing w:after="0"/>
              <w:rPr>
                <w:sz w:val="1"/>
                <w:szCs w:val="1"/>
                <w:color w:val="auto"/>
              </w:rPr>
            </w:pPr>
          </w:p>
        </w:tc>
      </w:tr>
      <w:tr>
        <w:trPr>
          <w:trHeight w:val="31"/>
        </w:trPr>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gridSpan w:val="2"/>
            <w:vMerge w:val="continue"/>
          </w:tcPr>
          <w:p>
            <w:pPr>
              <w:spacing w:after="0"/>
              <w:rPr>
                <w:sz w:val="2"/>
                <w:szCs w:val="2"/>
                <w:color w:val="auto"/>
              </w:rPr>
            </w:pPr>
          </w:p>
        </w:tc>
        <w:tc>
          <w:tcPr>
            <w:tcW w:w="1540" w:type="dxa"/>
            <w:vAlign w:val="bottom"/>
            <w:gridSpan w:val="2"/>
            <w:vMerge w:val="continue"/>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gridSpan w:val="2"/>
            <w:vMerge w:val="continue"/>
          </w:tcPr>
          <w:p>
            <w:pPr>
              <w:spacing w:after="0"/>
              <w:rPr>
                <w:sz w:val="2"/>
                <w:szCs w:val="2"/>
                <w:color w:val="auto"/>
              </w:rPr>
            </w:pPr>
          </w:p>
        </w:tc>
        <w:tc>
          <w:tcPr>
            <w:tcW w:w="15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2"/>
          </w:tcPr>
          <w:p>
            <w:pPr>
              <w:jc w:val="center"/>
              <w:ind w:right="80"/>
              <w:spacing w:after="0" w:line="181"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154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52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6"/>
                <w:szCs w:val="16"/>
                <w:b w:val="1"/>
                <w:bCs w:val="1"/>
                <w:color w:val="auto"/>
              </w:rPr>
              <w:t>Less than 12</w:t>
            </w:r>
          </w:p>
        </w:tc>
        <w:tc>
          <w:tcPr>
            <w:tcW w:w="144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9"/>
              </w:rPr>
              <w:t>More than 12</w:t>
            </w:r>
          </w:p>
        </w:tc>
        <w:tc>
          <w:tcPr>
            <w:tcW w:w="100" w:type="dxa"/>
            <w:vAlign w:val="bottom"/>
          </w:tcPr>
          <w:p>
            <w:pPr>
              <w:spacing w:after="0"/>
              <w:rPr>
                <w:sz w:val="15"/>
                <w:szCs w:val="15"/>
                <w:color w:val="auto"/>
              </w:rPr>
            </w:pPr>
          </w:p>
        </w:tc>
        <w:tc>
          <w:tcPr>
            <w:tcW w:w="1540" w:type="dxa"/>
            <w:vAlign w:val="bottom"/>
            <w:gridSpan w:val="2"/>
          </w:tcPr>
          <w:p>
            <w:pPr>
              <w:jc w:val="center"/>
              <w:ind w:right="120"/>
              <w:spacing w:after="0" w:line="181" w:lineRule="exact"/>
              <w:rPr>
                <w:sz w:val="20"/>
                <w:szCs w:val="20"/>
                <w:color w:val="auto"/>
              </w:rPr>
            </w:pPr>
            <w:r>
              <w:rPr>
                <w:rFonts w:ascii="Times New Roman" w:cs="Times New Roman" w:eastAsia="Times New Roman" w:hAnsi="Times New Roman"/>
                <w:sz w:val="16"/>
                <w:szCs w:val="16"/>
                <w:b w:val="1"/>
                <w:bCs w:val="1"/>
                <w:color w:val="auto"/>
              </w:rPr>
              <w:t>Fair</w:t>
            </w:r>
          </w:p>
        </w:tc>
        <w:tc>
          <w:tcPr>
            <w:tcW w:w="156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239"/>
        </w:trPr>
        <w:tc>
          <w:tcPr>
            <w:tcW w:w="1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Category</w:t>
            </w:r>
          </w:p>
        </w:tc>
        <w:tc>
          <w:tcPr>
            <w:tcW w:w="8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8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00" w:type="dxa"/>
            <w:vAlign w:val="bottom"/>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Months</w:t>
            </w:r>
          </w:p>
        </w:tc>
        <w:tc>
          <w:tcPr>
            <w:tcW w:w="10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Months</w:t>
            </w:r>
          </w:p>
        </w:tc>
        <w:tc>
          <w:tcPr>
            <w:tcW w:w="10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line="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U.S. Treasury securities and</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obligations of U.S.</w:t>
      </w:r>
    </w:p>
    <w:p>
      <w:pPr>
        <w:ind w:left="20"/>
        <w:spacing w:after="0"/>
        <w:rPr>
          <w:sz w:val="20"/>
          <w:szCs w:val="20"/>
          <w:color w:val="auto"/>
        </w:rPr>
      </w:pPr>
      <w:r>
        <w:rPr>
          <w:rFonts w:ascii="Times New Roman" w:cs="Times New Roman" w:eastAsia="Times New Roman" w:hAnsi="Times New Roman"/>
          <w:sz w:val="16"/>
          <w:szCs w:val="16"/>
          <w:color w:val="auto"/>
        </w:rPr>
        <w:t>government corporations</w:t>
      </w:r>
    </w:p>
    <w:p>
      <w:pPr>
        <w:spacing w:after="0" w:line="5" w:lineRule="exact"/>
        <w:rPr>
          <w:sz w:val="20"/>
          <w:szCs w:val="20"/>
          <w:color w:val="auto"/>
        </w:rPr>
      </w:pPr>
    </w:p>
    <w:p>
      <w:pPr>
        <w:ind w:left="20"/>
        <w:spacing w:after="0"/>
        <w:tabs>
          <w:tab w:leader="none" w:pos="2000" w:val="left"/>
        </w:tabs>
        <w:rPr>
          <w:sz w:val="20"/>
          <w:szCs w:val="20"/>
          <w:color w:val="auto"/>
        </w:rPr>
      </w:pPr>
      <w:r>
        <w:rPr>
          <w:rFonts w:ascii="Times New Roman" w:cs="Times New Roman" w:eastAsia="Times New Roman" w:hAnsi="Times New Roman"/>
          <w:sz w:val="16"/>
          <w:szCs w:val="16"/>
          <w:color w:val="auto"/>
        </w:rPr>
        <w:t>and agencies (1)</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0" w:lineRule="exact"/>
        <w:rPr>
          <w:sz w:val="20"/>
          <w:szCs w:val="20"/>
          <w:color w:val="auto"/>
        </w:rPr>
      </w:pPr>
    </w:p>
    <w:p>
      <w:pPr>
        <w:spacing w:after="0"/>
        <w:tabs>
          <w:tab w:leader="none" w:pos="220" w:val="left"/>
          <w:tab w:leader="none" w:pos="1520" w:val="left"/>
          <w:tab w:leader="none" w:pos="1740" w:val="left"/>
          <w:tab w:leader="none" w:pos="3040" w:val="left"/>
          <w:tab w:leader="none" w:pos="3280" w:val="left"/>
          <w:tab w:leader="none" w:pos="4580" w:val="left"/>
          <w:tab w:leader="none" w:pos="4820" w:val="left"/>
          <w:tab w:leader="none" w:pos="6120" w:val="left"/>
          <w:tab w:leader="none" w:pos="7580" w:val="left"/>
        </w:tabs>
        <w:rPr>
          <w:sz w:val="20"/>
          <w:szCs w:val="20"/>
          <w:color w:val="auto"/>
        </w:rPr>
      </w:pPr>
      <w:r>
        <w:rPr>
          <w:rFonts w:ascii="Times New Roman" w:cs="Times New Roman" w:eastAsia="Times New Roman" w:hAnsi="Times New Roman"/>
          <w:sz w:val="16"/>
          <w:szCs w:val="16"/>
          <w:color w:val="auto"/>
        </w:rPr>
        <w:t>-</w:t>
        <w:tab/>
        <w:t>$</w:t>
      </w:r>
      <w:r>
        <w:rPr>
          <w:sz w:val="20"/>
          <w:szCs w:val="20"/>
          <w:color w:val="auto"/>
        </w:rPr>
        <w:tab/>
      </w:r>
      <w:r>
        <w:rPr>
          <w:rFonts w:ascii="Times New Roman" w:cs="Times New Roman" w:eastAsia="Times New Roman" w:hAnsi="Times New Roman"/>
          <w:sz w:val="16"/>
          <w:szCs w:val="16"/>
          <w:color w:val="auto"/>
        </w:rPr>
        <w:t>-</w:t>
        <w:tab/>
        <w:t>$</w:t>
      </w:r>
      <w:r>
        <w:rPr>
          <w:sz w:val="20"/>
          <w:szCs w:val="20"/>
          <w:color w:val="auto"/>
        </w:rPr>
        <w:tab/>
      </w:r>
      <w:r>
        <w:rPr>
          <w:rFonts w:ascii="Times New Roman" w:cs="Times New Roman" w:eastAsia="Times New Roman" w:hAnsi="Times New Roman"/>
          <w:sz w:val="16"/>
          <w:szCs w:val="16"/>
          <w:color w:val="auto"/>
        </w:rPr>
        <w:t>-</w:t>
        <w:tab/>
        <w:t>$</w:t>
      </w:r>
      <w:r>
        <w:rPr>
          <w:sz w:val="20"/>
          <w:szCs w:val="20"/>
          <w:color w:val="auto"/>
        </w:rPr>
        <w:tab/>
      </w:r>
      <w:r>
        <w:rPr>
          <w:rFonts w:ascii="Times New Roman" w:cs="Times New Roman" w:eastAsia="Times New Roman" w:hAnsi="Times New Roman"/>
          <w:sz w:val="16"/>
          <w:szCs w:val="16"/>
          <w:color w:val="auto"/>
        </w:rPr>
        <w:t>-</w:t>
        <w:tab/>
        <w:t>$</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-467360</wp:posOffset>
            </wp:positionV>
            <wp:extent cx="7132320" cy="5060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18" w:lineRule="exact"/>
        <w:rPr>
          <w:sz w:val="20"/>
          <w:szCs w:val="20"/>
          <w:color w:val="auto"/>
        </w:rPr>
      </w:pPr>
    </w:p>
    <w:p>
      <w:pPr>
        <w:sectPr>
          <w:pgSz w:w="11900" w:h="16838" w:orient="portrait"/>
          <w:cols w:equalWidth="0" w:num="2">
            <w:col w:w="2600" w:space="720"/>
            <w:col w:w="7920"/>
          </w:cols>
          <w:pgMar w:left="320" w:top="119" w:right="339" w:bottom="1440" w:gutter="0" w:footer="0" w:header="0"/>
          <w:type w:val="continuous"/>
        </w:sectPr>
      </w:pP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Political subdivisions of</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0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States, Territories and</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Possessions</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24,271,177</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(73,589)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(3,324,491)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20,873,097</w:t>
            </w:r>
          </w:p>
        </w:tc>
        <w:tc>
          <w:tcPr>
            <w:tcW w:w="1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270"/>
        </w:trPr>
        <w:tc>
          <w:tcPr>
            <w:tcW w:w="20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and other bonds</w:t>
            </w:r>
          </w:p>
        </w:tc>
        <w:tc>
          <w:tcPr>
            <w:tcW w:w="34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112,507,436</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(1,024,461)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(4,690,597)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106,792,378</w:t>
            </w:r>
          </w:p>
        </w:tc>
        <w:tc>
          <w:tcPr>
            <w:tcW w:w="100" w:type="dxa"/>
            <w:vAlign w:val="bottom"/>
            <w:shd w:val="clear" w:color="auto" w:fill="CCEEFF"/>
          </w:tcPr>
          <w:p>
            <w:pPr>
              <w:spacing w:after="0"/>
              <w:rPr>
                <w:sz w:val="16"/>
                <w:szCs w:val="16"/>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Industrial and miscellaneous</w:t>
            </w:r>
          </w:p>
        </w:tc>
        <w:tc>
          <w:tcPr>
            <w:tcW w:w="3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 and</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0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other asset backed securities</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 (2)</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65,529,545</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(209,890)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(6,211,339)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59,227,963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0" w:type="dxa"/>
            <w:vAlign w:val="bottom"/>
          </w:tcPr>
          <w:p>
            <w:pPr>
              <w:spacing w:after="0"/>
              <w:rPr>
                <w:sz w:val="1"/>
                <w:szCs w:val="1"/>
                <w:color w:val="auto"/>
              </w:rPr>
            </w:pPr>
          </w:p>
        </w:tc>
      </w:tr>
      <w:tr>
        <w:trPr>
          <w:trHeight w:val="169"/>
        </w:trPr>
        <w:tc>
          <w:tcPr>
            <w:tcW w:w="2000" w:type="dxa"/>
            <w:vAlign w:val="bottom"/>
          </w:tcPr>
          <w:p>
            <w:pPr>
              <w:ind w:left="180"/>
              <w:spacing w:after="0" w:line="169" w:lineRule="exact"/>
              <w:rPr>
                <w:sz w:val="20"/>
                <w:szCs w:val="20"/>
                <w:color w:val="auto"/>
              </w:rPr>
            </w:pPr>
            <w:r>
              <w:rPr>
                <w:rFonts w:ascii="Times New Roman" w:cs="Times New Roman" w:eastAsia="Times New Roman" w:hAnsi="Times New Roman"/>
                <w:sz w:val="16"/>
                <w:szCs w:val="16"/>
                <w:color w:val="auto"/>
              </w:rPr>
              <w:t>Total fixed-maturity</w:t>
            </w:r>
          </w:p>
        </w:tc>
        <w:tc>
          <w:tcPr>
            <w:tcW w:w="340" w:type="dxa"/>
            <w:vAlign w:val="bottom"/>
            <w:tcBorders>
              <w:top w:val="single" w:sz="8" w:color="auto"/>
            </w:tcBorders>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202,308,158</w:t>
            </w:r>
          </w:p>
        </w:tc>
        <w:tc>
          <w:tcPr>
            <w:tcW w:w="80" w:type="dxa"/>
            <w:vAlign w:val="bottom"/>
          </w:tcPr>
          <w:p>
            <w:pPr>
              <w:spacing w:after="0"/>
              <w:rPr>
                <w:sz w:val="14"/>
                <w:szCs w:val="14"/>
                <w:color w:val="auto"/>
              </w:rPr>
            </w:pPr>
          </w:p>
        </w:tc>
        <w:tc>
          <w:tcPr>
            <w:tcW w:w="480" w:type="dxa"/>
            <w:vAlign w:val="bottom"/>
            <w:tcBorders>
              <w:top w:val="single" w:sz="8" w:color="auto"/>
            </w:tcBorders>
            <w:vMerge w:val="restart"/>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119,647</w:t>
            </w:r>
          </w:p>
        </w:tc>
        <w:tc>
          <w:tcPr>
            <w:tcW w:w="100" w:type="dxa"/>
            <w:vAlign w:val="bottom"/>
          </w:tcPr>
          <w:p>
            <w:pPr>
              <w:spacing w:after="0"/>
              <w:rPr>
                <w:sz w:val="14"/>
                <w:szCs w:val="14"/>
                <w:color w:val="auto"/>
              </w:rPr>
            </w:pPr>
          </w:p>
        </w:tc>
        <w:tc>
          <w:tcPr>
            <w:tcW w:w="360" w:type="dxa"/>
            <w:vAlign w:val="bottom"/>
            <w:tcBorders>
              <w:top w:val="single" w:sz="8" w:color="auto"/>
            </w:tcBorders>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(1,307,940)</w:t>
            </w:r>
          </w:p>
        </w:tc>
        <w:tc>
          <w:tcPr>
            <w:tcW w:w="100" w:type="dxa"/>
            <w:vAlign w:val="bottom"/>
          </w:tcPr>
          <w:p>
            <w:pPr>
              <w:spacing w:after="0"/>
              <w:rPr>
                <w:sz w:val="14"/>
                <w:szCs w:val="14"/>
                <w:color w:val="auto"/>
              </w:rPr>
            </w:pPr>
          </w:p>
        </w:tc>
        <w:tc>
          <w:tcPr>
            <w:tcW w:w="340" w:type="dxa"/>
            <w:vAlign w:val="bottom"/>
            <w:tcBorders>
              <w:top w:val="single" w:sz="8" w:color="auto"/>
            </w:tcBorders>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(14,226,427)</w:t>
            </w:r>
          </w:p>
        </w:tc>
        <w:tc>
          <w:tcPr>
            <w:tcW w:w="100" w:type="dxa"/>
            <w:vAlign w:val="bottom"/>
          </w:tcPr>
          <w:p>
            <w:pPr>
              <w:spacing w:after="0"/>
              <w:rPr>
                <w:sz w:val="14"/>
                <w:szCs w:val="14"/>
                <w:color w:val="auto"/>
              </w:rPr>
            </w:pPr>
          </w:p>
        </w:tc>
        <w:tc>
          <w:tcPr>
            <w:tcW w:w="320" w:type="dxa"/>
            <w:vAlign w:val="bottom"/>
            <w:tcBorders>
              <w:top w:val="single" w:sz="8" w:color="auto"/>
            </w:tcBorders>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186,893,438</w:t>
            </w:r>
          </w:p>
        </w:tc>
        <w:tc>
          <w:tcPr>
            <w:tcW w:w="100" w:type="dxa"/>
            <w:vAlign w:val="bottom"/>
          </w:tcPr>
          <w:p>
            <w:pPr>
              <w:spacing w:after="0"/>
              <w:rPr>
                <w:sz w:val="14"/>
                <w:szCs w:val="14"/>
                <w:color w:val="auto"/>
              </w:rPr>
            </w:pPr>
          </w:p>
        </w:tc>
        <w:tc>
          <w:tcPr>
            <w:tcW w:w="15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08"/>
        </w:trPr>
        <w:tc>
          <w:tcPr>
            <w:tcW w:w="2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securities</w:t>
            </w:r>
          </w:p>
        </w:tc>
        <w:tc>
          <w:tcPr>
            <w:tcW w:w="34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left="1080" w:hanging="1072"/>
        <w:spacing w:after="0" w:line="258" w:lineRule="auto"/>
        <w:tabs>
          <w:tab w:leader="none" w:pos="107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October 2022, KICO placed certain U.S. Treasury securities to fulfill the required collateral for a sale leaseback transaction in a designated custodian account (see Note 7 – Debt - “Equipment Financing”). As of December 31, 2024. KICO had sold its U.S. Treasury securities and replaced a portion of its other fixed-maturity securities in the designated custodian account. As of September 30, 2025 and December 31, 2024, the amount of required collateral was approximately $4,039,000 and $5,308,000, respectively. As of September 30, 2025 and December 31, 2024, the estimated fair value of the eligible collateral was approximately $4,039,000 and $5,308,000, respectively.</w:t>
      </w:r>
    </w:p>
    <w:p>
      <w:pPr>
        <w:spacing w:after="0" w:line="1" w:lineRule="exact"/>
        <w:rPr>
          <w:rFonts w:ascii="Times New Roman" w:cs="Times New Roman" w:eastAsia="Times New Roman" w:hAnsi="Times New Roman"/>
          <w:sz w:val="16"/>
          <w:szCs w:val="16"/>
          <w:color w:val="auto"/>
        </w:rPr>
      </w:pPr>
    </w:p>
    <w:p>
      <w:pPr>
        <w:jc w:val="both"/>
        <w:ind w:left="1080" w:hanging="1072"/>
        <w:spacing w:after="0" w:line="258" w:lineRule="auto"/>
        <w:tabs>
          <w:tab w:leader="none" w:pos="107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KICO has placed certain residential mortgage backed securities as eligible collateral in a designated custodian account related to its membership in the Federal Home Loan Bank of New York ("FHLBNY") (see Note 7 – Debt – “Federal Home Loan Bank”). The eligible collateral would be pledged to FHLBNY if KICO draws an advance from the FHLBNY credit line. As of September 30, 2025, the estimated fair value of the eligible investments was approximately $9,779,000. KICO will retain all rights regarding all securities if pledged as collateral. As of September 30, 2025 and December 31, 2024 there was no outstanding balance on the FHLBNY credit line.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u w:val="single" w:color="auto"/>
          <w:color w:val="auto"/>
        </w:rPr>
        <w:t>Equity Securities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presents a breakdown of the cost and estimated fair value of, and gross gains and losses on, investments in equity securities as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September 30, 2025 and December 31, 2024: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r>
      <w:tr>
        <w:trPr>
          <w:trHeight w:val="183"/>
        </w:trPr>
        <w:tc>
          <w:tcPr>
            <w:tcW w:w="3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Gross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of</w:t>
            </w:r>
          </w:p>
        </w:tc>
      </w:tr>
      <w:tr>
        <w:trPr>
          <w:trHeight w:val="175"/>
        </w:trPr>
        <w:tc>
          <w:tcPr>
            <w:tcW w:w="3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ind w:right="39"/>
              <w:spacing w:after="0" w:line="175"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center"/>
              <w:ind w:right="220"/>
              <w:spacing w:after="0" w:line="175"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220" w:type="dxa"/>
            <w:vAlign w:val="bottom"/>
          </w:tcPr>
          <w:p>
            <w:pPr>
              <w:spacing w:after="0"/>
              <w:rPr>
                <w:sz w:val="15"/>
                <w:szCs w:val="15"/>
                <w:color w:val="auto"/>
              </w:rPr>
            </w:pPr>
          </w:p>
        </w:tc>
        <w:tc>
          <w:tcPr>
            <w:tcW w:w="1320" w:type="dxa"/>
            <w:vAlign w:val="bottom"/>
            <w:gridSpan w:val="2"/>
          </w:tcPr>
          <w:p>
            <w:pPr>
              <w:ind w:left="140"/>
              <w:spacing w:after="0" w:line="175" w:lineRule="exact"/>
              <w:rPr>
                <w:sz w:val="20"/>
                <w:szCs w:val="20"/>
                <w:color w:val="auto"/>
              </w:rPr>
            </w:pPr>
            <w:r>
              <w:rPr>
                <w:rFonts w:ascii="Times New Roman" w:cs="Times New Roman" w:eastAsia="Times New Roman" w:hAnsi="Times New Roman"/>
                <w:sz w:val="16"/>
                <w:szCs w:val="16"/>
                <w:b w:val="1"/>
                <w:bCs w:val="1"/>
                <w:color w:val="auto"/>
              </w:rPr>
              <w:t>Estimated</w:t>
            </w:r>
          </w:p>
        </w:tc>
        <w:tc>
          <w:tcPr>
            <w:tcW w:w="16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Estimated</w:t>
            </w:r>
          </w:p>
        </w:tc>
      </w:tr>
      <w:tr>
        <w:trPr>
          <w:trHeight w:val="239"/>
        </w:trPr>
        <w:tc>
          <w:tcPr>
            <w:tcW w:w="3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Category</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Cost</w:t>
            </w:r>
          </w:p>
        </w:tc>
        <w:tc>
          <w:tcPr>
            <w:tcW w:w="80" w:type="dxa"/>
            <w:vAlign w:val="bottom"/>
          </w:tcPr>
          <w:p>
            <w:pPr>
              <w:spacing w:after="0"/>
              <w:rPr>
                <w:sz w:val="20"/>
                <w:szCs w:val="20"/>
                <w:color w:val="auto"/>
              </w:rPr>
            </w:pPr>
          </w:p>
        </w:tc>
        <w:tc>
          <w:tcPr>
            <w:tcW w:w="12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Gains</w:t>
            </w:r>
          </w:p>
        </w:tc>
        <w:tc>
          <w:tcPr>
            <w:tcW w:w="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Fair Value</w:t>
            </w:r>
          </w:p>
        </w:tc>
      </w:tr>
      <w:tr>
        <w:trPr>
          <w:trHeight w:val="466"/>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Equity Securities: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3"/>
        </w:trPr>
        <w:tc>
          <w:tcPr>
            <w:tcW w:w="3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3"/>
        </w:trPr>
        <w:tc>
          <w:tcPr>
            <w:tcW w:w="3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stocks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9,750,322</w:t>
            </w:r>
          </w:p>
        </w:tc>
        <w:tc>
          <w:tcPr>
            <w:tcW w:w="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(2,450,189)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7,300,133</w:t>
            </w:r>
          </w:p>
        </w:tc>
        <w:tc>
          <w:tcPr>
            <w:tcW w:w="8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70.1 %</w:t>
            </w:r>
          </w:p>
        </w:tc>
      </w:tr>
      <w:tr>
        <w:trPr>
          <w:trHeight w:val="210"/>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Fixed income exchange traded funds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3,711,232</w:t>
            </w: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(686,632)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3,024,600</w:t>
            </w:r>
          </w:p>
        </w:tc>
        <w:tc>
          <w:tcPr>
            <w:tcW w:w="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29.1 %</w:t>
            </w:r>
          </w:p>
        </w:tc>
      </w:tr>
      <w:tr>
        <w:trPr>
          <w:trHeight w:val="33"/>
        </w:trPr>
        <w:tc>
          <w:tcPr>
            <w:tcW w:w="3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3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FHLBNY common stock</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85,100</w:t>
            </w:r>
          </w:p>
        </w:tc>
        <w:tc>
          <w:tcPr>
            <w:tcW w:w="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85,100</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r>
      <w:tr>
        <w:trPr>
          <w:trHeight w:val="204"/>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13,546,654</w:t>
            </w:r>
          </w:p>
        </w:tc>
        <w:tc>
          <w:tcPr>
            <w:tcW w:w="80" w:type="dxa"/>
            <w:vAlign w:val="bottom"/>
          </w:tcPr>
          <w:p>
            <w:pPr>
              <w:spacing w:after="0"/>
              <w:rPr>
                <w:sz w:val="17"/>
                <w:szCs w:val="17"/>
                <w:color w:val="auto"/>
              </w:rPr>
            </w:pPr>
          </w:p>
        </w:tc>
        <w:tc>
          <w:tcPr>
            <w:tcW w:w="1220" w:type="dxa"/>
            <w:vAlign w:val="bottom"/>
            <w:tcBorders>
              <w:top w:val="single" w:sz="8" w:color="auto"/>
            </w:tcBorders>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(3,136,821)</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10,409,833</w:t>
            </w:r>
          </w:p>
        </w:tc>
        <w:tc>
          <w:tcPr>
            <w:tcW w:w="80" w:type="dxa"/>
            <w:vAlign w:val="bottom"/>
          </w:tcPr>
          <w:p>
            <w:pPr>
              <w:spacing w:after="0"/>
              <w:rPr>
                <w:sz w:val="17"/>
                <w:szCs w:val="17"/>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33"/>
        </w:trPr>
        <w:tc>
          <w:tcPr>
            <w:tcW w:w="3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1"/>
        </w:trPr>
        <w:tc>
          <w:tcPr>
            <w:tcW w:w="3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r>
      <w:tr>
        <w:trPr>
          <w:trHeight w:val="183"/>
        </w:trPr>
        <w:tc>
          <w:tcPr>
            <w:tcW w:w="3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Gross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of</w:t>
            </w:r>
          </w:p>
        </w:tc>
      </w:tr>
      <w:tr>
        <w:trPr>
          <w:trHeight w:val="176"/>
        </w:trPr>
        <w:tc>
          <w:tcPr>
            <w:tcW w:w="3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ind w:right="39"/>
              <w:spacing w:after="0" w:line="175"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center"/>
              <w:ind w:right="220"/>
              <w:spacing w:after="0" w:line="175"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220" w:type="dxa"/>
            <w:vAlign w:val="bottom"/>
          </w:tcPr>
          <w:p>
            <w:pPr>
              <w:spacing w:after="0"/>
              <w:rPr>
                <w:sz w:val="15"/>
                <w:szCs w:val="15"/>
                <w:color w:val="auto"/>
              </w:rPr>
            </w:pPr>
          </w:p>
        </w:tc>
        <w:tc>
          <w:tcPr>
            <w:tcW w:w="1320" w:type="dxa"/>
            <w:vAlign w:val="bottom"/>
            <w:gridSpan w:val="2"/>
          </w:tcPr>
          <w:p>
            <w:pPr>
              <w:ind w:left="140"/>
              <w:spacing w:after="0" w:line="175" w:lineRule="exact"/>
              <w:rPr>
                <w:sz w:val="20"/>
                <w:szCs w:val="20"/>
                <w:color w:val="auto"/>
              </w:rPr>
            </w:pPr>
            <w:r>
              <w:rPr>
                <w:rFonts w:ascii="Times New Roman" w:cs="Times New Roman" w:eastAsia="Times New Roman" w:hAnsi="Times New Roman"/>
                <w:sz w:val="16"/>
                <w:szCs w:val="16"/>
                <w:b w:val="1"/>
                <w:bCs w:val="1"/>
                <w:color w:val="auto"/>
              </w:rPr>
              <w:t>Estimated</w:t>
            </w:r>
          </w:p>
        </w:tc>
        <w:tc>
          <w:tcPr>
            <w:tcW w:w="16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Estimated</w:t>
            </w:r>
          </w:p>
        </w:tc>
      </w:tr>
      <w:tr>
        <w:trPr>
          <w:trHeight w:val="239"/>
        </w:trPr>
        <w:tc>
          <w:tcPr>
            <w:tcW w:w="3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Category</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Cost</w:t>
            </w:r>
          </w:p>
        </w:tc>
        <w:tc>
          <w:tcPr>
            <w:tcW w:w="80" w:type="dxa"/>
            <w:vAlign w:val="bottom"/>
          </w:tcPr>
          <w:p>
            <w:pPr>
              <w:spacing w:after="0"/>
              <w:rPr>
                <w:sz w:val="20"/>
                <w:szCs w:val="20"/>
                <w:color w:val="auto"/>
              </w:rPr>
            </w:pPr>
          </w:p>
        </w:tc>
        <w:tc>
          <w:tcPr>
            <w:tcW w:w="12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Gains</w:t>
            </w:r>
          </w:p>
        </w:tc>
        <w:tc>
          <w:tcPr>
            <w:tcW w:w="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Fair Value</w:t>
            </w:r>
          </w:p>
        </w:tc>
      </w:tr>
      <w:tr>
        <w:trPr>
          <w:trHeight w:val="467"/>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Equity Securities: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3"/>
        </w:trPr>
        <w:tc>
          <w:tcPr>
            <w:tcW w:w="3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3"/>
        </w:trPr>
        <w:tc>
          <w:tcPr>
            <w:tcW w:w="3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stocks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9,750,322</w:t>
            </w:r>
          </w:p>
        </w:tc>
        <w:tc>
          <w:tcPr>
            <w:tcW w:w="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(2,422,617)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7,327,705</w:t>
            </w:r>
          </w:p>
        </w:tc>
        <w:tc>
          <w:tcPr>
            <w:tcW w:w="8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71.2 %</w:t>
            </w:r>
          </w:p>
        </w:tc>
      </w:tr>
      <w:tr>
        <w:trPr>
          <w:trHeight w:val="210"/>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Fixed income exchange traded funds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3,711,232</w:t>
            </w: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(808,432)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2,902,800</w:t>
            </w:r>
          </w:p>
        </w:tc>
        <w:tc>
          <w:tcPr>
            <w:tcW w:w="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28.2 %</w:t>
            </w:r>
          </w:p>
        </w:tc>
      </w:tr>
      <w:tr>
        <w:trPr>
          <w:trHeight w:val="33"/>
        </w:trPr>
        <w:tc>
          <w:tcPr>
            <w:tcW w:w="3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3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FHLBNY common stock</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66,000</w:t>
            </w:r>
          </w:p>
        </w:tc>
        <w:tc>
          <w:tcPr>
            <w:tcW w:w="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66,000</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0.6 %</w:t>
            </w:r>
          </w:p>
        </w:tc>
      </w:tr>
      <w:tr>
        <w:trPr>
          <w:trHeight w:val="204"/>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13,527,554</w:t>
            </w:r>
          </w:p>
        </w:tc>
        <w:tc>
          <w:tcPr>
            <w:tcW w:w="80" w:type="dxa"/>
            <w:vAlign w:val="bottom"/>
          </w:tcPr>
          <w:p>
            <w:pPr>
              <w:spacing w:after="0"/>
              <w:rPr>
                <w:sz w:val="17"/>
                <w:szCs w:val="17"/>
                <w:color w:val="auto"/>
              </w:rPr>
            </w:pPr>
          </w:p>
        </w:tc>
        <w:tc>
          <w:tcPr>
            <w:tcW w:w="1220" w:type="dxa"/>
            <w:vAlign w:val="bottom"/>
            <w:tcBorders>
              <w:top w:val="single" w:sz="8" w:color="auto"/>
            </w:tcBorders>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(3,231,049)</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10,296,505</w:t>
            </w:r>
          </w:p>
        </w:tc>
        <w:tc>
          <w:tcPr>
            <w:tcW w:w="80" w:type="dxa"/>
            <w:vAlign w:val="bottom"/>
          </w:tcPr>
          <w:p>
            <w:pPr>
              <w:spacing w:after="0"/>
              <w:rPr>
                <w:sz w:val="17"/>
                <w:szCs w:val="17"/>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33"/>
        </w:trPr>
        <w:tc>
          <w:tcPr>
            <w:tcW w:w="3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1"/>
        </w:trPr>
        <w:tc>
          <w:tcPr>
            <w:tcW w:w="3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u w:val="single" w:color="auto"/>
          <w:color w:val="auto"/>
        </w:rPr>
        <w:t>Other Investments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presents a breakdown of the cost and estimated fair value of, and gross gains on our other investments as of September 30, 2025 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2024:</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Category</w:t>
            </w:r>
          </w:p>
        </w:tc>
        <w:tc>
          <w:tcPr>
            <w:tcW w:w="100" w:type="dxa"/>
            <w:vAlign w:val="bottom"/>
            <w:vMerge w:val="restart"/>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vMerge w:val="restart"/>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Cost</w:t>
            </w:r>
          </w:p>
        </w:tc>
        <w:tc>
          <w:tcPr>
            <w:tcW w:w="80" w:type="dxa"/>
            <w:vAlign w:val="bottom"/>
            <w:tcBorders>
              <w:top w:val="single" w:sz="8" w:color="auto"/>
            </w:tcBorders>
            <w:vMerge w:val="restart"/>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2"/>
          </w:tcPr>
          <w:p>
            <w:pPr>
              <w:jc w:val="center"/>
              <w:ind w:right="420"/>
              <w:spacing w:after="0" w:line="181"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2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ind w:left="140"/>
              <w:spacing w:after="0" w:line="181" w:lineRule="exact"/>
              <w:rPr>
                <w:sz w:val="20"/>
                <w:szCs w:val="20"/>
                <w:color w:val="auto"/>
              </w:rPr>
            </w:pPr>
            <w:r>
              <w:rPr>
                <w:rFonts w:ascii="Times New Roman" w:cs="Times New Roman" w:eastAsia="Times New Roman" w:hAnsi="Times New Roman"/>
                <w:sz w:val="16"/>
                <w:szCs w:val="16"/>
                <w:b w:val="1"/>
                <w:bCs w:val="1"/>
                <w:color w:val="auto"/>
              </w:rPr>
              <w:t>Estimated</w:t>
            </w:r>
          </w:p>
        </w:tc>
        <w:tc>
          <w:tcPr>
            <w:tcW w:w="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vMerge w:val="restart"/>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Cost</w:t>
            </w:r>
          </w:p>
        </w:tc>
        <w:tc>
          <w:tcPr>
            <w:tcW w:w="100" w:type="dxa"/>
            <w:vAlign w:val="bottom"/>
            <w:tcBorders>
              <w:top w:val="single" w:sz="8" w:color="auto"/>
            </w:tcBorders>
            <w:vMerge w:val="restart"/>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2"/>
          </w:tcPr>
          <w:p>
            <w:pPr>
              <w:ind w:left="220"/>
              <w:spacing w:after="0" w:line="181" w:lineRule="exact"/>
              <w:rPr>
                <w:sz w:val="20"/>
                <w:szCs w:val="20"/>
                <w:color w:val="auto"/>
              </w:rPr>
            </w:pPr>
            <w:r>
              <w:rPr>
                <w:rFonts w:ascii="Times New Roman" w:cs="Times New Roman" w:eastAsia="Times New Roman" w:hAnsi="Times New Roman"/>
                <w:sz w:val="16"/>
                <w:szCs w:val="16"/>
                <w:b w:val="1"/>
                <w:bCs w:val="1"/>
                <w:color w:val="auto"/>
              </w:rPr>
              <w:t>Gross</w:t>
            </w:r>
          </w:p>
        </w:tc>
        <w:tc>
          <w:tcPr>
            <w:tcW w:w="2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ind w:left="140"/>
              <w:spacing w:after="0" w:line="181" w:lineRule="exact"/>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225"/>
        </w:trPr>
        <w:tc>
          <w:tcPr>
            <w:tcW w:w="19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Gains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467"/>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Other Investments: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2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Hedge fund</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1,987,040</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2,902,108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4,889,148</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1,987,040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2,393,616</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4,380,656</w:t>
            </w: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u w:val="single" w:color="auto"/>
          <w:color w:val="auto"/>
        </w:rPr>
        <w:t>Held-to-Maturity Securities</w:t>
      </w:r>
    </w:p>
    <w:p>
      <w:pPr>
        <w:spacing w:after="0" w:line="235" w:lineRule="exact"/>
        <w:rPr>
          <w:sz w:val="20"/>
          <w:szCs w:val="20"/>
          <w:color w:val="auto"/>
        </w:rPr>
      </w:pPr>
    </w:p>
    <w:p>
      <w:pPr>
        <w:jc w:val="both"/>
        <w:ind w:right="20" w:firstLine="648"/>
        <w:spacing w:after="0" w:line="280" w:lineRule="auto"/>
        <w:rPr>
          <w:sz w:val="20"/>
          <w:szCs w:val="20"/>
          <w:color w:val="auto"/>
        </w:rPr>
      </w:pPr>
      <w:r>
        <w:rPr>
          <w:rFonts w:ascii="Times New Roman" w:cs="Times New Roman" w:eastAsia="Times New Roman" w:hAnsi="Times New Roman"/>
          <w:sz w:val="16"/>
          <w:szCs w:val="16"/>
          <w:color w:val="auto"/>
        </w:rPr>
        <w:t>The following table presents a breakdown of the amortized cost and estimated fair value of, and gross unrealized gains and losses on, investments in held-to-maturity securities as of September 30, 2025 and December 31, 2024:</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76"/>
        </w:trPr>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Cost or</w:t>
            </w:r>
          </w:p>
        </w:tc>
        <w:tc>
          <w:tcPr>
            <w:tcW w:w="220" w:type="dxa"/>
            <w:vAlign w:val="bottom"/>
          </w:tcPr>
          <w:p>
            <w:pPr>
              <w:spacing w:after="0"/>
              <w:rPr>
                <w:sz w:val="24"/>
                <w:szCs w:val="24"/>
                <w:color w:val="auto"/>
              </w:rPr>
            </w:pPr>
          </w:p>
        </w:tc>
        <w:tc>
          <w:tcPr>
            <w:tcW w:w="13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200" w:type="dxa"/>
            <w:vAlign w:val="bottom"/>
          </w:tcPr>
          <w:p>
            <w:pPr>
              <w:spacing w:after="0"/>
              <w:rPr>
                <w:sz w:val="24"/>
                <w:szCs w:val="24"/>
                <w:color w:val="auto"/>
              </w:rPr>
            </w:pPr>
          </w:p>
        </w:tc>
        <w:tc>
          <w:tcPr>
            <w:tcW w:w="2880" w:type="dxa"/>
            <w:vAlign w:val="bottom"/>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Gross Unrealized Losses</w:t>
            </w:r>
          </w:p>
        </w:tc>
        <w:tc>
          <w:tcPr>
            <w:tcW w:w="220" w:type="dxa"/>
            <w:vAlign w:val="bottom"/>
          </w:tcPr>
          <w:p>
            <w:pPr>
              <w:spacing w:after="0"/>
              <w:rPr>
                <w:sz w:val="24"/>
                <w:szCs w:val="24"/>
                <w:color w:val="auto"/>
              </w:rPr>
            </w:pPr>
          </w:p>
        </w:tc>
        <w:tc>
          <w:tcPr>
            <w:tcW w:w="13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 of</w:t>
            </w: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15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20"/>
              <w:spacing w:after="0" w:line="167"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220" w:type="dxa"/>
            <w:vAlign w:val="bottom"/>
          </w:tcPr>
          <w:p>
            <w:pPr>
              <w:spacing w:after="0"/>
              <w:rPr>
                <w:sz w:val="14"/>
                <w:szCs w:val="14"/>
                <w:color w:val="auto"/>
              </w:rPr>
            </w:pPr>
          </w:p>
        </w:tc>
        <w:tc>
          <w:tcPr>
            <w:tcW w:w="1320" w:type="dxa"/>
            <w:vAlign w:val="bottom"/>
            <w:gridSpan w:val="2"/>
          </w:tcPr>
          <w:p>
            <w:pPr>
              <w:ind w:left="120"/>
              <w:spacing w:after="0" w:line="167"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00" w:type="dxa"/>
            <w:vAlign w:val="bottom"/>
          </w:tcPr>
          <w:p>
            <w:pPr>
              <w:spacing w:after="0"/>
              <w:rPr>
                <w:sz w:val="14"/>
                <w:szCs w:val="14"/>
                <w:color w:val="auto"/>
              </w:rPr>
            </w:pPr>
          </w:p>
        </w:tc>
        <w:tc>
          <w:tcPr>
            <w:tcW w:w="1340" w:type="dxa"/>
            <w:vAlign w:val="bottom"/>
            <w:gridSpan w:val="2"/>
          </w:tcPr>
          <w:p>
            <w:pPr>
              <w:jc w:val="center"/>
              <w:ind w:right="280"/>
              <w:spacing w:after="0" w:line="167" w:lineRule="exact"/>
              <w:rPr>
                <w:sz w:val="20"/>
                <w:szCs w:val="20"/>
                <w:color w:val="auto"/>
              </w:rPr>
            </w:pPr>
            <w:r>
              <w:rPr>
                <w:rFonts w:ascii="Times New Roman" w:cs="Times New Roman" w:eastAsia="Times New Roman" w:hAnsi="Times New Roman"/>
                <w:sz w:val="16"/>
                <w:szCs w:val="16"/>
                <w:b w:val="1"/>
                <w:bCs w:val="1"/>
                <w:color w:val="auto"/>
              </w:rPr>
              <w:t>Less than 12</w:t>
            </w:r>
          </w:p>
        </w:tc>
        <w:tc>
          <w:tcPr>
            <w:tcW w:w="180" w:type="dxa"/>
            <w:vAlign w:val="bottom"/>
          </w:tcPr>
          <w:p>
            <w:pPr>
              <w:spacing w:after="0"/>
              <w:rPr>
                <w:sz w:val="14"/>
                <w:szCs w:val="14"/>
                <w:color w:val="auto"/>
              </w:rPr>
            </w:pPr>
          </w:p>
        </w:tc>
        <w:tc>
          <w:tcPr>
            <w:tcW w:w="1260" w:type="dxa"/>
            <w:vAlign w:val="bottom"/>
          </w:tcPr>
          <w:p>
            <w:pPr>
              <w:jc w:val="center"/>
              <w:ind w:right="79"/>
              <w:spacing w:after="0" w:line="167" w:lineRule="exact"/>
              <w:rPr>
                <w:sz w:val="20"/>
                <w:szCs w:val="20"/>
                <w:color w:val="auto"/>
              </w:rPr>
            </w:pPr>
            <w:r>
              <w:rPr>
                <w:rFonts w:ascii="Times New Roman" w:cs="Times New Roman" w:eastAsia="Times New Roman" w:hAnsi="Times New Roman"/>
                <w:sz w:val="16"/>
                <w:szCs w:val="16"/>
                <w:b w:val="1"/>
                <w:bCs w:val="1"/>
                <w:color w:val="auto"/>
              </w:rPr>
              <w:t>More than 12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40"/>
              <w:spacing w:after="0" w:line="167" w:lineRule="exact"/>
              <w:rPr>
                <w:sz w:val="20"/>
                <w:szCs w:val="20"/>
                <w:color w:val="auto"/>
              </w:rPr>
            </w:pPr>
            <w:r>
              <w:rPr>
                <w:rFonts w:ascii="Times New Roman" w:cs="Times New Roman" w:eastAsia="Times New Roman" w:hAnsi="Times New Roman"/>
                <w:sz w:val="16"/>
                <w:szCs w:val="16"/>
                <w:b w:val="1"/>
                <w:bCs w:val="1"/>
                <w:color w:val="auto"/>
              </w:rPr>
              <w:t>Fair</w:t>
            </w:r>
          </w:p>
        </w:tc>
        <w:tc>
          <w:tcPr>
            <w:tcW w:w="158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226"/>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Category</w:t>
            </w:r>
          </w:p>
        </w:tc>
        <w:tc>
          <w:tcPr>
            <w:tcW w:w="240" w:type="dxa"/>
            <w:vAlign w:val="bottom"/>
          </w:tcPr>
          <w:p>
            <w:pPr>
              <w:spacing w:after="0"/>
              <w:rPr>
                <w:sz w:val="19"/>
                <w:szCs w:val="19"/>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220" w:type="dxa"/>
            <w:vAlign w:val="bottom"/>
          </w:tcPr>
          <w:p>
            <w:pPr>
              <w:spacing w:after="0"/>
              <w:rPr>
                <w:sz w:val="19"/>
                <w:szCs w:val="19"/>
                <w:color w:val="auto"/>
              </w:rPr>
            </w:pPr>
          </w:p>
        </w:tc>
        <w:tc>
          <w:tcPr>
            <w:tcW w:w="132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Gains</w:t>
            </w:r>
          </w:p>
        </w:tc>
        <w:tc>
          <w:tcPr>
            <w:tcW w:w="200" w:type="dxa"/>
            <w:vAlign w:val="bottom"/>
          </w:tcPr>
          <w:p>
            <w:pPr>
              <w:spacing w:after="0"/>
              <w:rPr>
                <w:sz w:val="19"/>
                <w:szCs w:val="19"/>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Months</w:t>
            </w:r>
          </w:p>
        </w:tc>
        <w:tc>
          <w:tcPr>
            <w:tcW w:w="180" w:type="dxa"/>
            <w:vAlign w:val="bottom"/>
          </w:tcPr>
          <w:p>
            <w:pPr>
              <w:spacing w:after="0"/>
              <w:rPr>
                <w:sz w:val="19"/>
                <w:szCs w:val="19"/>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Months</w:t>
            </w:r>
          </w:p>
        </w:tc>
        <w:tc>
          <w:tcPr>
            <w:tcW w:w="220" w:type="dxa"/>
            <w:vAlign w:val="bottom"/>
          </w:tcPr>
          <w:p>
            <w:pPr>
              <w:spacing w:after="0"/>
              <w:rPr>
                <w:sz w:val="19"/>
                <w:szCs w:val="19"/>
                <w:color w:val="auto"/>
              </w:rPr>
            </w:pPr>
          </w:p>
        </w:tc>
        <w:tc>
          <w:tcPr>
            <w:tcW w:w="132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33"/>
        </w:trPr>
        <w:tc>
          <w:tcPr>
            <w:tcW w:w="1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3"/>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Held-to-Maturity</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securities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1,229,408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(17,232)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1,205,750</w:t>
            </w:r>
          </w:p>
        </w:tc>
        <w:tc>
          <w:tcPr>
            <w:tcW w:w="10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0" w:type="dxa"/>
            <w:vAlign w:val="bottom"/>
          </w:tcPr>
          <w:p>
            <w:pPr>
              <w:spacing w:after="0"/>
              <w:rPr>
                <w:sz w:val="1"/>
                <w:szCs w:val="1"/>
                <w:color w:val="auto"/>
              </w:rPr>
            </w:pPr>
          </w:p>
        </w:tc>
      </w:tr>
      <w:tr>
        <w:trPr>
          <w:trHeight w:val="270"/>
        </w:trPr>
        <w:tc>
          <w:tcPr>
            <w:tcW w:w="1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1960" w:type="dxa"/>
            <w:vAlign w:val="bottom"/>
            <w:gridSpan w:val="2"/>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Political subdivisions of</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States, Territories and</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Possessions</w:t>
            </w:r>
          </w:p>
        </w:tc>
        <w:tc>
          <w:tcPr>
            <w:tcW w:w="2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1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Exchange traded debt</w:t>
            </w:r>
          </w:p>
        </w:tc>
        <w:tc>
          <w:tcPr>
            <w:tcW w:w="2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304,111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(54,111)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10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70"/>
        </w:trPr>
        <w:tc>
          <w:tcPr>
            <w:tcW w:w="1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1960" w:type="dxa"/>
            <w:vAlign w:val="bottom"/>
            <w:gridSpan w:val="2"/>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Corporate and other bonds</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Industrial and</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miscellaneous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4,510,189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(791,264)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3,718,925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0" w:type="dxa"/>
            <w:vAlign w:val="bottom"/>
          </w:tcPr>
          <w:p>
            <w:pPr>
              <w:spacing w:after="0"/>
              <w:rPr>
                <w:sz w:val="1"/>
                <w:szCs w:val="1"/>
                <w:color w:val="auto"/>
              </w:rPr>
            </w:pPr>
          </w:p>
        </w:tc>
      </w:tr>
      <w:tr>
        <w:trPr>
          <w:trHeight w:val="250"/>
        </w:trPr>
        <w:tc>
          <w:tcPr>
            <w:tcW w:w="1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1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6,043,708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(17,232)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(851,841)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5,174,675</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5"/>
          </w:tcPr>
          <w:p>
            <w:pPr>
              <w:ind w:left="7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77"/>
        </w:trPr>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Cost or</w:t>
            </w:r>
          </w:p>
        </w:tc>
        <w:tc>
          <w:tcPr>
            <w:tcW w:w="120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Gross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80" w:type="dxa"/>
            <w:vAlign w:val="bottom"/>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Gross Unrealized Losses</w:t>
            </w:r>
          </w:p>
        </w:tc>
        <w:tc>
          <w:tcPr>
            <w:tcW w:w="220" w:type="dxa"/>
            <w:vAlign w:val="bottom"/>
          </w:tcPr>
          <w:p>
            <w:pPr>
              <w:spacing w:after="0"/>
              <w:rPr>
                <w:sz w:val="24"/>
                <w:szCs w:val="24"/>
                <w:color w:val="auto"/>
              </w:rPr>
            </w:pPr>
          </w:p>
        </w:tc>
        <w:tc>
          <w:tcPr>
            <w:tcW w:w="13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 of</w:t>
            </w: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20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15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center"/>
              <w:ind w:right="320"/>
              <w:spacing w:after="0" w:line="181"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1200" w:type="dxa"/>
            <w:vAlign w:val="bottom"/>
          </w:tcPr>
          <w:p>
            <w:pPr>
              <w:jc w:val="right"/>
              <w:ind w:right="39"/>
              <w:spacing w:after="0" w:line="181"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ind w:left="80"/>
              <w:spacing w:after="0" w:line="181" w:lineRule="exact"/>
              <w:rPr>
                <w:sz w:val="20"/>
                <w:szCs w:val="20"/>
                <w:color w:val="auto"/>
              </w:rPr>
            </w:pPr>
            <w:r>
              <w:rPr>
                <w:rFonts w:ascii="Times New Roman" w:cs="Times New Roman" w:eastAsia="Times New Roman" w:hAnsi="Times New Roman"/>
                <w:sz w:val="16"/>
                <w:szCs w:val="16"/>
                <w:b w:val="1"/>
                <w:bCs w:val="1"/>
                <w:color w:val="auto"/>
              </w:rPr>
              <w:t>Less than 12</w:t>
            </w:r>
          </w:p>
        </w:tc>
        <w:tc>
          <w:tcPr>
            <w:tcW w:w="180" w:type="dxa"/>
            <w:vAlign w:val="bottom"/>
          </w:tcPr>
          <w:p>
            <w:pPr>
              <w:spacing w:after="0"/>
              <w:rPr>
                <w:sz w:val="15"/>
                <w:szCs w:val="15"/>
                <w:color w:val="auto"/>
              </w:rPr>
            </w:pPr>
          </w:p>
        </w:tc>
        <w:tc>
          <w:tcPr>
            <w:tcW w:w="1280" w:type="dxa"/>
            <w:vAlign w:val="bottom"/>
          </w:tcPr>
          <w:p>
            <w:pPr>
              <w:jc w:val="right"/>
              <w:ind w:right="179"/>
              <w:spacing w:after="0" w:line="181" w:lineRule="exact"/>
              <w:rPr>
                <w:sz w:val="20"/>
                <w:szCs w:val="20"/>
                <w:color w:val="auto"/>
              </w:rPr>
            </w:pPr>
            <w:r>
              <w:rPr>
                <w:rFonts w:ascii="Times New Roman" w:cs="Times New Roman" w:eastAsia="Times New Roman" w:hAnsi="Times New Roman"/>
                <w:sz w:val="16"/>
                <w:szCs w:val="16"/>
                <w:b w:val="1"/>
                <w:bCs w:val="1"/>
                <w:color w:val="auto"/>
              </w:rPr>
              <w:t>More than 12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center"/>
              <w:ind w:right="340"/>
              <w:spacing w:after="0" w:line="181" w:lineRule="exact"/>
              <w:rPr>
                <w:sz w:val="20"/>
                <w:szCs w:val="20"/>
                <w:color w:val="auto"/>
              </w:rPr>
            </w:pPr>
            <w:r>
              <w:rPr>
                <w:rFonts w:ascii="Times New Roman" w:cs="Times New Roman" w:eastAsia="Times New Roman" w:hAnsi="Times New Roman"/>
                <w:sz w:val="16"/>
                <w:szCs w:val="16"/>
                <w:b w:val="1"/>
                <w:bCs w:val="1"/>
                <w:color w:val="auto"/>
              </w:rPr>
              <w:t>Fair</w:t>
            </w:r>
          </w:p>
        </w:tc>
        <w:tc>
          <w:tcPr>
            <w:tcW w:w="158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239"/>
        </w:trPr>
        <w:tc>
          <w:tcPr>
            <w:tcW w:w="1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Category</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100" w:type="dxa"/>
            <w:vAlign w:val="bottom"/>
          </w:tcPr>
          <w:p>
            <w:pPr>
              <w:spacing w:after="0"/>
              <w:rPr>
                <w:sz w:val="20"/>
                <w:szCs w:val="20"/>
                <w:color w:val="auto"/>
              </w:rPr>
            </w:pPr>
          </w:p>
        </w:tc>
        <w:tc>
          <w:tcPr>
            <w:tcW w:w="12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Gains</w:t>
            </w:r>
          </w:p>
        </w:tc>
        <w:tc>
          <w:tcPr>
            <w:tcW w:w="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Months</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Months</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00" w:type="dxa"/>
            <w:vAlign w:val="bottom"/>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443"/>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Held-to-Maturity</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securities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1,229,170</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(39,630)</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(15,990)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1,173,550</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0" w:type="dxa"/>
            <w:vAlign w:val="bottom"/>
          </w:tcPr>
          <w:p>
            <w:pPr>
              <w:spacing w:after="0"/>
              <w:rPr>
                <w:sz w:val="1"/>
                <w:szCs w:val="1"/>
                <w:color w:val="auto"/>
              </w:rPr>
            </w:pPr>
          </w:p>
        </w:tc>
      </w:tr>
      <w:tr>
        <w:trPr>
          <w:trHeight w:val="270"/>
        </w:trPr>
        <w:tc>
          <w:tcPr>
            <w:tcW w:w="1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Political subdivisions of</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960" w:type="dxa"/>
            <w:vAlign w:val="bottom"/>
            <w:gridSpan w:val="2"/>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States, Territories and</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Possessions</w:t>
            </w:r>
          </w:p>
        </w:tc>
        <w:tc>
          <w:tcPr>
            <w:tcW w:w="2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499,719</w:t>
            </w: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499,065</w:t>
            </w:r>
          </w:p>
        </w:tc>
        <w:tc>
          <w:tcPr>
            <w:tcW w:w="10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70"/>
        </w:trPr>
        <w:tc>
          <w:tcPr>
            <w:tcW w:w="1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Exchange traded debt</w:t>
            </w:r>
          </w:p>
        </w:tc>
        <w:tc>
          <w:tcPr>
            <w:tcW w:w="2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304,111</w:t>
            </w: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(55,611)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248,500</w:t>
            </w:r>
          </w:p>
        </w:tc>
        <w:tc>
          <w:tcPr>
            <w:tcW w:w="10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70"/>
        </w:trPr>
        <w:tc>
          <w:tcPr>
            <w:tcW w:w="1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and other bonds</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960" w:type="dxa"/>
            <w:vAlign w:val="bottom"/>
            <w:gridSpan w:val="2"/>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Industrial and</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miscellaneous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5,014,342</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(976,192)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4,038,150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0" w:type="dxa"/>
            <w:vAlign w:val="bottom"/>
          </w:tcPr>
          <w:p>
            <w:pPr>
              <w:spacing w:after="0"/>
              <w:rPr>
                <w:sz w:val="1"/>
                <w:szCs w:val="1"/>
                <w:color w:val="auto"/>
              </w:rPr>
            </w:pPr>
          </w:p>
        </w:tc>
      </w:tr>
      <w:tr>
        <w:trPr>
          <w:trHeight w:val="250"/>
        </w:trPr>
        <w:tc>
          <w:tcPr>
            <w:tcW w:w="1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1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7,047,342</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(40,284)</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(1,047,793)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5,959,265</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Held-to-maturity U.S. Treasury securities are held in trust pursuant to various states’ minimum fund requirements.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A summary of the amortized cost and fair value of our investments in held-to-maturity securities by contractual maturity as of September 30, 2025 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2024 is shown below:</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00" w:type="dxa"/>
            <w:vAlign w:val="bottom"/>
            <w:gridSpan w:val="5"/>
          </w:tcPr>
          <w:p>
            <w:pPr>
              <w:ind w:left="60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40" w:type="dxa"/>
            <w:vAlign w:val="bottom"/>
          </w:tcPr>
          <w:p>
            <w:pPr>
              <w:spacing w:after="0"/>
              <w:rPr>
                <w:sz w:val="18"/>
                <w:szCs w:val="18"/>
                <w:color w:val="auto"/>
              </w:rPr>
            </w:pPr>
          </w:p>
        </w:tc>
        <w:tc>
          <w:tcPr>
            <w:tcW w:w="2820" w:type="dxa"/>
            <w:vAlign w:val="bottom"/>
            <w:gridSpan w:val="4"/>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33"/>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5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Remaining Time to Maturity</w:t>
            </w:r>
          </w:p>
        </w:tc>
        <w:tc>
          <w:tcPr>
            <w:tcW w:w="24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2"/>
          </w:tcPr>
          <w:p>
            <w:pPr>
              <w:jc w:val="center"/>
              <w:ind w:right="320"/>
              <w:spacing w:after="0" w:line="181" w:lineRule="exact"/>
              <w:rPr>
                <w:sz w:val="20"/>
                <w:szCs w:val="20"/>
                <w:color w:val="auto"/>
              </w:rPr>
            </w:pPr>
            <w:r>
              <w:rPr>
                <w:rFonts w:ascii="Times New Roman" w:cs="Times New Roman" w:eastAsia="Times New Roman" w:hAnsi="Times New Roman"/>
                <w:sz w:val="16"/>
                <w:szCs w:val="16"/>
                <w:b w:val="1"/>
                <w:bCs w:val="1"/>
                <w:color w:val="auto"/>
                <w:w w:val="98"/>
              </w:rPr>
              <w:t>Amortized</w:t>
            </w:r>
          </w:p>
        </w:tc>
        <w:tc>
          <w:tcPr>
            <w:tcW w:w="2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ind w:left="160"/>
              <w:spacing w:after="0" w:line="181" w:lineRule="exact"/>
              <w:rPr>
                <w:sz w:val="20"/>
                <w:szCs w:val="20"/>
                <w:color w:val="auto"/>
              </w:rPr>
            </w:pPr>
            <w:r>
              <w:rPr>
                <w:rFonts w:ascii="Times New Roman" w:cs="Times New Roman" w:eastAsia="Times New Roman" w:hAnsi="Times New Roman"/>
                <w:sz w:val="16"/>
                <w:szCs w:val="16"/>
                <w:b w:val="1"/>
                <w:bCs w:val="1"/>
                <w:color w:val="auto"/>
              </w:rPr>
              <w:t>Estimated</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gridSpan w:val="2"/>
          </w:tcPr>
          <w:p>
            <w:pPr>
              <w:jc w:val="center"/>
              <w:ind w:right="360"/>
              <w:spacing w:after="0" w:line="181"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2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319"/>
              <w:spacing w:after="0" w:line="181" w:lineRule="exact"/>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225"/>
        </w:trPr>
        <w:tc>
          <w:tcPr>
            <w:tcW w:w="50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Cost</w:t>
            </w:r>
          </w:p>
        </w:tc>
        <w:tc>
          <w:tcPr>
            <w:tcW w:w="240" w:type="dxa"/>
            <w:vAlign w:val="bottom"/>
          </w:tcPr>
          <w:p>
            <w:pPr>
              <w:spacing w:after="0"/>
              <w:rPr>
                <w:sz w:val="19"/>
                <w:szCs w:val="19"/>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40" w:type="dxa"/>
            <w:vAlign w:val="bottom"/>
          </w:tcPr>
          <w:p>
            <w:pPr>
              <w:spacing w:after="0"/>
              <w:rPr>
                <w:sz w:val="19"/>
                <w:szCs w:val="19"/>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Cost</w:t>
            </w:r>
          </w:p>
        </w:tc>
        <w:tc>
          <w:tcPr>
            <w:tcW w:w="240" w:type="dxa"/>
            <w:vAlign w:val="bottom"/>
          </w:tcPr>
          <w:p>
            <w:pPr>
              <w:spacing w:after="0"/>
              <w:rPr>
                <w:sz w:val="19"/>
                <w:szCs w:val="19"/>
                <w:color w:val="auto"/>
              </w:rPr>
            </w:pPr>
          </w:p>
        </w:tc>
        <w:tc>
          <w:tcPr>
            <w:tcW w:w="12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57"/>
        </w:trPr>
        <w:tc>
          <w:tcPr>
            <w:tcW w:w="4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than one year</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499,719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499,065</w:t>
            </w:r>
          </w:p>
        </w:tc>
        <w:tc>
          <w:tcPr>
            <w:tcW w:w="0" w:type="dxa"/>
            <w:vAlign w:val="bottom"/>
          </w:tcPr>
          <w:p>
            <w:pPr>
              <w:spacing w:after="0"/>
              <w:rPr>
                <w:sz w:val="1"/>
                <w:szCs w:val="1"/>
                <w:color w:val="auto"/>
              </w:rPr>
            </w:pPr>
          </w:p>
        </w:tc>
      </w:tr>
      <w:tr>
        <w:trPr>
          <w:trHeight w:val="21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One to five years</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2,059,969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2,018,138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622,375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600,288</w:t>
            </w:r>
          </w:p>
        </w:tc>
        <w:tc>
          <w:tcPr>
            <w:tcW w:w="0" w:type="dxa"/>
            <w:vAlign w:val="bottom"/>
          </w:tcPr>
          <w:p>
            <w:pPr>
              <w:spacing w:after="0"/>
              <w:rPr>
                <w:sz w:val="1"/>
                <w:szCs w:val="1"/>
                <w:color w:val="auto"/>
              </w:rPr>
            </w:pPr>
          </w:p>
        </w:tc>
      </w:tr>
      <w:tr>
        <w:trPr>
          <w:trHeight w:val="33"/>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Five to ten years</w:t>
            </w: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1,427,579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1,323,600</w:t>
            </w:r>
          </w:p>
        </w:tc>
        <w:tc>
          <w:tcPr>
            <w:tcW w:w="0" w:type="dxa"/>
            <w:vAlign w:val="bottom"/>
          </w:tcPr>
          <w:p>
            <w:pPr>
              <w:spacing w:after="0"/>
              <w:rPr>
                <w:sz w:val="1"/>
                <w:szCs w:val="1"/>
                <w:color w:val="auto"/>
              </w:rPr>
            </w:pPr>
          </w:p>
        </w:tc>
      </w:tr>
      <w:tr>
        <w:trPr>
          <w:trHeight w:val="21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More than 10 years</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3,983,739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3,156,537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4,497,669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3,536,312</w:t>
            </w:r>
          </w:p>
        </w:tc>
        <w:tc>
          <w:tcPr>
            <w:tcW w:w="0" w:type="dxa"/>
            <w:vAlign w:val="bottom"/>
          </w:tcPr>
          <w:p>
            <w:pPr>
              <w:spacing w:after="0"/>
              <w:rPr>
                <w:sz w:val="1"/>
                <w:szCs w:val="1"/>
                <w:color w:val="auto"/>
              </w:rPr>
            </w:pPr>
          </w:p>
        </w:tc>
      </w:tr>
      <w:tr>
        <w:trPr>
          <w:trHeight w:val="33"/>
        </w:trPr>
        <w:tc>
          <w:tcPr>
            <w:tcW w:w="4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6,043,708</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5,174,675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7,047,342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5,959,265</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Credit Rating of Fixed-Maturity Securities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table below summarizes the credit quality of our available-for-sale fixed-maturity securities as of September 30, 2025 and December 31, 2024 as rated by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Standard &amp; Poor’s (or, if unavailable from Standard &amp; Poor’s, then Moody’s, Fitch, or Kroll):</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gridSpan w:val="4"/>
          </w:tcPr>
          <w:p>
            <w:pPr>
              <w:ind w:left="68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20" w:type="dxa"/>
            <w:vAlign w:val="bottom"/>
          </w:tcPr>
          <w:p>
            <w:pPr>
              <w:spacing w:after="0"/>
              <w:rPr>
                <w:sz w:val="18"/>
                <w:szCs w:val="18"/>
                <w:color w:val="auto"/>
              </w:rPr>
            </w:pPr>
          </w:p>
        </w:tc>
        <w:tc>
          <w:tcPr>
            <w:tcW w:w="2920" w:type="dxa"/>
            <w:vAlign w:val="bottom"/>
            <w:gridSpan w:val="3"/>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7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8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2"/>
          </w:tcPr>
          <w:p>
            <w:pPr>
              <w:jc w:val="center"/>
              <w:ind w:right="340"/>
              <w:spacing w:after="0" w:line="181" w:lineRule="exact"/>
              <w:rPr>
                <w:sz w:val="20"/>
                <w:szCs w:val="20"/>
                <w:color w:val="auto"/>
              </w:rPr>
            </w:pPr>
            <w:r>
              <w:rPr>
                <w:rFonts w:ascii="Times New Roman" w:cs="Times New Roman" w:eastAsia="Times New Roman" w:hAnsi="Times New Roman"/>
                <w:sz w:val="16"/>
                <w:szCs w:val="16"/>
                <w:b w:val="1"/>
                <w:bCs w:val="1"/>
                <w:color w:val="auto"/>
              </w:rPr>
              <w:t>Estimated</w:t>
            </w:r>
          </w:p>
        </w:tc>
        <w:tc>
          <w:tcPr>
            <w:tcW w:w="1600" w:type="dxa"/>
            <w:vAlign w:val="bottom"/>
            <w:tcBorders>
              <w:top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Percentage of</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2"/>
          </w:tcPr>
          <w:p>
            <w:pPr>
              <w:jc w:val="center"/>
              <w:ind w:right="340"/>
              <w:spacing w:after="0" w:line="181" w:lineRule="exact"/>
              <w:rPr>
                <w:sz w:val="20"/>
                <w:szCs w:val="20"/>
                <w:color w:val="auto"/>
              </w:rPr>
            </w:pPr>
            <w:r>
              <w:rPr>
                <w:rFonts w:ascii="Times New Roman" w:cs="Times New Roman" w:eastAsia="Times New Roman" w:hAnsi="Times New Roman"/>
                <w:sz w:val="16"/>
                <w:szCs w:val="16"/>
                <w:b w:val="1"/>
                <w:bCs w:val="1"/>
                <w:color w:val="auto"/>
              </w:rPr>
              <w:t>Estimated</w:t>
            </w:r>
          </w:p>
        </w:tc>
        <w:tc>
          <w:tcPr>
            <w:tcW w:w="16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 of</w:t>
            </w:r>
          </w:p>
        </w:tc>
        <w:tc>
          <w:tcPr>
            <w:tcW w:w="0" w:type="dxa"/>
            <w:vAlign w:val="bottom"/>
          </w:tcPr>
          <w:p>
            <w:pPr>
              <w:spacing w:after="0"/>
              <w:rPr>
                <w:sz w:val="1"/>
                <w:szCs w:val="1"/>
                <w:color w:val="auto"/>
              </w:rPr>
            </w:pPr>
          </w:p>
        </w:tc>
      </w:tr>
      <w:tr>
        <w:trPr>
          <w:trHeight w:val="43"/>
        </w:trPr>
        <w:tc>
          <w:tcPr>
            <w:tcW w:w="4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Fair</w:t>
            </w:r>
          </w:p>
        </w:tc>
        <w:tc>
          <w:tcPr>
            <w:tcW w:w="1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220" w:type="dxa"/>
            <w:vAlign w:val="bottom"/>
          </w:tcPr>
          <w:p>
            <w:pPr>
              <w:spacing w:after="0"/>
              <w:rPr>
                <w:sz w:val="3"/>
                <w:szCs w:val="3"/>
                <w:color w:val="auto"/>
              </w:rPr>
            </w:pPr>
          </w:p>
        </w:tc>
        <w:tc>
          <w:tcPr>
            <w:tcW w:w="13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Fair</w:t>
            </w:r>
          </w:p>
        </w:tc>
        <w:tc>
          <w:tcPr>
            <w:tcW w:w="16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4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6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212"/>
        </w:trPr>
        <w:tc>
          <w:tcPr>
            <w:tcW w:w="4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2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0" w:type="dxa"/>
            <w:vAlign w:val="bottom"/>
          </w:tcPr>
          <w:p>
            <w:pPr>
              <w:spacing w:after="0"/>
              <w:rPr>
                <w:sz w:val="1"/>
                <w:szCs w:val="1"/>
                <w:color w:val="auto"/>
              </w:rPr>
            </w:pPr>
          </w:p>
        </w:tc>
      </w:tr>
      <w:tr>
        <w:trPr>
          <w:trHeight w:val="464"/>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Rating</w:t>
            </w:r>
          </w:p>
        </w:tc>
        <w:tc>
          <w:tcPr>
            <w:tcW w:w="2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securities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1,008,130</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0"/>
        </w:trPr>
        <w:tc>
          <w:tcPr>
            <w:tcW w:w="486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and municipal bonds</w:t>
            </w: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AAA</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3,392,668</w:t>
            </w:r>
          </w:p>
        </w:tc>
        <w:tc>
          <w:tcPr>
            <w:tcW w:w="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3,232,352</w:t>
            </w:r>
          </w:p>
        </w:tc>
        <w:tc>
          <w:tcPr>
            <w:tcW w:w="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AA</w:t>
            </w: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23,288,077</w:t>
            </w:r>
          </w:p>
        </w:tc>
        <w:tc>
          <w:tcPr>
            <w:tcW w:w="8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22,844,557</w:t>
            </w:r>
          </w:p>
        </w:tc>
        <w:tc>
          <w:tcPr>
            <w:tcW w:w="8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210"/>
        </w:trPr>
        <w:tc>
          <w:tcPr>
            <w:tcW w:w="4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70,039,460</w:t>
            </w:r>
          </w:p>
        </w:tc>
        <w:tc>
          <w:tcPr>
            <w:tcW w:w="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61,528,377</w:t>
            </w:r>
          </w:p>
        </w:tc>
        <w:tc>
          <w:tcPr>
            <w:tcW w:w="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BBB+</w:t>
            </w: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23,604,031</w:t>
            </w:r>
          </w:p>
        </w:tc>
        <w:tc>
          <w:tcPr>
            <w:tcW w:w="8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20,827,660</w:t>
            </w:r>
          </w:p>
        </w:tc>
        <w:tc>
          <w:tcPr>
            <w:tcW w:w="8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210"/>
        </w:trPr>
        <w:tc>
          <w:tcPr>
            <w:tcW w:w="4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BBB</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18,392,953</w:t>
            </w:r>
          </w:p>
        </w:tc>
        <w:tc>
          <w:tcPr>
            <w:tcW w:w="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13,933,733</w:t>
            </w:r>
          </w:p>
        </w:tc>
        <w:tc>
          <w:tcPr>
            <w:tcW w:w="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BBB-</w:t>
            </w: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974,845</w:t>
            </w:r>
          </w:p>
        </w:tc>
        <w:tc>
          <w:tcPr>
            <w:tcW w:w="8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1,953,596</w:t>
            </w:r>
          </w:p>
        </w:tc>
        <w:tc>
          <w:tcPr>
            <w:tcW w:w="8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0"/>
        </w:trPr>
        <w:tc>
          <w:tcPr>
            <w:tcW w:w="4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BB</w:t>
            </w:r>
          </w:p>
        </w:tc>
        <w:tc>
          <w:tcPr>
            <w:tcW w:w="2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991,550</w:t>
            </w:r>
          </w:p>
        </w:tc>
        <w:tc>
          <w:tcPr>
            <w:tcW w:w="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33"/>
        </w:trPr>
        <w:tc>
          <w:tcPr>
            <w:tcW w:w="4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corporate and municipal bonds</w:t>
            </w: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139,692,034</w:t>
            </w:r>
          </w:p>
        </w:tc>
        <w:tc>
          <w:tcPr>
            <w:tcW w:w="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125,311,825</w:t>
            </w:r>
          </w:p>
        </w:tc>
        <w:tc>
          <w:tcPr>
            <w:tcW w:w="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0" w:type="dxa"/>
            <w:vAlign w:val="bottom"/>
          </w:tcPr>
          <w:p>
            <w:pPr>
              <w:spacing w:after="0"/>
              <w:rPr>
                <w:sz w:val="1"/>
                <w:szCs w:val="1"/>
                <w:color w:val="auto"/>
              </w:rPr>
            </w:pPr>
          </w:p>
        </w:tc>
      </w:tr>
      <w:tr>
        <w:trPr>
          <w:trHeight w:val="250"/>
        </w:trPr>
        <w:tc>
          <w:tcPr>
            <w:tcW w:w="486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 backed, asset backed, and other collateralized</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obligations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AAA</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38,456,140</w:t>
            </w:r>
          </w:p>
        </w:tc>
        <w:tc>
          <w:tcPr>
            <w:tcW w:w="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15,961,257</w:t>
            </w:r>
          </w:p>
        </w:tc>
        <w:tc>
          <w:tcPr>
            <w:tcW w:w="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AA</w:t>
            </w: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53,280,375</w:t>
            </w:r>
          </w:p>
        </w:tc>
        <w:tc>
          <w:tcPr>
            <w:tcW w:w="8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34,893,057</w:t>
            </w:r>
          </w:p>
        </w:tc>
        <w:tc>
          <w:tcPr>
            <w:tcW w:w="8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0" w:type="dxa"/>
            <w:vAlign w:val="bottom"/>
          </w:tcPr>
          <w:p>
            <w:pPr>
              <w:spacing w:after="0"/>
              <w:rPr>
                <w:sz w:val="1"/>
                <w:szCs w:val="1"/>
                <w:color w:val="auto"/>
              </w:rPr>
            </w:pPr>
          </w:p>
        </w:tc>
      </w:tr>
      <w:tr>
        <w:trPr>
          <w:trHeight w:val="210"/>
        </w:trPr>
        <w:tc>
          <w:tcPr>
            <w:tcW w:w="4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19,454,477</w:t>
            </w:r>
          </w:p>
        </w:tc>
        <w:tc>
          <w:tcPr>
            <w:tcW w:w="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9,927,371</w:t>
            </w:r>
          </w:p>
        </w:tc>
        <w:tc>
          <w:tcPr>
            <w:tcW w:w="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CCC</w:t>
            </w: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427,746</w:t>
            </w:r>
          </w:p>
        </w:tc>
        <w:tc>
          <w:tcPr>
            <w:tcW w:w="8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372,787</w:t>
            </w:r>
          </w:p>
        </w:tc>
        <w:tc>
          <w:tcPr>
            <w:tcW w:w="8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0"/>
        </w:trPr>
        <w:tc>
          <w:tcPr>
            <w:tcW w:w="4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CC</w:t>
            </w:r>
          </w:p>
        </w:tc>
        <w:tc>
          <w:tcPr>
            <w:tcW w:w="2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82,696</w:t>
            </w:r>
          </w:p>
        </w:tc>
        <w:tc>
          <w:tcPr>
            <w:tcW w:w="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Non rated</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321,526</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344,445</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169"/>
        </w:trPr>
        <w:tc>
          <w:tcPr>
            <w:tcW w:w="4860" w:type="dxa"/>
            <w:vAlign w:val="bottom"/>
          </w:tcPr>
          <w:p>
            <w:pPr>
              <w:ind w:left="360"/>
              <w:spacing w:after="0" w:line="169" w:lineRule="exact"/>
              <w:rPr>
                <w:sz w:val="20"/>
                <w:szCs w:val="20"/>
                <w:color w:val="auto"/>
              </w:rPr>
            </w:pPr>
            <w:r>
              <w:rPr>
                <w:rFonts w:ascii="Times New Roman" w:cs="Times New Roman" w:eastAsia="Times New Roman" w:hAnsi="Times New Roman"/>
                <w:sz w:val="16"/>
                <w:szCs w:val="16"/>
                <w:color w:val="auto"/>
              </w:rPr>
              <w:t>Total residential mortgage backed, asset backed, and other</w:t>
            </w:r>
          </w:p>
        </w:tc>
        <w:tc>
          <w:tcPr>
            <w:tcW w:w="2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111,940,264</w:t>
            </w:r>
          </w:p>
        </w:tc>
        <w:tc>
          <w:tcPr>
            <w:tcW w:w="80" w:type="dxa"/>
            <w:vAlign w:val="bottom"/>
          </w:tcPr>
          <w:p>
            <w:pPr>
              <w:spacing w:after="0"/>
              <w:rPr>
                <w:sz w:val="14"/>
                <w:szCs w:val="14"/>
                <w:color w:val="auto"/>
              </w:rPr>
            </w:pPr>
          </w:p>
        </w:tc>
        <w:tc>
          <w:tcPr>
            <w:tcW w:w="16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61,581,613</w:t>
            </w:r>
          </w:p>
        </w:tc>
        <w:tc>
          <w:tcPr>
            <w:tcW w:w="80" w:type="dxa"/>
            <w:vAlign w:val="bottom"/>
          </w:tcPr>
          <w:p>
            <w:pPr>
              <w:spacing w:after="0"/>
              <w:rPr>
                <w:sz w:val="14"/>
                <w:szCs w:val="14"/>
                <w:color w:val="auto"/>
              </w:rPr>
            </w:pPr>
          </w:p>
        </w:tc>
        <w:tc>
          <w:tcPr>
            <w:tcW w:w="16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0" w:type="dxa"/>
            <w:vAlign w:val="bottom"/>
          </w:tcPr>
          <w:p>
            <w:pPr>
              <w:spacing w:after="0"/>
              <w:rPr>
                <w:sz w:val="1"/>
                <w:szCs w:val="1"/>
                <w:color w:val="auto"/>
              </w:rPr>
            </w:pPr>
          </w:p>
        </w:tc>
      </w:tr>
      <w:tr>
        <w:trPr>
          <w:trHeight w:val="223"/>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collateralized obligations</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8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48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252,640,428</w:t>
            </w:r>
          </w:p>
        </w:tc>
        <w:tc>
          <w:tcPr>
            <w:tcW w:w="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186,893,438</w:t>
            </w:r>
          </w:p>
        </w:tc>
        <w:tc>
          <w:tcPr>
            <w:tcW w:w="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31"/>
        </w:trPr>
        <w:tc>
          <w:tcPr>
            <w:tcW w:w="4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table below summarizes the average yield by type of fixed-maturity security as of September 30, 2025 and December 31, 2024:</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Category</w:t>
            </w:r>
          </w:p>
        </w:tc>
        <w:tc>
          <w:tcPr>
            <w:tcW w:w="160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60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33"/>
        </w:trPr>
        <w:tc>
          <w:tcPr>
            <w:tcW w:w="7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16"/>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securities and obligations of U.S. government corporations and agencies</w:t>
            </w:r>
          </w:p>
        </w:tc>
        <w:tc>
          <w:tcPr>
            <w:tcW w:w="10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0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r>
      <w:tr>
        <w:trPr>
          <w:trHeight w:val="270"/>
        </w:trPr>
        <w:tc>
          <w:tcPr>
            <w:tcW w:w="7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23"/>
        </w:trPr>
        <w:tc>
          <w:tcPr>
            <w:tcW w:w="7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Political subdivisions of States, Territories and Possessions</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1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w:t>
            </w:r>
          </w:p>
        </w:tc>
      </w:tr>
      <w:tr>
        <w:trPr>
          <w:trHeight w:val="270"/>
        </w:trPr>
        <w:tc>
          <w:tcPr>
            <w:tcW w:w="7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23"/>
        </w:trPr>
        <w:tc>
          <w:tcPr>
            <w:tcW w:w="7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and other bonds Industrial and miscellaneous</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w:t>
            </w:r>
          </w:p>
        </w:tc>
      </w:tr>
      <w:tr>
        <w:trPr>
          <w:trHeight w:val="270"/>
        </w:trPr>
        <w:tc>
          <w:tcPr>
            <w:tcW w:w="7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23"/>
        </w:trPr>
        <w:tc>
          <w:tcPr>
            <w:tcW w:w="7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 backed securities</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1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w:t>
            </w:r>
          </w:p>
        </w:tc>
      </w:tr>
      <w:tr>
        <w:trPr>
          <w:trHeight w:val="270"/>
        </w:trPr>
        <w:tc>
          <w:tcPr>
            <w:tcW w:w="7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10"/>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r>
      <w:tr>
        <w:trPr>
          <w:trHeight w:val="33"/>
        </w:trPr>
        <w:tc>
          <w:tcPr>
            <w:tcW w:w="7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table below lists the weighted average maturity and effective duration in years on our fixed-maturity securities as of September 30, 2025 and December 31,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0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8"/>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effective maturity</w:t>
            </w:r>
          </w:p>
        </w:tc>
        <w:tc>
          <w:tcPr>
            <w:tcW w:w="1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270"/>
        </w:trPr>
        <w:tc>
          <w:tcPr>
            <w:tcW w:w="8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23"/>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final maturity</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r>
      <w:tr>
        <w:trPr>
          <w:trHeight w:val="270"/>
        </w:trPr>
        <w:tc>
          <w:tcPr>
            <w:tcW w:w="8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1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duration</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33"/>
        </w:trPr>
        <w:tc>
          <w:tcPr>
            <w:tcW w:w="8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Fair Value Consideration</w:t>
      </w:r>
    </w:p>
    <w:p>
      <w:pPr>
        <w:spacing w:after="0" w:line="23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Fair value is the price that would be received to sell an asset or paid to transfer a liability in a transaction involving identical or comparable assets or liabilities between market participants (an “exit price”). The fair value hierarchy distinguishes between inputs based on market data from independent sources (“observable inputs”) and a reporting entity’s internal assumptions based upon the best information available when external market data is limited or unavailable (“unobservable inputs”). The fair value hierarchy prioritizes fair value measurements into three levels based on the nature of the inputs. Quoted prices in active markets for identical assets have the highest priority (“Level 1”), followed by observable inputs other than quoted prices including prices for similar but not identical assets or liabilities (“Level 2”), and unobservable inputs, including the reporting entity’s estimates of the assumption that market participants would use, having the lowest priority (“Level 3”). As of September 30, 2025 and December 31, 2024, 59% and 53%, respectively, of the investment portfolio recorded at fair value was priced based upon quoted market prices.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b w:val="1"/>
          <w:bCs w:val="1"/>
          <w:i w:val="1"/>
          <w:iCs w:val="1"/>
          <w:color w:val="auto"/>
        </w:rPr>
        <w:t>Cash Flows</w:t>
      </w:r>
    </w:p>
    <w:p>
      <w:pPr>
        <w:spacing w:after="0" w:line="22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primary sources of cash flow are from our insurance underwriting subsidiary, KICO, and include direct premiums written, ceding commissions from our quota share reinsurers, loss recovery payments from our reinsurers, investment income and proceeds from the sale or maturity of investments. Funds are used by KICO for ceded premium payments to reinsurers, which are paid on a net basis after subtracting losses paid on reinsured claims and reinsurance commissions. KICO also uses funds for loss payments and loss adjustment expenses on our net business, commissions to producers, salaries and other underwriting expenses as well as to purchase investments and fixed assets.</w:t>
      </w:r>
    </w:p>
    <w:p>
      <w:pPr>
        <w:spacing w:after="0" w:line="180"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The primary source of cash flow for our holding company are dividends and distributions received from KICO, which are subject to statutory restrictions. For the nine months ended September 30, 2025, KICO paid dividends of $7,950,000 to the Holding Company. As of September 30, 2025, KICO had eligible unassigned surplus of $23,298,187 and may continue to pay dividends; however.</w:t>
      </w:r>
    </w:p>
    <w:p>
      <w:pPr>
        <w:spacing w:after="0" w:line="17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KICO is a member of the FHLBNY, which provides additional access to liquidity. Members have access to a variety of flexible, low-cost funding through FHLBNY’s credit products, enabling members to customize advances. Advances are to be fully collateralized; eligible collateral to pledge to FHLBNY includes residential and commercial mortgage-backed securities, along with U.S. Treasury and agency securities. See Note 3 – Investments to our condensed consolidated financial statements for eligible collateral held in a designated custodian account available for future advances. Advances are limited to 5% of KICO’s net admitted assets as of the end of the previous quarter, which is June 30, 2025. On July 6, 2023, A.M. Best withdrew KICO’s ratings as KICO requested to no longer participate in A.M. Best’s interactive rating process. As a result of the withdrawal of A.M. Best ratings, prior to April 15, 2025, KICO was only able to borrow on an overnight basis. Effective April 15, 2025, based on KICO's credit rating from FHLBNY, KICO can now borrow for a term of up to five years. The maximum allowable advance as of September 30, 2025, based on the net admitted assets as of June 30, 2025, was approximately $15,801,000. Available collateral as of September 30, 2025 was approximately $9,779,000. Effective April 15, 2025, advances are limited to 91% of the amount of available collateral. Prior to April 15, 2025, advances were limited to 85% of the amount of available collateral. There were no borrowings under this facility during Nine Months 2025.</w:t>
      </w:r>
    </w:p>
    <w:p>
      <w:pPr>
        <w:spacing w:after="0" w:line="18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6"/>
          <w:szCs w:val="16"/>
          <w:color w:val="auto"/>
        </w:rPr>
        <w:t>On April 5, 2024, we filed a shelf registration (the “Shelf Registration”) statement on Form S-3 with the SEC under the Securities Act of 1933, as amended, with regard to the registration of $50,000,000 of our equity and debt securities (the “Shelf Registration Statement”). The Shelf Registration Statement was declared effective by the SEC on April 22, 2024. Any offering made pursuant to the Shelf Registration Statement may only be made by means of a prospectus, including a prospectus supplement, forming a part of the effective Shelf Registration Statement, relating to the offering.</w:t>
      </w:r>
    </w:p>
    <w:p>
      <w:pPr>
        <w:spacing w:after="0" w:line="174"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In May 2024, we entered into a Sales Agreement with Janney Montgomery Scott LLC (the “Sales Agent”) under which we initially had the ability to issue and sell shares of our Common Stock, from time to time, through the Sales Agent, pursuant to the Shelf Registration Statement, up to an aggregate offering price of approximately $16,400,000 in what is commonly referred to as an “at-the-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market” (“ATM”) program. On January 7, 2025, we filed a prospectus supplement providing for a going forward aggregate offering price for the ATM program of $25,000,000. During the nine months ended September 30, 2025, we sold 612,999 shares of our Common Stock at a weighted average price of $16.00 per share and raised $9,464,323 in net proceeds under the ATM program. As of September 30, 2025, we had remaining capacity to sell up to an additional $15,945,937 of our Common Stock under the ATM program.</w:t>
      </w:r>
    </w:p>
    <w:p>
      <w:pPr>
        <w:spacing w:after="0" w:line="19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On September 12, 2024, we issued the 2024 Notes in the aggregate principal amount of $14,950,000 pursuant to the 2024 Exchange Agreement. Beginning in the third quarter of 2024 through the first quarter of 2025, we paid optional principal amounts, reducing the balance of the 2024 Notes, and completely satisfying the obligation on February 24, 2025.</w:t>
      </w:r>
    </w:p>
    <w:p>
      <w:pPr>
        <w:spacing w:after="0" w:line="192"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If the aforementioned sources of cash flow currently available are insufficient to cover our holding company cash requirements, we will seek to obtain additional financing.</w:t>
      </w:r>
    </w:p>
    <w:p>
      <w:pPr>
        <w:spacing w:after="0" w:line="178"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Cash flow and liquidity are categorized into three sources: (1) operating activities; (2) investing activities; and (3) financing activities, which are shown in the following table: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Nine Months ended September 30,</w:t>
            </w:r>
          </w:p>
        </w:tc>
        <w:tc>
          <w:tcPr>
            <w:tcW w:w="340" w:type="dxa"/>
            <w:vAlign w:val="bottom"/>
          </w:tcPr>
          <w:p>
            <w:pPr>
              <w:spacing w:after="0"/>
              <w:rPr>
                <w:sz w:val="18"/>
                <w:szCs w:val="18"/>
                <w:color w:val="auto"/>
              </w:rPr>
            </w:pPr>
          </w:p>
        </w:tc>
        <w:tc>
          <w:tcPr>
            <w:tcW w:w="114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33"/>
        </w:trPr>
        <w:tc>
          <w:tcPr>
            <w:tcW w:w="8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46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flows provided by (used in):</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Operating activities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53,061,543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34,959,578</w:t>
            </w:r>
          </w:p>
        </w:tc>
      </w:tr>
      <w:tr>
        <w:trPr>
          <w:trHeight w:val="210"/>
        </w:trPr>
        <w:tc>
          <w:tcPr>
            <w:tcW w:w="81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Investing activities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(56,363,084)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(9,218,359)</w:t>
            </w:r>
          </w:p>
        </w:tc>
      </w:tr>
      <w:tr>
        <w:trPr>
          <w:trHeight w:val="3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1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1,404,402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(957,419)</w:t>
            </w:r>
          </w:p>
        </w:tc>
      </w:tr>
      <w:tr>
        <w:trPr>
          <w:trHeight w:val="204"/>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(decrease) increase in cash and cash equivalents</w:t>
            </w: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(1,897,139)</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24,783,800</w:t>
            </w:r>
          </w:p>
        </w:tc>
      </w:tr>
      <w:tr>
        <w:trPr>
          <w:trHeight w:val="3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28,669,441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8,976,998</w:t>
            </w:r>
          </w:p>
        </w:tc>
      </w:tr>
      <w:tr>
        <w:trPr>
          <w:trHeight w:val="204"/>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end of period</w:t>
            </w: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26,772,302</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33,760,798</w:t>
            </w:r>
          </w:p>
        </w:tc>
      </w:tr>
      <w:tr>
        <w:trPr>
          <w:trHeight w:val="3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color w:val="auto"/>
        </w:rPr>
        <w:t>Net cash provided by operating activities was $53,062,000 in Nine Months 2025 as compared to $34,960,000 provided by operating activities in Nine Months 2024. The $18,102,000 increase in cash flows provided by operating activities in Nine Months 2025 as compared to Nine Months 2024 was primarily the result of an increase in net income (adjusted for non-cash items) of $8,224,000 and cash provided from net fluctuations in operating assets and liabilities. The net fluctuations in assets and liabilities are related to operating activities of KICO as affected by growth or declines in its operations, payments on claims and other changes, which are described above.</w:t>
      </w:r>
    </w:p>
    <w:p>
      <w:pPr>
        <w:spacing w:after="0" w:line="37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Net cash used in investing activities was $56,363,000 in Nine Months 2025 compared to $9,218,000 used in investing activities in Nine Months 2024 resulting in a $47,145,000 increase in net cash used in investing activities. In Nine Months 2025, we had net cash used by our investment portfolio of $57,870,000, compared to $7,479,000 used in Nine Months 2024. In Nine Months 2025 one of our subsidiaries received gross proceeds of $3,600,000 from the sale of real estate that was used as our headquarters building.</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Net cash provided by financing activities was $1,404,000 in Nine Months 2025 compared to $957,000 used in Nine Months 2024. In Nine Months 2025, we received net proceeds of $9,470,000 from our ATM offering. This amount was offset primarily by principal payments of $5,950,000 on our 2024 Notes, $911,000 on our equipment financing debt in connection with KICO’s sale-leaseback transaction, $549,000 for withholding taxes paid on vested restricted stock awards and the exercise of stock options, and a dividend payment of $707,000. The principal payments on the 2024 Notes were made by using a portion of the net proceeds from our ATM offering. Net cash used in financing activities in Nine Months 2024 was primarily principal payments on our equipment financing debt.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Reinsurance</w:t>
      </w:r>
    </w:p>
    <w:p>
      <w:pPr>
        <w:spacing w:after="0" w:line="237" w:lineRule="exact"/>
        <w:rPr>
          <w:sz w:val="20"/>
          <w:szCs w:val="20"/>
          <w:color w:val="auto"/>
        </w:rPr>
      </w:pPr>
    </w:p>
    <w:p>
      <w:pPr>
        <w:jc w:val="both"/>
        <w:ind w:firstLine="607"/>
        <w:spacing w:after="0" w:line="263" w:lineRule="auto"/>
        <w:rPr>
          <w:sz w:val="20"/>
          <w:szCs w:val="20"/>
          <w:color w:val="auto"/>
        </w:rPr>
      </w:pPr>
      <w:r>
        <w:rPr>
          <w:rFonts w:ascii="Times New Roman" w:cs="Times New Roman" w:eastAsia="Times New Roman" w:hAnsi="Times New Roman"/>
          <w:sz w:val="16"/>
          <w:szCs w:val="16"/>
          <w:color w:val="auto"/>
        </w:rPr>
        <w:t>On January 1, 2024, we entered into a 27% quota share reinsurance treaty for our personal lines business, which primarily consisted of homeowners’ and dwelling fire policies, covering the period from January 1, 2024 through January 1, 2025 (“2024/2025 Treaty”). Upon the expiration of the 2024/2025 Treaty on January 1, 2025, we entered into a new 16% quota share reinsurance treaty for our personal lines business, covering the period from January 1, 2025 through January 1, 2026 (“2025/2026 Treaty”).</w:t>
      </w:r>
    </w:p>
    <w:p>
      <w:pPr>
        <w:spacing w:after="0" w:line="152" w:lineRule="exact"/>
        <w:rPr>
          <w:sz w:val="20"/>
          <w:szCs w:val="20"/>
          <w:color w:val="auto"/>
        </w:rPr>
      </w:pPr>
    </w:p>
    <w:p>
      <w:pPr>
        <w:jc w:val="both"/>
        <w:ind w:firstLine="167"/>
        <w:spacing w:after="0" w:line="260" w:lineRule="auto"/>
        <w:rPr>
          <w:sz w:val="20"/>
          <w:szCs w:val="20"/>
          <w:color w:val="auto"/>
        </w:rPr>
      </w:pPr>
      <w:r>
        <w:rPr>
          <w:rFonts w:ascii="Times New Roman" w:cs="Times New Roman" w:eastAsia="Times New Roman" w:hAnsi="Times New Roman"/>
          <w:sz w:val="16"/>
          <w:szCs w:val="16"/>
          <w:color w:val="auto"/>
        </w:rPr>
        <w:t>Our excess of loss and catastrophe reinsurance treaties expired on June 30, 2025 and we entered into new excess of loss and catastrophe reinsurance treaties effective July 1, 2025 (as discussed below).The new catastrophe reinsurance treaties includes the issuance of a $125,000,000 catastrophe bond ("Series 2025-1 Notes"). The Series 2025-1 Notes were priced at 4.5% and issued through a Bermuda-registered special purpose insurer, 1886 Re Ltd., providing us with $125,000,000 of collateralized reinsurance protection. The Series 2025-1 Notes offer multi-year protection against named storm events across New York, New Jersey, Connecticut, Massachusetts and Rhode Island on an indemnity trigger and per-occurrence basis. The Series 2025-1 Notes, which were structured and placed by Aon Securities LLC, will cover four annual risk periods from July 1, 2025, through June 30, 2029.</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Effective January 1, 2024, we renewed an underlying excess of loss treaty ("Underlying XOL Treaty") covering the period from January 1, 2024 through January 1, 2025. The treaty provided 50% reinsurance coverage for losses of $400,000 in excess of $600,000. Losses from named storms were excluded from the treaty. Effective January 1, 2025, the Underlying XOL Treaty was renewed covering the period from January 1, 2025 through June 30, 2025. Effective July 1, 2025, the Underlying XOL Treaty was renewed along with our excess of loss reinsurance treaty covering the period from July 1, 2025 through June 30, 2026. Combined, the renewed treaties provide 50% reinsurance coverage for losses of $250,000 in excess of $750,000, and 100% reinsurance coverage for losses in excess of $1,000,000 up to $9,000,000 together with facultative coverage. For the period October 1, 2024 through April 30, 2025, we purchased catastrophe reinsurance which provides coverage for winter storm losses to the extent of 71% of $4,500,000 in excess of $5,500,000. For the period October 15, 2025 through April 30, 2026, we purchased catastrophe reinsurance which provides coverage for winter storm losses to the extent of 90% of $5,000,000 in excess of $5,000,000. Effective July 1, 2025, we purchased $435,000,000 of catastrophe reinsurance in excess of $5,000,000, compared to $275,000,000 of catastrophe reinsurance in excess of $5,000,000 in the expiring treaty. Material terms for our reinsurance treaties in effect for the treaty years shown below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Treaty Period</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40" w:type="dxa"/>
            <w:vAlign w:val="bottom"/>
            <w:gridSpan w:val="5"/>
          </w:tcPr>
          <w:p>
            <w:pPr>
              <w:ind w:left="660"/>
              <w:spacing w:after="0"/>
              <w:rPr>
                <w:sz w:val="20"/>
                <w:szCs w:val="20"/>
                <w:color w:val="auto"/>
              </w:rPr>
            </w:pPr>
            <w:r>
              <w:rPr>
                <w:rFonts w:ascii="Times New Roman" w:cs="Times New Roman" w:eastAsia="Times New Roman" w:hAnsi="Times New Roman"/>
                <w:sz w:val="16"/>
                <w:szCs w:val="16"/>
                <w:b w:val="1"/>
                <w:bCs w:val="1"/>
                <w:color w:val="auto"/>
              </w:rPr>
              <w:t>2025/2026 Treaty</w:t>
            </w:r>
          </w:p>
        </w:tc>
        <w:tc>
          <w:tcPr>
            <w:tcW w:w="120" w:type="dxa"/>
            <w:vAlign w:val="bottom"/>
          </w:tcPr>
          <w:p>
            <w:pPr>
              <w:spacing w:after="0"/>
              <w:rPr>
                <w:sz w:val="17"/>
                <w:szCs w:val="17"/>
                <w:color w:val="auto"/>
              </w:rPr>
            </w:pPr>
          </w:p>
        </w:tc>
        <w:tc>
          <w:tcPr>
            <w:tcW w:w="2780" w:type="dxa"/>
            <w:vAlign w:val="bottom"/>
            <w:gridSpan w:val="5"/>
          </w:tcPr>
          <w:p>
            <w:pPr>
              <w:ind w:left="680"/>
              <w:spacing w:after="0"/>
              <w:rPr>
                <w:sz w:val="20"/>
                <w:szCs w:val="20"/>
                <w:color w:val="auto"/>
              </w:rPr>
            </w:pPr>
            <w:r>
              <w:rPr>
                <w:rFonts w:ascii="Times New Roman" w:cs="Times New Roman" w:eastAsia="Times New Roman" w:hAnsi="Times New Roman"/>
                <w:sz w:val="16"/>
                <w:szCs w:val="16"/>
                <w:b w:val="1"/>
                <w:bCs w:val="1"/>
                <w:color w:val="auto"/>
              </w:rPr>
              <w:t>2024/2025 Treaty</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January 2,</w:t>
            </w:r>
          </w:p>
        </w:tc>
        <w:tc>
          <w:tcPr>
            <w:tcW w:w="1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July 1,</w:t>
            </w:r>
          </w:p>
        </w:tc>
        <w:tc>
          <w:tcPr>
            <w:tcW w:w="1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January 2,</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6"/>
              </w:rPr>
              <w:t>July 1,</w:t>
            </w:r>
          </w:p>
        </w:tc>
        <w:tc>
          <w:tcPr>
            <w:tcW w:w="1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January 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359"/>
              <w:spacing w:after="0" w:line="175" w:lineRule="exact"/>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center"/>
              <w:ind w:right="79"/>
              <w:spacing w:after="0" w:line="175" w:lineRule="exact"/>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center"/>
              <w:ind w:right="39"/>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center"/>
              <w:ind w:right="79"/>
              <w:spacing w:after="0" w:line="175" w:lineRule="exact"/>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center"/>
              <w:ind w:right="59"/>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to</w:t>
            </w:r>
          </w:p>
        </w:tc>
        <w:tc>
          <w:tcPr>
            <w:tcW w:w="14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89"/>
              </w:rPr>
              <w:t>to</w:t>
            </w:r>
          </w:p>
        </w:tc>
        <w:tc>
          <w:tcPr>
            <w:tcW w:w="12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to</w:t>
            </w:r>
          </w:p>
        </w:tc>
        <w:tc>
          <w:tcPr>
            <w:tcW w:w="12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89"/>
              </w:rPr>
              <w:t>to</w:t>
            </w:r>
          </w:p>
        </w:tc>
        <w:tc>
          <w:tcPr>
            <w:tcW w:w="14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to</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4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Line of Business</w:t>
            </w:r>
          </w:p>
        </w:tc>
        <w:tc>
          <w:tcPr>
            <w:tcW w:w="10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January 1,</w:t>
            </w:r>
          </w:p>
        </w:tc>
        <w:tc>
          <w:tcPr>
            <w:tcW w:w="12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2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January 1,</w:t>
            </w:r>
          </w:p>
        </w:tc>
        <w:tc>
          <w:tcPr>
            <w:tcW w:w="14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25"/>
        </w:trPr>
        <w:tc>
          <w:tcPr>
            <w:tcW w:w="2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3"/>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6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Personal Lines:</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26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Homeowners, dwelling fire and canine</w:t>
            </w: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legal liability</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64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Quota share treaty:</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2640" w:type="dxa"/>
            <w:vAlign w:val="bottom"/>
            <w:tcBorders>
              <w:bottom w:val="single" w:sz="8" w:color="CCEEFF"/>
            </w:tcBorders>
            <w:gridSpan w:val="4"/>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Percent ceded (6)</w:t>
            </w:r>
          </w:p>
        </w:tc>
        <w:tc>
          <w:tcPr>
            <w:tcW w:w="1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4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Risk retained on initial</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2640" w:type="dxa"/>
            <w:vAlign w:val="bottom"/>
            <w:tcBorders>
              <w:bottom w:val="single" w:sz="8" w:color="CCEEFF"/>
            </w:tcBorders>
            <w:gridSpan w:val="4"/>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$1,000,000 of losses (4) (5) (6)</w:t>
            </w:r>
          </w:p>
        </w:tc>
        <w:tc>
          <w:tcPr>
            <w:tcW w:w="1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840,000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840,000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730,000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730,000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4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Losses per occurrence</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2640" w:type="dxa"/>
            <w:vAlign w:val="bottom"/>
            <w:tcBorders>
              <w:bottom w:val="single" w:sz="8" w:color="CCEEFF"/>
            </w:tcBorders>
            <w:gridSpan w:val="4"/>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subject to quota share</w:t>
            </w:r>
          </w:p>
        </w:tc>
        <w:tc>
          <w:tcPr>
            <w:tcW w:w="1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4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reinsurance coverage</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1,000,000</w:t>
            </w:r>
          </w:p>
        </w:tc>
        <w:tc>
          <w:tcPr>
            <w:tcW w:w="1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1,000,000</w:t>
            </w:r>
          </w:p>
        </w:tc>
        <w:tc>
          <w:tcPr>
            <w:tcW w:w="1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1,000,000</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2640" w:type="dxa"/>
            <w:vAlign w:val="bottom"/>
            <w:tcBorders>
              <w:bottom w:val="single" w:sz="8" w:color="CCEEFF"/>
            </w:tcBorders>
            <w:gridSpan w:val="4"/>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Expiration date</w:t>
            </w:r>
          </w:p>
        </w:tc>
        <w:tc>
          <w:tcPr>
            <w:tcW w:w="1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January 1, 2026</w:t>
            </w:r>
          </w:p>
        </w:tc>
        <w:tc>
          <w:tcPr>
            <w:tcW w:w="1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January 1, 2026</w:t>
            </w:r>
          </w:p>
        </w:tc>
        <w:tc>
          <w:tcPr>
            <w:tcW w:w="1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January 1, 2025</w:t>
            </w:r>
          </w:p>
        </w:tc>
        <w:tc>
          <w:tcPr>
            <w:tcW w:w="1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rPr>
              <w:t>January 1, 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4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Excess of loss coverage and</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2640" w:type="dxa"/>
            <w:vAlign w:val="bottom"/>
            <w:tcBorders>
              <w:bottom w:val="single" w:sz="8" w:color="CCEEFF"/>
            </w:tcBorders>
            <w:gridSpan w:val="4"/>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facultative facility</w:t>
            </w:r>
          </w:p>
        </w:tc>
        <w:tc>
          <w:tcPr>
            <w:tcW w:w="1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4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coverage (1) (4) (5)</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8,250,000</w:t>
            </w:r>
          </w:p>
        </w:tc>
        <w:tc>
          <w:tcPr>
            <w:tcW w:w="8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8,250,000</w:t>
            </w:r>
          </w:p>
        </w:tc>
        <w:tc>
          <w:tcPr>
            <w:tcW w:w="1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8,400,000</w:t>
            </w:r>
          </w:p>
        </w:tc>
        <w:tc>
          <w:tcPr>
            <w:tcW w:w="1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8,400,000</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8,400,000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 excess of</w:t>
            </w:r>
          </w:p>
        </w:tc>
        <w:tc>
          <w:tcPr>
            <w:tcW w:w="14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 excess of</w:t>
            </w:r>
          </w:p>
        </w:tc>
        <w:tc>
          <w:tcPr>
            <w:tcW w:w="14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 excess of</w:t>
            </w:r>
          </w:p>
        </w:tc>
        <w:tc>
          <w:tcPr>
            <w:tcW w:w="14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 excess of</w:t>
            </w:r>
          </w:p>
        </w:tc>
        <w:tc>
          <w:tcPr>
            <w:tcW w:w="14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 excess of</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750,000</w:t>
            </w:r>
          </w:p>
        </w:tc>
        <w:tc>
          <w:tcPr>
            <w:tcW w:w="8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750,000</w:t>
            </w:r>
          </w:p>
        </w:tc>
        <w:tc>
          <w:tcPr>
            <w:tcW w:w="1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600,000</w:t>
            </w:r>
          </w:p>
        </w:tc>
        <w:tc>
          <w:tcPr>
            <w:tcW w:w="1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600,000</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2640" w:type="dxa"/>
            <w:vAlign w:val="bottom"/>
            <w:tcBorders>
              <w:bottom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reinsurance coverage</w:t>
            </w:r>
          </w:p>
        </w:tc>
        <w:tc>
          <w:tcPr>
            <w:tcW w:w="1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4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per occurrence (4) (5)</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8,125,000</w:t>
            </w:r>
          </w:p>
        </w:tc>
        <w:tc>
          <w:tcPr>
            <w:tcW w:w="8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8,285,000</w:t>
            </w:r>
          </w:p>
        </w:tc>
        <w:tc>
          <w:tcPr>
            <w:tcW w:w="1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8,360,000</w:t>
            </w:r>
          </w:p>
        </w:tc>
        <w:tc>
          <w:tcPr>
            <w:tcW w:w="1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8,470,000</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8,470,000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2640" w:type="dxa"/>
            <w:vAlign w:val="bottom"/>
            <w:tcBorders>
              <w:bottom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Losses per occurrence</w:t>
            </w:r>
          </w:p>
        </w:tc>
        <w:tc>
          <w:tcPr>
            <w:tcW w:w="1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4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subject to reinsurance</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2640" w:type="dxa"/>
            <w:vAlign w:val="bottom"/>
            <w:tcBorders>
              <w:bottom w:val="single" w:sz="8" w:color="CCEEFF"/>
            </w:tcBorders>
            <w:gridSpan w:val="4"/>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coverage (5)</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9,000,000</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9,000,000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9,000,000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9,000,000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9,000,000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4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Expiration date</w:t>
            </w:r>
          </w:p>
        </w:tc>
        <w:tc>
          <w:tcPr>
            <w:tcW w:w="14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June 30, 2026</w:t>
            </w:r>
          </w:p>
        </w:tc>
        <w:tc>
          <w:tcPr>
            <w:tcW w:w="140" w:type="dxa"/>
            <w:vAlign w:val="bottom"/>
          </w:tcPr>
          <w:p>
            <w:pPr>
              <w:spacing w:after="0"/>
              <w:rPr>
                <w:sz w:val="18"/>
                <w:szCs w:val="18"/>
                <w:color w:val="auto"/>
              </w:rPr>
            </w:pPr>
          </w:p>
        </w:tc>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June 30, 2026</w:t>
            </w:r>
          </w:p>
        </w:tc>
        <w:tc>
          <w:tcPr>
            <w:tcW w:w="120" w:type="dxa"/>
            <w:vAlign w:val="bottom"/>
          </w:tcPr>
          <w:p>
            <w:pPr>
              <w:spacing w:after="0"/>
              <w:rPr>
                <w:sz w:val="18"/>
                <w:szCs w:val="18"/>
                <w:color w:val="auto"/>
              </w:rPr>
            </w:pPr>
          </w:p>
        </w:tc>
        <w:tc>
          <w:tcPr>
            <w:tcW w:w="132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June 30, 2025</w:t>
            </w:r>
          </w:p>
        </w:tc>
        <w:tc>
          <w:tcPr>
            <w:tcW w:w="120" w:type="dxa"/>
            <w:vAlign w:val="bottom"/>
          </w:tcPr>
          <w:p>
            <w:pPr>
              <w:spacing w:after="0"/>
              <w:rPr>
                <w:sz w:val="18"/>
                <w:szCs w:val="18"/>
                <w:color w:val="auto"/>
              </w:rPr>
            </w:pPr>
          </w:p>
        </w:tc>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June 30, 2025</w:t>
            </w:r>
          </w:p>
        </w:tc>
        <w:tc>
          <w:tcPr>
            <w:tcW w:w="140" w:type="dxa"/>
            <w:vAlign w:val="bottom"/>
          </w:tcPr>
          <w:p>
            <w:pPr>
              <w:spacing w:after="0"/>
              <w:rPr>
                <w:sz w:val="18"/>
                <w:szCs w:val="18"/>
                <w:color w:val="auto"/>
              </w:rPr>
            </w:pPr>
          </w:p>
        </w:tc>
        <w:tc>
          <w:tcPr>
            <w:tcW w:w="134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June 30, 2024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40" w:type="dxa"/>
            <w:vAlign w:val="bottom"/>
            <w:gridSpan w:val="4"/>
          </w:tcPr>
          <w:p>
            <w:pPr>
              <w:spacing w:after="0" w:line="175" w:lineRule="exact"/>
              <w:rPr>
                <w:sz w:val="20"/>
                <w:szCs w:val="20"/>
                <w:color w:val="auto"/>
              </w:rPr>
            </w:pPr>
            <w:r>
              <w:rPr>
                <w:rFonts w:ascii="Times New Roman" w:cs="Times New Roman" w:eastAsia="Times New Roman" w:hAnsi="Times New Roman"/>
                <w:sz w:val="16"/>
                <w:szCs w:val="16"/>
                <w:color w:val="auto"/>
              </w:rPr>
              <w:t>Catastrophe Reinsurance:</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2640" w:type="dxa"/>
            <w:vAlign w:val="bottom"/>
            <w:tcBorders>
              <w:bottom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Initial loss subject to personal</w:t>
            </w:r>
          </w:p>
        </w:tc>
        <w:tc>
          <w:tcPr>
            <w:tcW w:w="1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4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lines quota share treaty (5)</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10,000,000</w:t>
            </w:r>
          </w:p>
        </w:tc>
        <w:tc>
          <w:tcPr>
            <w:tcW w:w="1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10,000,000</w:t>
            </w:r>
          </w:p>
        </w:tc>
        <w:tc>
          <w:tcPr>
            <w:tcW w:w="1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10,000,000</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2640" w:type="dxa"/>
            <w:vAlign w:val="bottom"/>
            <w:tcBorders>
              <w:bottom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Risk retained per catastrophe</w:t>
            </w:r>
          </w:p>
        </w:tc>
        <w:tc>
          <w:tcPr>
            <w:tcW w:w="1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4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occurrence (5) (6) (7) (8)</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6,000,000</w:t>
            </w:r>
          </w:p>
        </w:tc>
        <w:tc>
          <w:tcPr>
            <w:tcW w:w="8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5,000,000</w:t>
            </w:r>
          </w:p>
        </w:tc>
        <w:tc>
          <w:tcPr>
            <w:tcW w:w="1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4,250,000</w:t>
            </w:r>
          </w:p>
        </w:tc>
        <w:tc>
          <w:tcPr>
            <w:tcW w:w="1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4,750,000</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2640" w:type="dxa"/>
            <w:vAlign w:val="bottom"/>
            <w:tcBorders>
              <w:bottom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Catastrophe loss</w:t>
            </w:r>
          </w:p>
        </w:tc>
        <w:tc>
          <w:tcPr>
            <w:tcW w:w="1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4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coverage (2) (5) (8)</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434,000,000</w:t>
            </w:r>
          </w:p>
        </w:tc>
        <w:tc>
          <w:tcPr>
            <w:tcW w:w="8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435,000,000</w:t>
            </w:r>
          </w:p>
        </w:tc>
        <w:tc>
          <w:tcPr>
            <w:tcW w:w="1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275,000,000</w:t>
            </w:r>
          </w:p>
        </w:tc>
        <w:tc>
          <w:tcPr>
            <w:tcW w:w="1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275,000,000</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315,000,000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4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Reinstatement premium</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640" w:type="dxa"/>
            <w:vAlign w:val="bottom"/>
            <w:gridSpan w:val="4"/>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protection (3)</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Yes</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6"/>
              </w:rPr>
              <w:t>Yes</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88"/>
              </w:rPr>
              <w:t>Yes</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6"/>
              </w:rPr>
              <w:t>Yes</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w w:val="88"/>
              </w:rPr>
              <w:t>Yes</w:t>
            </w:r>
          </w:p>
        </w:tc>
        <w:tc>
          <w:tcPr>
            <w:tcW w:w="0" w:type="dxa"/>
            <w:vAlign w:val="bottom"/>
          </w:tcPr>
          <w:p>
            <w:pPr>
              <w:spacing w:after="0"/>
              <w:rPr>
                <w:sz w:val="1"/>
                <w:szCs w:val="1"/>
                <w:color w:val="auto"/>
              </w:rPr>
            </w:pPr>
          </w:p>
        </w:tc>
      </w:tr>
      <w:tr>
        <w:trPr>
          <w:trHeight w:val="33"/>
        </w:trPr>
        <w:tc>
          <w:tcPr>
            <w:tcW w:w="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9" w:right="1440"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900" w:hanging="892"/>
        <w:spacing w:after="0" w:line="260" w:lineRule="auto"/>
        <w:tabs>
          <w:tab w:leader="none" w:pos="9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personal lines, includes the addition of an automatic facultative facility allowing KICO to obtain homeowners single risk coverage up to $9,000,000 in total insured value, which covers direct losses from $3,500,000 to $9,000,000 through June 30, 2025.</w:t>
      </w:r>
    </w:p>
    <w:p>
      <w:pPr>
        <w:jc w:val="both"/>
        <w:ind w:left="900" w:hanging="892"/>
        <w:spacing w:after="0" w:line="256" w:lineRule="auto"/>
        <w:tabs>
          <w:tab w:leader="none" w:pos="9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Catastrophe coverage is limited on an annual basis to two times the per occurrence amounts, except for one occurrence on 80% of the first layer of $5,000,000 in excess of $5,000,000, and one occurrence on 52% of the top layer of $240,000,000 in excess of $200,000,000, which is covered under the catastrophe bond. Duration of 168 consecutive hours for a catastrophe occurrence from windstorm, hail, tornado, hurricane and cyclone.</w:t>
      </w:r>
    </w:p>
    <w:p>
      <w:pPr>
        <w:spacing w:after="0" w:line="1" w:lineRule="exact"/>
        <w:rPr>
          <w:rFonts w:ascii="Times New Roman" w:cs="Times New Roman" w:eastAsia="Times New Roman" w:hAnsi="Times New Roman"/>
          <w:sz w:val="16"/>
          <w:szCs w:val="16"/>
          <w:color w:val="auto"/>
        </w:rPr>
      </w:pPr>
    </w:p>
    <w:p>
      <w:pPr>
        <w:jc w:val="both"/>
        <w:ind w:left="900" w:hanging="892"/>
        <w:spacing w:after="0" w:line="252" w:lineRule="auto"/>
        <w:tabs>
          <w:tab w:leader="none" w:pos="9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period July 1, 2024 through June 30, 2025, reinstatement premium protection for $50,000,000 of catastrophe coverage in excess of $10,000,000. For the period July 1, 2025 through June 30, 2026 (expiration date of the catastrophe reinsurance treaty), reinstatement premium protection for $50,000,000 of catastrophe coverage in excess of $10,000,000.</w:t>
      </w:r>
    </w:p>
    <w:p>
      <w:pPr>
        <w:jc w:val="both"/>
        <w:ind w:left="900" w:hanging="892"/>
        <w:spacing w:after="0" w:line="253" w:lineRule="auto"/>
        <w:tabs>
          <w:tab w:leader="none" w:pos="9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period January 1, 2024 through June 30, 2025, Underlying XOL Treaty provides 50% reinsurance coverage for losses of $400,000 in excess of $600,000. Excludes losses from named storms. Reduces retention to $530,000 from $730,000 under the 2024/2025 Treaty. Retention increases to $640,000 from $530,000 under the 2025/2026 Treaty. For the period July 1, 2025 through June 30, 2026, the Underlying XOL Treaty combined with the excess of loss treaty provide 50% reinsurance coverage for losses of $250,000 in excess of $750,000, and 100% reinsurance coverage for losses in excess of $1,000,000 up to $9,000,000 together with facultative coverage. Increased retention to $715,000 from $640,000 under the 2025/2026 Treaty (see note 5 below).</w:t>
      </w:r>
    </w:p>
    <w:p>
      <w:pPr>
        <w:spacing w:after="0" w:line="2" w:lineRule="exact"/>
        <w:rPr>
          <w:rFonts w:ascii="Times New Roman" w:cs="Times New Roman" w:eastAsia="Times New Roman" w:hAnsi="Times New Roman"/>
          <w:sz w:val="16"/>
          <w:szCs w:val="16"/>
          <w:color w:val="auto"/>
        </w:rPr>
      </w:pPr>
    </w:p>
    <w:p>
      <w:pPr>
        <w:jc w:val="both"/>
        <w:ind w:left="900" w:hanging="892"/>
        <w:spacing w:after="0" w:line="252" w:lineRule="auto"/>
        <w:tabs>
          <w:tab w:leader="none" w:pos="9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personal lines quota share treaty (homeowners, dwelling fire and canine liability) will expire on January 1, 2026, with none of these coverages to be in effect during the period from January 2, 2026 through June 30, 2026. If and when this treaty is renewed on January 2, 2026, the personal lines quota share treaty, will be as provided for therein. Reinsurance coverage in effect from January 2, 2026 through June 30, 2026 is only for excess of loss, Underlying XOL, and catastrophe reinsurance treaties.</w:t>
      </w:r>
    </w:p>
    <w:p>
      <w:pPr>
        <w:ind w:left="900" w:right="140" w:hanging="892"/>
        <w:spacing w:after="0" w:line="253" w:lineRule="auto"/>
        <w:tabs>
          <w:tab w:leader="none" w:pos="9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2024/2025 Treaty, 22% of the 27% total of losses ceded under this treaty are excluded from a named catastrophe event. For the 2025/2026 Treaty, 6% of the 16% total of losses ceded under this treaty are excluded from a named catastrophe event.</w:t>
      </w:r>
    </w:p>
    <w:p>
      <w:pPr>
        <w:ind w:left="900" w:hanging="892"/>
        <w:spacing w:after="0"/>
        <w:tabs>
          <w:tab w:leader="none" w:pos="9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Plus losses in excess of catastrophe coverage</w:t>
      </w:r>
    </w:p>
    <w:p>
      <w:pPr>
        <w:spacing w:after="0" w:line="8" w:lineRule="exact"/>
        <w:rPr>
          <w:rFonts w:ascii="Times New Roman" w:cs="Times New Roman" w:eastAsia="Times New Roman" w:hAnsi="Times New Roman"/>
          <w:sz w:val="16"/>
          <w:szCs w:val="16"/>
          <w:color w:val="auto"/>
        </w:rPr>
      </w:pPr>
    </w:p>
    <w:p>
      <w:pPr>
        <w:ind w:left="900" w:right="100" w:hanging="892"/>
        <w:spacing w:after="0" w:line="258" w:lineRule="auto"/>
        <w:tabs>
          <w:tab w:leader="none" w:pos="9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 July 1, 2025 through June 30, 2026, catastrophe coverage is 80% of the first layer of $5,000,000 in excess of $5,000,000. The remaining coverage is at 100% of $430,000,000 in excess of $10,000,000. For the period October 1, 2024 through April 30, 2025, additional catastrophe reinsurance treaty provided coverage for winter storm losses to the extent of 71% of $4,500,000 in excess of $5,500,000. For the period October 15, 2025 through April 30, 2026, additional catastrophe reinsurance treaty will provide coverage for winter storm losses to the extent of 90% of $5,000,000 in excess of $5,000,000. Retention for winter storms under this treaty is $4,800,000 under the 2024/2025 Treaty, $5,200,000 under the 2025/2026 Treaty from January 1, 2025 through April 30, 2025, and $3,900,000 from October 15, 2025 through January 1, 2026, the expiration date of the 2025/2026 Treaty.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Treaty Year</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gridSpan w:val="2"/>
          </w:tcPr>
          <w:p>
            <w:pPr>
              <w:jc w:val="center"/>
              <w:ind w:right="280"/>
              <w:spacing w:after="0" w:line="181" w:lineRule="exact"/>
              <w:rPr>
                <w:sz w:val="20"/>
                <w:szCs w:val="20"/>
                <w:color w:val="auto"/>
              </w:rPr>
            </w:pPr>
            <w:r>
              <w:rPr>
                <w:rFonts w:ascii="Times New Roman" w:cs="Times New Roman" w:eastAsia="Times New Roman" w:hAnsi="Times New Roman"/>
                <w:sz w:val="16"/>
                <w:szCs w:val="16"/>
                <w:b w:val="1"/>
                <w:bCs w:val="1"/>
                <w:color w:val="auto"/>
              </w:rPr>
              <w:t>July 1, 2025</w:t>
            </w:r>
          </w:p>
        </w:tc>
        <w:tc>
          <w:tcPr>
            <w:tcW w:w="220" w:type="dxa"/>
            <w:vAlign w:val="bottom"/>
          </w:tcPr>
          <w:p>
            <w:pPr>
              <w:spacing w:after="0"/>
              <w:rPr>
                <w:sz w:val="15"/>
                <w:szCs w:val="15"/>
                <w:color w:val="auto"/>
              </w:rPr>
            </w:pPr>
          </w:p>
        </w:tc>
        <w:tc>
          <w:tcPr>
            <w:tcW w:w="1460" w:type="dxa"/>
            <w:vAlign w:val="bottom"/>
            <w:gridSpan w:val="2"/>
          </w:tcPr>
          <w:p>
            <w:pPr>
              <w:jc w:val="center"/>
              <w:ind w:right="320"/>
              <w:spacing w:after="0" w:line="181" w:lineRule="exact"/>
              <w:rPr>
                <w:sz w:val="20"/>
                <w:szCs w:val="20"/>
                <w:color w:val="auto"/>
              </w:rPr>
            </w:pPr>
            <w:r>
              <w:rPr>
                <w:rFonts w:ascii="Times New Roman" w:cs="Times New Roman" w:eastAsia="Times New Roman" w:hAnsi="Times New Roman"/>
                <w:sz w:val="16"/>
                <w:szCs w:val="16"/>
                <w:b w:val="1"/>
                <w:bCs w:val="1"/>
                <w:color w:val="auto"/>
              </w:rPr>
              <w:t>July 1, 2024</w:t>
            </w:r>
          </w:p>
        </w:tc>
        <w:tc>
          <w:tcPr>
            <w:tcW w:w="200" w:type="dxa"/>
            <w:vAlign w:val="bottom"/>
          </w:tcPr>
          <w:p>
            <w:pPr>
              <w:spacing w:after="0"/>
              <w:rPr>
                <w:sz w:val="15"/>
                <w:szCs w:val="15"/>
                <w:color w:val="auto"/>
              </w:rPr>
            </w:pPr>
          </w:p>
        </w:tc>
        <w:tc>
          <w:tcPr>
            <w:tcW w:w="1380" w:type="dxa"/>
            <w:vAlign w:val="bottom"/>
          </w:tcPr>
          <w:p>
            <w:pPr>
              <w:jc w:val="center"/>
              <w:ind w:right="119"/>
              <w:spacing w:after="0" w:line="181" w:lineRule="exact"/>
              <w:rPr>
                <w:sz w:val="20"/>
                <w:szCs w:val="20"/>
                <w:color w:val="auto"/>
              </w:rPr>
            </w:pPr>
            <w:r>
              <w:rPr>
                <w:rFonts w:ascii="Times New Roman" w:cs="Times New Roman" w:eastAsia="Times New Roman" w:hAnsi="Times New Roman"/>
                <w:sz w:val="16"/>
                <w:szCs w:val="16"/>
                <w:b w:val="1"/>
                <w:bCs w:val="1"/>
                <w:color w:val="auto"/>
              </w:rPr>
              <w:t>July 1, 2023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2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Line of Business</w:t>
            </w:r>
          </w:p>
        </w:tc>
        <w:tc>
          <w:tcPr>
            <w:tcW w:w="100" w:type="dxa"/>
            <w:vAlign w:val="bottom"/>
            <w:vMerge w:val="restart"/>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89"/>
              </w:rPr>
              <w:t>to</w:t>
            </w:r>
          </w:p>
        </w:tc>
        <w:tc>
          <w:tcPr>
            <w:tcW w:w="220" w:type="dxa"/>
            <w:vAlign w:val="bottom"/>
          </w:tcPr>
          <w:p>
            <w:pPr>
              <w:spacing w:after="0"/>
              <w:rPr>
                <w:sz w:val="16"/>
                <w:szCs w:val="16"/>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to</w:t>
            </w:r>
          </w:p>
        </w:tc>
        <w:tc>
          <w:tcPr>
            <w:tcW w:w="200" w:type="dxa"/>
            <w:vAlign w:val="bottom"/>
          </w:tcPr>
          <w:p>
            <w:pPr>
              <w:spacing w:after="0"/>
              <w:rPr>
                <w:sz w:val="16"/>
                <w:szCs w:val="16"/>
                <w:color w:val="auto"/>
              </w:rPr>
            </w:pPr>
          </w:p>
        </w:tc>
        <w:tc>
          <w:tcPr>
            <w:tcW w:w="138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to</w:t>
            </w:r>
          </w:p>
        </w:tc>
        <w:tc>
          <w:tcPr>
            <w:tcW w:w="0" w:type="dxa"/>
            <w:vAlign w:val="bottom"/>
          </w:tcPr>
          <w:p>
            <w:pPr>
              <w:spacing w:after="0"/>
              <w:rPr>
                <w:sz w:val="1"/>
                <w:szCs w:val="1"/>
                <w:color w:val="auto"/>
              </w:rPr>
            </w:pPr>
          </w:p>
        </w:tc>
      </w:tr>
      <w:tr>
        <w:trPr>
          <w:trHeight w:val="225"/>
        </w:trPr>
        <w:tc>
          <w:tcPr>
            <w:tcW w:w="20" w:type="dxa"/>
            <w:vAlign w:val="bottom"/>
            <w:tcBorders>
              <w:bottom w:val="single" w:sz="8" w:color="auto"/>
            </w:tcBorders>
          </w:tcPr>
          <w:p>
            <w:pPr>
              <w:spacing w:after="0"/>
              <w:rPr>
                <w:sz w:val="19"/>
                <w:szCs w:val="19"/>
                <w:color w:val="auto"/>
              </w:rPr>
            </w:pPr>
          </w:p>
        </w:tc>
        <w:tc>
          <w:tcPr>
            <w:tcW w:w="6200" w:type="dxa"/>
            <w:vAlign w:val="bottom"/>
            <w:tcBorders>
              <w:bottom w:val="single" w:sz="8" w:color="auto"/>
            </w:tcBorders>
            <w:gridSpan w:val="2"/>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June 30, 2026</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3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Personal Lines:</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63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Personal Umbrella</w:t>
            </w: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Quota share treaty:</w:t>
            </w: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6300" w:type="dxa"/>
            <w:vAlign w:val="bottom"/>
            <w:tcBorders>
              <w:bottom w:val="single" w:sz="8" w:color="CCEEFF"/>
            </w:tcBorders>
            <w:gridSpan w:val="3"/>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Percent ceded - first $1,000,000 of coverage</w:t>
            </w:r>
          </w:p>
        </w:tc>
        <w:tc>
          <w:tcPr>
            <w:tcW w:w="2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gridSpan w:val="3"/>
          </w:tcPr>
          <w:p>
            <w:pPr>
              <w:ind w:left="500"/>
              <w:spacing w:after="0"/>
              <w:rPr>
                <w:sz w:val="20"/>
                <w:szCs w:val="20"/>
                <w:color w:val="auto"/>
              </w:rPr>
            </w:pPr>
            <w:r>
              <w:rPr>
                <w:rFonts w:ascii="Times New Roman" w:cs="Times New Roman" w:eastAsia="Times New Roman" w:hAnsi="Times New Roman"/>
                <w:sz w:val="16"/>
                <w:szCs w:val="16"/>
                <w:color w:val="auto"/>
              </w:rPr>
              <w:t>Percent ceded - excess of $1,000,000 dollars of coverage</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6300" w:type="dxa"/>
            <w:vAlign w:val="bottom"/>
            <w:tcBorders>
              <w:bottom w:val="single" w:sz="8" w:color="CCEEFF"/>
            </w:tcBorders>
            <w:gridSpan w:val="3"/>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Risk retained</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300,000</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300,000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gridSpan w:val="3"/>
          </w:tcPr>
          <w:p>
            <w:pPr>
              <w:ind w:left="500"/>
              <w:spacing w:after="0"/>
              <w:rPr>
                <w:sz w:val="20"/>
                <w:szCs w:val="20"/>
                <w:color w:val="auto"/>
              </w:rPr>
            </w:pPr>
            <w:r>
              <w:rPr>
                <w:rFonts w:ascii="Times New Roman" w:cs="Times New Roman" w:eastAsia="Times New Roman" w:hAnsi="Times New Roman"/>
                <w:sz w:val="16"/>
                <w:szCs w:val="16"/>
                <w:color w:val="auto"/>
              </w:rPr>
              <w:t>Total reinsurance coverage per occurrence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4,700,000</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4,700,000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4,700,000</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6300" w:type="dxa"/>
            <w:vAlign w:val="bottom"/>
            <w:tcBorders>
              <w:bottom w:val="single" w:sz="8" w:color="CCEEFF"/>
            </w:tcBorders>
            <w:gridSpan w:val="3"/>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Losses per occurrence subject to quota share reinsurance coverage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5,000,000</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5,000,000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5,000,000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Expiration date</w:t>
            </w:r>
          </w:p>
        </w:tc>
        <w:tc>
          <w:tcPr>
            <w:tcW w:w="20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June 30, 2026</w:t>
            </w:r>
          </w:p>
        </w:tc>
        <w:tc>
          <w:tcPr>
            <w:tcW w:w="22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June 30, 2025</w:t>
            </w:r>
          </w:p>
        </w:tc>
        <w:tc>
          <w:tcPr>
            <w:tcW w:w="200" w:type="dxa"/>
            <w:vAlign w:val="bottom"/>
          </w:tcPr>
          <w:p>
            <w:pPr>
              <w:spacing w:after="0"/>
              <w:rPr>
                <w:sz w:val="18"/>
                <w:szCs w:val="18"/>
                <w:color w:val="auto"/>
              </w:rPr>
            </w:pPr>
          </w:p>
        </w:tc>
        <w:tc>
          <w:tcPr>
            <w:tcW w:w="138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June 30, 2024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5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6"/>
          <w:szCs w:val="16"/>
          <w:u w:val="single" w:color="auto"/>
          <w:color w:val="auto"/>
        </w:rPr>
        <w:t>Commercial Lines (1)</w:t>
      </w:r>
    </w:p>
    <w:p>
      <w:pPr>
        <w:spacing w:after="0" w:line="275" w:lineRule="exact"/>
        <w:rPr>
          <w:sz w:val="20"/>
          <w:szCs w:val="20"/>
          <w:color w:val="auto"/>
        </w:rPr>
      </w:pPr>
    </w:p>
    <w:p>
      <w:pPr>
        <w:ind w:left="2040" w:hanging="979"/>
        <w:spacing w:after="0"/>
        <w:tabs>
          <w:tab w:leader="none" w:pos="20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Coverage on all commercial lines policies expired in September 2020; reinsurance coverage is based on treaties in effect on the date of loss.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Inflation</w:t>
      </w:r>
    </w:p>
    <w:p>
      <w:pPr>
        <w:spacing w:after="0" w:line="223" w:lineRule="exact"/>
        <w:rPr>
          <w:sz w:val="20"/>
          <w:szCs w:val="20"/>
          <w:color w:val="auto"/>
        </w:rPr>
      </w:pPr>
    </w:p>
    <w:p>
      <w:pPr>
        <w:jc w:val="both"/>
        <w:ind w:firstLine="607"/>
        <w:spacing w:after="0" w:line="272" w:lineRule="auto"/>
        <w:rPr>
          <w:sz w:val="20"/>
          <w:szCs w:val="20"/>
          <w:color w:val="auto"/>
        </w:rPr>
      </w:pPr>
      <w:r>
        <w:rPr>
          <w:rFonts w:ascii="Times New Roman" w:cs="Times New Roman" w:eastAsia="Times New Roman" w:hAnsi="Times New Roman"/>
          <w:sz w:val="16"/>
          <w:szCs w:val="16"/>
          <w:color w:val="auto"/>
        </w:rPr>
        <w:t>Premiums are established before we know the amount of losses and loss adjustment expenses or the extent to which inflation may affect such amounts. We attempt to anticipate the potential impact of inflation in establishing our reserves, especially as it relates to medical and hospital rates where historical inflation rates have exceeded the general level of inflation. Inflation in excess of the levels we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have assumed could cause loss and loss adjustment expenses to be higher than we anticipated, which would require us to increase reserves and reduce earnings.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Fluctuations in rates of inflation also influence interest rates, which in turn impact the market value of our investment portfolio and yields on new investments.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Operating expenses, including salaries and benefits, generally are impacted by inflation.</w:t>
      </w:r>
    </w:p>
    <w:p>
      <w:pPr>
        <w:spacing w:after="0" w:line="213" w:lineRule="exact"/>
        <w:rPr>
          <w:sz w:val="20"/>
          <w:szCs w:val="20"/>
          <w:color w:val="auto"/>
        </w:rPr>
      </w:pPr>
    </w:p>
    <w:p>
      <w:pPr>
        <w:jc w:val="both"/>
        <w:ind w:firstLine="607"/>
        <w:spacing w:after="0" w:line="263" w:lineRule="auto"/>
        <w:rPr>
          <w:sz w:val="20"/>
          <w:szCs w:val="20"/>
          <w:color w:val="auto"/>
        </w:rPr>
      </w:pPr>
      <w:r>
        <w:rPr>
          <w:rFonts w:ascii="Times New Roman" w:cs="Times New Roman" w:eastAsia="Times New Roman" w:hAnsi="Times New Roman"/>
          <w:sz w:val="16"/>
          <w:szCs w:val="16"/>
          <w:color w:val="auto"/>
        </w:rPr>
        <w:t>Nine Months 2025 included continuing economic inflation, albeit tempered compared to previous years, which resulted in a sustained increase in interest rates, a widening of credit spreads, lower public equity valuations, and significant financial market volatility. The higher interest rates and widening of credit spreads reduced the value of our fixed income securities, and in Nine Months 2025, we experienced a significant recovery of these losses. For Nine Months 2025, the continuing economic inflation impacted our loss and loss adjustment expenses as well; should these trends continue in the near-term, it would in all likelihood negatively impact our results of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Off-Balance Sheet Arrangements</w:t>
      </w:r>
    </w:p>
    <w:p>
      <w:pPr>
        <w:spacing w:after="0" w:line="237"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Outlook</w:t>
      </w:r>
    </w:p>
    <w:p>
      <w:pPr>
        <w:spacing w:after="0" w:line="23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Our net premiums earned may be impacted by a number of factors. Net premiums earned are a function of net written premium volume. Net written premiums comprise both renewal business and new business and are recognized as earned premium over the term of the underlying policies. Net written premiums from both renewal and new business are impacted by competitive market conditions as well as general economic conditions. We have made underwriting changes to emphasize profitability over growth and have culled out the type of risks that do not generate an acceptable level of return.</w:t>
      </w:r>
    </w:p>
    <w:p>
      <w:pPr>
        <w:spacing w:after="0" w:line="179" w:lineRule="exact"/>
        <w:rPr>
          <w:sz w:val="20"/>
          <w:szCs w:val="20"/>
          <w:color w:val="auto"/>
        </w:rPr>
      </w:pPr>
    </w:p>
    <w:p>
      <w:pPr>
        <w:jc w:val="both"/>
        <w:ind w:firstLine="648"/>
        <w:spacing w:after="0" w:line="298" w:lineRule="auto"/>
        <w:rPr>
          <w:sz w:val="20"/>
          <w:szCs w:val="20"/>
          <w:color w:val="auto"/>
        </w:rPr>
      </w:pPr>
      <w:r>
        <w:rPr>
          <w:rFonts w:ascii="Times New Roman" w:cs="Times New Roman" w:eastAsia="Times New Roman" w:hAnsi="Times New Roman"/>
          <w:sz w:val="16"/>
          <w:szCs w:val="16"/>
          <w:color w:val="auto"/>
        </w:rPr>
        <w:t>On August 2, 2024, two large competitors announced a plan to wind down their personal lines operations in New York State and to non-renew or mid-term cancel their entire book of business by December 31, 2024. Our producers placed a sizable number of these policies with KICO.</w:t>
      </w:r>
    </w:p>
    <w:p>
      <w:pPr>
        <w:spacing w:after="0" w:line="15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On April 14, 2025, KICO entered into an agreement to offer a quote for a replacement policy to selected Homeowners policyholders in Downstate New York as one of our competitors pivots focus away from admitted personal lines business (the "Withdrawal Plan"). The Withdrawal Plan, which includes this transaction, was approved by the New York Department of Financial Services. This competitor wrote approximately $70 million in written premium. The Withdrawal Plan will enable KICO to work with new distribution partners to further increase our footprint in Downstate New York by offering an alternative policy to selected Homeowners policyholders with effective dates that started in the third quarter of 2025.</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See “Forward-Looking Statements” before Part I, Item 1.</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Non-GAAP Financial Measures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Non-GAAP financial measures should be considered in addition to, and not as a substitute for or superior to, financial measures presented in accordance with GAAP.</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reconciles direct written premiums and net written premiums to GAAP net premiums earned for the periods presented:</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40" w:type="dxa"/>
            <w:vAlign w:val="bottom"/>
          </w:tcPr>
          <w:p>
            <w:pPr>
              <w:spacing w:after="0"/>
              <w:rPr>
                <w:sz w:val="16"/>
                <w:szCs w:val="16"/>
                <w:color w:val="auto"/>
              </w:rPr>
            </w:pPr>
          </w:p>
        </w:tc>
        <w:tc>
          <w:tcPr>
            <w:tcW w:w="2740" w:type="dxa"/>
            <w:vAlign w:val="bottom"/>
            <w:gridSpan w:val="4"/>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4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80" w:type="dxa"/>
            <w:vAlign w:val="bottom"/>
          </w:tcPr>
          <w:p>
            <w:pPr>
              <w:spacing w:after="0"/>
              <w:rPr>
                <w:sz w:val="18"/>
                <w:szCs w:val="18"/>
                <w:color w:val="auto"/>
              </w:rPr>
            </w:pPr>
          </w:p>
        </w:tc>
      </w:tr>
      <w:tr>
        <w:trPr>
          <w:trHeight w:val="33"/>
        </w:trPr>
        <w:tc>
          <w:tcPr>
            <w:tcW w:w="48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6"/>
        </w:trPr>
        <w:tc>
          <w:tcPr>
            <w:tcW w:w="4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31"/>
        </w:trPr>
        <w:tc>
          <w:tcPr>
            <w:tcW w:w="4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4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23"/>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Direct written premiums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center"/>
              <w:ind w:left="199"/>
              <w:spacing w:after="0"/>
              <w:rPr>
                <w:sz w:val="20"/>
                <w:szCs w:val="20"/>
                <w:color w:val="auto"/>
              </w:rPr>
            </w:pPr>
            <w:r>
              <w:rPr>
                <w:rFonts w:ascii="Times New Roman" w:cs="Times New Roman" w:eastAsia="Times New Roman" w:hAnsi="Times New Roman"/>
                <w:sz w:val="16"/>
                <w:szCs w:val="16"/>
                <w:color w:val="auto"/>
                <w:w w:val="99"/>
              </w:rPr>
              <w:t>75,809,863</w:t>
            </w: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66,626,664</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195,047,268</w:t>
            </w: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169,446,603</w:t>
            </w:r>
          </w:p>
        </w:tc>
      </w:tr>
      <w:tr>
        <w:trPr>
          <w:trHeight w:val="210"/>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Ceded written premiums</w:t>
            </w:r>
          </w:p>
        </w:tc>
        <w:tc>
          <w:tcPr>
            <w:tcW w:w="340" w:type="dxa"/>
            <w:vAlign w:val="bottom"/>
          </w:tcPr>
          <w:p>
            <w:pPr>
              <w:spacing w:after="0"/>
              <w:rPr>
                <w:sz w:val="18"/>
                <w:szCs w:val="18"/>
                <w:color w:val="auto"/>
              </w:rPr>
            </w:pPr>
          </w:p>
        </w:tc>
        <w:tc>
          <w:tcPr>
            <w:tcW w:w="116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(44,160,963)</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(46,081,473)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(50,178,287)</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(69,381,336)</w:t>
            </w:r>
          </w:p>
        </w:tc>
      </w:tr>
      <w:tr>
        <w:trPr>
          <w:trHeight w:val="33"/>
        </w:trPr>
        <w:tc>
          <w:tcPr>
            <w:tcW w:w="48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6"/>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written premiums</w:t>
            </w:r>
          </w:p>
        </w:tc>
        <w:tc>
          <w:tcPr>
            <w:tcW w:w="3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center"/>
              <w:ind w:left="199"/>
              <w:spacing w:after="0"/>
              <w:rPr>
                <w:sz w:val="20"/>
                <w:szCs w:val="20"/>
                <w:color w:val="auto"/>
              </w:rPr>
            </w:pPr>
            <w:r>
              <w:rPr>
                <w:rFonts w:ascii="Times New Roman" w:cs="Times New Roman" w:eastAsia="Times New Roman" w:hAnsi="Times New Roman"/>
                <w:sz w:val="16"/>
                <w:szCs w:val="16"/>
                <w:color w:val="auto"/>
                <w:w w:val="99"/>
              </w:rPr>
              <w:t>31,648,900</w:t>
            </w: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20,545,191</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144,868,981</w:t>
            </w: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100,065,267</w:t>
            </w:r>
          </w:p>
        </w:tc>
      </w:tr>
      <w:tr>
        <w:trPr>
          <w:trHeight w:val="210"/>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unearned premiums</w:t>
            </w:r>
          </w:p>
        </w:tc>
        <w:tc>
          <w:tcPr>
            <w:tcW w:w="340" w:type="dxa"/>
            <w:vAlign w:val="bottom"/>
          </w:tcPr>
          <w:p>
            <w:pPr>
              <w:spacing w:after="0"/>
              <w:rPr>
                <w:sz w:val="18"/>
                <w:szCs w:val="18"/>
                <w:color w:val="auto"/>
              </w:rPr>
            </w:pPr>
          </w:p>
        </w:tc>
        <w:tc>
          <w:tcPr>
            <w:tcW w:w="116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auto"/>
                <w:w w:val="99"/>
              </w:rPr>
              <w:t>16,276,153</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12,862,003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(7,205,605)</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(7,534,559)</w:t>
            </w:r>
          </w:p>
        </w:tc>
      </w:tr>
      <w:tr>
        <w:trPr>
          <w:trHeight w:val="33"/>
        </w:trPr>
        <w:tc>
          <w:tcPr>
            <w:tcW w:w="48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1"/>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GAAP net premiums earned</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bottom w:val="single" w:sz="8" w:color="CCEEFF"/>
            </w:tcBorders>
            <w:shd w:val="clear" w:color="auto" w:fill="CCEEFF"/>
          </w:tcPr>
          <w:p>
            <w:pPr>
              <w:jc w:val="center"/>
              <w:ind w:left="199"/>
              <w:spacing w:after="0"/>
              <w:rPr>
                <w:sz w:val="20"/>
                <w:szCs w:val="20"/>
                <w:color w:val="auto"/>
              </w:rPr>
            </w:pPr>
            <w:r>
              <w:rPr>
                <w:rFonts w:ascii="Times New Roman" w:cs="Times New Roman" w:eastAsia="Times New Roman" w:hAnsi="Times New Roman"/>
                <w:sz w:val="16"/>
                <w:szCs w:val="16"/>
                <w:b w:val="1"/>
                <w:bCs w:val="1"/>
                <w:color w:val="auto"/>
                <w:w w:val="99"/>
              </w:rPr>
              <w:t>47,925,053</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bottom w:val="single" w:sz="8" w:color="CCEEFF"/>
            </w:tcBorders>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33,407,194</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137,663,376</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92,530,708</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The following table reconciles the underlying loss ratio, the net loss ratio excluding the effect of catastrophes and the catastrophe loss ratio to the GAAP net loss ratio for the periods presented:</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2"/>
        </w:trPr>
        <w:tc>
          <w:tcPr>
            <w:tcW w:w="4440" w:type="dxa"/>
            <w:vAlign w:val="bottom"/>
          </w:tcPr>
          <w:p>
            <w:pPr>
              <w:spacing w:after="0"/>
              <w:rPr>
                <w:sz w:val="18"/>
                <w:szCs w:val="18"/>
                <w:color w:val="auto"/>
              </w:rPr>
            </w:pPr>
          </w:p>
        </w:tc>
        <w:tc>
          <w:tcPr>
            <w:tcW w:w="296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940" w:type="dxa"/>
            <w:vAlign w:val="bottom"/>
            <w:gridSpan w:val="3"/>
          </w:tcPr>
          <w:p>
            <w:pPr>
              <w:jc w:val="center"/>
              <w:ind w:left="77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36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4440" w:type="dxa"/>
            <w:vAlign w:val="bottom"/>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7"/>
                <w:szCs w:val="17"/>
                <w:color w:val="auto"/>
              </w:rPr>
            </w:pPr>
          </w:p>
        </w:tc>
        <w:tc>
          <w:tcPr>
            <w:tcW w:w="136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31"/>
        </w:trPr>
        <w:tc>
          <w:tcPr>
            <w:tcW w:w="4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Underlying Loss Ratio</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44.1%</w:t>
            </w: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39.2%</w:t>
            </w:r>
          </w:p>
        </w:tc>
        <w:tc>
          <w:tcPr>
            <w:tcW w:w="8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48.0%</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47.9%</w:t>
            </w:r>
          </w:p>
        </w:tc>
        <w:tc>
          <w:tcPr>
            <w:tcW w:w="0" w:type="dxa"/>
            <w:vAlign w:val="bottom"/>
          </w:tcPr>
          <w:p>
            <w:pPr>
              <w:spacing w:after="0"/>
              <w:rPr>
                <w:sz w:val="1"/>
                <w:szCs w:val="1"/>
                <w:color w:val="auto"/>
              </w:rPr>
            </w:pPr>
          </w:p>
        </w:tc>
      </w:tr>
      <w:tr>
        <w:trPr>
          <w:trHeight w:val="210"/>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Effect of prior year reserve development</w:t>
            </w:r>
          </w:p>
        </w:tc>
        <w:tc>
          <w:tcPr>
            <w:tcW w:w="6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33"/>
        </w:trPr>
        <w:tc>
          <w:tcPr>
            <w:tcW w:w="44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ratio excluding the effect of catastrophes</w:t>
            </w:r>
          </w:p>
        </w:tc>
        <w:tc>
          <w:tcPr>
            <w:tcW w:w="9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44.1%</w:t>
            </w:r>
          </w:p>
        </w:tc>
        <w:tc>
          <w:tcPr>
            <w:tcW w:w="1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37.3%</w:t>
            </w:r>
          </w:p>
        </w:tc>
        <w:tc>
          <w:tcPr>
            <w:tcW w:w="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47.4%</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46.1%</w:t>
            </w:r>
          </w:p>
        </w:tc>
        <w:tc>
          <w:tcPr>
            <w:tcW w:w="0" w:type="dxa"/>
            <w:vAlign w:val="bottom"/>
          </w:tcPr>
          <w:p>
            <w:pPr>
              <w:spacing w:after="0"/>
              <w:rPr>
                <w:sz w:val="1"/>
                <w:szCs w:val="1"/>
                <w:color w:val="auto"/>
              </w:rPr>
            </w:pPr>
          </w:p>
        </w:tc>
      </w:tr>
      <w:tr>
        <w:trPr>
          <w:trHeight w:val="210"/>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Effect of catastrophes</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33"/>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GAAP net loss ratio</w:t>
            </w: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444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44.3%</w:t>
            </w: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39.0%</w:t>
            </w:r>
          </w:p>
        </w:tc>
        <w:tc>
          <w:tcPr>
            <w:tcW w:w="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48.2%</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48.8%</w:t>
            </w:r>
          </w:p>
        </w:tc>
        <w:tc>
          <w:tcPr>
            <w:tcW w:w="0" w:type="dxa"/>
            <w:vAlign w:val="bottom"/>
          </w:tcPr>
          <w:p>
            <w:pPr>
              <w:spacing w:after="0"/>
              <w:rPr>
                <w:sz w:val="1"/>
                <w:szCs w:val="1"/>
                <w:color w:val="auto"/>
              </w:rPr>
            </w:pPr>
          </w:p>
        </w:tc>
      </w:tr>
      <w:tr>
        <w:trPr>
          <w:trHeight w:val="31"/>
        </w:trPr>
        <w:tc>
          <w:tcPr>
            <w:tcW w:w="44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4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reconciles the net loss ratio excluding commercial lines business to the GAAP net loss ratio for the periods presented:</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2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4480" w:type="dxa"/>
            <w:vAlign w:val="bottom"/>
          </w:tcPr>
          <w:p>
            <w:pPr>
              <w:spacing w:after="0"/>
              <w:rPr>
                <w:sz w:val="18"/>
                <w:szCs w:val="18"/>
                <w:color w:val="auto"/>
              </w:rPr>
            </w:pPr>
          </w:p>
        </w:tc>
        <w:tc>
          <w:tcPr>
            <w:tcW w:w="292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940" w:type="dxa"/>
            <w:vAlign w:val="bottom"/>
            <w:gridSpan w:val="3"/>
          </w:tcPr>
          <w:p>
            <w:pPr>
              <w:jc w:val="center"/>
              <w:ind w:left="81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Pr>
          <w:p>
            <w:pPr>
              <w:spacing w:after="0"/>
              <w:rPr>
                <w:sz w:val="18"/>
                <w:szCs w:val="18"/>
                <w:color w:val="auto"/>
              </w:rPr>
            </w:pPr>
          </w:p>
        </w:tc>
      </w:tr>
      <w:tr>
        <w:trPr>
          <w:trHeight w:val="33"/>
        </w:trPr>
        <w:tc>
          <w:tcPr>
            <w:tcW w:w="536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06"/>
        </w:trPr>
        <w:tc>
          <w:tcPr>
            <w:tcW w:w="4480" w:type="dxa"/>
            <w:vAlign w:val="bottom"/>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7"/>
                <w:szCs w:val="17"/>
                <w:color w:val="auto"/>
              </w:rPr>
            </w:pPr>
          </w:p>
        </w:tc>
        <w:tc>
          <w:tcPr>
            <w:tcW w:w="136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31"/>
        </w:trPr>
        <w:tc>
          <w:tcPr>
            <w:tcW w:w="4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4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23"/>
        </w:trPr>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ratio excluding the effect of commercial lines business</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43.2%</w:t>
            </w:r>
          </w:p>
        </w:tc>
        <w:tc>
          <w:tcPr>
            <w:tcW w:w="8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38.1%</w:t>
            </w:r>
          </w:p>
        </w:tc>
        <w:tc>
          <w:tcPr>
            <w:tcW w:w="8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47.8%</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47.6%</w:t>
            </w:r>
          </w:p>
        </w:tc>
      </w:tr>
      <w:tr>
        <w:trPr>
          <w:trHeight w:val="210"/>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Effect of commercial lines business</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33"/>
        </w:trPr>
        <w:tc>
          <w:tcPr>
            <w:tcW w:w="44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1"/>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GAAP net loss ratio</w:t>
            </w:r>
          </w:p>
        </w:tc>
        <w:tc>
          <w:tcPr>
            <w:tcW w:w="8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44.3%</w:t>
            </w:r>
          </w:p>
        </w:tc>
        <w:tc>
          <w:tcPr>
            <w:tcW w:w="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39.0%</w:t>
            </w:r>
          </w:p>
        </w:tc>
        <w:tc>
          <w:tcPr>
            <w:tcW w:w="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48.8%</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reconciles net income from insurance underwriting business on a standalone basis to GAAP net income for the periods presented: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4"/>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2"/>
        </w:trPr>
        <w:tc>
          <w:tcPr>
            <w:tcW w:w="4780" w:type="dxa"/>
            <w:vAlign w:val="bottom"/>
          </w:tcPr>
          <w:p>
            <w:pPr>
              <w:spacing w:after="0"/>
              <w:rPr>
                <w:sz w:val="18"/>
                <w:szCs w:val="18"/>
                <w:color w:val="auto"/>
              </w:rPr>
            </w:pPr>
          </w:p>
        </w:tc>
        <w:tc>
          <w:tcPr>
            <w:tcW w:w="2700" w:type="dxa"/>
            <w:vAlign w:val="bottom"/>
            <w:gridSpan w:val="6"/>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80" w:type="dxa"/>
            <w:vAlign w:val="bottom"/>
          </w:tcPr>
          <w:p>
            <w:pPr>
              <w:spacing w:after="0"/>
              <w:rPr>
                <w:sz w:val="18"/>
                <w:szCs w:val="18"/>
                <w:color w:val="auto"/>
              </w:rPr>
            </w:pPr>
          </w:p>
        </w:tc>
        <w:tc>
          <w:tcPr>
            <w:tcW w:w="1540" w:type="dxa"/>
            <w:vAlign w:val="bottom"/>
            <w:gridSpan w:val="3"/>
          </w:tcPr>
          <w:p>
            <w:pPr>
              <w:jc w:val="center"/>
              <w:ind w:left="43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4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31"/>
        </w:trPr>
        <w:tc>
          <w:tcPr>
            <w:tcW w:w="4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from insurance underwriting business on a standalone</w:t>
            </w:r>
          </w:p>
        </w:tc>
        <w:tc>
          <w:tcPr>
            <w:tcW w:w="28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rPr>
              <w:t>11,903,863</w:t>
            </w:r>
          </w:p>
        </w:tc>
        <w:tc>
          <w:tcPr>
            <w:tcW w:w="10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8,835,995</w:t>
            </w:r>
          </w:p>
        </w:tc>
        <w:tc>
          <w:tcPr>
            <w:tcW w:w="8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28,689,216</w:t>
            </w:r>
          </w:p>
        </w:tc>
        <w:tc>
          <w:tcPr>
            <w:tcW w:w="100" w:type="dxa"/>
            <w:vAlign w:val="bottom"/>
            <w:shd w:val="clear" w:color="auto" w:fill="CCEEFF"/>
          </w:tcPr>
          <w:p>
            <w:pPr>
              <w:spacing w:after="0"/>
              <w:rPr>
                <w:sz w:val="16"/>
                <w:szCs w:val="16"/>
                <w:color w:val="auto"/>
              </w:rPr>
            </w:pPr>
          </w:p>
        </w:tc>
        <w:tc>
          <w:tcPr>
            <w:tcW w:w="460" w:type="dxa"/>
            <w:vAlign w:val="bottom"/>
            <w:vMerge w:val="restart"/>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17,364,267</w:t>
            </w:r>
          </w:p>
        </w:tc>
        <w:tc>
          <w:tcPr>
            <w:tcW w:w="0" w:type="dxa"/>
            <w:vAlign w:val="bottom"/>
          </w:tcPr>
          <w:p>
            <w:pPr>
              <w:spacing w:after="0"/>
              <w:rPr>
                <w:sz w:val="1"/>
                <w:szCs w:val="1"/>
                <w:color w:val="auto"/>
              </w:rPr>
            </w:pPr>
          </w:p>
        </w:tc>
      </w:tr>
      <w:tr>
        <w:trPr>
          <w:trHeight w:val="232"/>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basis</w:t>
            </w:r>
          </w:p>
        </w:tc>
        <w:tc>
          <w:tcPr>
            <w:tcW w:w="280" w:type="dxa"/>
            <w:vAlign w:val="bottom"/>
            <w:vMerge w:val="continue"/>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vMerge w:val="continue"/>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vMerge w:val="continue"/>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vMerge w:val="continue"/>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Holding company operations</w:t>
            </w:r>
          </w:p>
        </w:tc>
        <w:tc>
          <w:tcPr>
            <w:tcW w:w="280" w:type="dxa"/>
            <w:vAlign w:val="bottom"/>
          </w:tcPr>
          <w:p>
            <w:pPr>
              <w:spacing w:after="0"/>
              <w:rPr>
                <w:sz w:val="18"/>
                <w:szCs w:val="18"/>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(1,031,388)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(1,857,850)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(2,681,749)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(4,444,506)</w:t>
            </w:r>
          </w:p>
        </w:tc>
        <w:tc>
          <w:tcPr>
            <w:tcW w:w="0" w:type="dxa"/>
            <w:vAlign w:val="bottom"/>
          </w:tcPr>
          <w:p>
            <w:pPr>
              <w:spacing w:after="0"/>
              <w:rPr>
                <w:sz w:val="1"/>
                <w:szCs w:val="1"/>
                <w:color w:val="auto"/>
              </w:rPr>
            </w:pPr>
          </w:p>
        </w:tc>
      </w:tr>
      <w:tr>
        <w:trPr>
          <w:trHeight w:val="33"/>
        </w:trPr>
        <w:tc>
          <w:tcPr>
            <w:tcW w:w="4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GAAP net income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10,872,475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6,978,145</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26,007,467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12,919,761</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The following table reconciles the net loss ratio excluding the effect of catastrophes, net underwriting expense ratio excluding the effect of catastrophes, and net combined ratio excluding the effect of catastrophes to GAAP net loss ratio, GAAP net underwriting expense ratio, and GAAP net combined ratio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6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4500" w:type="dxa"/>
            <w:vAlign w:val="bottom"/>
          </w:tcPr>
          <w:p>
            <w:pPr>
              <w:spacing w:after="0"/>
              <w:rPr>
                <w:sz w:val="18"/>
                <w:szCs w:val="18"/>
                <w:color w:val="auto"/>
              </w:rPr>
            </w:pPr>
          </w:p>
        </w:tc>
        <w:tc>
          <w:tcPr>
            <w:tcW w:w="284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900" w:type="dxa"/>
            <w:vAlign w:val="bottom"/>
            <w:gridSpan w:val="3"/>
          </w:tcPr>
          <w:p>
            <w:pPr>
              <w:jc w:val="center"/>
              <w:ind w:left="77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60" w:type="dxa"/>
            <w:vAlign w:val="bottom"/>
          </w:tcPr>
          <w:p>
            <w:pPr>
              <w:spacing w:after="0"/>
              <w:rPr>
                <w:sz w:val="18"/>
                <w:szCs w:val="18"/>
                <w:color w:val="auto"/>
              </w:rPr>
            </w:pPr>
          </w:p>
        </w:tc>
      </w:tr>
      <w:tr>
        <w:trPr>
          <w:trHeight w:val="33"/>
        </w:trPr>
        <w:tc>
          <w:tcPr>
            <w:tcW w:w="534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06"/>
        </w:trPr>
        <w:tc>
          <w:tcPr>
            <w:tcW w:w="4500" w:type="dxa"/>
            <w:vAlign w:val="bottom"/>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132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31"/>
        </w:trPr>
        <w:tc>
          <w:tcPr>
            <w:tcW w:w="4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0"/>
        </w:trPr>
        <w:tc>
          <w:tcPr>
            <w:tcW w:w="45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23"/>
        </w:trPr>
        <w:tc>
          <w:tcPr>
            <w:tcW w:w="5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ratio excluding the effect of catastrophes</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44.1%</w:t>
            </w: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37.3%</w:t>
            </w: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47.4%</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46.1%</w:t>
            </w:r>
          </w:p>
        </w:tc>
      </w:tr>
      <w:tr>
        <w:trPr>
          <w:trHeight w:val="210"/>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Effect of catastrophes</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33"/>
        </w:trPr>
        <w:tc>
          <w:tcPr>
            <w:tcW w:w="45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2"/>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GAAP net loss ratio</w:t>
            </w:r>
          </w:p>
        </w:tc>
        <w:tc>
          <w:tcPr>
            <w:tcW w:w="8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44.3%</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39.0%</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48.8%</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line="41" w:lineRule="exact"/>
        <w:rPr>
          <w:sz w:val="20"/>
          <w:szCs w:val="20"/>
          <w:color w:val="auto"/>
        </w:rPr>
      </w:pPr>
    </w:p>
    <w:p>
      <w:pPr>
        <w:ind w:left="20" w:right="40"/>
        <w:spacing w:after="0" w:line="274" w:lineRule="auto"/>
        <w:rPr>
          <w:sz w:val="20"/>
          <w:szCs w:val="20"/>
          <w:color w:val="auto"/>
        </w:rPr>
      </w:pPr>
      <w:r>
        <w:rPr>
          <w:rFonts w:ascii="Times New Roman" w:cs="Times New Roman" w:eastAsia="Times New Roman" w:hAnsi="Times New Roman"/>
          <w:sz w:val="16"/>
          <w:szCs w:val="16"/>
          <w:b w:val="1"/>
          <w:bCs w:val="1"/>
          <w:color w:val="auto"/>
        </w:rPr>
        <w:t>Net underwriting expense ratio excluding the effect of catastrophes</w:t>
      </w:r>
    </w:p>
    <w:p>
      <w:pPr>
        <w:ind w:left="20"/>
        <w:spacing w:after="0"/>
        <w:rPr>
          <w:sz w:val="20"/>
          <w:szCs w:val="20"/>
          <w:color w:val="auto"/>
        </w:rPr>
      </w:pPr>
      <w:r>
        <w:rPr>
          <w:rFonts w:ascii="Times New Roman" w:cs="Times New Roman" w:eastAsia="Times New Roman" w:hAnsi="Times New Roman"/>
          <w:sz w:val="16"/>
          <w:szCs w:val="16"/>
          <w:color w:val="auto"/>
        </w:rPr>
        <w:t>Effect of catastrophes</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GAAP net underwriting expense ratio</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28.4%</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30.8%</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31.9%</w:t>
            </w:r>
          </w:p>
        </w:tc>
      </w:tr>
      <w:tr>
        <w:trPr>
          <w:trHeight w:val="243"/>
        </w:trPr>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w:t>
            </w:r>
          </w:p>
        </w:tc>
      </w:tr>
      <w:tr>
        <w:trPr>
          <w:trHeight w:val="33"/>
        </w:trPr>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6"/>
        </w:trPr>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28.4%</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33.0%</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30.8%</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31.9%</w:t>
            </w:r>
          </w:p>
        </w:tc>
      </w:tr>
      <w:tr>
        <w:trPr>
          <w:trHeight w:val="31"/>
        </w:trPr>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-616585</wp:posOffset>
            </wp:positionV>
            <wp:extent cx="6403340" cy="2654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403340" cy="265430"/>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-196850</wp:posOffset>
            </wp:positionV>
            <wp:extent cx="6403340" cy="1797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40334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80" w:space="720"/>
            <w:col w:w="6740"/>
          </w:cols>
          <w:pgMar w:left="320" w:top="119" w:right="339" w:bottom="1440" w:gutter="0" w:footer="0" w:header="0"/>
          <w:type w:val="continuous"/>
        </w:sectPr>
      </w:pP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combined ratio excluding the effect of catastrophes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w:t>
            </w:r>
          </w:p>
        </w:tc>
      </w:tr>
      <w:tr>
        <w:trPr>
          <w:trHeight w:val="210"/>
        </w:trPr>
        <w:tc>
          <w:tcPr>
            <w:tcW w:w="506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Effect of catastrophes</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33"/>
        </w:trPr>
        <w:tc>
          <w:tcPr>
            <w:tcW w:w="54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2"/>
        </w:trPr>
        <w:tc>
          <w:tcPr>
            <w:tcW w:w="45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GAAP net combined ratio</w:t>
            </w:r>
          </w:p>
        </w:tc>
        <w:tc>
          <w:tcPr>
            <w:tcW w:w="2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72.7%</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72.0%</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79.0%</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80.7%</w:t>
            </w:r>
          </w:p>
        </w:tc>
      </w:tr>
      <w:tr>
        <w:trPr>
          <w:trHeight w:val="20"/>
        </w:trPr>
        <w:tc>
          <w:tcPr>
            <w:tcW w:w="5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514"/>
        </w:trPr>
        <w:tc>
          <w:tcPr>
            <w:tcW w:w="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3.</w:t>
            </w:r>
          </w:p>
        </w:tc>
        <w:tc>
          <w:tcPr>
            <w:tcW w:w="452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Quantitative and Qualitative Disclosures About Market Risk</w:t>
            </w:r>
            <w:r>
              <w:rPr>
                <w:rFonts w:ascii="Times New Roman" w:cs="Times New Roman" w:eastAsia="Times New Roman" w:hAnsi="Times New Roman"/>
                <w:sz w:val="16"/>
                <w:szCs w:val="16"/>
                <w:color w:val="auto"/>
              </w:rPr>
              <w:t>.</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20"/>
        </w:trPr>
        <w:tc>
          <w:tcPr>
            <w:tcW w:w="540" w:type="dxa"/>
            <w:vAlign w:val="bottom"/>
          </w:tcPr>
          <w:p>
            <w:pPr>
              <w:spacing w:after="0"/>
              <w:rPr>
                <w:sz w:val="24"/>
                <w:szCs w:val="24"/>
                <w:color w:val="auto"/>
              </w:rPr>
            </w:pPr>
          </w:p>
        </w:tc>
        <w:tc>
          <w:tcPr>
            <w:tcW w:w="4200" w:type="dxa"/>
            <w:vAlign w:val="bottom"/>
            <w:tcBorders>
              <w:top w:val="single" w:sz="8" w:color="auto"/>
            </w:tcBorders>
            <w:gridSpan w:val="3"/>
          </w:tcPr>
          <w:p>
            <w:pPr>
              <w:ind w:left="120"/>
              <w:spacing w:after="0"/>
              <w:rPr>
                <w:sz w:val="20"/>
                <w:szCs w:val="20"/>
                <w:color w:val="auto"/>
              </w:rPr>
            </w:pPr>
            <w:r>
              <w:rPr>
                <w:rFonts w:ascii="Times New Roman" w:cs="Times New Roman" w:eastAsia="Times New Roman" w:hAnsi="Times New Roman"/>
                <w:sz w:val="16"/>
                <w:szCs w:val="16"/>
                <w:color w:val="auto"/>
              </w:rPr>
              <w:t>This item is not applicable to smaller reporting companies.</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70"/>
        </w:trPr>
        <w:tc>
          <w:tcPr>
            <w:tcW w:w="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4.</w:t>
            </w:r>
          </w:p>
        </w:tc>
        <w:tc>
          <w:tcPr>
            <w:tcW w:w="452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Controls and Procedures</w:t>
            </w:r>
            <w:r>
              <w:rPr>
                <w:rFonts w:ascii="Times New Roman" w:cs="Times New Roman" w:eastAsia="Times New Roman" w:hAnsi="Times New Roman"/>
                <w:sz w:val="16"/>
                <w:szCs w:val="16"/>
                <w:color w:val="auto"/>
              </w:rPr>
              <w:t>.</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0"/>
        </w:trPr>
        <w:tc>
          <w:tcPr>
            <w:tcW w:w="54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Evaluation of Disclosure Controls and Procedures</w:t>
      </w:r>
    </w:p>
    <w:p>
      <w:pPr>
        <w:spacing w:after="0" w:line="23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6"/>
          <w:szCs w:val="16"/>
          <w:color w:val="auto"/>
        </w:rPr>
        <w:t>Our management is responsible for establishing and maintaining adequate disclosure controls and procedures. Under the supervision and with the participation of management, including our Chief Executive Officer and Chief Financial Officer, we conducted an evaluation of the effectiveness of our disclosure controls and procedures as of September 30, 2025.</w:t>
      </w:r>
    </w:p>
    <w:p>
      <w:pPr>
        <w:spacing w:after="0" w:line="212"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6"/>
          <w:szCs w:val="16"/>
          <w:color w:val="auto"/>
        </w:rPr>
        <w:t>We maintain a system of disclosure controls and procedures as defined in Rule 13a-15(e) under the Exchange Act that are designed to assure that information required to be disclosed in the reports we file or submit under the Exchange Act is recorded, processed, summarized and reported within the time periods specified in the SEC’s rules and forms, and that such information is accumulated and communicated to management, including our Chief Executive Officer and Chief Financial Officer, as appropriate, to allow timely decisions regarding required disclosures. Based on this evaluation, our Chief Executive Officer and Chief Financial Officer have concluded that, as of September 30, 2025, our disclosure controls and procedures were: (i) effective in recording, processing, summarizing, and reporting information on a timely basis that we are required to disclose in the reports that we file or submit under the Exchange Act, and (ii) effective in ensuring that information that we are required to disclose in the reports that we file or submit under the Exchange Act is accumulated and communicated to our management, including our Chief Executive Officer and Chief Financial Officer, as appropriate, to allow timely decisions regarding required disclosure.</w:t>
      </w:r>
    </w:p>
    <w:p>
      <w:pPr>
        <w:spacing w:after="0" w:line="20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6"/>
          <w:szCs w:val="16"/>
          <w:color w:val="auto"/>
        </w:rPr>
        <w:t>As required by Exchange Act Rule 13a-15(b), as of the end of the period covered by this Quarterly Report, under the supervision and with the participation of our Chief Executive Officer and Chief Financial Officer, we evaluated the effectiveness of our disclosure controls and procedures. Based on this evaluation, our Chief Executive Officer and Chief Financial Officer concluded that our disclosure controls and procedures were effective as of September 30,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Changes in Internal Control over Financial Reporting</w:t>
      </w:r>
    </w:p>
    <w:p>
      <w:pPr>
        <w:spacing w:after="0" w:line="25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There have not been any changes in our internal control over financial reporting (as such term is defined in Rules 13a-15(f) and 15d-15(f) under the Exchange Act) during our most recently completed fiscal quarter that materially affected, or are reasonably likely to materially affect, our internal control over financial reporting.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Inherent Limitation on Effectiveness of Controls</w:t>
      </w:r>
    </w:p>
    <w:p>
      <w:pPr>
        <w:spacing w:after="0" w:line="22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Internal control over financial reporting is a process designed by, or under the supervision of, our principal executive officer and principal financial officer, and effected by the board of directors, management, and other personnel, to provide reasonable assurance regarding the reliability of financial reporting and the preparation of financial statements for external purposes in accordance with GAAP including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receipts and expenditures are being made only in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178"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and procedures may deteriorate.</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 xml:space="preserve">PART II. </w:t>
      </w:r>
      <w:r>
        <w:rPr>
          <w:rFonts w:ascii="Times New Roman" w:cs="Times New Roman" w:eastAsia="Times New Roman" w:hAnsi="Times New Roman"/>
          <w:sz w:val="16"/>
          <w:szCs w:val="16"/>
          <w:b w:val="1"/>
          <w:bCs w:val="1"/>
          <w:u w:val="single" w:color="auto"/>
          <w:color w:val="auto"/>
        </w:rPr>
        <w:t>OTHER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1. </w:t>
      </w:r>
      <w:r>
        <w:rPr>
          <w:rFonts w:ascii="Times New Roman" w:cs="Times New Roman" w:eastAsia="Times New Roman" w:hAnsi="Times New Roman"/>
          <w:sz w:val="16"/>
          <w:szCs w:val="16"/>
          <w:b w:val="1"/>
          <w:bCs w:val="1"/>
          <w:u w:val="single" w:color="auto"/>
          <w:color w:val="auto"/>
        </w:rPr>
        <w:t>Legal Proceedings</w:t>
      </w:r>
      <w:r>
        <w:rPr>
          <w:rFonts w:ascii="Times New Roman" w:cs="Times New Roman" w:eastAsia="Times New Roman" w:hAnsi="Times New Roman"/>
          <w:sz w:val="16"/>
          <w:szCs w:val="16"/>
          <w:color w:val="auto"/>
        </w:rPr>
        <w:t>.</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None.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1A. </w:t>
      </w:r>
      <w:r>
        <w:rPr>
          <w:rFonts w:ascii="Times New Roman" w:cs="Times New Roman" w:eastAsia="Times New Roman" w:hAnsi="Times New Roman"/>
          <w:sz w:val="16"/>
          <w:szCs w:val="16"/>
          <w:b w:val="1"/>
          <w:bCs w:val="1"/>
          <w:u w:val="single" w:color="auto"/>
          <w:color w:val="auto"/>
        </w:rPr>
        <w:t>Risk Factors</w:t>
      </w:r>
      <w:r>
        <w:rPr>
          <w:rFonts w:ascii="Times New Roman" w:cs="Times New Roman" w:eastAsia="Times New Roman" w:hAnsi="Times New Roman"/>
          <w:sz w:val="16"/>
          <w:szCs w:val="16"/>
          <w:color w:val="auto"/>
        </w:rPr>
        <w:t>.</w:t>
      </w:r>
    </w:p>
    <w:p>
      <w:pPr>
        <w:spacing w:after="0" w:line="23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For a discussion of the Company’s potential risks and uncertainties, see Part I, Item 1A— “Risk Factors” and Part II, Item 7— “Management’s Discussion and Analysis of Financial Condition and Results of Operations” in the Company’s Annual Report on Form 10-K for the year ended December 31, 2024 (the "2024 Annual Report") filed with the SEC, and Part I, Item 2—“Management’s Discussion and Analysis of Financial Condition and Results of Operations” herein, in each case as updated by the Company's periodic filings with the SEC. There have been no material changes to the risk factors disclosed in Part I,Item 1A of the Company’s 2024 Annual Report.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2. </w:t>
      </w:r>
      <w:r>
        <w:rPr>
          <w:rFonts w:ascii="Times New Roman" w:cs="Times New Roman" w:eastAsia="Times New Roman" w:hAnsi="Times New Roman"/>
          <w:sz w:val="16"/>
          <w:szCs w:val="16"/>
          <w:b w:val="1"/>
          <w:bCs w:val="1"/>
          <w:u w:val="single" w:color="auto"/>
          <w:color w:val="auto"/>
        </w:rPr>
        <w:t>Unregistered Sales of Equity Securities and Use of Proceeds</w:t>
      </w:r>
      <w:r>
        <w:rPr>
          <w:rFonts w:ascii="Times New Roman" w:cs="Times New Roman" w:eastAsia="Times New Roman" w:hAnsi="Times New Roman"/>
          <w:sz w:val="16"/>
          <w:szCs w:val="16"/>
          <w:color w:val="auto"/>
        </w:rPr>
        <w:t>.</w:t>
      </w:r>
    </w:p>
    <w:p>
      <w:pPr>
        <w:spacing w:after="0" w:line="223" w:lineRule="exact"/>
        <w:rPr>
          <w:sz w:val="20"/>
          <w:szCs w:val="20"/>
          <w:color w:val="auto"/>
        </w:rPr>
      </w:pPr>
    </w:p>
    <w:p>
      <w:pPr>
        <w:ind w:left="2020" w:hanging="959"/>
        <w:spacing w:after="0"/>
        <w:tabs>
          <w:tab w:leader="none" w:pos="20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w:t>
      </w:r>
    </w:p>
    <w:p>
      <w:pPr>
        <w:spacing w:after="0" w:line="221" w:lineRule="exact"/>
        <w:rPr>
          <w:rFonts w:ascii="Times New Roman" w:cs="Times New Roman" w:eastAsia="Times New Roman" w:hAnsi="Times New Roman"/>
          <w:sz w:val="16"/>
          <w:szCs w:val="16"/>
          <w:color w:val="auto"/>
        </w:rPr>
      </w:pPr>
    </w:p>
    <w:p>
      <w:pPr>
        <w:ind w:left="2040" w:hanging="979"/>
        <w:spacing w:after="0"/>
        <w:tabs>
          <w:tab w:leader="none" w:pos="20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applicable.</w:t>
      </w:r>
    </w:p>
    <w:p>
      <w:pPr>
        <w:spacing w:after="0" w:line="221" w:lineRule="exact"/>
        <w:rPr>
          <w:rFonts w:ascii="Times New Roman" w:cs="Times New Roman" w:eastAsia="Times New Roman" w:hAnsi="Times New Roman"/>
          <w:sz w:val="16"/>
          <w:szCs w:val="16"/>
          <w:color w:val="auto"/>
        </w:rPr>
      </w:pPr>
    </w:p>
    <w:p>
      <w:pPr>
        <w:ind w:left="2020" w:hanging="959"/>
        <w:spacing w:after="0"/>
        <w:tabs>
          <w:tab w:leader="none" w:pos="20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3. </w:t>
      </w:r>
      <w:r>
        <w:rPr>
          <w:rFonts w:ascii="Times New Roman" w:cs="Times New Roman" w:eastAsia="Times New Roman" w:hAnsi="Times New Roman"/>
          <w:sz w:val="16"/>
          <w:szCs w:val="16"/>
          <w:b w:val="1"/>
          <w:bCs w:val="1"/>
          <w:u w:val="single" w:color="auto"/>
          <w:color w:val="auto"/>
        </w:rPr>
        <w:t>Defaults Upon Senior Securities</w:t>
      </w:r>
      <w:r>
        <w:rPr>
          <w:rFonts w:ascii="Times New Roman" w:cs="Times New Roman" w:eastAsia="Times New Roman" w:hAnsi="Times New Roman"/>
          <w:sz w:val="16"/>
          <w:szCs w:val="16"/>
          <w:color w:val="auto"/>
        </w:rPr>
        <w: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None.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4. </w:t>
      </w:r>
      <w:r>
        <w:rPr>
          <w:rFonts w:ascii="Times New Roman" w:cs="Times New Roman" w:eastAsia="Times New Roman" w:hAnsi="Times New Roman"/>
          <w:sz w:val="16"/>
          <w:szCs w:val="16"/>
          <w:b w:val="1"/>
          <w:bCs w:val="1"/>
          <w:u w:val="single" w:color="auto"/>
          <w:color w:val="auto"/>
        </w:rPr>
        <w:t>Mine Safety Disclosures</w:t>
      </w:r>
      <w:r>
        <w:rPr>
          <w:rFonts w:ascii="Times New Roman" w:cs="Times New Roman" w:eastAsia="Times New Roman" w:hAnsi="Times New Roman"/>
          <w:sz w:val="16"/>
          <w:szCs w:val="16"/>
          <w:color w:val="auto"/>
        </w:rPr>
        <w: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Not applicable.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5. </w:t>
      </w:r>
      <w:r>
        <w:rPr>
          <w:rFonts w:ascii="Times New Roman" w:cs="Times New Roman" w:eastAsia="Times New Roman" w:hAnsi="Times New Roman"/>
          <w:sz w:val="16"/>
          <w:szCs w:val="16"/>
          <w:b w:val="1"/>
          <w:bCs w:val="1"/>
          <w:u w:val="single" w:color="auto"/>
          <w:color w:val="auto"/>
        </w:rPr>
        <w:t>Other Information</w:t>
      </w:r>
      <w:r>
        <w:rPr>
          <w:rFonts w:ascii="Times New Roman" w:cs="Times New Roman" w:eastAsia="Times New Roman" w:hAnsi="Times New Roman"/>
          <w:sz w:val="16"/>
          <w:szCs w:val="16"/>
          <w:color w:val="auto"/>
        </w:rPr>
        <w:t>.</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w:t>
      </w:r>
    </w:p>
    <w:p>
      <w:pPr>
        <w:spacing w:after="0" w:line="208" w:lineRule="exact"/>
        <w:rPr>
          <w:sz w:val="20"/>
          <w:szCs w:val="20"/>
          <w:color w:val="auto"/>
        </w:rPr>
      </w:pPr>
    </w:p>
    <w:p>
      <w:pPr>
        <w:ind w:left="2020" w:hanging="959"/>
        <w:spacing w:after="0"/>
        <w:tabs>
          <w:tab w:leader="none" w:pos="20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w:t>
      </w:r>
    </w:p>
    <w:p>
      <w:pPr>
        <w:spacing w:after="0" w:line="234" w:lineRule="exact"/>
        <w:rPr>
          <w:rFonts w:ascii="Times New Roman" w:cs="Times New Roman" w:eastAsia="Times New Roman" w:hAnsi="Times New Roman"/>
          <w:sz w:val="16"/>
          <w:szCs w:val="16"/>
          <w:color w:val="auto"/>
        </w:rPr>
      </w:pPr>
    </w:p>
    <w:p>
      <w:pPr>
        <w:ind w:left="2040" w:hanging="979"/>
        <w:spacing w:after="0"/>
        <w:tabs>
          <w:tab w:leader="none" w:pos="20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w:t>
      </w:r>
    </w:p>
    <w:p>
      <w:pPr>
        <w:spacing w:after="0" w:line="9" w:lineRule="exact"/>
        <w:rPr>
          <w:rFonts w:ascii="Times New Roman" w:cs="Times New Roman" w:eastAsia="Times New Roman" w:hAnsi="Times New Roman"/>
          <w:sz w:val="16"/>
          <w:szCs w:val="16"/>
          <w:color w:val="auto"/>
        </w:rPr>
      </w:pPr>
    </w:p>
    <w:p>
      <w:pPr>
        <w:ind w:left="2020" w:hanging="959"/>
        <w:spacing w:after="0"/>
        <w:tabs>
          <w:tab w:leader="none" w:pos="20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Rule 10b5-1 Trading Plans</w:t>
      </w:r>
    </w:p>
    <w:p>
      <w:pPr>
        <w:spacing w:after="0" w:line="230" w:lineRule="exact"/>
        <w:rPr>
          <w:sz w:val="20"/>
          <w:szCs w:val="20"/>
          <w:color w:val="auto"/>
        </w:rPr>
      </w:pPr>
    </w:p>
    <w:p>
      <w:pPr>
        <w:jc w:val="both"/>
        <w:ind w:left="1380" w:firstLine="648"/>
        <w:spacing w:after="0" w:line="246" w:lineRule="auto"/>
        <w:rPr>
          <w:sz w:val="20"/>
          <w:szCs w:val="20"/>
          <w:color w:val="auto"/>
        </w:rPr>
      </w:pPr>
      <w:r>
        <w:rPr>
          <w:rFonts w:ascii="Times New Roman" w:cs="Times New Roman" w:eastAsia="Times New Roman" w:hAnsi="Times New Roman"/>
          <w:sz w:val="16"/>
          <w:szCs w:val="16"/>
          <w:color w:val="auto"/>
        </w:rPr>
        <w:t>On September 8, 2025, William L. Yankus, a member of the Company’s Board of Directors, entered into a pre-arranged stock trading plan intended to satisfy the affirmative defense of Rule 10b5-1(c) under the Exchange Act (a “Rule 10b5-1 Plan”). Mr. Yankus’ Rule 10b5-1 Plan provides for the potential sale of up to an aggregate of 13,500 shares of common stock, with such sales to occur between an estimated start date of January 5, 2026 and an estimated end date of January 27, 2027.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6. </w:t>
      </w:r>
      <w:r>
        <w:rPr>
          <w:rFonts w:ascii="Times New Roman" w:cs="Times New Roman" w:eastAsia="Times New Roman" w:hAnsi="Times New Roman"/>
          <w:sz w:val="16"/>
          <w:szCs w:val="16"/>
          <w:b w:val="1"/>
          <w:bCs w:val="1"/>
          <w:u w:val="single" w:color="auto"/>
          <w:color w:val="auto"/>
        </w:rPr>
        <w:t>Exhibits</w:t>
      </w:r>
      <w:r>
        <w:rPr>
          <w:rFonts w:ascii="Times New Roman" w:cs="Times New Roman" w:eastAsia="Times New Roman" w:hAnsi="Times New Roman"/>
          <w:sz w:val="16"/>
          <w:szCs w:val="16"/>
          <w:color w:val="auto"/>
        </w:rPr>
        <w:t>.</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gridSpan w:val="3"/>
            <w:shd w:val="clear" w:color="auto" w:fill="CCEEFF"/>
          </w:tcPr>
          <w:p>
            <w:pPr>
              <w:jc w:val="right"/>
              <w:ind w:right="140"/>
              <w:spacing w:after="0"/>
              <w:rPr>
                <w:rFonts w:ascii="Times New Roman" w:cs="Times New Roman" w:eastAsia="Times New Roman" w:hAnsi="Times New Roman"/>
                <w:sz w:val="16"/>
                <w:szCs w:val="16"/>
                <w:color w:val="0000FF"/>
                <w:w w:val="92"/>
              </w:rPr>
            </w:pPr>
            <w:hyperlink r:id="rId110">
              <w:r>
                <w:rPr>
                  <w:rFonts w:ascii="Times New Roman" w:cs="Times New Roman" w:eastAsia="Times New Roman" w:hAnsi="Times New Roman"/>
                  <w:sz w:val="16"/>
                  <w:szCs w:val="16"/>
                  <w:color w:val="0000FF"/>
                  <w:w w:val="92"/>
                </w:rPr>
                <w:t>3(a)</w:t>
              </w:r>
            </w:hyperlink>
          </w:p>
        </w:tc>
        <w:tc>
          <w:tcPr>
            <w:tcW w:w="10120" w:type="dxa"/>
            <w:vAlign w:val="bottom"/>
            <w:gridSpan w:val="10"/>
            <w:shd w:val="clear" w:color="auto" w:fill="CCEEFF"/>
          </w:tcPr>
          <w:p>
            <w:pPr>
              <w:spacing w:after="0"/>
              <w:rPr>
                <w:rFonts w:ascii="Times New Roman" w:cs="Times New Roman" w:eastAsia="Times New Roman" w:hAnsi="Times New Roman"/>
                <w:sz w:val="16"/>
                <w:szCs w:val="16"/>
                <w:color w:val="0000FF"/>
              </w:rPr>
            </w:pPr>
            <w:hyperlink r:id="rId111">
              <w:r>
                <w:rPr>
                  <w:rFonts w:ascii="Times New Roman" w:cs="Times New Roman" w:eastAsia="Times New Roman" w:hAnsi="Times New Roman"/>
                  <w:sz w:val="16"/>
                  <w:szCs w:val="16"/>
                  <w:color w:val="0000FF"/>
                </w:rPr>
                <w:t>Restated Certificate of Incorporation, as amended (incorporated by reference to Exhibit 3(a) to the Company’s Quarterly Report on Form 10-Q for the</w:t>
              </w:r>
            </w:hyperlink>
          </w:p>
        </w:tc>
      </w:tr>
      <w:tr>
        <w:trPr>
          <w:trHeight w:val="163"/>
        </w:trPr>
        <w:tc>
          <w:tcPr>
            <w:tcW w:w="6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40" w:type="dxa"/>
            <w:vAlign w:val="bottom"/>
            <w:tcBorders>
              <w:top w:val="single" w:sz="8" w:color="0000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9700" w:type="dxa"/>
            <w:vAlign w:val="bottom"/>
            <w:tcBorders>
              <w:top w:val="single" w:sz="8" w:color="0000FF"/>
            </w:tcBorders>
            <w:gridSpan w:val="6"/>
            <w:shd w:val="clear" w:color="auto" w:fill="CCEEFF"/>
          </w:tcPr>
          <w:p>
            <w:pPr>
              <w:spacing w:after="0" w:line="142" w:lineRule="exact"/>
              <w:rPr>
                <w:rFonts w:ascii="Times New Roman" w:cs="Times New Roman" w:eastAsia="Times New Roman" w:hAnsi="Times New Roman"/>
                <w:sz w:val="16"/>
                <w:szCs w:val="16"/>
                <w:color w:val="0000FF"/>
              </w:rPr>
            </w:pPr>
            <w:hyperlink r:id="rId111">
              <w:r>
                <w:rPr>
                  <w:rFonts w:ascii="Times New Roman" w:cs="Times New Roman" w:eastAsia="Times New Roman" w:hAnsi="Times New Roman"/>
                  <w:sz w:val="16"/>
                  <w:szCs w:val="16"/>
                  <w:color w:val="0000FF"/>
                </w:rPr>
                <w:t>period ended March 31, 2014 filed on May 15, 2014).</w:t>
              </w:r>
            </w:hyperlink>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216"/>
        </w:trPr>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8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1660" w:type="dxa"/>
            <w:vAlign w:val="bottom"/>
            <w:tcBorders>
              <w:top w:val="single" w:sz="8" w:color="0000FF"/>
            </w:tcBorders>
          </w:tcPr>
          <w:p>
            <w:pPr>
              <w:spacing w:after="0"/>
              <w:rPr>
                <w:sz w:val="18"/>
                <w:szCs w:val="18"/>
                <w:color w:val="auto"/>
              </w:rPr>
            </w:pPr>
          </w:p>
        </w:tc>
        <w:tc>
          <w:tcPr>
            <w:tcW w:w="55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75"/>
        </w:trPr>
        <w:tc>
          <w:tcPr>
            <w:tcW w:w="640" w:type="dxa"/>
            <w:vAlign w:val="bottom"/>
            <w:shd w:val="clear" w:color="auto" w:fill="CCEEFF"/>
          </w:tcPr>
          <w:p>
            <w:pPr>
              <w:spacing w:after="0"/>
              <w:rPr>
                <w:sz w:val="15"/>
                <w:szCs w:val="15"/>
                <w:color w:val="auto"/>
              </w:rPr>
            </w:pPr>
          </w:p>
        </w:tc>
        <w:tc>
          <w:tcPr>
            <w:tcW w:w="480" w:type="dxa"/>
            <w:vAlign w:val="bottom"/>
            <w:gridSpan w:val="4"/>
            <w:shd w:val="clear" w:color="auto" w:fill="CCEEFF"/>
          </w:tcPr>
          <w:p>
            <w:pPr>
              <w:jc w:val="right"/>
              <w:ind w:right="140"/>
              <w:spacing w:after="0" w:line="175" w:lineRule="exact"/>
              <w:rPr>
                <w:rFonts w:ascii="Times New Roman" w:cs="Times New Roman" w:eastAsia="Times New Roman" w:hAnsi="Times New Roman"/>
                <w:sz w:val="16"/>
                <w:szCs w:val="16"/>
                <w:color w:val="0000FF"/>
              </w:rPr>
            </w:pPr>
            <w:hyperlink r:id="rId112">
              <w:r>
                <w:rPr>
                  <w:rFonts w:ascii="Times New Roman" w:cs="Times New Roman" w:eastAsia="Times New Roman" w:hAnsi="Times New Roman"/>
                  <w:sz w:val="16"/>
                  <w:szCs w:val="16"/>
                  <w:color w:val="0000FF"/>
                </w:rPr>
                <w:t>3(b)</w:t>
              </w:r>
            </w:hyperlink>
          </w:p>
        </w:tc>
        <w:tc>
          <w:tcPr>
            <w:tcW w:w="10120" w:type="dxa"/>
            <w:vAlign w:val="bottom"/>
            <w:gridSpan w:val="10"/>
            <w:shd w:val="clear" w:color="auto" w:fill="CCEEFF"/>
          </w:tcPr>
          <w:p>
            <w:pPr>
              <w:spacing w:after="0" w:line="175" w:lineRule="exact"/>
              <w:rPr>
                <w:rFonts w:ascii="Times New Roman" w:cs="Times New Roman" w:eastAsia="Times New Roman" w:hAnsi="Times New Roman"/>
                <w:sz w:val="16"/>
                <w:szCs w:val="16"/>
                <w:color w:val="0000FF"/>
              </w:rPr>
            </w:pPr>
            <w:hyperlink r:id="rId113">
              <w:r>
                <w:rPr>
                  <w:rFonts w:ascii="Times New Roman" w:cs="Times New Roman" w:eastAsia="Times New Roman" w:hAnsi="Times New Roman"/>
                  <w:sz w:val="16"/>
                  <w:szCs w:val="16"/>
                  <w:color w:val="0000FF"/>
                </w:rPr>
                <w:t>By-laws, as amended (incorporated by reference to Exhibit 3(b) to the Company's Quarterly Report on Form 10-Q for the period ended March 31, 2025</w:t>
              </w:r>
            </w:hyperlink>
          </w:p>
        </w:tc>
      </w:tr>
      <w:tr>
        <w:trPr>
          <w:trHeight w:val="163"/>
        </w:trPr>
        <w:tc>
          <w:tcPr>
            <w:tcW w:w="6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40" w:type="dxa"/>
            <w:vAlign w:val="bottom"/>
            <w:tcBorders>
              <w:top w:val="single" w:sz="8" w:color="0000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480" w:type="dxa"/>
            <w:vAlign w:val="bottom"/>
            <w:tcBorders>
              <w:top w:val="single" w:sz="8" w:color="0000FF"/>
              <w:bottom w:val="single" w:sz="8" w:color="0000FF"/>
            </w:tcBorders>
            <w:shd w:val="clear" w:color="auto" w:fill="CCEEFF"/>
          </w:tcPr>
          <w:p>
            <w:pPr>
              <w:spacing w:after="0" w:line="142" w:lineRule="exact"/>
              <w:rPr>
                <w:rFonts w:ascii="Times New Roman" w:cs="Times New Roman" w:eastAsia="Times New Roman" w:hAnsi="Times New Roman"/>
                <w:sz w:val="16"/>
                <w:szCs w:val="16"/>
                <w:color w:val="0000FF"/>
                <w:w w:val="98"/>
              </w:rPr>
            </w:pPr>
            <w:hyperlink r:id="rId113">
              <w:r>
                <w:rPr>
                  <w:rFonts w:ascii="Times New Roman" w:cs="Times New Roman" w:eastAsia="Times New Roman" w:hAnsi="Times New Roman"/>
                  <w:sz w:val="16"/>
                  <w:szCs w:val="16"/>
                  <w:color w:val="0000FF"/>
                  <w:w w:val="98"/>
                </w:rPr>
                <w:t>filed on May 15, 2025)</w:t>
              </w:r>
            </w:hyperlink>
          </w:p>
        </w:tc>
        <w:tc>
          <w:tcPr>
            <w:tcW w:w="8340" w:type="dxa"/>
            <w:vAlign w:val="bottom"/>
            <w:tcBorders>
              <w:top w:val="single" w:sz="8" w:color="0000FF"/>
              <w:bottom w:val="single" w:sz="8" w:color="CCEEFF"/>
            </w:tcBorders>
            <w:gridSpan w:val="6"/>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5"/>
        </w:trPr>
        <w:tc>
          <w:tcPr>
            <w:tcW w:w="640" w:type="dxa"/>
            <w:vAlign w:val="bottom"/>
          </w:tcPr>
          <w:p>
            <w:pPr>
              <w:spacing w:after="0"/>
              <w:rPr>
                <w:sz w:val="15"/>
                <w:szCs w:val="15"/>
                <w:color w:val="auto"/>
              </w:rPr>
            </w:pPr>
          </w:p>
        </w:tc>
        <w:tc>
          <w:tcPr>
            <w:tcW w:w="480" w:type="dxa"/>
            <w:vAlign w:val="bottom"/>
            <w:gridSpan w:val="4"/>
          </w:tcPr>
          <w:p>
            <w:pPr>
              <w:jc w:val="right"/>
              <w:ind w:right="140"/>
              <w:spacing w:after="0" w:line="175" w:lineRule="exact"/>
              <w:rPr>
                <w:sz w:val="20"/>
                <w:szCs w:val="20"/>
                <w:color w:val="auto"/>
              </w:rPr>
            </w:pPr>
            <w:r>
              <w:rPr>
                <w:rFonts w:ascii="Times New Roman" w:cs="Times New Roman" w:eastAsia="Times New Roman" w:hAnsi="Times New Roman"/>
                <w:sz w:val="16"/>
                <w:szCs w:val="16"/>
                <w:color w:val="3051F2"/>
                <w:w w:val="94"/>
              </w:rPr>
              <w:t>31(a)</w:t>
            </w:r>
          </w:p>
        </w:tc>
        <w:tc>
          <w:tcPr>
            <w:tcW w:w="10120" w:type="dxa"/>
            <w:vAlign w:val="bottom"/>
            <w:gridSpan w:val="10"/>
          </w:tcPr>
          <w:p>
            <w:pPr>
              <w:spacing w:after="0" w:line="175" w:lineRule="exact"/>
              <w:rPr>
                <w:sz w:val="20"/>
                <w:szCs w:val="20"/>
                <w:color w:val="auto"/>
              </w:rPr>
            </w:pPr>
            <w:r>
              <w:rPr>
                <w:rFonts w:ascii="Times New Roman" w:cs="Times New Roman" w:eastAsia="Times New Roman" w:hAnsi="Times New Roman"/>
                <w:sz w:val="16"/>
                <w:szCs w:val="16"/>
                <w:color w:val="0000FF"/>
              </w:rPr>
              <w:t>Rule 13a-14(a)/15d-14(a) Certification of Principal Executive Officer as adopted pursuant to Section 302 of the Sarbanes-Oxley Act of 2002</w:t>
            </w:r>
          </w:p>
        </w:tc>
      </w:tr>
      <w:tr>
        <w:trPr>
          <w:trHeight w:val="21"/>
        </w:trPr>
        <w:tc>
          <w:tcPr>
            <w:tcW w:w="640" w:type="dxa"/>
            <w:vAlign w:val="bottom"/>
          </w:tcPr>
          <w:p>
            <w:pPr>
              <w:spacing w:after="0" w:line="20" w:lineRule="exact"/>
              <w:rPr>
                <w:sz w:val="1"/>
                <w:szCs w:val="1"/>
                <w:color w:val="auto"/>
              </w:rPr>
            </w:pPr>
          </w:p>
        </w:tc>
        <w:tc>
          <w:tcPr>
            <w:tcW w:w="80" w:type="dxa"/>
            <w:vAlign w:val="bottom"/>
            <w:tcBorders>
              <w:top w:val="single" w:sz="8" w:color="3051F2"/>
            </w:tcBorders>
          </w:tcPr>
          <w:p>
            <w:pPr>
              <w:spacing w:after="0" w:line="20" w:lineRule="exact"/>
              <w:rPr>
                <w:sz w:val="1"/>
                <w:szCs w:val="1"/>
                <w:color w:val="auto"/>
              </w:rPr>
            </w:pPr>
          </w:p>
        </w:tc>
        <w:tc>
          <w:tcPr>
            <w:tcW w:w="20" w:type="dxa"/>
            <w:vAlign w:val="bottom"/>
            <w:tcBorders>
              <w:top w:val="single" w:sz="8" w:color="3051F2"/>
            </w:tcBorders>
          </w:tcPr>
          <w:p>
            <w:pPr>
              <w:spacing w:after="0" w:line="20" w:lineRule="exact"/>
              <w:rPr>
                <w:sz w:val="1"/>
                <w:szCs w:val="1"/>
                <w:color w:val="auto"/>
              </w:rPr>
            </w:pPr>
          </w:p>
        </w:tc>
        <w:tc>
          <w:tcPr>
            <w:tcW w:w="240" w:type="dxa"/>
            <w:vAlign w:val="bottom"/>
            <w:tcBorders>
              <w:top w:val="single" w:sz="8" w:color="3051F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660" w:type="dxa"/>
            <w:vAlign w:val="bottom"/>
            <w:tcBorders>
              <w:top w:val="single" w:sz="8" w:color="0000FF"/>
            </w:tcBorders>
          </w:tcPr>
          <w:p>
            <w:pPr>
              <w:spacing w:after="0" w:line="20" w:lineRule="exact"/>
              <w:rPr>
                <w:sz w:val="1"/>
                <w:szCs w:val="1"/>
                <w:color w:val="auto"/>
              </w:rPr>
            </w:pPr>
          </w:p>
        </w:tc>
        <w:tc>
          <w:tcPr>
            <w:tcW w:w="55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1120" w:type="dxa"/>
            <w:vAlign w:val="bottom"/>
            <w:gridSpan w:val="5"/>
          </w:tcPr>
          <w:p>
            <w:pPr>
              <w:jc w:val="right"/>
              <w:ind w:right="140"/>
              <w:spacing w:after="0" w:line="175" w:lineRule="exact"/>
              <w:rPr>
                <w:sz w:val="20"/>
                <w:szCs w:val="20"/>
                <w:color w:val="auto"/>
              </w:rPr>
            </w:pPr>
            <w:r>
              <w:rPr>
                <w:rFonts w:ascii="Times New Roman" w:cs="Times New Roman" w:eastAsia="Times New Roman" w:hAnsi="Times New Roman"/>
                <w:sz w:val="16"/>
                <w:szCs w:val="16"/>
                <w:color w:val="3051F2"/>
              </w:rPr>
              <w:t>31(b)</w:t>
            </w:r>
          </w:p>
        </w:tc>
        <w:tc>
          <w:tcPr>
            <w:tcW w:w="10120" w:type="dxa"/>
            <w:vAlign w:val="bottom"/>
            <w:gridSpan w:val="10"/>
          </w:tcPr>
          <w:p>
            <w:pPr>
              <w:spacing w:after="0" w:line="175" w:lineRule="exact"/>
              <w:rPr>
                <w:sz w:val="20"/>
                <w:szCs w:val="20"/>
                <w:color w:val="auto"/>
              </w:rPr>
            </w:pPr>
            <w:r>
              <w:rPr>
                <w:rFonts w:ascii="Times New Roman" w:cs="Times New Roman" w:eastAsia="Times New Roman" w:hAnsi="Times New Roman"/>
                <w:sz w:val="16"/>
                <w:szCs w:val="16"/>
                <w:color w:val="0000FF"/>
              </w:rPr>
              <w:t>Rule 13a-14(a)/15d-14(a) Certification of Principal Financial Officer as adopted pursuant to Section 302 of the Sarbanes-Oxley Act of 2002</w:t>
            </w:r>
          </w:p>
        </w:tc>
      </w:tr>
      <w:tr>
        <w:trPr>
          <w:trHeight w:val="183"/>
        </w:trPr>
        <w:tc>
          <w:tcPr>
            <w:tcW w:w="640" w:type="dxa"/>
            <w:vAlign w:val="bottom"/>
          </w:tcPr>
          <w:p>
            <w:pPr>
              <w:spacing w:after="0"/>
              <w:rPr>
                <w:sz w:val="15"/>
                <w:szCs w:val="15"/>
                <w:color w:val="auto"/>
              </w:rPr>
            </w:pPr>
          </w:p>
        </w:tc>
        <w:tc>
          <w:tcPr>
            <w:tcW w:w="80" w:type="dxa"/>
            <w:vAlign w:val="bottom"/>
            <w:tcBorders>
              <w:top w:val="single" w:sz="8" w:color="3051F2"/>
            </w:tcBorders>
          </w:tcPr>
          <w:p>
            <w:pPr>
              <w:spacing w:after="0"/>
              <w:rPr>
                <w:sz w:val="15"/>
                <w:szCs w:val="15"/>
                <w:color w:val="auto"/>
              </w:rPr>
            </w:pPr>
          </w:p>
        </w:tc>
        <w:tc>
          <w:tcPr>
            <w:tcW w:w="20" w:type="dxa"/>
            <w:vAlign w:val="bottom"/>
            <w:tcBorders>
              <w:top w:val="single" w:sz="8" w:color="3051F2"/>
            </w:tcBorders>
          </w:tcPr>
          <w:p>
            <w:pPr>
              <w:spacing w:after="0"/>
              <w:rPr>
                <w:sz w:val="15"/>
                <w:szCs w:val="15"/>
                <w:color w:val="auto"/>
              </w:rPr>
            </w:pPr>
          </w:p>
        </w:tc>
        <w:tc>
          <w:tcPr>
            <w:tcW w:w="240" w:type="dxa"/>
            <w:vAlign w:val="bottom"/>
            <w:tcBorders>
              <w:top w:val="single" w:sz="8" w:color="3051F2"/>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8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1660" w:type="dxa"/>
            <w:vAlign w:val="bottom"/>
            <w:tcBorders>
              <w:top w:val="single" w:sz="8" w:color="0000FF"/>
            </w:tcBorders>
          </w:tcPr>
          <w:p>
            <w:pPr>
              <w:spacing w:after="0"/>
              <w:rPr>
                <w:sz w:val="15"/>
                <w:szCs w:val="15"/>
                <w:color w:val="auto"/>
              </w:rPr>
            </w:pPr>
          </w:p>
        </w:tc>
        <w:tc>
          <w:tcPr>
            <w:tcW w:w="558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1120" w:type="dxa"/>
            <w:vAlign w:val="bottom"/>
            <w:gridSpan w:val="5"/>
            <w:shd w:val="clear" w:color="auto" w:fill="CCEEFF"/>
          </w:tcPr>
          <w:p>
            <w:pPr>
              <w:jc w:val="right"/>
              <w:ind w:right="140"/>
              <w:spacing w:after="0" w:line="175" w:lineRule="exact"/>
              <w:rPr>
                <w:sz w:val="20"/>
                <w:szCs w:val="20"/>
                <w:color w:val="auto"/>
              </w:rPr>
            </w:pPr>
            <w:r>
              <w:rPr>
                <w:rFonts w:ascii="Times New Roman" w:cs="Times New Roman" w:eastAsia="Times New Roman" w:hAnsi="Times New Roman"/>
                <w:sz w:val="16"/>
                <w:szCs w:val="16"/>
                <w:color w:val="0000EE"/>
              </w:rPr>
              <w:t>32+</w:t>
            </w:r>
          </w:p>
        </w:tc>
        <w:tc>
          <w:tcPr>
            <w:tcW w:w="10120" w:type="dxa"/>
            <w:vAlign w:val="bottom"/>
            <w:gridSpan w:val="10"/>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3051F2"/>
              </w:rPr>
              <w:t>Certification of Principal Executive Officer and Principal Financial Officer Pursuant to 18 U.S.C. Section 1350, as Adopted Pursuant to Section 906 of the</w:t>
            </w:r>
          </w:p>
        </w:tc>
      </w:tr>
      <w:tr>
        <w:trPr>
          <w:trHeight w:val="163"/>
        </w:trPr>
        <w:tc>
          <w:tcPr>
            <w:tcW w:w="6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0000EE"/>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20" w:type="dxa"/>
            <w:vAlign w:val="bottom"/>
            <w:tcBorders>
              <w:top w:val="single" w:sz="8" w:color="3051F2"/>
            </w:tcBorders>
            <w:gridSpan w:val="9"/>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3051F2"/>
              </w:rPr>
              <w:t>Sarbanes-Oxley Act of 2002</w:t>
            </w:r>
          </w:p>
        </w:tc>
        <w:tc>
          <w:tcPr>
            <w:tcW w:w="100" w:type="dxa"/>
            <w:vAlign w:val="bottom"/>
            <w:tcBorders>
              <w:top w:val="single" w:sz="8" w:color="CCEEFF"/>
            </w:tcBorders>
            <w:shd w:val="clear" w:color="auto" w:fill="CCEEFF"/>
          </w:tcPr>
          <w:p>
            <w:pPr>
              <w:spacing w:after="0"/>
              <w:rPr>
                <w:sz w:val="14"/>
                <w:szCs w:val="14"/>
                <w:color w:val="auto"/>
              </w:rPr>
            </w:pPr>
          </w:p>
        </w:tc>
      </w:tr>
      <w:tr>
        <w:trPr>
          <w:trHeight w:val="270"/>
        </w:trPr>
        <w:tc>
          <w:tcPr>
            <w:tcW w:w="6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480" w:type="dxa"/>
            <w:vAlign w:val="bottom"/>
            <w:tcBorders>
              <w:top w:val="single" w:sz="8" w:color="3051F2"/>
            </w:tcBorders>
          </w:tcPr>
          <w:p>
            <w:pPr>
              <w:spacing w:after="0"/>
              <w:rPr>
                <w:sz w:val="23"/>
                <w:szCs w:val="23"/>
                <w:color w:val="auto"/>
              </w:rPr>
            </w:pPr>
          </w:p>
        </w:tc>
        <w:tc>
          <w:tcPr>
            <w:tcW w:w="340" w:type="dxa"/>
            <w:vAlign w:val="bottom"/>
            <w:tcBorders>
              <w:top w:val="single" w:sz="8" w:color="3051F2"/>
            </w:tcBorders>
          </w:tcPr>
          <w:p>
            <w:pPr>
              <w:spacing w:after="0"/>
              <w:rPr>
                <w:sz w:val="23"/>
                <w:szCs w:val="23"/>
                <w:color w:val="auto"/>
              </w:rPr>
            </w:pPr>
          </w:p>
        </w:tc>
        <w:tc>
          <w:tcPr>
            <w:tcW w:w="1660" w:type="dxa"/>
            <w:vAlign w:val="bottom"/>
            <w:tcBorders>
              <w:top w:val="single" w:sz="8" w:color="CCEEFF"/>
            </w:tcBorders>
          </w:tcPr>
          <w:p>
            <w:pPr>
              <w:spacing w:after="0"/>
              <w:rPr>
                <w:sz w:val="23"/>
                <w:szCs w:val="23"/>
                <w:color w:val="auto"/>
              </w:rPr>
            </w:pPr>
          </w:p>
        </w:tc>
        <w:tc>
          <w:tcPr>
            <w:tcW w:w="55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0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r>
      <w:tr>
        <w:trPr>
          <w:trHeight w:val="243"/>
        </w:trPr>
        <w:tc>
          <w:tcPr>
            <w:tcW w:w="112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101.INS</w:t>
            </w:r>
          </w:p>
        </w:tc>
        <w:tc>
          <w:tcPr>
            <w:tcW w:w="1012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Instance Document</w:t>
            </w:r>
          </w:p>
        </w:tc>
      </w:tr>
      <w:tr>
        <w:trPr>
          <w:trHeight w:val="270"/>
        </w:trPr>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5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3"/>
        </w:trPr>
        <w:tc>
          <w:tcPr>
            <w:tcW w:w="112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101.SCH</w:t>
            </w:r>
          </w:p>
        </w:tc>
        <w:tc>
          <w:tcPr>
            <w:tcW w:w="1012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6"/>
                <w:szCs w:val="16"/>
                <w:color w:val="auto"/>
              </w:rPr>
              <w:t>101.SCH XBRL Taxonomy Extension Schema.</w:t>
            </w:r>
          </w:p>
        </w:tc>
      </w:tr>
      <w:tr>
        <w:trPr>
          <w:trHeight w:val="270"/>
        </w:trPr>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5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3"/>
        </w:trPr>
        <w:tc>
          <w:tcPr>
            <w:tcW w:w="112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101.CAL</w:t>
            </w:r>
          </w:p>
        </w:tc>
        <w:tc>
          <w:tcPr>
            <w:tcW w:w="1012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6"/>
                <w:szCs w:val="16"/>
                <w:color w:val="auto"/>
              </w:rPr>
              <w:t>101.CAL XBRL Taxonomy Extension Calculation Linkbase.</w:t>
            </w:r>
          </w:p>
        </w:tc>
      </w:tr>
      <w:tr>
        <w:trPr>
          <w:trHeight w:val="270"/>
        </w:trPr>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5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3"/>
        </w:trPr>
        <w:tc>
          <w:tcPr>
            <w:tcW w:w="112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101.DEF</w:t>
            </w:r>
          </w:p>
        </w:tc>
        <w:tc>
          <w:tcPr>
            <w:tcW w:w="1012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6"/>
                <w:szCs w:val="16"/>
                <w:color w:val="auto"/>
              </w:rPr>
              <w:t>101.DEF XBRL Taxonomy Extension Definition Linkbase.</w:t>
            </w:r>
          </w:p>
        </w:tc>
      </w:tr>
      <w:tr>
        <w:trPr>
          <w:trHeight w:val="243"/>
        </w:trPr>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5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112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101.LAB</w:t>
            </w:r>
          </w:p>
        </w:tc>
        <w:tc>
          <w:tcPr>
            <w:tcW w:w="1012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6"/>
                <w:szCs w:val="16"/>
                <w:color w:val="auto"/>
              </w:rPr>
              <w:t>101.LAB XBRL Taxonomy Extension Label Linkbase.</w:t>
            </w:r>
          </w:p>
        </w:tc>
      </w:tr>
      <w:tr>
        <w:trPr>
          <w:trHeight w:val="270"/>
        </w:trPr>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5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3"/>
        </w:trPr>
        <w:tc>
          <w:tcPr>
            <w:tcW w:w="112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101.PRE</w:t>
            </w:r>
          </w:p>
        </w:tc>
        <w:tc>
          <w:tcPr>
            <w:tcW w:w="1012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6"/>
                <w:szCs w:val="16"/>
                <w:color w:val="auto"/>
              </w:rPr>
              <w:t>101.PRE XBRL Taxonomy Extension Presentation Linkbase.</w:t>
            </w:r>
          </w:p>
        </w:tc>
      </w:tr>
    </w:tbl>
    <w:p>
      <w:pPr>
        <w:spacing w:after="0" w:line="270" w:lineRule="exact"/>
        <w:rPr>
          <w:sz w:val="20"/>
          <w:szCs w:val="20"/>
          <w:color w:val="auto"/>
        </w:rPr>
      </w:pPr>
    </w:p>
    <w:p>
      <w:pPr>
        <w:ind w:left="1120" w:right="60" w:hanging="222"/>
        <w:spacing w:after="0" w:line="232" w:lineRule="auto"/>
        <w:tabs>
          <w:tab w:leader="none" w:pos="11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exhibit will not be deemed “filed” for purposes of Section 18 of the Securities Exchange Act of 1934, as amended, or otherwise subject to the liability of that section. Such exhibit shall not be deemed incorporated into any filing under the Securities Act of 1933, as amended, or the Securities Act of 1934, as amended.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SIGNATURES</w:t>
      </w:r>
    </w:p>
    <w:p>
      <w:pPr>
        <w:spacing w:after="0" w:line="223" w:lineRule="exact"/>
        <w:rPr>
          <w:sz w:val="20"/>
          <w:szCs w:val="20"/>
          <w:color w:val="auto"/>
        </w:rPr>
      </w:pPr>
    </w:p>
    <w:p>
      <w:pPr>
        <w:ind w:firstLine="648"/>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36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KINGSTONE COMPANIES, INC.</w:t>
            </w:r>
          </w:p>
        </w:tc>
      </w:tr>
      <w:tr>
        <w:trPr>
          <w:trHeight w:val="513"/>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Dated: November 12, 2025</w:t>
            </w:r>
          </w:p>
        </w:tc>
        <w:tc>
          <w:tcPr>
            <w:tcW w:w="2280" w:type="dxa"/>
            <w:vAlign w:val="bottom"/>
          </w:tcPr>
          <w:p>
            <w:pPr>
              <w:ind w:left="1840"/>
              <w:spacing w:after="0"/>
              <w:rPr>
                <w:sz w:val="20"/>
                <w:szCs w:val="20"/>
                <w:color w:val="auto"/>
              </w:rPr>
            </w:pPr>
            <w:r>
              <w:rPr>
                <w:rFonts w:ascii="Times New Roman" w:cs="Times New Roman" w:eastAsia="Times New Roman" w:hAnsi="Times New Roman"/>
                <w:sz w:val="16"/>
                <w:szCs w:val="16"/>
                <w:color w:val="auto"/>
              </w:rPr>
              <w:t>By:</w:t>
            </w:r>
          </w:p>
        </w:tc>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Meryl Golden</w:t>
            </w:r>
          </w:p>
        </w:tc>
      </w:tr>
      <w:tr>
        <w:trPr>
          <w:trHeight w:val="33"/>
        </w:trPr>
        <w:tc>
          <w:tcPr>
            <w:tcW w:w="36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340" w:type="dxa"/>
            <w:vAlign w:val="bottom"/>
            <w:tcBorders>
              <w:bottom w:val="single" w:sz="8" w:color="auto"/>
            </w:tcBorders>
          </w:tcPr>
          <w:p>
            <w:pPr>
              <w:spacing w:after="0"/>
              <w:rPr>
                <w:sz w:val="2"/>
                <w:szCs w:val="2"/>
                <w:color w:val="auto"/>
              </w:rPr>
            </w:pPr>
          </w:p>
        </w:tc>
      </w:tr>
      <w:tr>
        <w:trPr>
          <w:trHeight w:val="204"/>
        </w:trPr>
        <w:tc>
          <w:tcPr>
            <w:tcW w:w="36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Meryl Golden</w:t>
            </w:r>
          </w:p>
        </w:tc>
      </w:tr>
      <w:tr>
        <w:trPr>
          <w:trHeight w:val="243"/>
        </w:trPr>
        <w:tc>
          <w:tcPr>
            <w:tcW w:w="36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Executive Officer and Principal Executive Officer</w:t>
            </w:r>
          </w:p>
        </w:tc>
      </w:tr>
      <w:tr>
        <w:trPr>
          <w:trHeight w:val="513"/>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Dated: November 12, 2025</w:t>
            </w:r>
          </w:p>
        </w:tc>
        <w:tc>
          <w:tcPr>
            <w:tcW w:w="2280" w:type="dxa"/>
            <w:vAlign w:val="bottom"/>
          </w:tcPr>
          <w:p>
            <w:pPr>
              <w:ind w:left="1840"/>
              <w:spacing w:after="0"/>
              <w:rPr>
                <w:sz w:val="20"/>
                <w:szCs w:val="20"/>
                <w:color w:val="auto"/>
              </w:rPr>
            </w:pPr>
            <w:r>
              <w:rPr>
                <w:rFonts w:ascii="Times New Roman" w:cs="Times New Roman" w:eastAsia="Times New Roman" w:hAnsi="Times New Roman"/>
                <w:sz w:val="16"/>
                <w:szCs w:val="16"/>
                <w:color w:val="auto"/>
              </w:rPr>
              <w:t>By:</w:t>
            </w:r>
          </w:p>
        </w:tc>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Randy Patten</w:t>
            </w:r>
          </w:p>
        </w:tc>
      </w:tr>
      <w:tr>
        <w:trPr>
          <w:trHeight w:val="33"/>
        </w:trPr>
        <w:tc>
          <w:tcPr>
            <w:tcW w:w="36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340" w:type="dxa"/>
            <w:vAlign w:val="bottom"/>
            <w:tcBorders>
              <w:bottom w:val="single" w:sz="8" w:color="auto"/>
            </w:tcBorders>
          </w:tcPr>
          <w:p>
            <w:pPr>
              <w:spacing w:after="0"/>
              <w:rPr>
                <w:sz w:val="2"/>
                <w:szCs w:val="2"/>
                <w:color w:val="auto"/>
              </w:rPr>
            </w:pPr>
          </w:p>
        </w:tc>
      </w:tr>
      <w:tr>
        <w:trPr>
          <w:trHeight w:val="204"/>
        </w:trPr>
        <w:tc>
          <w:tcPr>
            <w:tcW w:w="36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Randy Patten</w:t>
            </w:r>
          </w:p>
        </w:tc>
      </w:tr>
      <w:tr>
        <w:trPr>
          <w:trHeight w:val="243"/>
        </w:trPr>
        <w:tc>
          <w:tcPr>
            <w:tcW w:w="36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Vice President, Chief Financial Officer and 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240"/>
          </w:cols>
          <w:pgMar w:left="320" w:top="119"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31(A)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Meryl Golden, certify that:</w:t>
      </w:r>
    </w:p>
    <w:p>
      <w:pPr>
        <w:spacing w:after="0" w:line="225" w:lineRule="exact"/>
        <w:rPr>
          <w:sz w:val="20"/>
          <w:szCs w:val="20"/>
          <w:color w:val="auto"/>
        </w:rPr>
      </w:pPr>
    </w:p>
    <w:p>
      <w:pPr>
        <w:ind w:left="1060" w:hanging="1052"/>
        <w:spacing w:after="0"/>
        <w:tabs>
          <w:tab w:leader="none" w:pos="10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Kingstone Companies, Inc.;</w:t>
      </w:r>
    </w:p>
    <w:p>
      <w:pPr>
        <w:spacing w:after="0" w:line="225" w:lineRule="exact"/>
        <w:rPr>
          <w:rFonts w:ascii="Times New Roman" w:cs="Times New Roman" w:eastAsia="Times New Roman" w:hAnsi="Times New Roman"/>
          <w:sz w:val="18"/>
          <w:szCs w:val="18"/>
          <w:color w:val="auto"/>
        </w:rPr>
      </w:pPr>
    </w:p>
    <w:p>
      <w:pPr>
        <w:ind w:left="1060" w:right="180" w:hanging="1052"/>
        <w:spacing w:after="0" w:line="266" w:lineRule="auto"/>
        <w:tabs>
          <w:tab w:leader="none" w:pos="10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060" w:right="460" w:hanging="1052"/>
        <w:spacing w:after="0" w:line="312" w:lineRule="auto"/>
        <w:tabs>
          <w:tab w:leader="none" w:pos="10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Times New Roman" w:cs="Times New Roman" w:eastAsia="Times New Roman" w:hAnsi="Times New Roman"/>
          <w:sz w:val="17"/>
          <w:szCs w:val="17"/>
          <w:color w:val="auto"/>
        </w:rPr>
      </w:pPr>
    </w:p>
    <w:p>
      <w:pPr>
        <w:ind w:left="1060" w:right="80" w:hanging="1052"/>
        <w:spacing w:after="0" w:line="266" w:lineRule="auto"/>
        <w:tabs>
          <w:tab w:leader="none" w:pos="10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2140" w:hanging="1060"/>
        <w:spacing w:after="0" w:line="266" w:lineRule="auto"/>
        <w:tabs>
          <w:tab w:leader="none" w:pos="2137"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2140" w:right="40" w:hanging="1060"/>
        <w:spacing w:after="0" w:line="266" w:lineRule="auto"/>
        <w:tabs>
          <w:tab w:leader="none" w:pos="2134"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2140" w:right="120" w:hanging="1060"/>
        <w:spacing w:after="0" w:line="266" w:lineRule="auto"/>
        <w:tabs>
          <w:tab w:leader="none" w:pos="2137"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2140" w:right="140" w:hanging="1060"/>
        <w:spacing w:after="0" w:line="266" w:lineRule="auto"/>
        <w:tabs>
          <w:tab w:leader="none" w:pos="2134"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1060" w:right="40" w:hanging="1052"/>
        <w:spacing w:after="0" w:line="312" w:lineRule="auto"/>
        <w:tabs>
          <w:tab w:leader="none" w:pos="10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left="2120" w:right="400" w:hanging="1059"/>
        <w:spacing w:after="0" w:line="266" w:lineRule="auto"/>
        <w:tabs>
          <w:tab w:leader="none" w:pos="211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2120" w:right="780" w:hanging="1059"/>
        <w:spacing w:after="0" w:line="282" w:lineRule="auto"/>
        <w:tabs>
          <w:tab w:leader="none" w:pos="211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12, 2025</w:t>
      </w:r>
    </w:p>
    <w:p>
      <w:pPr>
        <w:spacing w:after="0" w:line="5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 Meryl Golden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26035</wp:posOffset>
            </wp:positionV>
            <wp:extent cx="252031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4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Meryl Golden</w:t>
      </w:r>
    </w:p>
    <w:p>
      <w:pPr>
        <w:spacing w:after="0" w:line="5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43"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31(B)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Randy Patten, certify that:</w:t>
      </w:r>
    </w:p>
    <w:p>
      <w:pPr>
        <w:spacing w:after="0" w:line="225" w:lineRule="exact"/>
        <w:rPr>
          <w:sz w:val="20"/>
          <w:szCs w:val="20"/>
          <w:color w:val="auto"/>
        </w:rPr>
      </w:pPr>
    </w:p>
    <w:p>
      <w:pPr>
        <w:ind w:left="1060" w:hanging="1052"/>
        <w:spacing w:after="0"/>
        <w:tabs>
          <w:tab w:leader="none" w:pos="10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Kingstone Companies, Inc.;</w:t>
      </w:r>
    </w:p>
    <w:p>
      <w:pPr>
        <w:spacing w:after="0" w:line="225" w:lineRule="exact"/>
        <w:rPr>
          <w:rFonts w:ascii="Times New Roman" w:cs="Times New Roman" w:eastAsia="Times New Roman" w:hAnsi="Times New Roman"/>
          <w:sz w:val="18"/>
          <w:szCs w:val="18"/>
          <w:color w:val="auto"/>
        </w:rPr>
      </w:pPr>
    </w:p>
    <w:p>
      <w:pPr>
        <w:ind w:left="1060" w:right="180" w:hanging="1052"/>
        <w:spacing w:after="0" w:line="266" w:lineRule="auto"/>
        <w:tabs>
          <w:tab w:leader="none" w:pos="10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060" w:right="460" w:hanging="1052"/>
        <w:spacing w:after="0" w:line="312" w:lineRule="auto"/>
        <w:tabs>
          <w:tab w:leader="none" w:pos="10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Times New Roman" w:cs="Times New Roman" w:eastAsia="Times New Roman" w:hAnsi="Times New Roman"/>
          <w:sz w:val="17"/>
          <w:szCs w:val="17"/>
          <w:color w:val="auto"/>
        </w:rPr>
      </w:pPr>
    </w:p>
    <w:p>
      <w:pPr>
        <w:ind w:left="1060" w:right="80" w:hanging="1052"/>
        <w:spacing w:after="0" w:line="266" w:lineRule="auto"/>
        <w:tabs>
          <w:tab w:leader="none" w:pos="10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2120" w:right="20" w:hanging="1059"/>
        <w:spacing w:after="0" w:line="266" w:lineRule="auto"/>
        <w:tabs>
          <w:tab w:leader="none" w:pos="211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2120" w:right="60" w:hanging="1059"/>
        <w:spacing w:after="0" w:line="266" w:lineRule="auto"/>
        <w:tabs>
          <w:tab w:leader="none" w:pos="211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2120" w:right="140" w:hanging="1059"/>
        <w:spacing w:after="0" w:line="266" w:lineRule="auto"/>
        <w:tabs>
          <w:tab w:leader="none" w:pos="211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2120" w:right="160" w:hanging="1059"/>
        <w:spacing w:after="0" w:line="266" w:lineRule="auto"/>
        <w:tabs>
          <w:tab w:leader="none" w:pos="211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1060" w:right="40" w:hanging="1052"/>
        <w:spacing w:after="0" w:line="312" w:lineRule="auto"/>
        <w:tabs>
          <w:tab w:leader="none" w:pos="10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left="2120" w:right="400" w:hanging="1059"/>
        <w:spacing w:after="0" w:line="266" w:lineRule="auto"/>
        <w:tabs>
          <w:tab w:leader="none" w:pos="211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2120" w:right="780" w:hanging="1059"/>
        <w:spacing w:after="0" w:line="282" w:lineRule="auto"/>
        <w:tabs>
          <w:tab w:leader="none" w:pos="211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12, 2025</w:t>
      </w:r>
    </w:p>
    <w:p>
      <w:pPr>
        <w:spacing w:after="0" w:line="5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Randy Patten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26035</wp:posOffset>
            </wp:positionV>
            <wp:extent cx="25203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8"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Randy Patten</w:t>
      </w:r>
    </w:p>
    <w:p>
      <w:pPr>
        <w:ind w:left="59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143"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The undersigned hereby certify, pursuant to, and as required by, 18 U.S.C. Section 1350, as adopted pursuant to Section 906 of the Sarbanes-Oxley Act of 2002, that the Quarterly Report of Kingstone Companies, Inc. (the “Company”) on Form 10-Q for the period ended September 30, 2025 fully complies with the requirements of Section 13(a) or 15(d) of the Securities Exchange Act of 1934, as amended, and that information contained in such Quarterly Report on Form 10-Q fairly presents, in all material respects, the financial condition and results of operations of the Company.</w:t>
      </w:r>
    </w:p>
    <w:p>
      <w:pPr>
        <w:spacing w:after="0" w:line="234" w:lineRule="exact"/>
        <w:rPr>
          <w:sz w:val="20"/>
          <w:szCs w:val="20"/>
          <w:color w:val="auto"/>
        </w:rPr>
      </w:pPr>
    </w:p>
    <w:p>
      <w:pPr>
        <w:ind w:left="20"/>
        <w:spacing w:after="0"/>
        <w:tabs>
          <w:tab w:leader="none" w:pos="5700" w:val="left"/>
        </w:tabs>
        <w:rPr>
          <w:sz w:val="20"/>
          <w:szCs w:val="20"/>
          <w:color w:val="auto"/>
        </w:rPr>
      </w:pPr>
      <w:r>
        <w:rPr>
          <w:rFonts w:ascii="Times New Roman" w:cs="Times New Roman" w:eastAsia="Times New Roman" w:hAnsi="Times New Roman"/>
          <w:sz w:val="18"/>
          <w:szCs w:val="18"/>
          <w:color w:val="auto"/>
        </w:rPr>
        <w:t>Dated: November 12, 2025</w:t>
      </w:r>
      <w:r>
        <w:rPr>
          <w:sz w:val="20"/>
          <w:szCs w:val="20"/>
          <w:color w:val="auto"/>
        </w:rPr>
        <w:tab/>
      </w:r>
      <w:r>
        <w:rPr>
          <w:rFonts w:ascii="Times New Roman" w:cs="Times New Roman" w:eastAsia="Times New Roman" w:hAnsi="Times New Roman"/>
          <w:sz w:val="18"/>
          <w:szCs w:val="18"/>
          <w:color w:val="auto"/>
        </w:rPr>
        <w:t>/s/ Meryl Golden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26035</wp:posOffset>
            </wp:positionV>
            <wp:extent cx="272605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4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Meryl Golden</w:t>
      </w:r>
    </w:p>
    <w:p>
      <w:pPr>
        <w:spacing w:after="0" w:line="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0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Randy Patten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26035</wp:posOffset>
            </wp:positionV>
            <wp:extent cx="27260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4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Randy Patten</w:t>
      </w:r>
    </w:p>
    <w:p>
      <w:pPr>
        <w:spacing w:after="0" w:line="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x"/>
      <w:numFmt w:val="bullet"/>
      <w:start w:val="1"/>
    </w:lvl>
  </w:abstractNum>
  <w:abstractNum w:abstractNumId="1">
    <w:nsid w:val="6B68079A"/>
    <w:multiLevelType w:val="hybridMultilevel"/>
    <w:lvl w:ilvl="0">
      <w:lvlJc w:val="left"/>
      <w:lvlText w:val="o"/>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1)"/>
      <w:numFmt w:val="upperLetter"/>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1)"/>
      <w:numFmt w:val="decimal"/>
      <w:start w:val="1"/>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1)"/>
      <w:numFmt w:val="decimal"/>
      <w:start w:val="1"/>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1)"/>
      <w:numFmt w:val="decimal"/>
      <w:start w:val="1"/>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1)"/>
      <w:numFmt w:val="lowerLetter"/>
      <w:start w:val="1"/>
    </w:lvl>
  </w:abstractNum>
  <w:abstractNum w:abstractNumId="26">
    <w:nsid w:val="836C40E"/>
    <w:multiLevelType w:val="hybridMultilevel"/>
    <w:lvl w:ilvl="0">
      <w:lvlJc w:val="left"/>
      <w:lvlText w:val="(%1)"/>
      <w:numFmt w:val="lowerLetter"/>
      <w:start w:val="1"/>
    </w:lvl>
  </w:abstractNum>
  <w:abstractNum w:abstractNumId="27">
    <w:nsid w:val="2901D82"/>
    <w:multiLevelType w:val="hybridMultilevel"/>
    <w:lvl w:ilvl="0">
      <w:lvlJc w:val="left"/>
      <w:lvlText w:val="+"/>
      <w:numFmt w:val="bullet"/>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9">
    <w:nsid w:val="813864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0" Type="http://schemas.openxmlformats.org/officeDocument/2006/relationships/hyperlink" Target="http://www.sec.gov/Archives/edgar/data/33992/000135448814002619/kins_ex3a.htm" TargetMode="External"/><Relationship Id="rId111" Type="http://schemas.openxmlformats.org/officeDocument/2006/relationships/hyperlink" Target="https://www.sec.gov/Archives/edgar/data/33992/000135448814002619/kins_ex3a.htm" TargetMode="External"/><Relationship Id="rId112" Type="http://schemas.openxmlformats.org/officeDocument/2006/relationships/hyperlink" Target="http://www.sec.gov/Archives/edgar/data/33992/000003399225000017/exhibit3bby-lawsasamended.htm" TargetMode="External"/><Relationship Id="rId113" Type="http://schemas.openxmlformats.org/officeDocument/2006/relationships/hyperlink" Target="https://www.sec.gov/Archives/edgar/data/33992/000003399225000017/exhibit3bby-lawsasamende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2025-11-12T12:17:52Z</dcterms:created>
  <dcterms:modified xsi:type="dcterms:W3CDTF">2025-11-12T12:17:52Z</dcterms:modified>
</cp:coreProperties>
</file>