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WASHINGTON, D.C. 20549</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FORM 10-Q</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43" w:lineRule="exact"/>
        <w:rPr>
          <w:sz w:val="24"/>
          <w:szCs w:val="24"/>
          <w:color w:val="auto"/>
        </w:rPr>
      </w:pPr>
    </w:p>
    <w:p>
      <w:pPr>
        <w:ind w:left="360" w:hanging="260"/>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18"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For the quarterly period ended September 30, 2015</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OR</w:t>
      </w:r>
    </w:p>
    <w:p>
      <w:pPr>
        <w:spacing w:after="0" w:line="227" w:lineRule="exact"/>
        <w:rPr>
          <w:sz w:val="24"/>
          <w:szCs w:val="24"/>
          <w:color w:val="auto"/>
        </w:rPr>
      </w:pPr>
    </w:p>
    <w:p>
      <w:pPr>
        <w:ind w:left="3720" w:right="2200" w:hanging="3585"/>
        <w:spacing w:after="0" w:line="522" w:lineRule="auto"/>
        <w:tabs>
          <w:tab w:leader="none" w:pos="358"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_________to _________</w:t>
      </w:r>
    </w:p>
    <w:p>
      <w:pPr>
        <w:spacing w:after="0" w:line="1" w:lineRule="exact"/>
        <w:rPr>
          <w:rFonts w:ascii="Arial" w:cs="Arial" w:eastAsia="Arial" w:hAnsi="Arial"/>
          <w:sz w:val="17"/>
          <w:szCs w:val="17"/>
          <w:color w:val="auto"/>
        </w:rPr>
      </w:pPr>
    </w:p>
    <w:p>
      <w:pPr>
        <w:ind w:left="4500"/>
        <w:spacing w:after="0"/>
        <w:rPr>
          <w:rFonts w:ascii="Arial" w:cs="Arial" w:eastAsia="Arial" w:hAnsi="Arial"/>
          <w:sz w:val="17"/>
          <w:szCs w:val="17"/>
          <w:color w:val="auto"/>
        </w:rPr>
      </w:pPr>
      <w:r>
        <w:rPr>
          <w:rFonts w:ascii="Arial" w:cs="Arial" w:eastAsia="Arial" w:hAnsi="Arial"/>
          <w:sz w:val="17"/>
          <w:szCs w:val="17"/>
          <w:b w:val="1"/>
          <w:bCs w:val="1"/>
          <w:color w:val="auto"/>
        </w:rPr>
        <w:t>Commission File Number 0-1665</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KINGSTONE COMPANIES, INC.</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300"/>
          </w:cols>
          <w:pgMar w:left="240" w:top="302" w:right="359" w:bottom="1440" w:gutter="0" w:footer="0" w:header="0"/>
        </w:sectPr>
      </w:pPr>
    </w:p>
    <w:p>
      <w:pPr>
        <w:spacing w:after="0" w:line="223" w:lineRule="exact"/>
        <w:rPr>
          <w:sz w:val="24"/>
          <w:szCs w:val="24"/>
          <w:color w:val="auto"/>
        </w:rPr>
      </w:pPr>
    </w:p>
    <w:p>
      <w:pPr>
        <w:jc w:val="center"/>
        <w:ind w:left="1200"/>
        <w:spacing w:after="0"/>
        <w:rPr>
          <w:sz w:val="20"/>
          <w:szCs w:val="20"/>
          <w:color w:val="auto"/>
        </w:rPr>
      </w:pPr>
      <w:r>
        <w:rPr>
          <w:rFonts w:ascii="Arial" w:cs="Arial" w:eastAsia="Arial" w:hAnsi="Arial"/>
          <w:sz w:val="17"/>
          <w:szCs w:val="17"/>
          <w:b w:val="1"/>
          <w:bCs w:val="1"/>
          <w:color w:val="auto"/>
        </w:rPr>
        <w:t>Delaware</w:t>
      </w:r>
    </w:p>
    <w:p>
      <w:pPr>
        <w:spacing w:after="0" w:line="28" w:lineRule="exact"/>
        <w:rPr>
          <w:sz w:val="24"/>
          <w:szCs w:val="24"/>
          <w:color w:val="auto"/>
        </w:rPr>
      </w:pPr>
    </w:p>
    <w:p>
      <w:pPr>
        <w:jc w:val="center"/>
        <w:ind w:left="1200"/>
        <w:spacing w:after="0"/>
        <w:rPr>
          <w:sz w:val="20"/>
          <w:szCs w:val="20"/>
          <w:color w:val="auto"/>
        </w:rPr>
      </w:pPr>
      <w:r>
        <w:rPr>
          <w:rFonts w:ascii="Arial" w:cs="Arial" w:eastAsia="Arial" w:hAnsi="Arial"/>
          <w:sz w:val="15"/>
          <w:szCs w:val="15"/>
          <w:b w:val="1"/>
          <w:bCs w:val="1"/>
          <w:color w:val="auto"/>
        </w:rPr>
        <w:t>(State or other jurisdiction of incorporation or</w:t>
      </w:r>
    </w:p>
    <w:p>
      <w:pPr>
        <w:spacing w:after="0" w:line="34" w:lineRule="exact"/>
        <w:rPr>
          <w:sz w:val="24"/>
          <w:szCs w:val="24"/>
          <w:color w:val="auto"/>
        </w:rPr>
      </w:pPr>
    </w:p>
    <w:p>
      <w:pPr>
        <w:jc w:val="center"/>
        <w:ind w:left="1200"/>
        <w:spacing w:after="0"/>
        <w:rPr>
          <w:sz w:val="20"/>
          <w:szCs w:val="20"/>
          <w:color w:val="auto"/>
        </w:rPr>
      </w:pPr>
      <w:r>
        <w:rPr>
          <w:rFonts w:ascii="Arial" w:cs="Arial" w:eastAsia="Arial" w:hAnsi="Arial"/>
          <w:sz w:val="17"/>
          <w:szCs w:val="17"/>
          <w:b w:val="1"/>
          <w:bCs w:val="1"/>
          <w:color w:val="auto"/>
        </w:rPr>
        <w:t>organization)</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1860"/>
        <w:spacing w:after="0"/>
        <w:rPr>
          <w:sz w:val="20"/>
          <w:szCs w:val="20"/>
          <w:color w:val="auto"/>
        </w:rPr>
      </w:pPr>
      <w:r>
        <w:rPr>
          <w:rFonts w:ascii="Arial" w:cs="Arial" w:eastAsia="Arial" w:hAnsi="Arial"/>
          <w:sz w:val="17"/>
          <w:szCs w:val="17"/>
          <w:b w:val="1"/>
          <w:bCs w:val="1"/>
          <w:color w:val="auto"/>
        </w:rPr>
        <w:t>36-2476480</w:t>
      </w:r>
    </w:p>
    <w:p>
      <w:pPr>
        <w:spacing w:after="0" w:line="28"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(I.R.S. Employer Identification Number)</w:t>
      </w:r>
    </w:p>
    <w:p>
      <w:pPr>
        <w:spacing w:after="0" w:line="417" w:lineRule="exact"/>
        <w:rPr>
          <w:sz w:val="24"/>
          <w:szCs w:val="24"/>
          <w:color w:val="auto"/>
        </w:rPr>
      </w:pPr>
    </w:p>
    <w:p>
      <w:pPr>
        <w:sectPr>
          <w:pgSz w:w="11900" w:h="16838" w:orient="portrait"/>
          <w:cols w:equalWidth="0" w:num="2">
            <w:col w:w="5740" w:space="720"/>
            <w:col w:w="4840"/>
          </w:cols>
          <w:pgMar w:left="240" w:top="302" w:right="359" w:bottom="1440" w:gutter="0" w:footer="0" w:header="0"/>
          <w:type w:val="continuous"/>
        </w:sectPr>
      </w:pP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15 Joys Lane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Kingston, NY 12401</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(845) 802-7900</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00" w:lineRule="exact"/>
        <w:rPr>
          <w:sz w:val="24"/>
          <w:szCs w:val="24"/>
          <w:color w:val="auto"/>
        </w:rPr>
      </w:pPr>
    </w:p>
    <w:p>
      <w:pPr>
        <w:spacing w:after="0" w:line="265" w:lineRule="exact"/>
        <w:rPr>
          <w:sz w:val="24"/>
          <w:szCs w:val="24"/>
          <w:color w:val="auto"/>
        </w:rPr>
      </w:pPr>
    </w:p>
    <w:p>
      <w:pPr>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02" w:lineRule="exact"/>
        <w:rPr>
          <w:sz w:val="24"/>
          <w:szCs w:val="24"/>
          <w:color w:val="auto"/>
        </w:rPr>
      </w:pPr>
    </w:p>
    <w:p>
      <w:pPr>
        <w:ind w:right="240"/>
        <w:spacing w:after="0" w:line="21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02" w:lineRule="exact"/>
        <w:rPr>
          <w:sz w:val="24"/>
          <w:szCs w:val="24"/>
          <w:color w:val="auto"/>
        </w:rPr>
      </w:pPr>
    </w:p>
    <w:p>
      <w:pPr>
        <w:ind w:right="560"/>
        <w:spacing w:after="0" w:line="31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00"/>
          </w:cols>
          <w:pgMar w:left="240" w:top="302" w:right="359" w:bottom="1440" w:gutter="0" w:footer="0" w:header="0"/>
          <w:type w:val="continuous"/>
        </w:sectPr>
      </w:pPr>
    </w:p>
    <w:p>
      <w:pPr>
        <w:spacing w:after="0" w:line="167" w:lineRule="exact"/>
        <w:rPr>
          <w:sz w:val="24"/>
          <w:szCs w:val="24"/>
          <w:color w:val="auto"/>
        </w:rPr>
      </w:pPr>
    </w:p>
    <w:p>
      <w:pPr>
        <w:ind w:left="30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filero</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Non-accelerated filer 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449" w:lineRule="exact"/>
        <w:rPr>
          <w:sz w:val="24"/>
          <w:szCs w:val="24"/>
          <w:color w:val="auto"/>
        </w:rPr>
      </w:pPr>
    </w:p>
    <w:p>
      <w:pPr>
        <w:sectPr>
          <w:pgSz w:w="11900" w:h="16838" w:orient="portrait"/>
          <w:cols w:equalWidth="0" w:num="4">
            <w:col w:w="2200" w:space="720"/>
            <w:col w:w="1660" w:space="720"/>
            <w:col w:w="3200" w:space="720"/>
            <w:col w:w="2080"/>
          </w:cols>
          <w:pgMar w:left="240" w:top="302" w:right="359" w:bottom="1440" w:gutter="0" w:footer="0" w:header="0"/>
          <w:type w:val="continuous"/>
        </w:sectPr>
      </w:pPr>
    </w:p>
    <w:p>
      <w:pPr>
        <w:spacing w:after="0" w:line="2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o No </w:t>
      </w:r>
      <w:r>
        <w:rPr>
          <w:rFonts w:ascii="MS PGothic" w:cs="MS PGothic" w:eastAsia="MS PGothic" w:hAnsi="MS PGothic"/>
          <w:sz w:val="15"/>
          <w:szCs w:val="15"/>
          <w:color w:val="auto"/>
        </w:rPr>
        <w:t>☑</w:t>
      </w:r>
    </w:p>
    <w:p>
      <w:pPr>
        <w:spacing w:after="0" w:line="299" w:lineRule="exact"/>
        <w:rPr>
          <w:sz w:val="24"/>
          <w:szCs w:val="24"/>
          <w:color w:val="auto"/>
        </w:rPr>
      </w:pPr>
    </w:p>
    <w:p>
      <w:pPr>
        <w:spacing w:after="0"/>
        <w:rPr>
          <w:sz w:val="20"/>
          <w:szCs w:val="20"/>
          <w:color w:val="auto"/>
        </w:rPr>
      </w:pPr>
      <w:r>
        <w:rPr>
          <w:rFonts w:ascii="Arial" w:cs="Arial" w:eastAsia="Arial" w:hAnsi="Arial"/>
          <w:sz w:val="17"/>
          <w:szCs w:val="17"/>
          <w:color w:val="auto"/>
        </w:rPr>
        <w:t>As of November 11, 2015, there were 7,335,110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302"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KINGSTONE COMPANIES,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ind w:left="16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620" w:type="dxa"/>
            <w:vAlign w:val="bottom"/>
            <w:gridSpan w:val="22"/>
            <w:shd w:val="clear" w:color="auto" w:fill="CCEEFF"/>
          </w:tcPr>
          <w:p>
            <w:pPr>
              <w:spacing w:after="0"/>
              <w:rPr>
                <w:sz w:val="20"/>
                <w:szCs w:val="20"/>
                <w:color w:val="auto"/>
              </w:rPr>
            </w:pPr>
            <w:r>
              <w:rPr>
                <w:rFonts w:ascii="Arial" w:cs="Arial" w:eastAsia="Arial" w:hAnsi="Arial"/>
                <w:sz w:val="17"/>
                <w:szCs w:val="17"/>
                <w:b w:val="1"/>
                <w:bCs w:val="1"/>
                <w:color w:val="auto"/>
              </w:rPr>
              <w:t>PART I — FINANCIAL INFORMATION</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0" w:type="dxa"/>
            <w:vAlign w:val="bottom"/>
            <w:gridSpan w:val="21"/>
            <w:shd w:val="clear" w:color="auto" w:fill="CCEEFF"/>
          </w:tcPr>
          <w:p>
            <w:pPr>
              <w:spacing w:after="0" w:line="167" w:lineRule="exact"/>
              <w:rPr>
                <w:rFonts w:ascii="Arial" w:cs="Arial" w:eastAsia="Arial" w:hAnsi="Arial"/>
                <w:sz w:val="17"/>
                <w:szCs w:val="17"/>
                <w:color w:val="0000EE"/>
              </w:rPr>
            </w:pPr>
            <w:hyperlink w:anchor="page4">
              <w:r>
                <w:rPr>
                  <w:rFonts w:ascii="Arial" w:cs="Arial" w:eastAsia="Arial" w:hAnsi="Arial"/>
                  <w:sz w:val="17"/>
                  <w:szCs w:val="17"/>
                  <w:color w:val="0000EE"/>
                </w:rPr>
                <w:t>Item 1 — Financial Statements</w:t>
              </w:r>
            </w:hyperlink>
          </w:p>
        </w:tc>
        <w:tc>
          <w:tcPr>
            <w:tcW w:w="7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gridSpan w:val="2"/>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60" w:type="dxa"/>
            <w:vAlign w:val="bottom"/>
            <w:gridSpan w:val="20"/>
            <w:shd w:val="clear" w:color="auto" w:fill="CCEEFF"/>
          </w:tcPr>
          <w:p>
            <w:pPr>
              <w:spacing w:after="0" w:line="167" w:lineRule="exact"/>
              <w:rPr>
                <w:rFonts w:ascii="Arial" w:cs="Arial" w:eastAsia="Arial" w:hAnsi="Arial"/>
                <w:sz w:val="17"/>
                <w:szCs w:val="17"/>
                <w:color w:val="0000EE"/>
              </w:rPr>
            </w:pPr>
            <w:hyperlink w:anchor="page4">
              <w:r>
                <w:rPr>
                  <w:rFonts w:ascii="Arial" w:cs="Arial" w:eastAsia="Arial" w:hAnsi="Arial"/>
                  <w:sz w:val="17"/>
                  <w:szCs w:val="17"/>
                  <w:color w:val="0000EE"/>
                </w:rPr>
                <w:t>Condensed Consolidated Balance Sheets at September 30, 2015 (Unaudited) and December 31, 2014</w:t>
              </w:r>
            </w:hyperlink>
          </w:p>
        </w:tc>
        <w:tc>
          <w:tcPr>
            <w:tcW w:w="7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gridSpan w:val="2"/>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60" w:type="dxa"/>
            <w:vAlign w:val="bottom"/>
            <w:gridSpan w:val="20"/>
            <w:shd w:val="clear" w:color="auto" w:fill="CCEEFF"/>
          </w:tcPr>
          <w:p>
            <w:pPr>
              <w:spacing w:after="0" w:line="167" w:lineRule="exact"/>
              <w:rPr>
                <w:rFonts w:ascii="Arial" w:cs="Arial" w:eastAsia="Arial" w:hAnsi="Arial"/>
                <w:sz w:val="17"/>
                <w:szCs w:val="17"/>
                <w:color w:val="0000EE"/>
                <w:w w:val="93"/>
              </w:rPr>
            </w:pPr>
            <w:hyperlink w:anchor="page5">
              <w:r>
                <w:rPr>
                  <w:rFonts w:ascii="Arial" w:cs="Arial" w:eastAsia="Arial" w:hAnsi="Arial"/>
                  <w:sz w:val="17"/>
                  <w:szCs w:val="17"/>
                  <w:color w:val="0000EE"/>
                  <w:w w:val="93"/>
                </w:rPr>
                <w:t>Condensed Consolidated Statements of Income and Comprehensive Income for the three months and nine months ended September 30, 2015</w:t>
              </w:r>
            </w:hyperlink>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9720" w:type="dxa"/>
            <w:vAlign w:val="bottom"/>
            <w:tcBorders>
              <w:top w:val="single" w:sz="8" w:color="0000EE"/>
            </w:tcBorders>
            <w:gridSpan w:val="19"/>
            <w:shd w:val="clear" w:color="auto" w:fill="CCEEFF"/>
          </w:tcPr>
          <w:p>
            <w:pPr>
              <w:spacing w:after="0" w:line="186" w:lineRule="exact"/>
              <w:rPr>
                <w:rFonts w:ascii="Arial" w:cs="Arial" w:eastAsia="Arial" w:hAnsi="Arial"/>
                <w:sz w:val="17"/>
                <w:szCs w:val="17"/>
                <w:color w:val="0000EE"/>
              </w:rPr>
            </w:pPr>
            <w:hyperlink w:anchor="page5">
              <w:r>
                <w:rPr>
                  <w:rFonts w:ascii="Arial" w:cs="Arial" w:eastAsia="Arial" w:hAnsi="Arial"/>
                  <w:sz w:val="17"/>
                  <w:szCs w:val="17"/>
                  <w:color w:val="0000EE"/>
                </w:rPr>
                <w:t>(Unaudited) and 2014 (Unaudited)</w:t>
              </w:r>
            </w:hyperlink>
          </w:p>
        </w:tc>
        <w:tc>
          <w:tcPr>
            <w:tcW w:w="3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gridSpan w:val="2"/>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60" w:type="dxa"/>
            <w:vAlign w:val="bottom"/>
            <w:gridSpan w:val="20"/>
            <w:shd w:val="clear" w:color="auto" w:fill="CCEEFF"/>
          </w:tcPr>
          <w:p>
            <w:pPr>
              <w:spacing w:after="0" w:line="167" w:lineRule="exact"/>
              <w:rPr>
                <w:rFonts w:ascii="Arial" w:cs="Arial" w:eastAsia="Arial" w:hAnsi="Arial"/>
                <w:sz w:val="17"/>
                <w:szCs w:val="17"/>
                <w:color w:val="0000EE"/>
              </w:rPr>
            </w:pPr>
            <w:hyperlink w:anchor="page6">
              <w:r>
                <w:rPr>
                  <w:rFonts w:ascii="Arial" w:cs="Arial" w:eastAsia="Arial" w:hAnsi="Arial"/>
                  <w:sz w:val="17"/>
                  <w:szCs w:val="17"/>
                  <w:color w:val="0000EE"/>
                </w:rPr>
                <w:t>Condensed Consolidated Statement of Stockholders’ Equity for the nine months ended September 30, 2015 (Unaudited)</w:t>
              </w:r>
            </w:hyperlink>
          </w:p>
        </w:tc>
        <w:tc>
          <w:tcPr>
            <w:tcW w:w="7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gridSpan w:val="2"/>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60" w:type="dxa"/>
            <w:vAlign w:val="bottom"/>
            <w:gridSpan w:val="20"/>
            <w:shd w:val="clear" w:color="auto" w:fill="CCEEFF"/>
          </w:tcPr>
          <w:p>
            <w:pPr>
              <w:spacing w:after="0" w:line="167" w:lineRule="exact"/>
              <w:rPr>
                <w:rFonts w:ascii="Arial" w:cs="Arial" w:eastAsia="Arial" w:hAnsi="Arial"/>
                <w:sz w:val="17"/>
                <w:szCs w:val="17"/>
                <w:color w:val="0000EE"/>
                <w:w w:val="98"/>
              </w:rPr>
            </w:pPr>
            <w:hyperlink w:anchor="page7">
              <w:r>
                <w:rPr>
                  <w:rFonts w:ascii="Arial" w:cs="Arial" w:eastAsia="Arial" w:hAnsi="Arial"/>
                  <w:sz w:val="17"/>
                  <w:szCs w:val="17"/>
                  <w:color w:val="0000EE"/>
                  <w:w w:val="98"/>
                </w:rPr>
                <w:t>Condensed Consolidated Statements of Cash Flows for the nine months ended September 30, 2015 (Unaudited) and 2014 (Unaudited)</w:t>
              </w:r>
            </w:hyperlink>
          </w:p>
        </w:tc>
        <w:tc>
          <w:tcPr>
            <w:tcW w:w="7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gridSpan w:val="2"/>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60" w:type="dxa"/>
            <w:vAlign w:val="bottom"/>
            <w:gridSpan w:val="20"/>
            <w:shd w:val="clear" w:color="auto" w:fill="CCEEFF"/>
          </w:tcPr>
          <w:p>
            <w:pPr>
              <w:spacing w:after="0" w:line="167" w:lineRule="exact"/>
              <w:rPr>
                <w:rFonts w:ascii="Arial" w:cs="Arial" w:eastAsia="Arial" w:hAnsi="Arial"/>
                <w:sz w:val="17"/>
                <w:szCs w:val="17"/>
                <w:color w:val="0000EE"/>
              </w:rPr>
            </w:pPr>
            <w:hyperlink w:anchor="page8">
              <w:r>
                <w:rPr>
                  <w:rFonts w:ascii="Arial" w:cs="Arial" w:eastAsia="Arial" w:hAnsi="Arial"/>
                  <w:sz w:val="17"/>
                  <w:szCs w:val="17"/>
                  <w:color w:val="0000EE"/>
                </w:rPr>
                <w:t>Notes to Condensed Consolidated Financial Statements (Unaudited)</w:t>
              </w:r>
            </w:hyperlink>
          </w:p>
        </w:tc>
        <w:tc>
          <w:tcPr>
            <w:tcW w:w="7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spacing w:after="0" w:line="167" w:lineRule="exact"/>
              <w:rPr>
                <w:rFonts w:ascii="Arial" w:cs="Arial" w:eastAsia="Arial" w:hAnsi="Arial"/>
                <w:sz w:val="17"/>
                <w:szCs w:val="17"/>
                <w:color w:val="0000EE"/>
                <w:w w:val="98"/>
              </w:rPr>
            </w:pPr>
            <w:hyperlink w:anchor="page33">
              <w:r>
                <w:rPr>
                  <w:rFonts w:ascii="Arial" w:cs="Arial" w:eastAsia="Arial" w:hAnsi="Arial"/>
                  <w:sz w:val="17"/>
                  <w:szCs w:val="17"/>
                  <w:color w:val="0000EE"/>
                  <w:w w:val="98"/>
                </w:rPr>
                <w:t>Item 2 —</w:t>
              </w:r>
            </w:hyperlink>
          </w:p>
        </w:tc>
        <w:tc>
          <w:tcPr>
            <w:tcW w:w="9700" w:type="dxa"/>
            <w:vAlign w:val="bottom"/>
            <w:gridSpan w:val="18"/>
            <w:shd w:val="clear" w:color="auto" w:fill="CCEEFF"/>
          </w:tcPr>
          <w:p>
            <w:pPr>
              <w:ind w:left="40"/>
              <w:spacing w:after="0" w:line="167" w:lineRule="exact"/>
              <w:rPr>
                <w:rFonts w:ascii="Arial" w:cs="Arial" w:eastAsia="Arial" w:hAnsi="Arial"/>
                <w:sz w:val="17"/>
                <w:szCs w:val="17"/>
                <w:color w:val="0000EE"/>
              </w:rPr>
            </w:pPr>
            <w:hyperlink w:anchor="page33">
              <w:r>
                <w:rPr>
                  <w:rFonts w:ascii="Arial" w:cs="Arial" w:eastAsia="Arial" w:hAnsi="Arial"/>
                  <w:sz w:val="17"/>
                  <w:szCs w:val="17"/>
                  <w:color w:val="0000EE"/>
                </w:rPr>
                <w:t>Management’s Discussion and Analysis of Financial Condition and Results of Operations</w:t>
              </w:r>
            </w:hyperlink>
          </w:p>
        </w:tc>
        <w:tc>
          <w:tcPr>
            <w:tcW w:w="7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33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spacing w:after="0" w:line="167" w:lineRule="exact"/>
              <w:rPr>
                <w:rFonts w:ascii="Arial" w:cs="Arial" w:eastAsia="Arial" w:hAnsi="Arial"/>
                <w:sz w:val="17"/>
                <w:szCs w:val="17"/>
                <w:color w:val="0000EE"/>
                <w:w w:val="98"/>
              </w:rPr>
            </w:pPr>
            <w:hyperlink w:anchor="page61">
              <w:r>
                <w:rPr>
                  <w:rFonts w:ascii="Arial" w:cs="Arial" w:eastAsia="Arial" w:hAnsi="Arial"/>
                  <w:sz w:val="17"/>
                  <w:szCs w:val="17"/>
                  <w:color w:val="0000EE"/>
                  <w:w w:val="98"/>
                </w:rPr>
                <w:t>Item 3 —</w:t>
              </w:r>
            </w:hyperlink>
          </w:p>
        </w:tc>
        <w:tc>
          <w:tcPr>
            <w:tcW w:w="9700" w:type="dxa"/>
            <w:vAlign w:val="bottom"/>
            <w:gridSpan w:val="18"/>
            <w:shd w:val="clear" w:color="auto" w:fill="CCEEFF"/>
          </w:tcPr>
          <w:p>
            <w:pPr>
              <w:ind w:left="40"/>
              <w:spacing w:after="0" w:line="167" w:lineRule="exact"/>
              <w:rPr>
                <w:rFonts w:ascii="Arial" w:cs="Arial" w:eastAsia="Arial" w:hAnsi="Arial"/>
                <w:sz w:val="17"/>
                <w:szCs w:val="17"/>
                <w:color w:val="0000EE"/>
              </w:rPr>
            </w:pPr>
            <w:hyperlink w:anchor="page61">
              <w:r>
                <w:rPr>
                  <w:rFonts w:ascii="Arial" w:cs="Arial" w:eastAsia="Arial" w:hAnsi="Arial"/>
                  <w:sz w:val="17"/>
                  <w:szCs w:val="17"/>
                  <w:color w:val="0000EE"/>
                </w:rPr>
                <w:t>Quantitative and Qualitative Disclosures About Market Risk</w:t>
              </w:r>
            </w:hyperlink>
          </w:p>
        </w:tc>
        <w:tc>
          <w:tcPr>
            <w:tcW w:w="7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gridSpan w:val="2"/>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0" w:type="dxa"/>
            <w:vAlign w:val="bottom"/>
            <w:gridSpan w:val="21"/>
            <w:shd w:val="clear" w:color="auto" w:fill="CCEEFF"/>
          </w:tcPr>
          <w:p>
            <w:pPr>
              <w:spacing w:after="0" w:line="167" w:lineRule="exact"/>
              <w:rPr>
                <w:rFonts w:ascii="Arial" w:cs="Arial" w:eastAsia="Arial" w:hAnsi="Arial"/>
                <w:sz w:val="17"/>
                <w:szCs w:val="17"/>
                <w:color w:val="0000EE"/>
              </w:rPr>
            </w:pPr>
            <w:hyperlink w:anchor="page61">
              <w:r>
                <w:rPr>
                  <w:rFonts w:ascii="Arial" w:cs="Arial" w:eastAsia="Arial" w:hAnsi="Arial"/>
                  <w:sz w:val="17"/>
                  <w:szCs w:val="17"/>
                  <w:color w:val="0000EE"/>
                </w:rPr>
                <w:t>Item 4 — Controls and Procedures</w:t>
              </w:r>
            </w:hyperlink>
          </w:p>
        </w:tc>
        <w:tc>
          <w:tcPr>
            <w:tcW w:w="7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gridSpan w:val="2"/>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620" w:type="dxa"/>
            <w:vAlign w:val="bottom"/>
            <w:gridSpan w:val="22"/>
            <w:shd w:val="clear" w:color="auto" w:fill="CCEEFF"/>
          </w:tcPr>
          <w:p>
            <w:pPr>
              <w:spacing w:after="0"/>
              <w:rPr>
                <w:sz w:val="20"/>
                <w:szCs w:val="20"/>
                <w:color w:val="auto"/>
              </w:rPr>
            </w:pPr>
            <w:r>
              <w:rPr>
                <w:rFonts w:ascii="Arial" w:cs="Arial" w:eastAsia="Arial" w:hAnsi="Arial"/>
                <w:sz w:val="17"/>
                <w:szCs w:val="17"/>
                <w:b w:val="1"/>
                <w:bCs w:val="1"/>
                <w:color w:val="auto"/>
              </w:rPr>
              <w:t>PART II — OTHER INFORMATION</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0" w:type="dxa"/>
            <w:vAlign w:val="bottom"/>
            <w:gridSpan w:val="21"/>
            <w:shd w:val="clear" w:color="auto" w:fill="CCEEFF"/>
          </w:tcPr>
          <w:p>
            <w:pPr>
              <w:spacing w:after="0" w:line="167" w:lineRule="exact"/>
              <w:rPr>
                <w:rFonts w:ascii="Arial" w:cs="Arial" w:eastAsia="Arial" w:hAnsi="Arial"/>
                <w:sz w:val="17"/>
                <w:szCs w:val="17"/>
                <w:color w:val="0000EE"/>
              </w:rPr>
            </w:pPr>
            <w:hyperlink w:anchor="page62">
              <w:r>
                <w:rPr>
                  <w:rFonts w:ascii="Arial" w:cs="Arial" w:eastAsia="Arial" w:hAnsi="Arial"/>
                  <w:sz w:val="17"/>
                  <w:szCs w:val="17"/>
                  <w:color w:val="0000EE"/>
                </w:rPr>
                <w:t>Item 1 — Legal Proceedings</w:t>
              </w:r>
            </w:hyperlink>
          </w:p>
        </w:tc>
        <w:tc>
          <w:tcPr>
            <w:tcW w:w="7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gridSpan w:val="2"/>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0" w:type="dxa"/>
            <w:vAlign w:val="bottom"/>
            <w:gridSpan w:val="21"/>
            <w:shd w:val="clear" w:color="auto" w:fill="CCEEFF"/>
          </w:tcPr>
          <w:p>
            <w:pPr>
              <w:spacing w:after="0" w:line="167" w:lineRule="exact"/>
              <w:rPr>
                <w:rFonts w:ascii="Arial" w:cs="Arial" w:eastAsia="Arial" w:hAnsi="Arial"/>
                <w:sz w:val="17"/>
                <w:szCs w:val="17"/>
                <w:color w:val="0000EE"/>
              </w:rPr>
            </w:pPr>
            <w:hyperlink w:anchor="page62">
              <w:r>
                <w:rPr>
                  <w:rFonts w:ascii="Arial" w:cs="Arial" w:eastAsia="Arial" w:hAnsi="Arial"/>
                  <w:sz w:val="17"/>
                  <w:szCs w:val="17"/>
                  <w:color w:val="0000EE"/>
                </w:rPr>
                <w:t>Item 1A — Risk Factors</w:t>
              </w:r>
            </w:hyperlink>
          </w:p>
        </w:tc>
        <w:tc>
          <w:tcPr>
            <w:tcW w:w="7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gridSpan w:val="2"/>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0" w:type="dxa"/>
            <w:vAlign w:val="bottom"/>
            <w:gridSpan w:val="21"/>
            <w:shd w:val="clear" w:color="auto" w:fill="CCEEFF"/>
          </w:tcPr>
          <w:p>
            <w:pPr>
              <w:spacing w:after="0" w:line="167" w:lineRule="exact"/>
              <w:rPr>
                <w:rFonts w:ascii="Arial" w:cs="Arial" w:eastAsia="Arial" w:hAnsi="Arial"/>
                <w:sz w:val="17"/>
                <w:szCs w:val="17"/>
                <w:color w:val="0000EE"/>
              </w:rPr>
            </w:pPr>
            <w:hyperlink w:anchor="page62">
              <w:r>
                <w:rPr>
                  <w:rFonts w:ascii="Arial" w:cs="Arial" w:eastAsia="Arial" w:hAnsi="Arial"/>
                  <w:sz w:val="17"/>
                  <w:szCs w:val="17"/>
                  <w:color w:val="0000EE"/>
                </w:rPr>
                <w:t>Item 2 — Unregistered Sales of Equity Securities and Use of Proceeds</w:t>
              </w:r>
            </w:hyperlink>
          </w:p>
        </w:tc>
        <w:tc>
          <w:tcPr>
            <w:tcW w:w="7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gridSpan w:val="2"/>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0" w:type="dxa"/>
            <w:vAlign w:val="bottom"/>
            <w:gridSpan w:val="21"/>
            <w:shd w:val="clear" w:color="auto" w:fill="CCEEFF"/>
          </w:tcPr>
          <w:p>
            <w:pPr>
              <w:spacing w:after="0" w:line="167" w:lineRule="exact"/>
              <w:rPr>
                <w:rFonts w:ascii="Arial" w:cs="Arial" w:eastAsia="Arial" w:hAnsi="Arial"/>
                <w:sz w:val="17"/>
                <w:szCs w:val="17"/>
                <w:color w:val="0000EE"/>
              </w:rPr>
            </w:pPr>
            <w:hyperlink w:anchor="page62">
              <w:r>
                <w:rPr>
                  <w:rFonts w:ascii="Arial" w:cs="Arial" w:eastAsia="Arial" w:hAnsi="Arial"/>
                  <w:sz w:val="17"/>
                  <w:szCs w:val="17"/>
                  <w:color w:val="0000EE"/>
                </w:rPr>
                <w:t>Item 3 — Defaults Upon Senior Securities</w:t>
              </w:r>
            </w:hyperlink>
          </w:p>
        </w:tc>
        <w:tc>
          <w:tcPr>
            <w:tcW w:w="7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gridSpan w:val="2"/>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0" w:type="dxa"/>
            <w:vAlign w:val="bottom"/>
            <w:gridSpan w:val="21"/>
            <w:shd w:val="clear" w:color="auto" w:fill="CCEEFF"/>
          </w:tcPr>
          <w:p>
            <w:pPr>
              <w:spacing w:after="0" w:line="167" w:lineRule="exact"/>
              <w:rPr>
                <w:rFonts w:ascii="Arial" w:cs="Arial" w:eastAsia="Arial" w:hAnsi="Arial"/>
                <w:sz w:val="17"/>
                <w:szCs w:val="17"/>
                <w:color w:val="0000EE"/>
              </w:rPr>
            </w:pPr>
            <w:hyperlink w:anchor="page62">
              <w:r>
                <w:rPr>
                  <w:rFonts w:ascii="Arial" w:cs="Arial" w:eastAsia="Arial" w:hAnsi="Arial"/>
                  <w:sz w:val="17"/>
                  <w:szCs w:val="17"/>
                  <w:color w:val="0000EE"/>
                </w:rPr>
                <w:t>Item 4 — Mine Safety Disclosures</w:t>
              </w:r>
            </w:hyperlink>
          </w:p>
        </w:tc>
        <w:tc>
          <w:tcPr>
            <w:tcW w:w="7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gridSpan w:val="2"/>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0" w:type="dxa"/>
            <w:vAlign w:val="bottom"/>
            <w:gridSpan w:val="21"/>
            <w:shd w:val="clear" w:color="auto" w:fill="CCEEFF"/>
          </w:tcPr>
          <w:p>
            <w:pPr>
              <w:spacing w:after="0" w:line="167" w:lineRule="exact"/>
              <w:rPr>
                <w:rFonts w:ascii="Arial" w:cs="Arial" w:eastAsia="Arial" w:hAnsi="Arial"/>
                <w:sz w:val="17"/>
                <w:szCs w:val="17"/>
                <w:color w:val="0000EE"/>
              </w:rPr>
            </w:pPr>
            <w:hyperlink w:anchor="page62">
              <w:r>
                <w:rPr>
                  <w:rFonts w:ascii="Arial" w:cs="Arial" w:eastAsia="Arial" w:hAnsi="Arial"/>
                  <w:sz w:val="17"/>
                  <w:szCs w:val="17"/>
                  <w:color w:val="0000EE"/>
                </w:rPr>
                <w:t>Item 5 — Other Information</w:t>
              </w:r>
            </w:hyperlink>
          </w:p>
        </w:tc>
        <w:tc>
          <w:tcPr>
            <w:tcW w:w="7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gridSpan w:val="2"/>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0" w:type="dxa"/>
            <w:vAlign w:val="bottom"/>
            <w:gridSpan w:val="21"/>
            <w:shd w:val="clear" w:color="auto" w:fill="CCEEFF"/>
          </w:tcPr>
          <w:p>
            <w:pPr>
              <w:spacing w:after="0" w:line="167" w:lineRule="exact"/>
              <w:rPr>
                <w:rFonts w:ascii="Arial" w:cs="Arial" w:eastAsia="Arial" w:hAnsi="Arial"/>
                <w:sz w:val="17"/>
                <w:szCs w:val="17"/>
                <w:color w:val="0000EE"/>
              </w:rPr>
            </w:pPr>
            <w:hyperlink w:anchor="page63">
              <w:r>
                <w:rPr>
                  <w:rFonts w:ascii="Arial" w:cs="Arial" w:eastAsia="Arial" w:hAnsi="Arial"/>
                  <w:sz w:val="17"/>
                  <w:szCs w:val="17"/>
                  <w:color w:val="0000EE"/>
                </w:rPr>
                <w:t>Item 6 — Exhibits</w:t>
              </w:r>
            </w:hyperlink>
          </w:p>
        </w:tc>
        <w:tc>
          <w:tcPr>
            <w:tcW w:w="7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920" w:type="dxa"/>
            <w:vAlign w:val="bottom"/>
            <w:gridSpan w:val="4"/>
            <w:shd w:val="clear" w:color="auto" w:fill="CCEEFF"/>
          </w:tcPr>
          <w:p>
            <w:pPr>
              <w:spacing w:after="0" w:line="167" w:lineRule="exact"/>
              <w:rPr>
                <w:rFonts w:ascii="Arial" w:cs="Arial" w:eastAsia="Arial" w:hAnsi="Arial"/>
                <w:sz w:val="17"/>
                <w:szCs w:val="17"/>
                <w:color w:val="0000EE"/>
              </w:rPr>
            </w:pPr>
            <w:hyperlink w:anchor="page64">
              <w:r>
                <w:rPr>
                  <w:rFonts w:ascii="Arial" w:cs="Arial" w:eastAsia="Arial" w:hAnsi="Arial"/>
                  <w:sz w:val="17"/>
                  <w:szCs w:val="17"/>
                  <w:color w:val="0000EE"/>
                </w:rPr>
                <w:t>Signatures</w:t>
              </w:r>
            </w:hyperlink>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EXHIBIT 3(a)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EXHIBIT 3(b)</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EXHIBIT 31(a)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EXHIBIT 31(b)</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EXHIBIT 32</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EXHIBIT 101.INS XBRL Instance Document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EXHIBIT 101.SCH XBRL Taxonomy Extension Schema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EXHIBIT 101.CAL XBRL Taxonomy Extension Calculation Linkbase</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101.DEF XBRL Taxonomy Extension Definition Linkbase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EXHIBIT 101.LAB XBRL Taxonomy Extension Label Linkbase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EXHIBIT 101.PRE XBRL Taxonomy Extension Presentation Linkbase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auto"/>
        </w:rPr>
        <w:t>Forward-Looking Statements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This Quarterly Report on Form 10-Q contains forward-looking statements as that term is defined in the federal securities laws. The events described in forward-looking statements contained in this Quarterly Report may not occur. Generally, these statements relate to business plans or strategies, projected or anticipated benefits or other consequences of our plans or strategies, projected or anticipated benefits from acquisitions to be made by us, or projections involving anticipated revenues, earnings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which may affect our results include, but are not limited to, the risks and uncertainties discussed in Item 7 of our Annual Report on Form 10-K for the year ended December 31, 2014 under “Factors That May Affect Future Results and Financial Condition.”</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 xml:space="preserve">PART I. </w:t>
      </w:r>
      <w:r>
        <w:rPr>
          <w:rFonts w:ascii="Arial" w:cs="Arial" w:eastAsia="Arial" w:hAnsi="Arial"/>
          <w:sz w:val="17"/>
          <w:szCs w:val="17"/>
          <w:b w:val="1"/>
          <w:bCs w:val="1"/>
          <w:u w:val="single" w:color="auto"/>
          <w:color w:val="auto"/>
        </w:rPr>
        <w:t>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u w:val="single" w:color="auto"/>
          <w:color w:val="auto"/>
        </w:rPr>
        <w:t>Financial Statements</w:t>
      </w:r>
      <w:r>
        <w:rPr>
          <w:rFonts w:ascii="Arial" w:cs="Arial" w:eastAsia="Arial" w:hAnsi="Arial"/>
          <w:sz w:val="17"/>
          <w:szCs w:val="17"/>
          <w:color w:val="auto"/>
        </w:rPr>
        <w:t>.</w:t>
      </w:r>
    </w:p>
    <w:p>
      <w:pPr>
        <w:spacing w:after="0" w:line="243" w:lineRule="exact"/>
        <w:rPr>
          <w:sz w:val="20"/>
          <w:szCs w:val="20"/>
          <w:color w:val="auto"/>
        </w:rPr>
      </w:pPr>
    </w:p>
    <w:p>
      <w:pPr>
        <w:ind w:left="708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8693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1651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September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Asset</w:t>
            </w:r>
            <w:r>
              <w:rPr>
                <w:rFonts w:ascii="Arial" w:cs="Arial" w:eastAsia="Arial" w:hAnsi="Arial"/>
                <w:sz w:val="17"/>
                <w:szCs w:val="17"/>
                <w:color w:val="auto"/>
              </w:rPr>
              <w:t>s</w:t>
            </w: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color w:val="auto"/>
                <w:w w:val="92"/>
              </w:rPr>
              <w:t>(unaudited)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Fixed-maturity securities, held-to-maturity, at amortized cost (fair value of</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$5,273,419 at September 30, 2015 and $5,395,054 at December 31, 2014)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5,137,198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5,128,735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Fixed-maturity securities, available-for-sale, at fair value (amortized cost of</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$61,211,677 at September 30, 2015 and $50,083,441 at December 31, 2014)</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62,095,309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51,120,859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Equity securities, available-for-sale, at fair value (cost of $9,536,987</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at September 30, 2015 and $7,621,309 at December 31, 2014)</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9,493,292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8,017,729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340"/>
              <w:spacing w:after="0"/>
              <w:rPr>
                <w:sz w:val="20"/>
                <w:szCs w:val="20"/>
                <w:color w:val="auto"/>
              </w:rPr>
            </w:pPr>
            <w:r>
              <w:rPr>
                <w:rFonts w:ascii="Arial" w:cs="Arial" w:eastAsia="Arial" w:hAnsi="Arial"/>
                <w:sz w:val="17"/>
                <w:szCs w:val="17"/>
                <w:color w:val="auto"/>
              </w:rPr>
              <w:t>Total investments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76,725,799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64,267,323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6,731,629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9,906,878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Premiums receivable, net of provision for uncollectible amounts</w:t>
            </w: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10,832,446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8,946,899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Receivables - reinsurance contracts</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2,285,356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1,301,549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Reinsurance receivables, net of provision for uncollectible amounts</w:t>
            </w: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31,171,559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35,575,276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policy acquisition costs</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10,456,707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8,985,981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Intangible assets, net</w:t>
            </w: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1,876,744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2,233,530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Property and equipment, net of accumulated depreciation</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3,222,004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2,448,042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1,341,376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1,330,944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asset</w:t>
            </w:r>
            <w:r>
              <w:rPr>
                <w:rFonts w:ascii="Arial" w:cs="Arial" w:eastAsia="Arial" w:hAnsi="Arial"/>
                <w:sz w:val="17"/>
                <w:szCs w:val="17"/>
                <w:color w:val="auto"/>
              </w:rPr>
              <w: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144,643,620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134,996,422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w:t>
            </w:r>
            <w:r>
              <w:rPr>
                <w:rFonts w:ascii="Arial" w:cs="Arial" w:eastAsia="Arial" w:hAnsi="Arial"/>
                <w:sz w:val="17"/>
                <w:szCs w:val="17"/>
                <w:color w:val="auto"/>
              </w:rPr>
              <w:t>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Loss and loss adjustment expense reserves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38,899,492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39,912,683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Unearned premiums</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47,441,330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40,458,041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Advance premiums</w:t>
            </w: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1,555,786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1,006,582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Reinsurance balances payable</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1,342,213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2,096,363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Deferred ceding commission revenue</w:t>
            </w: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6,069,907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5,956,540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 accrued expenses and other liabilities</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4,334,065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3,928,137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Income taxes payable</w:t>
            </w: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322,256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income taxes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655,461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1,137,180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7"/>
                <w:szCs w:val="17"/>
                <w:b w:val="1"/>
                <w:bCs w:val="1"/>
                <w:color w:val="auto"/>
              </w:rPr>
              <w:t>Total liabilitie</w:t>
            </w:r>
            <w:r>
              <w:rPr>
                <w:rFonts w:ascii="Arial" w:cs="Arial" w:eastAsia="Arial" w:hAnsi="Arial"/>
                <w:sz w:val="17"/>
                <w:szCs w:val="17"/>
                <w:color w:val="auto"/>
              </w:rPr>
              <w: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100,620,510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94,495,526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20"/>
              <w:spacing w:after="0"/>
              <w:rPr>
                <w:sz w:val="20"/>
                <w:szCs w:val="20"/>
                <w:color w:val="auto"/>
              </w:rPr>
            </w:pPr>
            <w:r>
              <w:rPr>
                <w:rFonts w:ascii="Arial" w:cs="Arial" w:eastAsia="Arial" w:hAnsi="Arial"/>
                <w:sz w:val="17"/>
                <w:szCs w:val="17"/>
                <w:b w:val="1"/>
                <w:bCs w:val="1"/>
                <w:color w:val="auto"/>
              </w:rPr>
              <w:t>Commitments and Contingencies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20"/>
              <w:spacing w:after="0"/>
              <w:rPr>
                <w:sz w:val="20"/>
                <w:szCs w:val="20"/>
                <w:color w:val="auto"/>
              </w:rPr>
            </w:pPr>
            <w:r>
              <w:rPr>
                <w:rFonts w:ascii="Arial" w:cs="Arial" w:eastAsia="Arial" w:hAnsi="Arial"/>
                <w:sz w:val="17"/>
                <w:szCs w:val="17"/>
                <w:b w:val="1"/>
                <w:bCs w:val="1"/>
                <w:color w:val="auto"/>
              </w:rPr>
              <w:t>Stockholders' Equity</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$.01 par value; authorized 2,500,000 shares</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Common stock, $.01 par value; authorized 20,000,000 shares; issued 8,287,898 shares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at September 30, 2015 and 8,235,095 shares at December 31, 2014; outstanding</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340"/>
              <w:spacing w:after="0"/>
              <w:rPr>
                <w:sz w:val="20"/>
                <w:szCs w:val="20"/>
                <w:color w:val="auto"/>
              </w:rPr>
            </w:pPr>
            <w:r>
              <w:rPr>
                <w:rFonts w:ascii="Arial" w:cs="Arial" w:eastAsia="Arial" w:hAnsi="Arial"/>
                <w:sz w:val="17"/>
                <w:szCs w:val="17"/>
                <w:color w:val="auto"/>
              </w:rPr>
              <w:t>7,335,110 shares at September 30, 2015 and 7,308,757 shares at December 31, 2014</w:t>
            </w: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82,879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82,351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Capital in excess of par</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32,982,715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32,873,383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Accumulated other comprehensive income</w:t>
            </w: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554,357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946,332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Retained earnings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12,211,392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8,203,003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45,831,343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42,105,069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Treasury stock, at cost, 952,788 shares at September 30, 2015 and 926,338 shares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340"/>
              <w:spacing w:after="0"/>
              <w:rPr>
                <w:sz w:val="20"/>
                <w:szCs w:val="20"/>
                <w:color w:val="auto"/>
              </w:rPr>
            </w:pPr>
            <w:r>
              <w:rPr>
                <w:rFonts w:ascii="Arial" w:cs="Arial" w:eastAsia="Arial" w:hAnsi="Arial"/>
                <w:sz w:val="17"/>
                <w:szCs w:val="17"/>
                <w:color w:val="auto"/>
              </w:rPr>
              <w:t>at December 31, 2014</w:t>
            </w: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(1,808,233)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(1,604,173)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stockholders' equity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44,023,110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40,500,896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144,643,620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134,996,422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8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________________________________________________________________________________________</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 w:name="page5"/>
    <w:bookmarkEnd w:id="4"/>
    <w:p>
      <w:pPr>
        <w:ind w:left="4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Income and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8693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1651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9"/>
              </w:rPr>
              <w:t>For the Three Months Ended</w:t>
            </w:r>
          </w:p>
        </w:tc>
        <w:tc>
          <w:tcPr>
            <w:tcW w:w="220" w:type="dxa"/>
            <w:vAlign w:val="bottom"/>
          </w:tcPr>
          <w:p>
            <w:pPr>
              <w:spacing w:after="0"/>
              <w:rPr>
                <w:sz w:val="15"/>
                <w:szCs w:val="15"/>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For the 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2015</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2014</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2015</w:t>
            </w: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premiums earned</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13,129,604</w:t>
            </w:r>
          </w:p>
        </w:tc>
        <w:tc>
          <w:tcPr>
            <w:tcW w:w="42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9,895,000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34,381,118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22,250,684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Ceding commission revenue</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2,643,531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3,278,319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9,388,457</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10,365,651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investment income</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649,441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463,513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1,850,069</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1,294,216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Net realized (losses) gains on sales of investments</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(40,487)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115,176</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(105,718)</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438,126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income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275,280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263,726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1,299,511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742,191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7"/>
                <w:szCs w:val="17"/>
                <w:color w:val="auto"/>
              </w:rPr>
              <w:t>Total revenues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16,657,369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3"/>
              </w:rPr>
              <w:t>14,015,734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46,813,437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35,090,868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20"/>
              <w:spacing w:after="0"/>
              <w:rPr>
                <w:sz w:val="20"/>
                <w:szCs w:val="20"/>
                <w:color w:val="auto"/>
              </w:rPr>
            </w:pPr>
            <w:r>
              <w:rPr>
                <w:rFonts w:ascii="Arial" w:cs="Arial" w:eastAsia="Arial" w:hAnsi="Arial"/>
                <w:sz w:val="17"/>
                <w:szCs w:val="17"/>
                <w:b w:val="1"/>
                <w:bCs w:val="1"/>
                <w:color w:val="auto"/>
              </w:rPr>
              <w:t>Expense</w:t>
            </w:r>
            <w:r>
              <w:rPr>
                <w:rFonts w:ascii="Arial" w:cs="Arial" w:eastAsia="Arial" w:hAnsi="Arial"/>
                <w:sz w:val="17"/>
                <w:szCs w:val="17"/>
                <w:color w:val="auto"/>
              </w:rPr>
              <w:t>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Loss and loss adjustment expenses</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5,050,194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4,538,167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16,884,224</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11,871,060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Commission expense</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4,021,383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3,106,064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11,033,874</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8,592,364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underwriting expenses</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3,389,024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2,845,708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9,349,842</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7,656,532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Other operating expenses</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468,352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485,959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1,174,693</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1,074,373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267,424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248,888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749,658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641,943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7"/>
                <w:szCs w:val="17"/>
                <w:color w:val="auto"/>
              </w:rPr>
              <w:t>Total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13,196,377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3"/>
              </w:rPr>
              <w:t>11,224,786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39,192,291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29,836,272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Income from operations before taxes</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3,460,992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2,790,948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7,621,146</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5,254,596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tax expense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1,115,338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907,267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2,513,811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1,689,280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2,345,654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1,883,681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5,107,335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3,565,316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20"/>
              <w:spacing w:after="0"/>
              <w:rPr>
                <w:sz w:val="20"/>
                <w:szCs w:val="20"/>
                <w:color w:val="auto"/>
              </w:rPr>
            </w:pPr>
            <w:r>
              <w:rPr>
                <w:rFonts w:ascii="Arial" w:cs="Arial" w:eastAsia="Arial" w:hAnsi="Arial"/>
                <w:sz w:val="17"/>
                <w:szCs w:val="17"/>
                <w:b w:val="1"/>
                <w:bCs w:val="1"/>
                <w:color w:val="auto"/>
              </w:rPr>
              <w:t>Other comprehensive income (loss), net of tax</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Gross change in unrealized gains (losses)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340"/>
              <w:spacing w:after="0"/>
              <w:rPr>
                <w:sz w:val="20"/>
                <w:szCs w:val="20"/>
                <w:color w:val="auto"/>
              </w:rPr>
            </w:pPr>
            <w:r>
              <w:rPr>
                <w:rFonts w:ascii="Arial" w:cs="Arial" w:eastAsia="Arial" w:hAnsi="Arial"/>
                <w:sz w:val="17"/>
                <w:szCs w:val="17"/>
                <w:color w:val="auto"/>
              </w:rPr>
              <w:t>on available-for-sale-securities</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(92,097)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(410,446)</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(699,619)</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1,329,219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Reclassification adjustment for gains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included in net income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40,487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(115,176)</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105,718</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(438,126)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500"/>
              <w:spacing w:after="0"/>
              <w:rPr>
                <w:sz w:val="20"/>
                <w:szCs w:val="20"/>
                <w:color w:val="auto"/>
              </w:rPr>
            </w:pPr>
            <w:r>
              <w:rPr>
                <w:rFonts w:ascii="Arial" w:cs="Arial" w:eastAsia="Arial" w:hAnsi="Arial"/>
                <w:sz w:val="17"/>
                <w:szCs w:val="17"/>
                <w:color w:val="auto"/>
              </w:rPr>
              <w:t>Net change in unrealized gains (losses)</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(51,610)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(525,622)</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(593,901)</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891,093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tax benefit (expense) related to items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340"/>
              <w:spacing w:after="0"/>
              <w:rPr>
                <w:sz w:val="20"/>
                <w:szCs w:val="20"/>
                <w:color w:val="auto"/>
              </w:rPr>
            </w:pPr>
            <w:r>
              <w:rPr>
                <w:rFonts w:ascii="Arial" w:cs="Arial" w:eastAsia="Arial" w:hAnsi="Arial"/>
                <w:sz w:val="17"/>
                <w:szCs w:val="17"/>
                <w:color w:val="auto"/>
              </w:rPr>
              <w:t>of other comprehensive income (loss)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17,547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178,711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201,926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(302,972)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comprehensive income (loss), net of tax</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(34,063)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(346,911)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(391,975)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588,121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Comprehensive income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2,311,591</w:t>
            </w:r>
          </w:p>
        </w:tc>
        <w:tc>
          <w:tcPr>
            <w:tcW w:w="42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1,536,770</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4,715,360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4,153,437</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per common share: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Basic</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0.32</w:t>
            </w:r>
          </w:p>
        </w:tc>
        <w:tc>
          <w:tcPr>
            <w:tcW w:w="420" w:type="dxa"/>
            <w:vAlign w:val="bottom"/>
            <w:gridSpan w:val="2"/>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0.26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0.70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0.32</w:t>
            </w:r>
          </w:p>
        </w:tc>
        <w:tc>
          <w:tcPr>
            <w:tcW w:w="42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0.26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0.69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0.48</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Weighted average common shares outstanding</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Basic</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7,334,269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7,294,913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7,330,178</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7,283,244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7,381,626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7,378,097</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7,367,714</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7,360,294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Dividends declared and paid per common share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_______________________________________________________________________________________</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 of Stockholders'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8693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1651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8693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1651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vMerge w:val="restart"/>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1700" w:type="dxa"/>
            <w:vAlign w:val="bottom"/>
            <w:gridSpan w:val="3"/>
            <w:vMerge w:val="restart"/>
          </w:tcPr>
          <w:p>
            <w:pPr>
              <w:jc w:val="right"/>
              <w:ind w:right="316"/>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vMerge w:val="restart"/>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bottom w:val="single" w:sz="8" w:color="auto"/>
            </w:tcBorders>
            <w:gridSpan w:val="4"/>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bottom w:val="single" w:sz="8" w:color="auto"/>
            </w:tcBorders>
            <w:gridSpan w:val="4"/>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in Excess</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700" w:type="dxa"/>
            <w:vAlign w:val="bottom"/>
            <w:tcBorders>
              <w:bottom w:val="single" w:sz="8" w:color="auto"/>
            </w:tcBorders>
            <w:gridSpan w:val="3"/>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8"/>
                <w:szCs w:val="18"/>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Par</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8"/>
                <w:szCs w:val="18"/>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Balance, January 1, 2015</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8"/>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8,235,095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2"/>
              </w:rPr>
              <w:t>82,351</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6"/>
              </w:rPr>
              <w:t>$ 32,873,383</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946,332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8,203,003</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926,338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6"/>
              </w:rPr>
              <w:t>$ (1,604,173)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6"/>
              </w:rPr>
              <w:t>$ 40,500,896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20" w:type="dxa"/>
            <w:vAlign w:val="bottom"/>
            <w:gridSpan w:val="3"/>
          </w:tcPr>
          <w:p>
            <w:pPr>
              <w:spacing w:after="0" w:line="194" w:lineRule="exact"/>
              <w:rPr>
                <w:sz w:val="20"/>
                <w:szCs w:val="20"/>
                <w:color w:val="auto"/>
              </w:rPr>
            </w:pPr>
            <w:r>
              <w:rPr>
                <w:rFonts w:ascii="Arial" w:cs="Arial" w:eastAsia="Arial" w:hAnsi="Arial"/>
                <w:sz w:val="17"/>
                <w:szCs w:val="17"/>
                <w:color w:val="auto"/>
              </w:rPr>
              <w:t>Stock-based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40" w:type="dxa"/>
            <w:vAlign w:val="bottom"/>
            <w:gridSpan w:val="4"/>
          </w:tcPr>
          <w:p>
            <w:pPr>
              <w:spacing w:after="0"/>
              <w:rPr>
                <w:sz w:val="20"/>
                <w:szCs w:val="20"/>
                <w:color w:val="auto"/>
              </w:rPr>
            </w:pPr>
            <w:r>
              <w:rPr>
                <w:rFonts w:ascii="Arial" w:cs="Arial" w:eastAsia="Arial" w:hAnsi="Arial"/>
                <w:sz w:val="17"/>
                <w:szCs w:val="17"/>
                <w:color w:val="auto"/>
              </w:rPr>
              <w:t>compensation</w:t>
            </w: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129,546</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129,546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Shares deducted from</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exercise of stock</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20" w:type="dxa"/>
            <w:vAlign w:val="bottom"/>
            <w:gridSpan w:val="3"/>
          </w:tcPr>
          <w:p>
            <w:pPr>
              <w:spacing w:after="0" w:line="194" w:lineRule="exact"/>
              <w:rPr>
                <w:sz w:val="20"/>
                <w:szCs w:val="20"/>
                <w:color w:val="auto"/>
              </w:rPr>
            </w:pPr>
            <w:r>
              <w:rPr>
                <w:rFonts w:ascii="Arial" w:cs="Arial" w:eastAsia="Arial" w:hAnsi="Arial"/>
                <w:sz w:val="17"/>
                <w:szCs w:val="17"/>
                <w:color w:val="auto"/>
              </w:rPr>
              <w:t>options for payment of</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40" w:type="dxa"/>
            <w:vAlign w:val="bottom"/>
            <w:gridSpan w:val="4"/>
          </w:tcPr>
          <w:p>
            <w:pPr>
              <w:spacing w:after="0"/>
              <w:rPr>
                <w:sz w:val="20"/>
                <w:szCs w:val="20"/>
                <w:color w:val="auto"/>
              </w:rPr>
            </w:pPr>
            <w:r>
              <w:rPr>
                <w:rFonts w:ascii="Arial" w:cs="Arial" w:eastAsia="Arial" w:hAnsi="Arial"/>
                <w:sz w:val="17"/>
                <w:szCs w:val="17"/>
                <w:color w:val="auto"/>
              </w:rPr>
              <w:t>withholding taxes</w:t>
            </w: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(30,755)</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(308)</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(243,354)</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(243,662)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Excess tax benefit from</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exercise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20" w:type="dxa"/>
            <w:vAlign w:val="bottom"/>
            <w:gridSpan w:val="3"/>
          </w:tcPr>
          <w:p>
            <w:pPr>
              <w:spacing w:after="0"/>
              <w:rPr>
                <w:sz w:val="20"/>
                <w:szCs w:val="20"/>
                <w:color w:val="auto"/>
              </w:rPr>
            </w:pPr>
            <w:r>
              <w:rPr>
                <w:rFonts w:ascii="Arial" w:cs="Arial" w:eastAsia="Arial" w:hAnsi="Arial"/>
                <w:sz w:val="17"/>
                <w:szCs w:val="17"/>
                <w:color w:val="auto"/>
              </w:rPr>
              <w:t>of stock options</w:t>
            </w: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223,976</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223,976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Exercise of stock options</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83,558</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(836)</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20" w:type="dxa"/>
            <w:vAlign w:val="bottom"/>
            <w:gridSpan w:val="3"/>
          </w:tcPr>
          <w:p>
            <w:pPr>
              <w:spacing w:after="0" w:line="194" w:lineRule="exact"/>
              <w:rPr>
                <w:sz w:val="20"/>
                <w:szCs w:val="20"/>
                <w:color w:val="auto"/>
              </w:rPr>
            </w:pPr>
            <w:r>
              <w:rPr>
                <w:rFonts w:ascii="Arial" w:cs="Arial" w:eastAsia="Arial" w:hAnsi="Arial"/>
                <w:sz w:val="17"/>
                <w:szCs w:val="17"/>
                <w:color w:val="auto"/>
              </w:rPr>
              <w:t>Acquisition of treasury</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40" w:type="dxa"/>
            <w:vAlign w:val="bottom"/>
            <w:gridSpan w:val="4"/>
          </w:tcPr>
          <w:p>
            <w:pPr>
              <w:spacing w:after="0"/>
              <w:rPr>
                <w:sz w:val="20"/>
                <w:szCs w:val="20"/>
                <w:color w:val="auto"/>
              </w:rPr>
            </w:pPr>
            <w:r>
              <w:rPr>
                <w:rFonts w:ascii="Arial" w:cs="Arial" w:eastAsia="Arial" w:hAnsi="Arial"/>
                <w:sz w:val="17"/>
                <w:szCs w:val="17"/>
                <w:color w:val="auto"/>
              </w:rPr>
              <w:t>stock</w:t>
            </w: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26,450</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(204,060)</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(204,060)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Dividends</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(1,098,946)</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(1,098,946)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20" w:type="dxa"/>
            <w:vAlign w:val="bottom"/>
            <w:gridSpan w:val="3"/>
          </w:tcPr>
          <w:p>
            <w:pPr>
              <w:spacing w:after="0"/>
              <w:rPr>
                <w:sz w:val="20"/>
                <w:szCs w:val="20"/>
                <w:color w:val="auto"/>
              </w:rPr>
            </w:pPr>
            <w:r>
              <w:rPr>
                <w:rFonts w:ascii="Arial" w:cs="Arial" w:eastAsia="Arial" w:hAnsi="Arial"/>
                <w:sz w:val="17"/>
                <w:szCs w:val="17"/>
                <w:color w:val="auto"/>
              </w:rPr>
              <w:t>Net income</w:t>
            </w: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5,107,335</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5,107,335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20" w:type="dxa"/>
            <w:vAlign w:val="bottom"/>
            <w:gridSpan w:val="3"/>
            <w:shd w:val="clear" w:color="auto" w:fill="CCEEFF"/>
          </w:tcPr>
          <w:p>
            <w:pPr>
              <w:spacing w:after="0" w:line="194" w:lineRule="exact"/>
              <w:rPr>
                <w:sz w:val="20"/>
                <w:szCs w:val="20"/>
                <w:color w:val="auto"/>
              </w:rPr>
            </w:pPr>
            <w:r>
              <w:rPr>
                <w:rFonts w:ascii="Arial" w:cs="Arial" w:eastAsia="Arial" w:hAnsi="Arial"/>
                <w:sz w:val="17"/>
                <w:szCs w:val="17"/>
                <w:color w:val="auto"/>
              </w:rPr>
              <w:t>Change in unrealized</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gains on available-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20" w:type="dxa"/>
            <w:vAlign w:val="bottom"/>
            <w:gridSpan w:val="3"/>
          </w:tcPr>
          <w:p>
            <w:pPr>
              <w:spacing w:after="0" w:line="194" w:lineRule="exact"/>
              <w:rPr>
                <w:sz w:val="20"/>
                <w:szCs w:val="20"/>
                <w:color w:val="auto"/>
              </w:rPr>
            </w:pPr>
            <w:r>
              <w:rPr>
                <w:rFonts w:ascii="Arial" w:cs="Arial" w:eastAsia="Arial" w:hAnsi="Arial"/>
                <w:sz w:val="17"/>
                <w:szCs w:val="17"/>
                <w:color w:val="auto"/>
              </w:rPr>
              <w:t>for-sale securities, net of</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20" w:type="dxa"/>
            <w:vAlign w:val="bottom"/>
            <w:gridSpan w:val="3"/>
          </w:tcPr>
          <w:p>
            <w:pPr>
              <w:spacing w:after="0"/>
              <w:rPr>
                <w:sz w:val="20"/>
                <w:szCs w:val="20"/>
                <w:color w:val="auto"/>
              </w:rPr>
            </w:pPr>
            <w:r>
              <w:rPr>
                <w:rFonts w:ascii="Arial" w:cs="Arial" w:eastAsia="Arial" w:hAnsi="Arial"/>
                <w:sz w:val="17"/>
                <w:szCs w:val="17"/>
                <w:color w:val="auto"/>
              </w:rPr>
              <w:t>tax</w:t>
            </w:r>
          </w:p>
        </w:tc>
        <w:tc>
          <w:tcPr>
            <w:tcW w:w="5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(391,975)</w:t>
            </w: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(391,975)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Balance, September 30,</w:t>
            </w: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8,287,898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2"/>
              </w:rPr>
              <w:t>82,879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 xml:space="preserve"> 32,982,715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554,357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12,211,392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952,788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 xml:space="preserve"> (1,808,233)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6"/>
              </w:rPr>
              <w:t>$ 44,023,110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________________________________________________________________________________________________________________</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6" w:name="page7"/>
    <w:bookmarkEnd w:id="6"/>
    <w:p>
      <w:pPr>
        <w:ind w:left="708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i w:val="1"/>
                <w:iCs w:val="1"/>
                <w:color w:val="auto"/>
              </w:rPr>
              <w:t>Nine months ended September 30,</w:t>
            </w: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r>
      <w:tr>
        <w:trPr>
          <w:trHeight w:val="412"/>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Cash flows provided by operating activities</w:t>
            </w: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income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5,107,335</w:t>
            </w:r>
          </w:p>
        </w:tc>
        <w:tc>
          <w:tcPr>
            <w:tcW w:w="28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3,565,316</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Adjustments to reconcile net income to net cash flows provided by operating activities: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realized (losses) gains on sale of investments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105,718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(438,126)</w:t>
            </w:r>
          </w:p>
        </w:tc>
      </w:tr>
      <w:tr>
        <w:trPr>
          <w:trHeight w:val="206"/>
        </w:trPr>
        <w:tc>
          <w:tcPr>
            <w:tcW w:w="880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749,658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641,943</w:t>
            </w:r>
          </w:p>
        </w:tc>
      </w:tr>
      <w:tr>
        <w:trPr>
          <w:trHeight w:val="206"/>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Amortization of bond premium, net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257,996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205,107</w:t>
            </w:r>
          </w:p>
        </w:tc>
      </w:tr>
      <w:tr>
        <w:trPr>
          <w:trHeight w:val="206"/>
        </w:trPr>
        <w:tc>
          <w:tcPr>
            <w:tcW w:w="8800" w:type="dxa"/>
            <w:vAlign w:val="bottom"/>
          </w:tcPr>
          <w:p>
            <w:pPr>
              <w:ind w:left="200"/>
              <w:spacing w:after="0"/>
              <w:rPr>
                <w:sz w:val="20"/>
                <w:szCs w:val="20"/>
                <w:color w:val="auto"/>
              </w:rPr>
            </w:pPr>
            <w:r>
              <w:rPr>
                <w:rFonts w:ascii="Arial" w:cs="Arial" w:eastAsia="Arial" w:hAnsi="Arial"/>
                <w:sz w:val="17"/>
                <w:szCs w:val="17"/>
                <w:color w:val="auto"/>
              </w:rPr>
              <w:t>Stock-based compensation</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129,546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118,582</w:t>
            </w:r>
          </w:p>
        </w:tc>
      </w:tr>
      <w:tr>
        <w:trPr>
          <w:trHeight w:val="206"/>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Excess tax benefit from exercise of stock options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(223,976)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(74,471)</w:t>
            </w:r>
          </w:p>
        </w:tc>
      </w:tr>
      <w:tr>
        <w:trPr>
          <w:trHeight w:val="206"/>
        </w:trPr>
        <w:tc>
          <w:tcPr>
            <w:tcW w:w="8800" w:type="dxa"/>
            <w:vAlign w:val="bottom"/>
          </w:tcPr>
          <w:p>
            <w:pPr>
              <w:ind w:left="200"/>
              <w:spacing w:after="0"/>
              <w:rPr>
                <w:sz w:val="20"/>
                <w:szCs w:val="20"/>
                <w:color w:val="auto"/>
              </w:rPr>
            </w:pPr>
            <w:r>
              <w:rPr>
                <w:rFonts w:ascii="Arial" w:cs="Arial" w:eastAsia="Arial" w:hAnsi="Arial"/>
                <w:sz w:val="17"/>
                <w:szCs w:val="17"/>
                <w:color w:val="auto"/>
              </w:rPr>
              <w:t>Deferred income tax expense</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(279,793)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107,433</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(Increase) decrease in operating assets: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800" w:type="dxa"/>
            <w:vAlign w:val="bottom"/>
          </w:tcPr>
          <w:p>
            <w:pPr>
              <w:ind w:left="200"/>
              <w:spacing w:after="0"/>
              <w:rPr>
                <w:sz w:val="20"/>
                <w:szCs w:val="20"/>
                <w:color w:val="auto"/>
              </w:rPr>
            </w:pPr>
            <w:r>
              <w:rPr>
                <w:rFonts w:ascii="Arial" w:cs="Arial" w:eastAsia="Arial" w:hAnsi="Arial"/>
                <w:sz w:val="17"/>
                <w:szCs w:val="17"/>
                <w:color w:val="auto"/>
              </w:rPr>
              <w:t>Premiums receivable, net</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(1,885,547)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(1,734,722)</w:t>
            </w:r>
          </w:p>
        </w:tc>
      </w:tr>
      <w:tr>
        <w:trPr>
          <w:trHeight w:val="206"/>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Receivables - reinsurance contracts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(983,807)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(776,000)</w:t>
            </w:r>
          </w:p>
        </w:tc>
      </w:tr>
      <w:tr>
        <w:trPr>
          <w:trHeight w:val="206"/>
        </w:trPr>
        <w:tc>
          <w:tcPr>
            <w:tcW w:w="8800" w:type="dxa"/>
            <w:vAlign w:val="bottom"/>
          </w:tcPr>
          <w:p>
            <w:pPr>
              <w:ind w:left="200"/>
              <w:spacing w:after="0"/>
              <w:rPr>
                <w:sz w:val="20"/>
                <w:szCs w:val="20"/>
                <w:color w:val="auto"/>
              </w:rPr>
            </w:pPr>
            <w:r>
              <w:rPr>
                <w:rFonts w:ascii="Arial" w:cs="Arial" w:eastAsia="Arial" w:hAnsi="Arial"/>
                <w:sz w:val="17"/>
                <w:szCs w:val="17"/>
                <w:color w:val="auto"/>
              </w:rPr>
              <w:t>Reinsurance receivables, net</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4,403,717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2,236,751</w:t>
            </w:r>
          </w:p>
        </w:tc>
      </w:tr>
      <w:tr>
        <w:trPr>
          <w:trHeight w:val="206"/>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policy acquisition costs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(1,470,726)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(1,783,842)</w:t>
            </w:r>
          </w:p>
        </w:tc>
      </w:tr>
      <w:tr>
        <w:trPr>
          <w:trHeight w:val="206"/>
        </w:trPr>
        <w:tc>
          <w:tcPr>
            <w:tcW w:w="8800" w:type="dxa"/>
            <w:vAlign w:val="bottom"/>
          </w:tcPr>
          <w:p>
            <w:pPr>
              <w:ind w:left="200"/>
              <w:spacing w:after="0"/>
              <w:rPr>
                <w:sz w:val="20"/>
                <w:szCs w:val="20"/>
                <w:color w:val="auto"/>
              </w:rPr>
            </w:pPr>
            <w:r>
              <w:rPr>
                <w:rFonts w:ascii="Arial" w:cs="Arial" w:eastAsia="Arial" w:hAnsi="Arial"/>
                <w:sz w:val="17"/>
                <w:szCs w:val="17"/>
                <w:color w:val="auto"/>
              </w:rPr>
              <w:t>Other assets</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(16,634)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(198,361)</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Increase (decrease) in operating liabilities: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800" w:type="dxa"/>
            <w:vAlign w:val="bottom"/>
          </w:tcPr>
          <w:p>
            <w:pPr>
              <w:ind w:left="200"/>
              <w:spacing w:after="0"/>
              <w:rPr>
                <w:sz w:val="20"/>
                <w:szCs w:val="20"/>
                <w:color w:val="auto"/>
              </w:rPr>
            </w:pPr>
            <w:r>
              <w:rPr>
                <w:rFonts w:ascii="Arial" w:cs="Arial" w:eastAsia="Arial" w:hAnsi="Arial"/>
                <w:sz w:val="17"/>
                <w:szCs w:val="17"/>
                <w:color w:val="auto"/>
              </w:rPr>
              <w:t>Loss and loss adjustment expense reserves</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(1,013,191)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2,419,060</w:t>
            </w:r>
          </w:p>
        </w:tc>
      </w:tr>
      <w:tr>
        <w:trPr>
          <w:trHeight w:val="206"/>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Unearned premiums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6,983,289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7,317,198</w:t>
            </w:r>
          </w:p>
        </w:tc>
      </w:tr>
      <w:tr>
        <w:trPr>
          <w:trHeight w:val="206"/>
        </w:trPr>
        <w:tc>
          <w:tcPr>
            <w:tcW w:w="8800" w:type="dxa"/>
            <w:vAlign w:val="bottom"/>
          </w:tcPr>
          <w:p>
            <w:pPr>
              <w:ind w:left="200"/>
              <w:spacing w:after="0"/>
              <w:rPr>
                <w:sz w:val="20"/>
                <w:szCs w:val="20"/>
                <w:color w:val="auto"/>
              </w:rPr>
            </w:pPr>
            <w:r>
              <w:rPr>
                <w:rFonts w:ascii="Arial" w:cs="Arial" w:eastAsia="Arial" w:hAnsi="Arial"/>
                <w:sz w:val="17"/>
                <w:szCs w:val="17"/>
                <w:color w:val="auto"/>
              </w:rPr>
              <w:t>Advance premiums</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549,204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487,030</w:t>
            </w:r>
          </w:p>
        </w:tc>
      </w:tr>
      <w:tr>
        <w:trPr>
          <w:trHeight w:val="206"/>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Reinsurance balances payable</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(754,150)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(509,180)</w:t>
            </w:r>
          </w:p>
        </w:tc>
      </w:tr>
      <w:tr>
        <w:trPr>
          <w:trHeight w:val="206"/>
        </w:trPr>
        <w:tc>
          <w:tcPr>
            <w:tcW w:w="8800" w:type="dxa"/>
            <w:vAlign w:val="bottom"/>
          </w:tcPr>
          <w:p>
            <w:pPr>
              <w:ind w:left="200"/>
              <w:spacing w:after="0"/>
              <w:rPr>
                <w:sz w:val="20"/>
                <w:szCs w:val="20"/>
                <w:color w:val="auto"/>
              </w:rPr>
            </w:pPr>
            <w:r>
              <w:rPr>
                <w:rFonts w:ascii="Arial" w:cs="Arial" w:eastAsia="Arial" w:hAnsi="Arial"/>
                <w:sz w:val="17"/>
                <w:szCs w:val="17"/>
                <w:color w:val="auto"/>
              </w:rPr>
              <w:t>Deferred ceding commission revenue</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113,367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(1,295,193)</w:t>
            </w:r>
          </w:p>
        </w:tc>
      </w:tr>
      <w:tr>
        <w:trPr>
          <w:trHeight w:val="206"/>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payable, accrued expenses and other liabilities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952,160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24,809</w:t>
            </w:r>
          </w:p>
        </w:tc>
      </w:tr>
      <w:tr>
        <w:trPr>
          <w:trHeight w:val="26"/>
        </w:trPr>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Net cash flows provided by operating activities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12,724,166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10,313,334</w:t>
            </w:r>
          </w:p>
        </w:tc>
      </w:tr>
      <w:tr>
        <w:trPr>
          <w:trHeight w:val="206"/>
        </w:trPr>
        <w:tc>
          <w:tcPr>
            <w:tcW w:w="88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Cash flows used in investing activities</w:t>
            </w: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Purchase - fixed-maturity securities held-to-maturity</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(2,715,540)</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Purchase - fixed-maturity securities available-for-sale</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(13,187,405)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(24,041,145)</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Purchase - equity securities available-for-sale</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(3,552,291)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(7,453,247)</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Sale or maturity - fixed-maturity securities available-for-sale</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1,680,633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5,092,195</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Sale - equity securities available-for-sale</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1,642,971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5,537,511</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Acquisition of fixed assets</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(1,166,834)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(722,053)</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Recovery of loss from failed bank</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51,587</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Other investing activities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6,203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22,519</w:t>
            </w:r>
          </w:p>
        </w:tc>
      </w:tr>
      <w:tr>
        <w:trPr>
          <w:trHeight w:val="26"/>
        </w:trPr>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Net cash flows used in investing activitie</w:t>
            </w:r>
            <w:r>
              <w:rPr>
                <w:rFonts w:ascii="Arial" w:cs="Arial" w:eastAsia="Arial" w:hAnsi="Arial"/>
                <w:sz w:val="17"/>
                <w:szCs w:val="17"/>
                <w:color w:val="auto"/>
              </w:rPr>
              <w:t>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(14,576,723)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(24,228,173)</w:t>
            </w:r>
          </w:p>
        </w:tc>
      </w:tr>
      <w:tr>
        <w:trPr>
          <w:trHeight w:val="206"/>
        </w:trPr>
        <w:tc>
          <w:tcPr>
            <w:tcW w:w="88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used in financing activities</w:t>
            </w: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Proceeds from exercise of stock options</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5,876</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Withholding taxes paid on net exercise of stock options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(243,662)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(66,095)</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Excess tax benefit from exercise of stock options</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223,976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74,471</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Purchase of treasury stock</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(204,060)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(46,728)</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Dividends paid</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(1,098,946)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(947,186)</w:t>
            </w:r>
          </w:p>
        </w:tc>
      </w:tr>
      <w:tr>
        <w:trPr>
          <w:trHeight w:val="26"/>
        </w:trPr>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Net cash flows used in financing activitie</w:t>
            </w:r>
            <w:r>
              <w:rPr>
                <w:rFonts w:ascii="Arial" w:cs="Arial" w:eastAsia="Arial" w:hAnsi="Arial"/>
                <w:sz w:val="17"/>
                <w:szCs w:val="17"/>
                <w:color w:val="auto"/>
              </w:rPr>
              <w:t>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(1,322,692)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(979,662)</w:t>
            </w:r>
          </w:p>
        </w:tc>
      </w:tr>
      <w:tr>
        <w:trPr>
          <w:trHeight w:val="206"/>
        </w:trPr>
        <w:tc>
          <w:tcPr>
            <w:tcW w:w="88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Decrease in cash and cash equivalents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(3,175,249)</w:t>
            </w:r>
          </w:p>
        </w:tc>
        <w:tc>
          <w:tcPr>
            <w:tcW w:w="28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(14,894,501)</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9,906,878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19,922,506</w:t>
            </w:r>
          </w:p>
        </w:tc>
      </w:tr>
      <w:tr>
        <w:trPr>
          <w:trHeight w:val="26"/>
        </w:trPr>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end of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6,731,629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5,028,005</w:t>
            </w:r>
          </w:p>
        </w:tc>
      </w:tr>
      <w:tr>
        <w:trPr>
          <w:trHeight w:val="198"/>
        </w:trPr>
        <w:tc>
          <w:tcPr>
            <w:tcW w:w="88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Cash paid for income taxes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1,457,000</w:t>
            </w:r>
          </w:p>
        </w:tc>
        <w:tc>
          <w:tcPr>
            <w:tcW w:w="28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1,712,400</w:t>
            </w:r>
          </w:p>
        </w:tc>
      </w:tr>
      <w:tr>
        <w:trPr>
          <w:trHeight w:val="206"/>
        </w:trPr>
        <w:tc>
          <w:tcPr>
            <w:tcW w:w="8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Supplemental schedule of non-cash investing and financing activities: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Value of shares deducted from exercise of stock options for payment of withholding taxes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243,662</w:t>
            </w:r>
          </w:p>
        </w:tc>
        <w:tc>
          <w:tcPr>
            <w:tcW w:w="28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66,095</w:t>
            </w:r>
          </w:p>
        </w:tc>
      </w:tr>
    </w:tbl>
    <w:p>
      <w:pPr>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Nature of Business and Basis of Presentation</w:t>
      </w:r>
    </w:p>
    <w:p>
      <w:pPr>
        <w:spacing w:after="0" w:line="24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Kingstone Companies, Inc. (referred to herein as "Kingstone" or the “Company”), through its wholly owned subsidiary, Kingstone Insurance Company (“KICO”), underwrites property and casualty insurance to small businesses and individuals exclusively through independent agents and brokers. KICO is a licensed insurance company in the States of New York, New Jersey, Connecticut, Pennsylvania and Texas; however, KICO writes substantially all of its business in New York. Through March 31, 2015, Kingstone, through its wholly owned subsidiary, Payments Inc., a licensed premium finance company in the State of New York, received fees for placing contracts with a third party licensed premium finance company (see Note 12 – Premium Finance Placement Fees).</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accompanying unaudited condensed consolidated financial statements included in this report have been prepared in accordance with accounting principles generally accepted in the United States (“GAAP”) for interim financial information and the instructions to Securities and Exchange Commission (“SEC”) Form 10-Q and Article 8-03 of SEC Regulation S-X. The principles for condensed interim financial information do not require the inclusion of all the information and footnotes required by generally accepted accounting principles for complete financial statements. Therefore, these financial statements should be read in conjunction with the consolidated financial statements as of and for the year ended December 31, 2014 and notes thereto included in the Company’s Annual Report on Form 10-K filed with the SEC on March 25, 2015.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statement of the Company’s financial position and results of operations. The results of operations for the nine months ended September 30, 2015 may not be indicative of the results that may be expected for the year ending December 31, 2015.</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Accounting Policies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and assumptions, which include the reserves for losses and loss adjustment expenses, are subject to considerable estimation error due to the inherent uncertainty in projecting ultimate claim amounts that will be reported and settled over a period of several years. In addition, estimates and assumptions associated with receivables under reinsurance contracts related to contingent ceding commission revenue require considerable judgment by management. On an on-going basis, management reevaluates its assumptions and the methods of calculating its estimates. Actual results may differ significantly from the estimates and assumptions used in preparing the consolidated financial statements.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consist of Kingstone and its wholly owned subsidiaries. Subsidiaries include: (1) KICO and its wholly owned subsidiaries,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CMIC Properties, Inc. (“Properties”) and 15 Joys Lane, LLC (“15 Joys Lane”), which together own the land and building from which KICO operates, and (2)</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Payments Inc. All significant inter-company transactions have been eliminated in consolidation.</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Pronouncements</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April 2014, the Financial Accounting Standards Board (“FASB”) issued Accounting Standards Update (“ASU”) No. 2014-08, “Presentation of Financial Statements (Topic 205) and Property, Plant, and Equipment (Topic 360): Reporting Discontinued Operations and Disclosures of Disposals of Components of an Entity. This ASU revised guidance to only allow disposals of components of an entity that represent a strategic shift (e.g., disposal of a major geographical area, a major line of business, a major equity method investment, or other major parts of an entity) and that have a major effect on a reporting entity’s operations and financial results to be reported as discontinued operations. The revised guidance also requires expanded disclosure in the financial statements for discontinued operations as well as for disposals of significant components of an entity that do not qualify for discontinued operations presentation. The Company adopted this guidance on January 1, 2015 and it did not have any effect on the Company’s consolidated results of operations, financial position or cash flows.</w:t>
      </w:r>
    </w:p>
    <w:p>
      <w:pPr>
        <w:spacing w:after="0" w:line="19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May 2014, FASB issued guidance to change the recognition of revenue from contracts with customers. The core principle of the new guidance is that an entity should recognize revenue to reflect the transfer of goods and services to customers in an amount equal to the consideration the entity receives or expects to receive. The guidance will be effective for the Company for reporting periods beginning after December 15, 2016. The Company will apply the guidance using a modified retrospective approach. The Company does not expect these amendments to have a material effect on its financial statements.</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May 2015, FASB issued guidance requiring expanded disclosures for insurance entities that issue short-duration contracts. The expanded disclosures are designed to provide additional insight into an insurance entity’s ability to underwrite and anticipate costs associated with insurance claims. The disclosures include information about incurred and paid claims development by accident year, on a net basis after reinsurance, for the number of years claims incurred typically remain outstanding, not to exceed ten years. Each period presented in the disclosure about claims development that precedes the current reporting period is considered required supplementary information. The expanded disclosures also include information about significant changes in methodologies and assumptions, a reconciliation of incurred and paid claims development to the carrying amount of the liability for unpaid claims and claim adjustment expenses, the total amount of incurred but not reported liabilities plus expected development, claims frequency information including the methodology used to determine claim frequency and any changes to that methodology, and claim duration. The guidance is effective for annual periods beginning after December 15, 2015, and interim periods beginning after December 15, 2016, and is to be applied retrospectively. The new guidance affects disclosures only and will have no impact on the Company’s results of operations or financial position.</w:t>
      </w:r>
    </w:p>
    <w:p>
      <w:pPr>
        <w:spacing w:after="0" w:line="197"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Note 3 - Investments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Available-for-Sale Securities</w:t>
      </w:r>
    </w:p>
    <w:p>
      <w:pPr>
        <w:spacing w:after="0" w:line="24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The amortized cost and fair value of investments in available-for-sale fixed-maturity securities and equity securities as of September 30, 2015 and December 31, 2014 are summarized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rPr>
              <w:t>September 30, 2015</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Cost or</w:t>
            </w:r>
          </w:p>
        </w:tc>
        <w:tc>
          <w:tcPr>
            <w:tcW w:w="180" w:type="dxa"/>
            <w:vAlign w:val="bottom"/>
          </w:tcPr>
          <w:p>
            <w:pPr>
              <w:spacing w:after="0"/>
              <w:rPr>
                <w:sz w:val="10"/>
                <w:szCs w:val="10"/>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4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Gross Unrealized Losses</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80"/>
              <w:spacing w:after="0" w:line="119" w:lineRule="exact"/>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w w:val="90"/>
              </w:rPr>
              <w:t>Amortized</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7"/>
              </w:rPr>
              <w:t>Less than 12</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More than 12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17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8"/>
              </w:rPr>
              <w:t>Months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8"/>
              </w:rPr>
              <w:t>Months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3"/>
              </w:rPr>
              <w:t>(Losses</w:t>
            </w:r>
            <w:r>
              <w:rPr>
                <w:rFonts w:ascii="Arial" w:cs="Arial" w:eastAsia="Arial" w:hAnsi="Arial"/>
                <w:sz w:val="14"/>
                <w:szCs w:val="14"/>
                <w:color w:val="auto"/>
                <w:w w:val="83"/>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1"/>
        </w:trPr>
        <w:tc>
          <w:tcPr>
            <w:tcW w:w="3320" w:type="dxa"/>
            <w:vAlign w:val="bottom"/>
            <w:gridSpan w:val="2"/>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320" w:type="dxa"/>
            <w:vAlign w:val="bottom"/>
            <w:gridSpan w:val="2"/>
          </w:tcPr>
          <w:p>
            <w:pPr>
              <w:spacing w:after="0"/>
              <w:rPr>
                <w:sz w:val="20"/>
                <w:szCs w:val="20"/>
                <w:color w:val="auto"/>
              </w:rPr>
            </w:pPr>
            <w:r>
              <w:rPr>
                <w:rFonts w:ascii="Arial" w:cs="Arial" w:eastAsia="Arial" w:hAnsi="Arial"/>
                <w:sz w:val="17"/>
                <w:szCs w:val="17"/>
                <w:color w:val="auto"/>
              </w:rPr>
              <w:t>Political subdivisions of States,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Territories and Possessions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13,682,943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478,684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(37,619)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14,124,008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441,065</w:t>
            </w:r>
          </w:p>
        </w:tc>
        <w:tc>
          <w:tcPr>
            <w:tcW w:w="0" w:type="dxa"/>
            <w:vAlign w:val="bottom"/>
          </w:tcPr>
          <w:p>
            <w:pPr>
              <w:spacing w:after="0"/>
              <w:rPr>
                <w:sz w:val="1"/>
                <w:szCs w:val="1"/>
                <w:color w:val="auto"/>
              </w:rPr>
            </w:pPr>
          </w:p>
        </w:tc>
      </w:tr>
      <w:tr>
        <w:trPr>
          <w:trHeight w:val="206"/>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Corporate and other bonds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Industrial and miscellaneous</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43,005,459</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791,305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(333,737)</w:t>
            </w:r>
          </w:p>
        </w:tc>
        <w:tc>
          <w:tcPr>
            <w:tcW w:w="14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(40,438)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43,422,589</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417,130</w:t>
            </w:r>
          </w:p>
        </w:tc>
        <w:tc>
          <w:tcPr>
            <w:tcW w:w="0" w:type="dxa"/>
            <w:vAlign w:val="bottom"/>
          </w:tcPr>
          <w:p>
            <w:pPr>
              <w:spacing w:after="0"/>
              <w:rPr>
                <w:sz w:val="1"/>
                <w:szCs w:val="1"/>
                <w:color w:val="auto"/>
              </w:rPr>
            </w:pPr>
          </w:p>
        </w:tc>
      </w:tr>
      <w:tr>
        <w:trPr>
          <w:trHeight w:val="206"/>
        </w:trPr>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Residential mortgage backed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securities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4,523,275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49,488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(24,051)</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4,548,712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25,437</w:t>
            </w:r>
          </w:p>
        </w:tc>
        <w:tc>
          <w:tcPr>
            <w:tcW w:w="0" w:type="dxa"/>
            <w:vAlign w:val="bottom"/>
          </w:tcPr>
          <w:p>
            <w:pPr>
              <w:spacing w:after="0"/>
              <w:rPr>
                <w:sz w:val="1"/>
                <w:szCs w:val="1"/>
                <w:color w:val="auto"/>
              </w:rPr>
            </w:pPr>
          </w:p>
        </w:tc>
      </w:tr>
      <w:tr>
        <w:trPr>
          <w:trHeight w:val="26"/>
        </w:trPr>
        <w:tc>
          <w:tcPr>
            <w:tcW w:w="3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Total fixed-maturity securities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61,211,677</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1,319,477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(395,407)</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(40,438)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62,095,309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883,632</w:t>
            </w:r>
          </w:p>
        </w:tc>
        <w:tc>
          <w:tcPr>
            <w:tcW w:w="0" w:type="dxa"/>
            <w:vAlign w:val="bottom"/>
          </w:tcPr>
          <w:p>
            <w:pPr>
              <w:spacing w:after="0"/>
              <w:rPr>
                <w:sz w:val="1"/>
                <w:szCs w:val="1"/>
                <w:color w:val="auto"/>
              </w:rPr>
            </w:pPr>
          </w:p>
        </w:tc>
      </w:tr>
      <w:tr>
        <w:trPr>
          <w:trHeight w:val="206"/>
        </w:trPr>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b w:val="1"/>
                <w:bCs w:val="1"/>
                <w:color w:val="auto"/>
              </w:rPr>
              <w:t>Equity Securities: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Preferred stocks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2,859,267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23,934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(43,971)</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(14,598)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2,824,632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(34,635)</w:t>
            </w:r>
          </w:p>
        </w:tc>
        <w:tc>
          <w:tcPr>
            <w:tcW w:w="0" w:type="dxa"/>
            <w:vAlign w:val="bottom"/>
          </w:tcPr>
          <w:p>
            <w:pPr>
              <w:spacing w:after="0"/>
              <w:rPr>
                <w:sz w:val="1"/>
                <w:szCs w:val="1"/>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Common stocks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6,677,720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296,774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(305,834)</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6,668,660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(9,060)</w:t>
            </w: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Total equity securities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9,536,987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320,708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(349,805)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9,493,292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(43,695)</w:t>
            </w:r>
          </w:p>
        </w:tc>
        <w:tc>
          <w:tcPr>
            <w:tcW w:w="0" w:type="dxa"/>
            <w:vAlign w:val="bottom"/>
          </w:tcPr>
          <w:p>
            <w:pPr>
              <w:spacing w:after="0"/>
              <w:rPr>
                <w:sz w:val="1"/>
                <w:szCs w:val="1"/>
                <w:color w:val="auto"/>
              </w:rPr>
            </w:pPr>
          </w:p>
        </w:tc>
      </w:tr>
      <w:tr>
        <w:trPr>
          <w:trHeight w:val="206"/>
        </w:trPr>
        <w:tc>
          <w:tcPr>
            <w:tcW w:w="3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70,748,664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1,640,185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(745,212)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(55,036)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71,588,601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839,937</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December 31, 2014</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Cost or</w:t>
            </w:r>
          </w:p>
        </w:tc>
        <w:tc>
          <w:tcPr>
            <w:tcW w:w="180" w:type="dxa"/>
            <w:vAlign w:val="bottom"/>
          </w:tcPr>
          <w:p>
            <w:pPr>
              <w:spacing w:after="0"/>
              <w:rPr>
                <w:sz w:val="10"/>
                <w:szCs w:val="10"/>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4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Gross Unrealized Losses</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80"/>
              <w:spacing w:after="0" w:line="119" w:lineRule="exact"/>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w w:val="90"/>
              </w:rPr>
              <w:t>Amortized</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7"/>
              </w:rPr>
              <w:t>Less than 12</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More than 12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17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8"/>
              </w:rPr>
              <w:t>Months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8"/>
              </w:rPr>
              <w:t>Months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3"/>
              </w:rPr>
              <w:t>(Losses</w:t>
            </w:r>
            <w:r>
              <w:rPr>
                <w:rFonts w:ascii="Arial" w:cs="Arial" w:eastAsia="Arial" w:hAnsi="Arial"/>
                <w:sz w:val="14"/>
                <w:szCs w:val="14"/>
                <w:color w:val="auto"/>
                <w:w w:val="83"/>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1"/>
        </w:trPr>
        <w:tc>
          <w:tcPr>
            <w:tcW w:w="3320" w:type="dxa"/>
            <w:vAlign w:val="bottom"/>
            <w:gridSpan w:val="2"/>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320" w:type="dxa"/>
            <w:vAlign w:val="bottom"/>
            <w:gridSpan w:val="2"/>
          </w:tcPr>
          <w:p>
            <w:pPr>
              <w:spacing w:after="0"/>
              <w:rPr>
                <w:sz w:val="20"/>
                <w:szCs w:val="20"/>
                <w:color w:val="auto"/>
              </w:rPr>
            </w:pPr>
            <w:r>
              <w:rPr>
                <w:rFonts w:ascii="Arial" w:cs="Arial" w:eastAsia="Arial" w:hAnsi="Arial"/>
                <w:sz w:val="17"/>
                <w:szCs w:val="17"/>
                <w:color w:val="auto"/>
              </w:rPr>
              <w:t>Political subdivisions of States,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Territories and Possessions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13,862,141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412,490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(23,813)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(6,379)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14,244,439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382,298</w:t>
            </w:r>
          </w:p>
        </w:tc>
        <w:tc>
          <w:tcPr>
            <w:tcW w:w="0" w:type="dxa"/>
            <w:vAlign w:val="bottom"/>
          </w:tcPr>
          <w:p>
            <w:pPr>
              <w:spacing w:after="0"/>
              <w:rPr>
                <w:sz w:val="1"/>
                <w:szCs w:val="1"/>
                <w:color w:val="auto"/>
              </w:rPr>
            </w:pPr>
          </w:p>
        </w:tc>
      </w:tr>
      <w:tr>
        <w:trPr>
          <w:trHeight w:val="206"/>
        </w:trPr>
        <w:tc>
          <w:tcPr>
            <w:tcW w:w="33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Corporate and other bonds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Industrial and miscellaneous</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36,221,300</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803,440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(118,092)</w:t>
            </w:r>
          </w:p>
        </w:tc>
        <w:tc>
          <w:tcPr>
            <w:tcW w:w="14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(30,228)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36,876,420</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655,120</w:t>
            </w: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Total fixed-maturity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50,083,441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1,215,930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(141,905)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(36,607)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51,120,859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1,037,418</w:t>
            </w:r>
          </w:p>
        </w:tc>
        <w:tc>
          <w:tcPr>
            <w:tcW w:w="0" w:type="dxa"/>
            <w:vAlign w:val="bottom"/>
          </w:tcPr>
          <w:p>
            <w:pPr>
              <w:spacing w:after="0"/>
              <w:rPr>
                <w:sz w:val="1"/>
                <w:szCs w:val="1"/>
                <w:color w:val="auto"/>
              </w:rPr>
            </w:pPr>
          </w:p>
        </w:tc>
      </w:tr>
      <w:tr>
        <w:trPr>
          <w:trHeight w:val="206"/>
        </w:trPr>
        <w:tc>
          <w:tcPr>
            <w:tcW w:w="3320" w:type="dxa"/>
            <w:vAlign w:val="bottom"/>
            <w:tcBorders>
              <w:top w:val="single" w:sz="8" w:color="CCEEFF"/>
            </w:tcBorders>
            <w:gridSpan w:val="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Equity Securities: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Preferred stocks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3,172,632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19,180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(2,647)</w:t>
            </w:r>
          </w:p>
        </w:tc>
        <w:tc>
          <w:tcPr>
            <w:tcW w:w="14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(62,886)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3,126,280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(46,352)</w:t>
            </w: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Common stocks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4,448,677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444,950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(2,177)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4,891,449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442,772</w:t>
            </w:r>
          </w:p>
        </w:tc>
        <w:tc>
          <w:tcPr>
            <w:tcW w:w="0" w:type="dxa"/>
            <w:vAlign w:val="bottom"/>
          </w:tcPr>
          <w:p>
            <w:pPr>
              <w:spacing w:after="0"/>
              <w:rPr>
                <w:sz w:val="1"/>
                <w:szCs w:val="1"/>
                <w:color w:val="auto"/>
              </w:rPr>
            </w:pPr>
          </w:p>
        </w:tc>
      </w:tr>
      <w:tr>
        <w:trPr>
          <w:trHeight w:val="26"/>
        </w:trPr>
        <w:tc>
          <w:tcPr>
            <w:tcW w:w="3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Total equity securities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7,621,309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464,130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(2,647)</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(65,063)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8,017,729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396,420</w:t>
            </w: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57,704,750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1,680,060</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(144,552)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(101,670)</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59,138,588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1,433,838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10" w:name="page11"/>
    <w:bookmarkEnd w:id="10"/>
    <w:p>
      <w:pPr>
        <w:ind w:right="20" w:firstLine="34"/>
        <w:spacing w:after="0" w:line="280" w:lineRule="auto"/>
        <w:rPr>
          <w:sz w:val="20"/>
          <w:szCs w:val="20"/>
          <w:color w:val="auto"/>
        </w:rPr>
      </w:pPr>
      <w:r>
        <w:rPr>
          <w:rFonts w:ascii="Arial" w:cs="Arial" w:eastAsia="Arial" w:hAnsi="Arial"/>
          <w:sz w:val="17"/>
          <w:szCs w:val="17"/>
          <w:color w:val="auto"/>
        </w:rPr>
        <w:t>A summary of the amortized cost and fair value of the Company’s investments in available-for-sale fixed-maturity securities by contractual maturity as of September 30, 2015 and December 31, 2014 is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ind w:left="52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Pr>
          <w:p>
            <w:pPr>
              <w:spacing w:after="0"/>
              <w:rPr>
                <w:sz w:val="14"/>
                <w:szCs w:val="14"/>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 2014</w:t>
            </w:r>
          </w:p>
        </w:tc>
      </w:tr>
      <w:tr>
        <w:trPr>
          <w:trHeight w:val="221"/>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Amortized</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Amortized</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606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Remaining Time to Maturit</w:t>
            </w:r>
            <w:r>
              <w:rPr>
                <w:rFonts w:ascii="Arial" w:cs="Arial" w:eastAsia="Arial" w:hAnsi="Arial"/>
                <w:sz w:val="14"/>
                <w:szCs w:val="14"/>
                <w:color w:val="auto"/>
              </w:rPr>
              <w:t>y</w:t>
            </w:r>
          </w:p>
        </w:tc>
        <w:tc>
          <w:tcPr>
            <w:tcW w:w="180" w:type="dxa"/>
            <w:vAlign w:val="bottom"/>
          </w:tcPr>
          <w:p>
            <w:pPr>
              <w:spacing w:after="0"/>
              <w:rPr>
                <w:sz w:val="17"/>
                <w:szCs w:val="17"/>
                <w:color w:val="auto"/>
              </w:rPr>
            </w:pPr>
          </w:p>
        </w:tc>
        <w:tc>
          <w:tcPr>
            <w:tcW w:w="980" w:type="dxa"/>
            <w:vAlign w:val="bottom"/>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 Value</w:t>
            </w:r>
          </w:p>
        </w:tc>
      </w:tr>
      <w:tr>
        <w:trPr>
          <w:trHeight w:val="206"/>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Less than one year</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1,003,870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1,025,475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482,833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487,507</w:t>
            </w: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One to five years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13,012,835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13,408,879</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11,640,381</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11,943,127</w:t>
            </w: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Five to ten years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39,868,480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40,201,676</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32,283,921</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32,865,231</w:t>
            </w: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More than 10 years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2,803,217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2,910,567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5,676,306</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5,824,994</w:t>
            </w: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Residential mortgage backed securities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4,523,275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4,548,712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61,211,677</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62,095,309</w:t>
            </w:r>
          </w:p>
        </w:tc>
        <w:tc>
          <w:tcPr>
            <w:tcW w:w="24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50,083,441</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51,120,859</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Held-to-Maturity Securities</w:t>
      </w:r>
    </w:p>
    <w:p>
      <w:pPr>
        <w:spacing w:after="0" w:line="24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amortized cost and fair value of investments in held-to-maturity fixed-maturity securities as of September 30, 2015 and December 31, 2014 are summarized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September 30, 2015</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 or</w:t>
            </w:r>
          </w:p>
        </w:tc>
        <w:tc>
          <w:tcPr>
            <w:tcW w:w="240" w:type="dxa"/>
            <w:vAlign w:val="bottom"/>
          </w:tcPr>
          <w:p>
            <w:pPr>
              <w:spacing w:after="0"/>
              <w:rPr>
                <w:sz w:val="10"/>
                <w:szCs w:val="10"/>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3"/>
              </w:rPr>
              <w:t>Gross</w:t>
            </w:r>
          </w:p>
        </w:tc>
        <w:tc>
          <w:tcPr>
            <w:tcW w:w="254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Gross Unrealized Losses</w:t>
            </w: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540" w:type="dxa"/>
            <w:vAlign w:val="bottom"/>
            <w:tcBorders>
              <w:bottom w:val="single" w:sz="8" w:color="auto"/>
            </w:tcBorders>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5"/>
                <w:szCs w:val="15"/>
                <w:color w:val="auto"/>
              </w:rPr>
            </w:pPr>
          </w:p>
        </w:tc>
        <w:tc>
          <w:tcPr>
            <w:tcW w:w="138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90"/>
              </w:rPr>
              <w:t>Unrealized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Less than 12</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More than 12</w:t>
            </w:r>
          </w:p>
        </w:tc>
        <w:tc>
          <w:tcPr>
            <w:tcW w:w="220" w:type="dxa"/>
            <w:vAlign w:val="bottom"/>
          </w:tcPr>
          <w:p>
            <w:pPr>
              <w:spacing w:after="0"/>
              <w:rPr>
                <w:sz w:val="15"/>
                <w:szCs w:val="15"/>
                <w:color w:val="auto"/>
              </w:rPr>
            </w:pPr>
          </w:p>
        </w:tc>
        <w:tc>
          <w:tcPr>
            <w:tcW w:w="11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5"/>
                <w:szCs w:val="15"/>
                <w:color w:val="auto"/>
              </w:rPr>
            </w:pPr>
          </w:p>
        </w:tc>
        <w:tc>
          <w:tcPr>
            <w:tcW w:w="11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17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Months</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Months</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(Losses</w:t>
            </w:r>
            <w:r>
              <w:rPr>
                <w:rFonts w:ascii="Arial" w:cs="Arial" w:eastAsia="Arial" w:hAnsi="Arial"/>
                <w:sz w:val="14"/>
                <w:szCs w:val="14"/>
                <w:color w:val="auto"/>
                <w:w w:val="83"/>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606,380</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163,096</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769,476</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163,096</w:t>
            </w:r>
          </w:p>
        </w:tc>
      </w:tr>
      <w:tr>
        <w:trPr>
          <w:trHeight w:val="206"/>
        </w:trPr>
        <w:tc>
          <w:tcPr>
            <w:tcW w:w="3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3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332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1,416,537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58,142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(46,621)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1,428,058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11,521</w:t>
            </w:r>
          </w:p>
        </w:tc>
      </w:tr>
      <w:tr>
        <w:trPr>
          <w:trHeight w:val="206"/>
        </w:trPr>
        <w:tc>
          <w:tcPr>
            <w:tcW w:w="3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332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3,114,281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91,875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(2,577)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(127,694)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3,075,885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(38,396)</w:t>
            </w:r>
          </w:p>
        </w:tc>
      </w:tr>
      <w:tr>
        <w:trPr>
          <w:trHeight w:val="206"/>
        </w:trPr>
        <w:tc>
          <w:tcPr>
            <w:tcW w:w="33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6"/>
        </w:trPr>
        <w:tc>
          <w:tcPr>
            <w:tcW w:w="3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5,137,198</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313,113</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(2,577)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(174,315)</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5,273,419</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136,221</w:t>
            </w:r>
          </w:p>
        </w:tc>
      </w:tr>
      <w:tr>
        <w:trPr>
          <w:trHeight w:val="571"/>
        </w:trPr>
        <w:tc>
          <w:tcPr>
            <w:tcW w:w="33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4"/>
        </w:trPr>
        <w:tc>
          <w:tcPr>
            <w:tcW w:w="3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December 31, 2014</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 or</w:t>
            </w:r>
          </w:p>
        </w:tc>
        <w:tc>
          <w:tcPr>
            <w:tcW w:w="240" w:type="dxa"/>
            <w:vAlign w:val="bottom"/>
          </w:tcPr>
          <w:p>
            <w:pPr>
              <w:spacing w:after="0"/>
              <w:rPr>
                <w:sz w:val="10"/>
                <w:szCs w:val="10"/>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3"/>
              </w:rPr>
              <w:t>Gross</w:t>
            </w:r>
          </w:p>
        </w:tc>
        <w:tc>
          <w:tcPr>
            <w:tcW w:w="254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Gross Unrealized Losses</w:t>
            </w: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540" w:type="dxa"/>
            <w:vAlign w:val="bottom"/>
            <w:tcBorders>
              <w:bottom w:val="single" w:sz="8" w:color="auto"/>
            </w:tcBorders>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5"/>
                <w:szCs w:val="15"/>
                <w:color w:val="auto"/>
              </w:rPr>
            </w:pPr>
          </w:p>
        </w:tc>
        <w:tc>
          <w:tcPr>
            <w:tcW w:w="138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90"/>
              </w:rPr>
              <w:t>Unrealized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Less than 12</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More than 12</w:t>
            </w:r>
          </w:p>
        </w:tc>
        <w:tc>
          <w:tcPr>
            <w:tcW w:w="220" w:type="dxa"/>
            <w:vAlign w:val="bottom"/>
          </w:tcPr>
          <w:p>
            <w:pPr>
              <w:spacing w:after="0"/>
              <w:rPr>
                <w:sz w:val="15"/>
                <w:szCs w:val="15"/>
                <w:color w:val="auto"/>
              </w:rPr>
            </w:pPr>
          </w:p>
        </w:tc>
        <w:tc>
          <w:tcPr>
            <w:tcW w:w="11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5"/>
                <w:szCs w:val="15"/>
                <w:color w:val="auto"/>
              </w:rPr>
            </w:pPr>
          </w:p>
        </w:tc>
        <w:tc>
          <w:tcPr>
            <w:tcW w:w="11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17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Months</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Months</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(Losses</w:t>
            </w:r>
            <w:r>
              <w:rPr>
                <w:rFonts w:ascii="Arial" w:cs="Arial" w:eastAsia="Arial" w:hAnsi="Arial"/>
                <w:sz w:val="14"/>
                <w:szCs w:val="14"/>
                <w:color w:val="auto"/>
                <w:w w:val="83"/>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606,353</w:t>
            </w:r>
          </w:p>
        </w:tc>
        <w:tc>
          <w:tcPr>
            <w:tcW w:w="580" w:type="dxa"/>
            <w:vAlign w:val="bottom"/>
            <w:gridSpan w:val="2"/>
            <w:shd w:val="clear" w:color="auto" w:fill="CCEEFF"/>
          </w:tcPr>
          <w:p>
            <w:pPr>
              <w:jc w:val="right"/>
              <w:ind w:right="185"/>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183,200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789,553</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183,200</w:t>
            </w:r>
          </w:p>
        </w:tc>
      </w:tr>
      <w:tr>
        <w:trPr>
          <w:trHeight w:val="206"/>
        </w:trPr>
        <w:tc>
          <w:tcPr>
            <w:tcW w:w="3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3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332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1,413,303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49,981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(12,247)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1,451,037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37,734</w:t>
            </w:r>
          </w:p>
        </w:tc>
      </w:tr>
      <w:tr>
        <w:trPr>
          <w:trHeight w:val="206"/>
        </w:trPr>
        <w:tc>
          <w:tcPr>
            <w:tcW w:w="3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332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3,109,079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98,306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(52,921)</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3,154,464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45,385</w:t>
            </w:r>
          </w:p>
        </w:tc>
      </w:tr>
      <w:tr>
        <w:trPr>
          <w:trHeight w:val="206"/>
        </w:trPr>
        <w:tc>
          <w:tcPr>
            <w:tcW w:w="33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26"/>
        </w:trPr>
        <w:tc>
          <w:tcPr>
            <w:tcW w:w="3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5,128,735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331,487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(52,921)</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(12,247)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5,395,054</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266,319</w:t>
            </w: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Held-to-maturity U.S. Treasury securities are held in trust pursuant to the New York State Department of Financial Services’ minimum funds requirement.</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amortized cost and fair value of the Company’s investments in held-to-maturity securities by contractual maturity as of September 30, 2015 and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2014 is shown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jc w:val="right"/>
              <w:ind w:right="617"/>
              <w:spacing w:after="0"/>
              <w:rPr>
                <w:sz w:val="20"/>
                <w:szCs w:val="20"/>
                <w:color w:val="auto"/>
              </w:rPr>
            </w:pPr>
            <w:r>
              <w:rPr>
                <w:rFonts w:ascii="Arial" w:cs="Arial" w:eastAsia="Arial" w:hAnsi="Arial"/>
                <w:sz w:val="14"/>
                <w:szCs w:val="14"/>
                <w:b w:val="1"/>
                <w:bCs w:val="1"/>
                <w:color w:val="auto"/>
              </w:rPr>
              <w:t>September 30, 2015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 2014</w:t>
            </w:r>
          </w:p>
        </w:tc>
      </w:tr>
      <w:tr>
        <w:trPr>
          <w:trHeight w:val="179"/>
        </w:trPr>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Amortized</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Amortized</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06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Remaining Time to Maturit</w:t>
            </w:r>
            <w:r>
              <w:rPr>
                <w:rFonts w:ascii="Arial" w:cs="Arial" w:eastAsia="Arial" w:hAnsi="Arial"/>
                <w:sz w:val="14"/>
                <w:szCs w:val="14"/>
                <w:color w:val="auto"/>
              </w:rPr>
              <w:t>y</w:t>
            </w: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77"/>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 Value</w:t>
            </w:r>
          </w:p>
        </w:tc>
      </w:tr>
      <w:tr>
        <w:trPr>
          <w:trHeight w:val="206"/>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Less than one year</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One to five years</w:t>
            </w: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500,000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505,150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Five to ten years</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4,030,818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3,998,793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3,522,927</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3,563,401</w:t>
            </w: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More than 10 years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606,380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769,476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1,605,808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1,831,653</w:t>
            </w:r>
          </w:p>
        </w:tc>
      </w:tr>
      <w:tr>
        <w:trPr>
          <w:trHeight w:val="26"/>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5,137,198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5,273,419</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5,128,735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5,395,054</w:t>
            </w: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 Income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Major categories of the Company’s net investment income are summarized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0"/>
        </w:trPr>
        <w:tc>
          <w:tcPr>
            <w:tcW w:w="60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60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412"/>
        </w:trPr>
        <w:tc>
          <w:tcPr>
            <w:tcW w:w="6060" w:type="dxa"/>
            <w:vAlign w:val="bottom"/>
          </w:tcPr>
          <w:p>
            <w:pPr>
              <w:ind w:left="40"/>
              <w:spacing w:after="0"/>
              <w:rPr>
                <w:sz w:val="20"/>
                <w:szCs w:val="20"/>
                <w:color w:val="auto"/>
              </w:rPr>
            </w:pPr>
            <w:r>
              <w:rPr>
                <w:rFonts w:ascii="Arial" w:cs="Arial" w:eastAsia="Arial" w:hAnsi="Arial"/>
                <w:sz w:val="17"/>
                <w:szCs w:val="17"/>
                <w:b w:val="1"/>
                <w:bCs w:val="1"/>
                <w:color w:val="auto"/>
              </w:rPr>
              <w:t>Income:</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6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Fixed-maturity securities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595,529</w:t>
            </w:r>
          </w:p>
        </w:tc>
        <w:tc>
          <w:tcPr>
            <w:tcW w:w="60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433,028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1,671,821</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1,182,083</w:t>
            </w:r>
          </w:p>
        </w:tc>
      </w:tr>
      <w:tr>
        <w:trPr>
          <w:trHeight w:val="206"/>
        </w:trPr>
        <w:tc>
          <w:tcPr>
            <w:tcW w:w="6060" w:type="dxa"/>
            <w:vAlign w:val="bottom"/>
          </w:tcPr>
          <w:p>
            <w:pPr>
              <w:ind w:left="40"/>
              <w:spacing w:after="0"/>
              <w:rPr>
                <w:sz w:val="20"/>
                <w:szCs w:val="20"/>
                <w:color w:val="auto"/>
              </w:rPr>
            </w:pPr>
            <w:r>
              <w:rPr>
                <w:rFonts w:ascii="Arial" w:cs="Arial" w:eastAsia="Arial" w:hAnsi="Arial"/>
                <w:sz w:val="17"/>
                <w:szCs w:val="17"/>
                <w:color w:val="auto"/>
              </w:rPr>
              <w:t>Equity securities</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125,379</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116,683</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378,084</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372,901</w:t>
            </w:r>
          </w:p>
        </w:tc>
      </w:tr>
      <w:tr>
        <w:trPr>
          <w:trHeight w:val="206"/>
        </w:trPr>
        <w:tc>
          <w:tcPr>
            <w:tcW w:w="6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232</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465</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23,672</w:t>
            </w:r>
          </w:p>
        </w:tc>
      </w:tr>
      <w:tr>
        <w:trPr>
          <w:trHeight w:val="206"/>
        </w:trPr>
        <w:tc>
          <w:tcPr>
            <w:tcW w:w="6060" w:type="dxa"/>
            <w:vAlign w:val="bottom"/>
          </w:tcPr>
          <w:p>
            <w:pPr>
              <w:ind w:left="4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594</w:t>
            </w:r>
          </w:p>
        </w:tc>
      </w:tr>
      <w:tr>
        <w:trPr>
          <w:trHeight w:val="26"/>
        </w:trPr>
        <w:tc>
          <w:tcPr>
            <w:tcW w:w="60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6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721,158</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549,943</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2,050,370</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1,579,250</w:t>
            </w:r>
          </w:p>
        </w:tc>
      </w:tr>
      <w:tr>
        <w:trPr>
          <w:trHeight w:val="206"/>
        </w:trPr>
        <w:tc>
          <w:tcPr>
            <w:tcW w:w="6060" w:type="dxa"/>
            <w:vAlign w:val="bottom"/>
          </w:tcPr>
          <w:p>
            <w:pPr>
              <w:ind w:left="40"/>
              <w:spacing w:after="0"/>
              <w:rPr>
                <w:sz w:val="20"/>
                <w:szCs w:val="20"/>
                <w:color w:val="auto"/>
              </w:rPr>
            </w:pPr>
            <w:r>
              <w:rPr>
                <w:rFonts w:ascii="Arial" w:cs="Arial" w:eastAsia="Arial" w:hAnsi="Arial"/>
                <w:sz w:val="17"/>
                <w:szCs w:val="17"/>
                <w:b w:val="1"/>
                <w:bCs w:val="1"/>
                <w:color w:val="auto"/>
              </w:rPr>
              <w:t>Expenses:</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Investment expenses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71,717</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86,430</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200,301</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285,034</w:t>
            </w:r>
          </w:p>
        </w:tc>
      </w:tr>
      <w:tr>
        <w:trPr>
          <w:trHeight w:val="26"/>
        </w:trPr>
        <w:tc>
          <w:tcPr>
            <w:tcW w:w="60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6060" w:type="dxa"/>
            <w:vAlign w:val="bottom"/>
          </w:tcPr>
          <w:p>
            <w:pPr>
              <w:ind w:left="40"/>
              <w:spacing w:after="0"/>
              <w:rPr>
                <w:sz w:val="20"/>
                <w:szCs w:val="20"/>
                <w:color w:val="auto"/>
              </w:rPr>
            </w:pPr>
            <w:r>
              <w:rPr>
                <w:rFonts w:ascii="Arial" w:cs="Arial" w:eastAsia="Arial" w:hAnsi="Arial"/>
                <w:sz w:val="17"/>
                <w:szCs w:val="17"/>
                <w:color w:val="auto"/>
              </w:rPr>
              <w:t>Net investment income</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649,441</w:t>
            </w:r>
          </w:p>
        </w:tc>
        <w:tc>
          <w:tcPr>
            <w:tcW w:w="220" w:type="dxa"/>
            <w:vAlign w:val="bottom"/>
          </w:tcPr>
          <w:p>
            <w:pPr>
              <w:spacing w:after="0"/>
              <w:rPr>
                <w:sz w:val="17"/>
                <w:szCs w:val="17"/>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463,513</w:t>
            </w:r>
          </w:p>
        </w:tc>
        <w:tc>
          <w:tcPr>
            <w:tcW w:w="240" w:type="dxa"/>
            <w:vAlign w:val="bottom"/>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1,850,069</w:t>
            </w:r>
          </w:p>
        </w:tc>
        <w:tc>
          <w:tcPr>
            <w:tcW w:w="220" w:type="dxa"/>
            <w:vAlign w:val="bottom"/>
          </w:tcPr>
          <w:p>
            <w:pPr>
              <w:spacing w:after="0"/>
              <w:rPr>
                <w:sz w:val="17"/>
                <w:szCs w:val="17"/>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1,294,216</w:t>
            </w:r>
          </w:p>
        </w:tc>
      </w:tr>
      <w:tr>
        <w:trPr>
          <w:trHeight w:val="20"/>
        </w:trPr>
        <w:tc>
          <w:tcPr>
            <w:tcW w:w="6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740"/>
        <w:spacing w:after="0" w:line="280" w:lineRule="auto"/>
        <w:rPr>
          <w:sz w:val="20"/>
          <w:szCs w:val="20"/>
          <w:color w:val="auto"/>
        </w:rPr>
      </w:pPr>
      <w:r>
        <w:rPr>
          <w:rFonts w:ascii="Arial" w:cs="Arial" w:eastAsia="Arial" w:hAnsi="Arial"/>
          <w:sz w:val="17"/>
          <w:szCs w:val="17"/>
          <w:color w:val="auto"/>
        </w:rPr>
        <w:t>Proceeds from the sale and maturity of fixed-maturity securities were $1,680,633 and $5,092,195 for the nine months ended September 30, 2015 and 2014, respectively.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Proceeds from the sale of equity securities were $1,642,971 and $5,537,511 for the nine months ended September 30, 2015 and 2014, respectively.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Company’s net realized gains (losses) on investments are summarized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13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060" w:type="dxa"/>
            <w:vAlign w:val="bottom"/>
            <w:gridSpan w:val="2"/>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Gross realized gains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25,870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183,349</w:t>
            </w:r>
          </w:p>
        </w:tc>
        <w:tc>
          <w:tcPr>
            <w:tcW w:w="0" w:type="dxa"/>
            <w:vAlign w:val="bottom"/>
          </w:tcPr>
          <w:p>
            <w:pPr>
              <w:spacing w:after="0"/>
              <w:rPr>
                <w:sz w:val="1"/>
                <w:szCs w:val="1"/>
                <w:color w:val="auto"/>
              </w:rPr>
            </w:pP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Gross realized losses</w:t>
            </w:r>
          </w:p>
        </w:tc>
        <w:tc>
          <w:tcPr>
            <w:tcW w:w="2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(25,886)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(20,436)</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(112,097)</w:t>
            </w:r>
          </w:p>
        </w:tc>
        <w:tc>
          <w:tcPr>
            <w:tcW w:w="36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(48,729)</w:t>
            </w: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3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(25,866)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(112,077)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134,620</w:t>
            </w:r>
          </w:p>
        </w:tc>
        <w:tc>
          <w:tcPr>
            <w:tcW w:w="0" w:type="dxa"/>
            <w:vAlign w:val="bottom"/>
          </w:tcPr>
          <w:p>
            <w:pPr>
              <w:spacing w:after="0"/>
              <w:rPr>
                <w:sz w:val="1"/>
                <w:szCs w:val="1"/>
                <w:color w:val="auto"/>
              </w:rPr>
            </w:pPr>
          </w:p>
        </w:tc>
      </w:tr>
      <w:tr>
        <w:trPr>
          <w:trHeight w:val="206"/>
        </w:trPr>
        <w:tc>
          <w:tcPr>
            <w:tcW w:w="1380" w:type="dxa"/>
            <w:vAlign w:val="bottom"/>
            <w:tcBorders>
              <w:top w:val="single" w:sz="8" w:color="CCEEFF"/>
            </w:tcBorders>
          </w:tcPr>
          <w:p>
            <w:pPr>
              <w:spacing w:after="0"/>
              <w:rPr>
                <w:sz w:val="17"/>
                <w:szCs w:val="17"/>
                <w:color w:val="auto"/>
              </w:rPr>
            </w:pPr>
          </w:p>
        </w:tc>
        <w:tc>
          <w:tcPr>
            <w:tcW w:w="46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Equity securities: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Gross realized gains</w:t>
            </w:r>
          </w:p>
        </w:tc>
        <w:tc>
          <w:tcPr>
            <w:tcW w:w="2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12,549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77,535</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48,970</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294,786</w:t>
            </w:r>
          </w:p>
        </w:tc>
        <w:tc>
          <w:tcPr>
            <w:tcW w:w="0" w:type="dxa"/>
            <w:vAlign w:val="bottom"/>
          </w:tcPr>
          <w:p>
            <w:pPr>
              <w:spacing w:after="0"/>
              <w:rPr>
                <w:sz w:val="1"/>
                <w:szCs w:val="1"/>
                <w:color w:val="auto"/>
              </w:rPr>
            </w:pP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Gross realized losses</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(27,170)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(19,380)</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(42,611)</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(42,867)</w:t>
            </w:r>
          </w:p>
        </w:tc>
        <w:tc>
          <w:tcPr>
            <w:tcW w:w="0" w:type="dxa"/>
            <w:vAlign w:val="bottom"/>
          </w:tcPr>
          <w:p>
            <w:pPr>
              <w:spacing w:after="0"/>
              <w:rPr>
                <w:sz w:val="1"/>
                <w:szCs w:val="1"/>
                <w:color w:val="auto"/>
              </w:rPr>
            </w:pPr>
          </w:p>
        </w:tc>
      </w:tr>
      <w:tr>
        <w:trPr>
          <w:trHeight w:val="26"/>
        </w:trPr>
        <w:tc>
          <w:tcPr>
            <w:tcW w:w="138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3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(14,621)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58,155</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6,359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251,919</w:t>
            </w:r>
          </w:p>
        </w:tc>
        <w:tc>
          <w:tcPr>
            <w:tcW w:w="0" w:type="dxa"/>
            <w:vAlign w:val="bottom"/>
          </w:tcPr>
          <w:p>
            <w:pPr>
              <w:spacing w:after="0"/>
              <w:rPr>
                <w:sz w:val="1"/>
                <w:szCs w:val="1"/>
                <w:color w:val="auto"/>
              </w:rPr>
            </w:pPr>
          </w:p>
        </w:tc>
      </w:tr>
      <w:tr>
        <w:trPr>
          <w:trHeight w:val="206"/>
        </w:trPr>
        <w:tc>
          <w:tcPr>
            <w:tcW w:w="1380" w:type="dxa"/>
            <w:vAlign w:val="bottom"/>
            <w:shd w:val="clear" w:color="auto" w:fill="CCEEFF"/>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60" w:type="dxa"/>
            <w:vAlign w:val="bottom"/>
            <w:gridSpan w:val="2"/>
          </w:tcPr>
          <w:p>
            <w:pPr>
              <w:ind w:left="40"/>
              <w:spacing w:after="0"/>
              <w:rPr>
                <w:sz w:val="20"/>
                <w:szCs w:val="20"/>
                <w:color w:val="auto"/>
              </w:rPr>
            </w:pPr>
            <w:r>
              <w:rPr>
                <w:rFonts w:ascii="Arial" w:cs="Arial" w:eastAsia="Arial" w:hAnsi="Arial"/>
                <w:sz w:val="17"/>
                <w:szCs w:val="17"/>
                <w:b w:val="1"/>
                <w:bCs w:val="1"/>
                <w:color w:val="auto"/>
              </w:rPr>
              <w:t>Cash and short term investments (1)</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51,587</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51,587</w:t>
            </w:r>
          </w:p>
        </w:tc>
        <w:tc>
          <w:tcPr>
            <w:tcW w:w="0" w:type="dxa"/>
            <w:vAlign w:val="bottom"/>
          </w:tcPr>
          <w:p>
            <w:pPr>
              <w:spacing w:after="0"/>
              <w:rPr>
                <w:sz w:val="1"/>
                <w:szCs w:val="1"/>
                <w:color w:val="auto"/>
              </w:rPr>
            </w:pPr>
          </w:p>
        </w:tc>
      </w:tr>
      <w:tr>
        <w:trPr>
          <w:trHeight w:val="206"/>
        </w:trPr>
        <w:tc>
          <w:tcPr>
            <w:tcW w:w="1380" w:type="dxa"/>
            <w:vAlign w:val="bottom"/>
            <w:shd w:val="clear" w:color="auto" w:fill="CCEEFF"/>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Net realized gains (losses)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(40,487)</w:t>
            </w:r>
          </w:p>
        </w:tc>
        <w:tc>
          <w:tcPr>
            <w:tcW w:w="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115,176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(105,718)</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438,126</w:t>
            </w: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7"/>
                <w:szCs w:val="17"/>
                <w:color w:val="auto"/>
                <w:w w:val="93"/>
              </w:rPr>
              <w:t>Impairment Review</w:t>
            </w:r>
          </w:p>
        </w:tc>
        <w:tc>
          <w:tcPr>
            <w:tcW w:w="468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380" w:type="dxa"/>
            <w:vAlign w:val="bottom"/>
            <w:tcBorders>
              <w:bottom w:val="single" w:sz="8" w:color="auto"/>
            </w:tcBorders>
            <w:vMerge w:val="continue"/>
          </w:tcPr>
          <w:p>
            <w:pPr>
              <w:spacing w:after="0"/>
              <w:rPr>
                <w:sz w:val="24"/>
                <w:szCs w:val="24"/>
                <w:color w:val="auto"/>
              </w:rPr>
            </w:pPr>
          </w:p>
        </w:tc>
        <w:tc>
          <w:tcPr>
            <w:tcW w:w="4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Impairment of investment securities results in a charge to operations when a market decline to below cost is deemed to be other-than-temporary. The Company regularly reviews its fixed-maturity securities and equity securities portfolios to evaluate the necessity of recording impairment losses for other-than-temporary declines in the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other comprehensive income.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other comprehensive income for the noncredit portion of a previous OTTI is amortized prospectively over the remaining life of the security on the basis of timing of future estimated cash flows of the security.</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OTTI losses are recorded in the condensed consolidated statements of income and comprehensive income as net realized losses on investments and result in a permanent reduction of the cost basis of the underlying investment. The determination of OTTI is a subjective process and different judgments and assumptions could affect the timing of loss realization. At September 30, 2015, there were 47 securities that accounted for the gross unrealized loss. The Company determined that none of the unrealized losses were deemed to be OTTI for its portfolio of fixed-maturity securities and equity securities for the nine months ended September 30, 2015 and 2014.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fair value to the Company’s cost basis.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3" w:name="page14"/>
    <w:bookmarkEnd w:id="13"/>
    <w:p>
      <w:pPr>
        <w:spacing w:after="0"/>
        <w:rPr>
          <w:sz w:val="20"/>
          <w:szCs w:val="20"/>
          <w:color w:val="auto"/>
        </w:rPr>
      </w:pPr>
      <w:r>
        <w:rPr>
          <w:rFonts w:ascii="Arial" w:cs="Arial" w:eastAsia="Arial" w:hAnsi="Arial"/>
          <w:sz w:val="15"/>
          <w:szCs w:val="15"/>
          <w:color w:val="auto"/>
        </w:rPr>
        <w:t>The Company held securities with unrealized losses representing declines that were considered temporary at September 30, 2015 and December 31, 2014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September 30, 2015</w:t>
            </w: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86"/>
              </w:rPr>
              <w:t>Less than 12 months</w:t>
            </w:r>
          </w:p>
        </w:tc>
        <w:tc>
          <w:tcPr>
            <w:tcW w:w="9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87"/>
              </w:rPr>
              <w:t>12 months or more</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Unrealized</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2"/>
              </w:rPr>
              <w:t>No. of</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Unrealized</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No.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3"/>
              </w:rPr>
              <w:t>Aggregate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Positions</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Positions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257"/>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Losses</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Held</w:t>
            </w:r>
          </w:p>
        </w:tc>
        <w:tc>
          <w:tcPr>
            <w:tcW w:w="160" w:type="dxa"/>
            <w:vAlign w:val="bottom"/>
          </w:tcPr>
          <w:p>
            <w:pPr>
              <w:spacing w:after="0"/>
              <w:rPr>
                <w:sz w:val="17"/>
                <w:szCs w:val="17"/>
                <w:color w:val="auto"/>
              </w:rPr>
            </w:pPr>
          </w:p>
        </w:tc>
        <w:tc>
          <w:tcPr>
            <w:tcW w:w="820" w:type="dxa"/>
            <w:vAlign w:val="bottom"/>
          </w:tcPr>
          <w:p>
            <w:pPr>
              <w:jc w:val="right"/>
              <w:ind w:right="279"/>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Losses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401"/>
        </w:trPr>
        <w:tc>
          <w:tcPr>
            <w:tcW w:w="23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Fixed-Maturity Securities:</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00" w:type="dxa"/>
            <w:vAlign w:val="bottom"/>
          </w:tcPr>
          <w:p>
            <w:pPr>
              <w:spacing w:after="0"/>
              <w:rPr>
                <w:sz w:val="20"/>
                <w:szCs w:val="20"/>
                <w:color w:val="auto"/>
              </w:rPr>
            </w:pPr>
            <w:r>
              <w:rPr>
                <w:rFonts w:ascii="Arial" w:cs="Arial" w:eastAsia="Arial" w:hAnsi="Arial"/>
                <w:sz w:val="17"/>
                <w:szCs w:val="17"/>
                <w:color w:val="auto"/>
              </w:rPr>
              <w:t>Political subdivisions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30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852,736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(37,619)</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852,736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(37,619)</w:t>
            </w: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8,963,637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(333,737)</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450,035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(40,438)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9,413,672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(374,175)</w:t>
            </w: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mortgage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tcPr>
          <w:p>
            <w:pPr>
              <w:ind w:left="40"/>
              <w:spacing w:after="0"/>
              <w:rPr>
                <w:sz w:val="20"/>
                <w:szCs w:val="20"/>
                <w:color w:val="auto"/>
              </w:rPr>
            </w:pPr>
            <w:r>
              <w:rPr>
                <w:rFonts w:ascii="Arial" w:cs="Arial" w:eastAsia="Arial" w:hAnsi="Arial"/>
                <w:sz w:val="17"/>
                <w:szCs w:val="17"/>
                <w:color w:val="auto"/>
              </w:rPr>
              <w:t>backed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1,132,899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(24,051)</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1,132,899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(24,051)</w:t>
            </w: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7"/>
                <w:szCs w:val="17"/>
                <w:color w:val="auto"/>
              </w:rPr>
              <w:t>Total fixed-maturity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securities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10,949,272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(395,407)</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450,035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(40,438)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11,399,307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(435,845)</w:t>
            </w:r>
          </w:p>
        </w:tc>
        <w:tc>
          <w:tcPr>
            <w:tcW w:w="0" w:type="dxa"/>
            <w:vAlign w:val="bottom"/>
          </w:tcPr>
          <w:p>
            <w:pPr>
              <w:spacing w:after="0"/>
              <w:rPr>
                <w:sz w:val="1"/>
                <w:szCs w:val="1"/>
                <w:color w:val="auto"/>
              </w:rPr>
            </w:pPr>
          </w:p>
        </w:tc>
      </w:tr>
      <w:tr>
        <w:trPr>
          <w:trHeight w:val="206"/>
        </w:trPr>
        <w:tc>
          <w:tcPr>
            <w:tcW w:w="2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Equity Securities: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7"/>
                <w:szCs w:val="17"/>
                <w:color w:val="auto"/>
              </w:rPr>
              <w:t>Preferred stocks</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727,065</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(43,971)</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697,517</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(14,598)</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1,424,582</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(58,569)</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Common stocks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3,553,900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(305,834)</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3,553,900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(305,834)</w:t>
            </w:r>
          </w:p>
        </w:tc>
        <w:tc>
          <w:tcPr>
            <w:tcW w:w="0" w:type="dxa"/>
            <w:vAlign w:val="bottom"/>
          </w:tcPr>
          <w:p>
            <w:pPr>
              <w:spacing w:after="0"/>
              <w:rPr>
                <w:sz w:val="1"/>
                <w:szCs w:val="1"/>
                <w:color w:val="auto"/>
              </w:rPr>
            </w:pPr>
          </w:p>
        </w:tc>
      </w:tr>
      <w:tr>
        <w:trPr>
          <w:trHeight w:val="206"/>
        </w:trPr>
        <w:tc>
          <w:tcPr>
            <w:tcW w:w="2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equity securities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4,280,965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(349,805)</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697,517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(14,598)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4,978,482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(364,403)</w:t>
            </w:r>
          </w:p>
        </w:tc>
        <w:tc>
          <w:tcPr>
            <w:tcW w:w="0" w:type="dxa"/>
            <w:vAlign w:val="bottom"/>
          </w:tcPr>
          <w:p>
            <w:pPr>
              <w:spacing w:after="0"/>
              <w:rPr>
                <w:sz w:val="1"/>
                <w:szCs w:val="1"/>
                <w:color w:val="auto"/>
              </w:rPr>
            </w:pPr>
          </w:p>
        </w:tc>
      </w:tr>
      <w:tr>
        <w:trPr>
          <w:trHeight w:val="206"/>
        </w:trPr>
        <w:tc>
          <w:tcPr>
            <w:tcW w:w="2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15,230,237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(745,212)</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1,147,552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(55,036)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16,377,789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(800,248)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December 31, 2014</w:t>
            </w: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86"/>
              </w:rPr>
              <w:t>Less than 12 months</w:t>
            </w:r>
          </w:p>
        </w:tc>
        <w:tc>
          <w:tcPr>
            <w:tcW w:w="9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87"/>
              </w:rPr>
              <w:t>12 months or more</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Unrealized</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2"/>
              </w:rPr>
              <w:t>No. of</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Fair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Unrealized</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No.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3"/>
              </w:rPr>
              <w:t>Aggregate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Positions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Positions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Losses</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Held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Losses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401"/>
        </w:trPr>
        <w:tc>
          <w:tcPr>
            <w:tcW w:w="23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Fixed-Maturity Securities:</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00" w:type="dxa"/>
            <w:vAlign w:val="bottom"/>
          </w:tcPr>
          <w:p>
            <w:pPr>
              <w:spacing w:after="0"/>
              <w:rPr>
                <w:sz w:val="20"/>
                <w:szCs w:val="20"/>
                <w:color w:val="auto"/>
              </w:rPr>
            </w:pPr>
            <w:r>
              <w:rPr>
                <w:rFonts w:ascii="Arial" w:cs="Arial" w:eastAsia="Arial" w:hAnsi="Arial"/>
                <w:sz w:val="17"/>
                <w:szCs w:val="17"/>
                <w:color w:val="auto"/>
              </w:rPr>
              <w:t>Political subdivisions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30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3,013,648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(23,813)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126,658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(6,379)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3,140,306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(30,192)</w:t>
            </w: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6,325,579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(118,092)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714,640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(30,228)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7,040,219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(148,320)</w:t>
            </w:r>
          </w:p>
        </w:tc>
        <w:tc>
          <w:tcPr>
            <w:tcW w:w="0" w:type="dxa"/>
            <w:vAlign w:val="bottom"/>
          </w:tcPr>
          <w:p>
            <w:pPr>
              <w:spacing w:after="0"/>
              <w:rPr>
                <w:sz w:val="1"/>
                <w:szCs w:val="1"/>
                <w:color w:val="auto"/>
              </w:rPr>
            </w:pPr>
          </w:p>
        </w:tc>
      </w:tr>
      <w:tr>
        <w:trPr>
          <w:trHeight w:val="206"/>
        </w:trPr>
        <w:tc>
          <w:tcPr>
            <w:tcW w:w="2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fixed-maturity</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tcPr>
          <w:p>
            <w:pPr>
              <w:ind w:left="40"/>
              <w:spacing w:after="0"/>
              <w:rPr>
                <w:sz w:val="20"/>
                <w:szCs w:val="20"/>
                <w:color w:val="auto"/>
              </w:rPr>
            </w:pPr>
            <w:r>
              <w:rPr>
                <w:rFonts w:ascii="Arial" w:cs="Arial" w:eastAsia="Arial" w:hAnsi="Arial"/>
                <w:sz w:val="17"/>
                <w:szCs w:val="17"/>
                <w:color w:val="auto"/>
              </w:rPr>
              <w:t>securities</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9,339,227</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(141,905)</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24</w:t>
            </w: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841,298</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(36,607)</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10,180,525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(178,512)</w:t>
            </w: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7"/>
                <w:szCs w:val="17"/>
                <w:b w:val="1"/>
                <w:bCs w:val="1"/>
                <w:color w:val="auto"/>
              </w:rPr>
              <w:t>Equity Securities: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Preferred stocks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656,325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(2,647)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1,448,376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(62,886)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2,104,701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(65,533)</w:t>
            </w:r>
          </w:p>
        </w:tc>
        <w:tc>
          <w:tcPr>
            <w:tcW w:w="0" w:type="dxa"/>
            <w:vAlign w:val="bottom"/>
          </w:tcPr>
          <w:p>
            <w:pPr>
              <w:spacing w:after="0"/>
              <w:rPr>
                <w:sz w:val="1"/>
                <w:szCs w:val="1"/>
                <w:color w:val="auto"/>
              </w:rPr>
            </w:pPr>
          </w:p>
        </w:tc>
      </w:tr>
      <w:tr>
        <w:trPr>
          <w:trHeight w:val="212"/>
        </w:trPr>
        <w:tc>
          <w:tcPr>
            <w:tcW w:w="2300" w:type="dxa"/>
            <w:vAlign w:val="bottom"/>
          </w:tcPr>
          <w:p>
            <w:pPr>
              <w:ind w:left="40"/>
              <w:spacing w:after="0"/>
              <w:rPr>
                <w:sz w:val="20"/>
                <w:szCs w:val="20"/>
                <w:color w:val="auto"/>
              </w:rPr>
            </w:pPr>
            <w:r>
              <w:rPr>
                <w:rFonts w:ascii="Arial" w:cs="Arial" w:eastAsia="Arial" w:hAnsi="Arial"/>
                <w:sz w:val="17"/>
                <w:szCs w:val="17"/>
                <w:color w:val="auto"/>
              </w:rPr>
              <w:t>Common stocks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267,000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(2,177)</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267,000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(2,177)</w:t>
            </w: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tcPr>
          <w:p>
            <w:pPr>
              <w:ind w:left="40"/>
              <w:spacing w:after="0"/>
              <w:rPr>
                <w:sz w:val="20"/>
                <w:szCs w:val="20"/>
                <w:color w:val="auto"/>
              </w:rPr>
            </w:pPr>
            <w:r>
              <w:rPr>
                <w:rFonts w:ascii="Arial" w:cs="Arial" w:eastAsia="Arial" w:hAnsi="Arial"/>
                <w:sz w:val="17"/>
                <w:szCs w:val="17"/>
                <w:color w:val="auto"/>
              </w:rPr>
              <w:t>Total equity securities</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656,325</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(2,647)</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1,715,376</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(65,063)</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2,371,701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(67,710)</w:t>
            </w: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7"/>
                <w:szCs w:val="17"/>
                <w:color w:val="auto"/>
              </w:rPr>
              <w:t>Total</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9,995,552</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(144,552)</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25</w:t>
            </w: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2,556,674</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(101,670)</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12,552,226</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(246,222)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Note 4 - Fair Value Measurements</w:t>
      </w:r>
    </w:p>
    <w:p>
      <w:pPr>
        <w:spacing w:after="0" w:line="24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Company follows GAAP guidance regarding fair value measurements. The valuation technique used to fair value the financial instruments is the market approach which uses prices and other relevant information generated by market transactions involving identical or comparable assets.</w:t>
      </w:r>
    </w:p>
    <w:p>
      <w:pPr>
        <w:spacing w:after="0" w:line="16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This guidance establishes a three-level hierarchy that prioritizes the inputs to valuation techniques used to measure fair value. 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—Inputs to the valuation methodology are quoted prices (unadjusted) for identical assets or liabilities traded in active markets. Included are those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traded on an active exchange, such as the NASDAQ Global Select Market, U.S. Treasury securities and obligations of U.S. government agencies, together with corporate debt securities that are generally investment grade.</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—Inputs to the valuation methodology include quoted prices for similar assets or liabilities in active markets,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to the valuation methodology are unobservable for the asset or liability and are significant to the fair value measurement. Material assumptions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considered in pricing investment securities and other assets may include appraisals, projected cash flows, market clearing activity or liquidity circumstances in the security or similar securities that may have occurred since the prior pricing period.</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The Company’s investments are allocated among pricing input levels at September 30, 2015 and December 31, 2014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407"/>
              <w:spacing w:after="0"/>
              <w:rPr>
                <w:sz w:val="20"/>
                <w:szCs w:val="20"/>
                <w:color w:val="auto"/>
              </w:rPr>
            </w:pPr>
            <w:r>
              <w:rPr>
                <w:rFonts w:ascii="Arial" w:cs="Arial" w:eastAsia="Arial" w:hAnsi="Arial"/>
                <w:sz w:val="14"/>
                <w:szCs w:val="14"/>
                <w:b w:val="1"/>
                <w:bCs w:val="1"/>
                <w:color w:val="auto"/>
              </w:rPr>
              <w:t>September 30, 2015</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8"/>
                <w:szCs w:val="18"/>
                <w:color w:val="auto"/>
              </w:rPr>
            </w:pPr>
          </w:p>
        </w:tc>
      </w:tr>
      <w:tr>
        <w:trPr>
          <w:trHeight w:val="401"/>
        </w:trPr>
        <w:tc>
          <w:tcPr>
            <w:tcW w:w="6060" w:type="dxa"/>
            <w:vAlign w:val="bottom"/>
            <w:gridSpan w:val="2"/>
          </w:tcPr>
          <w:p>
            <w:pPr>
              <w:ind w:left="40"/>
              <w:spacing w:after="0"/>
              <w:rPr>
                <w:sz w:val="20"/>
                <w:szCs w:val="20"/>
                <w:color w:val="auto"/>
              </w:rPr>
            </w:pPr>
            <w:r>
              <w:rPr>
                <w:rFonts w:ascii="Arial" w:cs="Arial" w:eastAsia="Arial" w:hAnsi="Arial"/>
                <w:sz w:val="17"/>
                <w:szCs w:val="17"/>
                <w:b w:val="1"/>
                <w:bCs w:val="1"/>
                <w:color w:val="auto"/>
              </w:rPr>
              <w:t>Fixed-maturity securities available-for-sale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Political subdivisions of</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States, Territories and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14,124,008</w:t>
            </w: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14,124,008</w:t>
            </w:r>
          </w:p>
        </w:tc>
      </w:tr>
      <w:tr>
        <w:trPr>
          <w:trHeight w:val="206"/>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bonds industrial and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35,363,872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8,058,717</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43,422,589</w:t>
            </w:r>
          </w:p>
        </w:tc>
      </w:tr>
      <w:tr>
        <w:trPr>
          <w:trHeight w:val="206"/>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Residential mortgage backed securities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4,548,712</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4,548,712</w:t>
            </w: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Total fixed maturities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35,363,872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26,731,437</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62,095,309</w:t>
            </w: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Equity securities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9,493,292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9,493,292</w:t>
            </w: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Total investments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44,857,164</w:t>
            </w:r>
          </w:p>
        </w:tc>
        <w:tc>
          <w:tcPr>
            <w:tcW w:w="220" w:type="dxa"/>
            <w:vAlign w:val="bottom"/>
          </w:tcPr>
          <w:p>
            <w:pPr>
              <w:spacing w:after="0"/>
              <w:rPr>
                <w:sz w:val="17"/>
                <w:szCs w:val="17"/>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26,731,437</w:t>
            </w:r>
          </w:p>
        </w:tc>
        <w:tc>
          <w:tcPr>
            <w:tcW w:w="240" w:type="dxa"/>
            <w:vAlign w:val="bottom"/>
          </w:tcPr>
          <w:p>
            <w:pPr>
              <w:spacing w:after="0"/>
              <w:rPr>
                <w:sz w:val="17"/>
                <w:szCs w:val="17"/>
                <w:color w:val="auto"/>
              </w:rPr>
            </w:pP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71,588,601</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6"/>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427"/>
              <w:spacing w:after="0"/>
              <w:rPr>
                <w:sz w:val="20"/>
                <w:szCs w:val="20"/>
                <w:color w:val="auto"/>
              </w:rPr>
            </w:pPr>
            <w:r>
              <w:rPr>
                <w:rFonts w:ascii="Arial" w:cs="Arial" w:eastAsia="Arial" w:hAnsi="Arial"/>
                <w:sz w:val="14"/>
                <w:szCs w:val="14"/>
                <w:b w:val="1"/>
                <w:bCs w:val="1"/>
                <w:color w:val="auto"/>
              </w:rPr>
              <w:t>December 31, 2014</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8"/>
                <w:szCs w:val="18"/>
                <w:color w:val="auto"/>
              </w:rPr>
            </w:pPr>
          </w:p>
        </w:tc>
      </w:tr>
      <w:tr>
        <w:trPr>
          <w:trHeight w:val="401"/>
        </w:trPr>
        <w:tc>
          <w:tcPr>
            <w:tcW w:w="6060" w:type="dxa"/>
            <w:vAlign w:val="bottom"/>
            <w:gridSpan w:val="2"/>
          </w:tcPr>
          <w:p>
            <w:pPr>
              <w:ind w:left="40"/>
              <w:spacing w:after="0"/>
              <w:rPr>
                <w:sz w:val="20"/>
                <w:szCs w:val="20"/>
                <w:color w:val="auto"/>
              </w:rPr>
            </w:pPr>
            <w:r>
              <w:rPr>
                <w:rFonts w:ascii="Arial" w:cs="Arial" w:eastAsia="Arial" w:hAnsi="Arial"/>
                <w:sz w:val="17"/>
                <w:szCs w:val="17"/>
                <w:b w:val="1"/>
                <w:bCs w:val="1"/>
                <w:color w:val="auto"/>
              </w:rPr>
              <w:t>Fixed-maturity investments available-for-sale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Political subdivisions of</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States, Territories and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14,244,439</w:t>
            </w: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14,244,439</w:t>
            </w:r>
          </w:p>
        </w:tc>
      </w:tr>
      <w:tr>
        <w:trPr>
          <w:trHeight w:val="206"/>
        </w:trPr>
        <w:tc>
          <w:tcPr>
            <w:tcW w:w="60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bonds industrial and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29,257,850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7,618,570</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36,876,420</w:t>
            </w: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Total fixed maturities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29,257,850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21,863,009</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51,120,859</w:t>
            </w:r>
          </w:p>
        </w:tc>
      </w:tr>
      <w:tr>
        <w:trPr>
          <w:trHeight w:val="20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Equity investments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8,017,729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8,017,729</w:t>
            </w: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6060" w:type="dxa"/>
            <w:vAlign w:val="bottom"/>
            <w:gridSpan w:val="2"/>
          </w:tcPr>
          <w:p>
            <w:pPr>
              <w:ind w:left="40"/>
              <w:spacing w:after="0"/>
              <w:rPr>
                <w:sz w:val="20"/>
                <w:szCs w:val="20"/>
                <w:color w:val="auto"/>
              </w:rPr>
            </w:pPr>
            <w:r>
              <w:rPr>
                <w:rFonts w:ascii="Arial" w:cs="Arial" w:eastAsia="Arial" w:hAnsi="Arial"/>
                <w:sz w:val="17"/>
                <w:szCs w:val="17"/>
                <w:color w:val="auto"/>
              </w:rPr>
              <w:t>Total investments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37,275,579</w:t>
            </w:r>
          </w:p>
        </w:tc>
        <w:tc>
          <w:tcPr>
            <w:tcW w:w="220" w:type="dxa"/>
            <w:vAlign w:val="bottom"/>
          </w:tcPr>
          <w:p>
            <w:pPr>
              <w:spacing w:after="0"/>
              <w:rPr>
                <w:sz w:val="17"/>
                <w:szCs w:val="17"/>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21,863,009</w:t>
            </w:r>
          </w:p>
        </w:tc>
        <w:tc>
          <w:tcPr>
            <w:tcW w:w="240" w:type="dxa"/>
            <w:vAlign w:val="bottom"/>
          </w:tcPr>
          <w:p>
            <w:pPr>
              <w:spacing w:after="0"/>
              <w:rPr>
                <w:sz w:val="17"/>
                <w:szCs w:val="17"/>
                <w:color w:val="auto"/>
              </w:rPr>
            </w:pP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59,138,588</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Fair Value of Financial Instruments</w:t>
      </w:r>
    </w:p>
    <w:p>
      <w:pPr>
        <w:spacing w:after="0" w:line="249"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GAAP requires all entities to disclose the fair value of financial instruments, both assets and liabilities recognized and not recognized in the balance sheet, for which it is practicable to estimate fair value. The Company uses the following methods and assumptions in estimating its fair value disclosures for financial instruments: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Equity securities and fixed income securities available-for-sale: </w:t>
      </w:r>
      <w:r>
        <w:rPr>
          <w:rFonts w:ascii="Arial" w:cs="Arial" w:eastAsia="Arial" w:hAnsi="Arial"/>
          <w:sz w:val="17"/>
          <w:szCs w:val="17"/>
          <w:color w:val="auto"/>
        </w:rPr>
        <w:t>Fair value disclosures for these investments are included in “Note 3 - Investments.”</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The carrying values of cash and cash equivalents approximate their fair values because of the short-term nature of these instruments.</w:t>
      </w:r>
    </w:p>
    <w:p>
      <w:pPr>
        <w:spacing w:after="0" w:line="26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 xml:space="preserve">Premiums receivable and reinsurance receivables: </w:t>
      </w:r>
      <w:r>
        <w:rPr>
          <w:rFonts w:ascii="Arial" w:cs="Arial" w:eastAsia="Arial" w:hAnsi="Arial"/>
          <w:sz w:val="17"/>
          <w:szCs w:val="17"/>
          <w:color w:val="auto"/>
        </w:rPr>
        <w:t>The carrying values reported in the accompanying condensed consolidated balance sheets for these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instruments approximate their fair values due to the short-term nature of the assets.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7" w:name="page18"/>
    <w:bookmarkEnd w:id="17"/>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Real estate: </w:t>
      </w:r>
      <w:r>
        <w:rPr>
          <w:rFonts w:ascii="Arial" w:cs="Arial" w:eastAsia="Arial" w:hAnsi="Arial"/>
          <w:sz w:val="17"/>
          <w:szCs w:val="17"/>
          <w:color w:val="auto"/>
        </w:rPr>
        <w:t>The fair value of the land and building included in property and equipment, which is used in the Company’s operations, approximates the carrying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fair value was based on an appraisal dated September 8, 2015 prepared using the sales comparison approach and income approach, and accordingly the real estate is a Level 3 asset under the fair value hierarchy.</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Reinsurance balances payable: </w:t>
      </w:r>
      <w:r>
        <w:rPr>
          <w:rFonts w:ascii="Arial" w:cs="Arial" w:eastAsia="Arial" w:hAnsi="Arial"/>
          <w:sz w:val="15"/>
          <w:szCs w:val="15"/>
          <w:color w:val="auto"/>
        </w:rPr>
        <w:t>The carrying value reported in the condensed consolidated balance sheets for these financial instruments approximates fair value.</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the Company’s financial instruments as of September 30, 2015 and December 31, 2014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616"/>
              <w:spacing w:after="0"/>
              <w:rPr>
                <w:sz w:val="20"/>
                <w:szCs w:val="20"/>
                <w:color w:val="auto"/>
              </w:rPr>
            </w:pPr>
            <w:r>
              <w:rPr>
                <w:rFonts w:ascii="Arial" w:cs="Arial" w:eastAsia="Arial" w:hAnsi="Arial"/>
                <w:sz w:val="14"/>
                <w:szCs w:val="14"/>
                <w:b w:val="1"/>
                <w:bCs w:val="1"/>
                <w:color w:val="auto"/>
              </w:rPr>
              <w:t>September 30, 2015</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Carrying Value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Carrying Value</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Fixed-maturity securities held-to-maturity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5,137,198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5,273,419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5,128,735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5,395,054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6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6,731,629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6,731,629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9,906,878</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9,906,878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Premiums receivable</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10,832,446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10,832,446</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8,946,899</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8,946,899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60" w:type="dxa"/>
            <w:vAlign w:val="bottom"/>
            <w:gridSpan w:val="2"/>
          </w:tcPr>
          <w:p>
            <w:pPr>
              <w:ind w:left="20"/>
              <w:spacing w:after="0"/>
              <w:rPr>
                <w:sz w:val="20"/>
                <w:szCs w:val="20"/>
                <w:color w:val="auto"/>
              </w:rPr>
            </w:pPr>
            <w:r>
              <w:rPr>
                <w:rFonts w:ascii="Arial" w:cs="Arial" w:eastAsia="Arial" w:hAnsi="Arial"/>
                <w:sz w:val="17"/>
                <w:szCs w:val="17"/>
                <w:color w:val="auto"/>
              </w:rPr>
              <w:t>Receivables - reinsurance contracts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2,285,356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2,285,356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1,301,549</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1,301,549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Reinsurance receivables</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31,171,559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31,171,559</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35,575,276</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35,575,276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60" w:type="dxa"/>
            <w:vAlign w:val="bottom"/>
            <w:gridSpan w:val="2"/>
          </w:tcPr>
          <w:p>
            <w:pPr>
              <w:ind w:left="20"/>
              <w:spacing w:after="0"/>
              <w:rPr>
                <w:sz w:val="20"/>
                <w:szCs w:val="20"/>
                <w:color w:val="auto"/>
              </w:rPr>
            </w:pPr>
            <w:r>
              <w:rPr>
                <w:rFonts w:ascii="Arial" w:cs="Arial" w:eastAsia="Arial" w:hAnsi="Arial"/>
                <w:sz w:val="17"/>
                <w:szCs w:val="17"/>
                <w:color w:val="auto"/>
              </w:rPr>
              <w:t>Real estate, net of accumulated depreciation</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1,723,759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1,925,000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1,762,345</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1,816,122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Reinsurance balances payable</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1,342,213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1,342,213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2,096,363</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2,096,363</w:t>
            </w:r>
          </w:p>
        </w:tc>
        <w:tc>
          <w:tcPr>
            <w:tcW w:w="0" w:type="dxa"/>
            <w:vAlign w:val="bottom"/>
          </w:tcPr>
          <w:p>
            <w:pPr>
              <w:spacing w:after="0"/>
              <w:rPr>
                <w:sz w:val="1"/>
                <w:szCs w:val="1"/>
                <w:color w:val="auto"/>
              </w:rPr>
            </w:pPr>
          </w:p>
        </w:tc>
      </w:tr>
      <w:tr>
        <w:trPr>
          <w:trHeight w:val="411"/>
        </w:trPr>
        <w:tc>
          <w:tcPr>
            <w:tcW w:w="4680" w:type="dxa"/>
            <w:vAlign w:val="bottom"/>
            <w:gridSpan w:val="3"/>
          </w:tcPr>
          <w:p>
            <w:pPr>
              <w:spacing w:after="0"/>
              <w:rPr>
                <w:sz w:val="20"/>
                <w:szCs w:val="20"/>
                <w:color w:val="auto"/>
              </w:rPr>
            </w:pPr>
            <w:r>
              <w:rPr>
                <w:rFonts w:ascii="Arial" w:cs="Arial" w:eastAsia="Arial" w:hAnsi="Arial"/>
                <w:sz w:val="17"/>
                <w:szCs w:val="17"/>
                <w:b w:val="1"/>
                <w:bCs w:val="1"/>
                <w:color w:val="auto"/>
              </w:rPr>
              <w:t>Note 6 – Property and Casualty Insurance Activity</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9"/>
              </w:rPr>
              <w:t>Premiums Earned</w:t>
            </w:r>
          </w:p>
        </w:tc>
        <w:tc>
          <w:tcPr>
            <w:tcW w:w="3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680" w:type="dxa"/>
            <w:vAlign w:val="bottom"/>
            <w:gridSpan w:val="3"/>
          </w:tcPr>
          <w:p>
            <w:pPr>
              <w:spacing w:after="0"/>
              <w:rPr>
                <w:sz w:val="20"/>
                <w:szCs w:val="20"/>
                <w:color w:val="auto"/>
              </w:rPr>
            </w:pPr>
            <w:r>
              <w:rPr>
                <w:rFonts w:ascii="Arial" w:cs="Arial" w:eastAsia="Arial" w:hAnsi="Arial"/>
                <w:sz w:val="17"/>
                <w:szCs w:val="17"/>
                <w:color w:val="auto"/>
              </w:rPr>
              <w:t>Premiums written, ceded and earned are as follows: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Direct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Assumed</w:t>
            </w:r>
          </w:p>
        </w:tc>
        <w:tc>
          <w:tcPr>
            <w:tcW w:w="10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Ceded</w:t>
            </w:r>
          </w:p>
        </w:tc>
        <w:tc>
          <w:tcPr>
            <w:tcW w:w="160" w:type="dxa"/>
            <w:vAlign w:val="bottom"/>
          </w:tcPr>
          <w:p>
            <w:pPr>
              <w:spacing w:after="0"/>
              <w:rPr>
                <w:sz w:val="24"/>
                <w:szCs w:val="2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412"/>
        </w:trPr>
        <w:tc>
          <w:tcPr>
            <w:tcW w:w="4680" w:type="dxa"/>
            <w:vAlign w:val="bottom"/>
            <w:gridSpan w:val="3"/>
          </w:tcPr>
          <w:p>
            <w:pPr>
              <w:spacing w:after="0"/>
              <w:rPr>
                <w:sz w:val="20"/>
                <w:szCs w:val="20"/>
                <w:color w:val="auto"/>
              </w:rPr>
            </w:pPr>
            <w:r>
              <w:rPr>
                <w:rFonts w:ascii="Arial" w:cs="Arial" w:eastAsia="Arial" w:hAnsi="Arial"/>
                <w:sz w:val="17"/>
                <w:szCs w:val="17"/>
                <w:b w:val="1"/>
                <w:bCs w:val="1"/>
                <w:color w:val="auto"/>
              </w:rPr>
              <w:t>Nine months ended September 30, 2015</w:t>
            </w:r>
          </w:p>
        </w:tc>
        <w:tc>
          <w:tcPr>
            <w:tcW w:w="1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Premiums written</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67,225,990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34,815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(21,913,608)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45,347,197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60" w:type="dxa"/>
            <w:vAlign w:val="bottom"/>
            <w:gridSpan w:val="2"/>
          </w:tcPr>
          <w:p>
            <w:pPr>
              <w:ind w:left="60"/>
              <w:spacing w:after="0"/>
              <w:rPr>
                <w:sz w:val="20"/>
                <w:szCs w:val="20"/>
                <w:color w:val="auto"/>
              </w:rPr>
            </w:pPr>
            <w:r>
              <w:rPr>
                <w:rFonts w:ascii="Arial" w:cs="Arial" w:eastAsia="Arial" w:hAnsi="Arial"/>
                <w:sz w:val="17"/>
                <w:szCs w:val="17"/>
                <w:color w:val="auto"/>
              </w:rPr>
              <w:t>Change in unearned premiums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(6,984,651)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1,362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(3,982,790)</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(10,966,079)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Premiums earned</w:t>
            </w: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60,241,339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36,177</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(25,896,398)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34,381,118</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44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Nine months ended September 30, 2014</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60" w:type="dxa"/>
            <w:vAlign w:val="bottom"/>
            <w:gridSpan w:val="2"/>
          </w:tcPr>
          <w:p>
            <w:pPr>
              <w:ind w:left="60"/>
              <w:spacing w:after="0"/>
              <w:rPr>
                <w:sz w:val="20"/>
                <w:szCs w:val="20"/>
                <w:color w:val="auto"/>
              </w:rPr>
            </w:pPr>
            <w:r>
              <w:rPr>
                <w:rFonts w:ascii="Arial" w:cs="Arial" w:eastAsia="Arial" w:hAnsi="Arial"/>
                <w:sz w:val="17"/>
                <w:szCs w:val="17"/>
                <w:color w:val="auto"/>
              </w:rPr>
              <w:t>Premiums written</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56,729,057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39,263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(24,013,732)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32,754,588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Change in unearned premiums</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(7,311,116)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(6,082)</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(3,186,706)</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(10,503,904)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4660" w:type="dxa"/>
            <w:vAlign w:val="bottom"/>
            <w:gridSpan w:val="2"/>
          </w:tcPr>
          <w:p>
            <w:pPr>
              <w:ind w:left="20"/>
              <w:spacing w:after="0"/>
              <w:rPr>
                <w:sz w:val="20"/>
                <w:szCs w:val="20"/>
                <w:color w:val="auto"/>
              </w:rPr>
            </w:pPr>
            <w:r>
              <w:rPr>
                <w:rFonts w:ascii="Arial" w:cs="Arial" w:eastAsia="Arial" w:hAnsi="Arial"/>
                <w:sz w:val="17"/>
                <w:szCs w:val="17"/>
                <w:color w:val="auto"/>
              </w:rPr>
              <w:t>Premiums earned</w:t>
            </w:r>
          </w:p>
        </w:tc>
        <w:tc>
          <w:tcPr>
            <w:tcW w:w="1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49,417,941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33,181</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(27,200,438)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22,250,684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September 30, 2015</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Premiums written</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24,570,496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12,945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(3,245,871)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21,337,570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60" w:type="dxa"/>
            <w:vAlign w:val="bottom"/>
            <w:gridSpan w:val="2"/>
          </w:tcPr>
          <w:p>
            <w:pPr>
              <w:ind w:left="60"/>
              <w:spacing w:after="0"/>
              <w:rPr>
                <w:sz w:val="20"/>
                <w:szCs w:val="20"/>
                <w:color w:val="auto"/>
              </w:rPr>
            </w:pPr>
            <w:r>
              <w:rPr>
                <w:rFonts w:ascii="Arial" w:cs="Arial" w:eastAsia="Arial" w:hAnsi="Arial"/>
                <w:sz w:val="17"/>
                <w:szCs w:val="17"/>
                <w:color w:val="auto"/>
              </w:rPr>
              <w:t>Change in unearned premiums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(3,330,333)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(1,015)</w:t>
            </w: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(4,876,618)</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(8,207,966)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Premiums earned</w:t>
            </w: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21,240,163</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11,930</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(8,122,489)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13,129,604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44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Three months ended September 30, 2014</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60" w:type="dxa"/>
            <w:vAlign w:val="bottom"/>
            <w:gridSpan w:val="2"/>
          </w:tcPr>
          <w:p>
            <w:pPr>
              <w:ind w:left="60"/>
              <w:spacing w:after="0"/>
              <w:rPr>
                <w:sz w:val="20"/>
                <w:szCs w:val="20"/>
                <w:color w:val="auto"/>
              </w:rPr>
            </w:pPr>
            <w:r>
              <w:rPr>
                <w:rFonts w:ascii="Arial" w:cs="Arial" w:eastAsia="Arial" w:hAnsi="Arial"/>
                <w:sz w:val="17"/>
                <w:szCs w:val="17"/>
                <w:color w:val="auto"/>
              </w:rPr>
              <w:t>Premiums written</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20,131,112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22,961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(2,485,929)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17,668,144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Change in unearned premiums</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(2,438,306)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(12,433)</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(5,322,405)</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(7,773,144)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4660" w:type="dxa"/>
            <w:vAlign w:val="bottom"/>
            <w:gridSpan w:val="2"/>
          </w:tcPr>
          <w:p>
            <w:pPr>
              <w:ind w:left="20"/>
              <w:spacing w:after="0"/>
              <w:rPr>
                <w:sz w:val="20"/>
                <w:szCs w:val="20"/>
                <w:color w:val="auto"/>
              </w:rPr>
            </w:pPr>
            <w:r>
              <w:rPr>
                <w:rFonts w:ascii="Arial" w:cs="Arial" w:eastAsia="Arial" w:hAnsi="Arial"/>
                <w:sz w:val="17"/>
                <w:szCs w:val="17"/>
                <w:color w:val="auto"/>
              </w:rPr>
              <w:t>Premiums earned</w:t>
            </w:r>
          </w:p>
        </w:tc>
        <w:tc>
          <w:tcPr>
            <w:tcW w:w="1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17,692,806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10,528</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(7,808,334)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9,895,000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vMerge w:val="restart"/>
          </w:tcPr>
          <w:p>
            <w:pPr>
              <w:jc w:val="right"/>
              <w:ind w:right="174"/>
              <w:spacing w:after="0"/>
              <w:rPr>
                <w:sz w:val="20"/>
                <w:szCs w:val="20"/>
                <w:color w:val="auto"/>
              </w:rPr>
            </w:pPr>
            <w:r>
              <w:rPr>
                <w:rFonts w:ascii="Arial" w:cs="Arial" w:eastAsia="Arial" w:hAnsi="Arial"/>
                <w:sz w:val="17"/>
                <w:szCs w:val="17"/>
                <w:color w:val="auto"/>
              </w:rPr>
              <w:t>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8" w:name="page19"/>
    <w:bookmarkEnd w:id="18"/>
    <w:p>
      <w:pPr>
        <w:jc w:val="both"/>
        <w:spacing w:after="0" w:line="280" w:lineRule="auto"/>
        <w:rPr>
          <w:sz w:val="20"/>
          <w:szCs w:val="20"/>
          <w:color w:val="auto"/>
        </w:rPr>
      </w:pPr>
      <w:r>
        <w:rPr>
          <w:rFonts w:ascii="Arial" w:cs="Arial" w:eastAsia="Arial" w:hAnsi="Arial"/>
          <w:sz w:val="17"/>
          <w:szCs w:val="17"/>
          <w:color w:val="auto"/>
        </w:rPr>
        <w:t>Premium receipts in advance of the policy effective date are recorded as advance premiums. The balance of advance premiums as o September 30, 2015 and December 31, 2014 was approximately $1,556,000 and $1,007,000,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Loss and Loss Adjustment Expense Reserves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loss adjustment expense (“LAE”) reserves:</w:t>
      </w:r>
    </w:p>
    <w:p>
      <w:pPr>
        <w:spacing w:after="0" w:line="295"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Nine months ended</w:t>
      </w:r>
    </w:p>
    <w:p>
      <w:pPr>
        <w:jc w:val="center"/>
        <w:ind w:left="87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5591175</wp:posOffset>
            </wp:positionH>
            <wp:positionV relativeFrom="paragraph">
              <wp:posOffset>-7620</wp:posOffset>
            </wp:positionV>
            <wp:extent cx="159829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98295" cy="1651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06"/>
        </w:trPr>
        <w:tc>
          <w:tcPr>
            <w:tcW w:w="8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39,912,683</w:t>
            </w:r>
          </w:p>
        </w:tc>
        <w:tc>
          <w:tcPr>
            <w:tcW w:w="28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34,503,229</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Less reinsurance recoverables</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(18,249,526)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(17,363,975)</w:t>
            </w:r>
          </w:p>
        </w:tc>
      </w:tr>
      <w:tr>
        <w:trPr>
          <w:trHeight w:val="26"/>
        </w:trPr>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balance, beginning of period</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21,663,157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17,139,254</w:t>
            </w:r>
          </w:p>
        </w:tc>
      </w:tr>
      <w:tr>
        <w:trPr>
          <w:trHeight w:val="206"/>
        </w:trPr>
        <w:tc>
          <w:tcPr>
            <w:tcW w:w="88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Incurred related to:</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Current year</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17,353,585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11,043,919</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Prior years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(469,361)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827,141</w:t>
            </w:r>
          </w:p>
        </w:tc>
      </w:tr>
      <w:tr>
        <w:trPr>
          <w:trHeight w:val="26"/>
        </w:trPr>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rPr>
              <w:t>Total incurred</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16,884,224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11,871,060</w:t>
            </w:r>
          </w:p>
        </w:tc>
      </w:tr>
      <w:tr>
        <w:trPr>
          <w:trHeight w:val="206"/>
        </w:trPr>
        <w:tc>
          <w:tcPr>
            <w:tcW w:w="88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Paid related to:</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Current year</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9,083,229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4,725,526</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Prior years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6,843,425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4,834,120</w:t>
            </w:r>
          </w:p>
        </w:tc>
      </w:tr>
      <w:tr>
        <w:trPr>
          <w:trHeight w:val="26"/>
        </w:trPr>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paid</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15,926,654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9,559,646</w:t>
            </w:r>
          </w:p>
        </w:tc>
      </w:tr>
      <w:tr>
        <w:trPr>
          <w:trHeight w:val="206"/>
        </w:trPr>
        <w:tc>
          <w:tcPr>
            <w:tcW w:w="88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balance at end of period</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22,620,727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19,450,668</w:t>
            </w: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color w:val="auto"/>
              </w:rPr>
              <w:t>Add reinsurance recoverables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16,278,765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17,471,621</w:t>
            </w:r>
          </w:p>
        </w:tc>
      </w:tr>
      <w:tr>
        <w:trPr>
          <w:trHeight w:val="26"/>
        </w:trPr>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Balance at end of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38,899,492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36,922,289</w:t>
            </w:r>
          </w:p>
        </w:tc>
      </w:tr>
      <w:tr>
        <w:trPr>
          <w:trHeight w:val="20"/>
        </w:trPr>
        <w:tc>
          <w:tcPr>
            <w:tcW w:w="8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color w:val="auto"/>
        </w:rPr>
        <w:t>Incurred losses and LAE are net of reinsurance recoveries under reinsurance contracts of $11,026,027 and $11,881,366 for the nine months ended September 30, 2015 and 2014, respectively.</w:t>
      </w:r>
    </w:p>
    <w:p>
      <w:pPr>
        <w:spacing w:after="0" w:line="18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Prior year incurred loss and LAE development is based upon estimates by line of business and accident year. Prior year loss and LAE development incurred during the nine months ended September 30, 2015 and 2014 was $(469,361) and $827,141, respectively. The Company’s management continually monitors claims activity to assess the appropriateness of carried case and incurred but not reported (“IBNR”) reserves, giving consideration to Company and industry trends.</w:t>
      </w:r>
    </w:p>
    <w:p>
      <w:pPr>
        <w:spacing w:after="0" w:line="16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and including losses that have been incurred but not yet been reported. The process includes using actuarial methodologies to assist in establishing these estimates, judgments relative to estimates of future claims severity and frequency, the length of time before losses will develop to their ultimate level and the possible changes in the law and other external factors that are often beyond the Company’s control. Several actuarial reserving methodologies are used to estimate required loss reserves. The process produces carried reserves set by management based upon the actuaries’ best estimate and is the result of numerous best estimates made by line of business, accident year, and loss and LAE. The amount of loss and LAE reserves for reported claims (“case reserve”) is based primarily upon a case-by-case evaluation of coverage, liability, injury severity, and any other information considered pertinent to estimating the exposure presented by the claim. The amounts of loss and LAE reserves for unreported claims and development on known claims (IBNR reserves) are determined using historical information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9" w:name="page20"/>
    <w:bookmarkEnd w:id="19"/>
    <w:p>
      <w:pPr>
        <w:jc w:val="both"/>
        <w:spacing w:after="0" w:line="280" w:lineRule="auto"/>
        <w:rPr>
          <w:sz w:val="20"/>
          <w:szCs w:val="20"/>
          <w:color w:val="auto"/>
        </w:rPr>
      </w:pPr>
      <w:r>
        <w:rPr>
          <w:rFonts w:ascii="Arial" w:cs="Arial" w:eastAsia="Arial" w:hAnsi="Arial"/>
          <w:sz w:val="16"/>
          <w:szCs w:val="16"/>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year’s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years. Several methods are used, varying by product line and accident year, in order to select the estimated year-end loss reserves. These methods include the following:</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Paid Loss Development </w:t>
      </w:r>
      <w:r>
        <w:rPr>
          <w:rFonts w:ascii="Arial" w:cs="Arial" w:eastAsia="Arial" w:hAnsi="Arial"/>
          <w:sz w:val="16"/>
          <w:szCs w:val="16"/>
          <w:color w:val="auto"/>
        </w:rPr>
        <w:t>– historical patterns of paid loss development are used to project future paid loss emergence in order to estimate required reserves.</w:t>
      </w:r>
    </w:p>
    <w:p>
      <w:pPr>
        <w:spacing w:after="0" w:line="255" w:lineRule="exact"/>
        <w:rPr>
          <w:sz w:val="20"/>
          <w:szCs w:val="20"/>
          <w:color w:val="auto"/>
        </w:rPr>
      </w:pPr>
    </w:p>
    <w:p>
      <w:pPr>
        <w:jc w:val="both"/>
        <w:spacing w:after="0" w:line="280" w:lineRule="auto"/>
        <w:rPr>
          <w:sz w:val="20"/>
          <w:szCs w:val="20"/>
          <w:color w:val="auto"/>
        </w:rPr>
      </w:pPr>
      <w:r>
        <w:rPr>
          <w:rFonts w:ascii="Arial" w:cs="Arial" w:eastAsia="Arial" w:hAnsi="Arial"/>
          <w:sz w:val="17"/>
          <w:szCs w:val="17"/>
          <w:i w:val="1"/>
          <w:iCs w:val="1"/>
          <w:color w:val="auto"/>
        </w:rPr>
        <w:t xml:space="preserve">Incurred Loss Development </w:t>
      </w:r>
      <w:r>
        <w:rPr>
          <w:rFonts w:ascii="Arial" w:cs="Arial" w:eastAsia="Arial" w:hAnsi="Arial"/>
          <w:sz w:val="17"/>
          <w:szCs w:val="17"/>
          <w:color w:val="auto"/>
        </w:rPr>
        <w:t>– historical patterns of incurred loss development, reflecting both paid losses and changes in case reserves, are used to project future</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loss emergence in order to estimate required reserves.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Paid Bornhuetter-Ferguson (“BF”) </w:t>
      </w:r>
      <w:r>
        <w:rPr>
          <w:rFonts w:ascii="Arial" w:cs="Arial" w:eastAsia="Arial" w:hAnsi="Arial"/>
          <w:sz w:val="17"/>
          <w:szCs w:val="17"/>
          <w:color w:val="auto"/>
        </w:rPr>
        <w:t>– an estimated loss ratio for a particular accident year is determined, and is weighted against the portion of the accident year</w:t>
      </w:r>
      <w:r>
        <w:rPr>
          <w:rFonts w:ascii="Arial" w:cs="Arial" w:eastAsia="Arial" w:hAnsi="Arial"/>
          <w:sz w:val="17"/>
          <w:szCs w:val="17"/>
          <w:i w:val="1"/>
          <w:iCs w:val="1"/>
          <w:color w:val="auto"/>
        </w:rPr>
        <w:t xml:space="preserve"> </w:t>
      </w:r>
      <w:r>
        <w:rPr>
          <w:rFonts w:ascii="Arial" w:cs="Arial" w:eastAsia="Arial" w:hAnsi="Arial"/>
          <w:sz w:val="17"/>
          <w:szCs w:val="17"/>
          <w:color w:val="auto"/>
        </w:rPr>
        <w:t>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Incurred Bornhuetter-Ferguson (“BF”) </w:t>
      </w:r>
      <w:r>
        <w:rPr>
          <w:rFonts w:ascii="Arial" w:cs="Arial" w:eastAsia="Arial" w:hAnsi="Arial"/>
          <w:sz w:val="17"/>
          <w:szCs w:val="17"/>
          <w:color w:val="auto"/>
        </w:rPr>
        <w:t>- an estimated loss ratio for a particular accident year is determined, and is weighted against the portion of the accident year</w:t>
      </w:r>
      <w:r>
        <w:rPr>
          <w:rFonts w:ascii="Arial" w:cs="Arial" w:eastAsia="Arial" w:hAnsi="Arial"/>
          <w:sz w:val="17"/>
          <w:szCs w:val="17"/>
          <w:i w:val="1"/>
          <w:iCs w:val="1"/>
          <w:color w:val="auto"/>
        </w:rPr>
        <w:t xml:space="preserve"> </w:t>
      </w:r>
      <w:r>
        <w:rPr>
          <w:rFonts w:ascii="Arial" w:cs="Arial" w:eastAsia="Arial" w:hAnsi="Arial"/>
          <w:sz w:val="17"/>
          <w:szCs w:val="17"/>
          <w:color w:val="auto"/>
        </w:rPr>
        <w:t>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Management’s best estimate of required reserves is generally based on an average of the methods above, with appropriate weighting of the various methods based on the line of business and accident year being projected. In some cases, additional methods or historical data from industry sources are employed to supplement the projections derived from the methods listed above.</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Company is not aware of any claims trends that have emerged or that would cause future adverse development that have not already been considered in existing case reserves and in its current loss development factors.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0" w:name="page21"/>
    <w:bookmarkEnd w:id="20"/>
    <w:p>
      <w:pPr>
        <w:jc w:val="both"/>
        <w:spacing w:after="0" w:line="266" w:lineRule="auto"/>
        <w:rPr>
          <w:sz w:val="20"/>
          <w:szCs w:val="20"/>
          <w:color w:val="auto"/>
        </w:rPr>
      </w:pPr>
      <w:r>
        <w:rPr>
          <w:rFonts w:ascii="Arial" w:cs="Arial" w:eastAsia="Arial" w:hAnsi="Arial"/>
          <w:sz w:val="17"/>
          <w:szCs w:val="17"/>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September 30, 2012 and prior is limited although there remains the possibility of adverse development on reported claims (‘case development’ IBNR).</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was previously a one-third participant in a pool arrangement. Effective November 1, 1997, the Company withdrew from its participation in the pool arrangement. Accordingly, the Company will only be participating in losses and allocated loss adjustment expenses that occurred prior to that date.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Commercial Auto Line of Business</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Effective October 1, 2014 the Company decided that it would no longer accept applications for new commercial auto policies. The action was taken following a series of underwriting and pricing measures which were intended to improve the profitability of this line of business. The actions taken did not yield the hoped for results. In February 2015, the Company made the decision that it would no longer offer renewals on its existing commercial auto policies beginning with those that expire on or after May 1, 2015. The Company had 238 and 730 commercial auto policies in force as of September 30, 2015 and December 31, 2014,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Reinsurance</w:t>
      </w:r>
    </w:p>
    <w:p>
      <w:pPr>
        <w:spacing w:after="0" w:line="24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Company’s quota share reinsurance treaties are on a July 1 through June 30 calendar year basis; therefore, for year to date fiscal periods after June 30, two separate treaties will be included in such periods.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Company’s quota share reinsurance treaty in effect for the nine months ended September 30, 2015 for its personal lines business, which primarily consists of homeowners’ policies, was covered under the July 1, 2014/June 30, 2015 and July 1, 2015/June 30, 2016 treaty years. The Company’s quota share reinsurance treaties in effect for the nine months ended September 30, 2014 for its personal lines business, which primarily consists of homeowners’ policies, were covered under the July 1, 2013/June 30, 2014 and July 1, 2014/June 30, 2015 treaty years. The Company’s quota share reinsurance treaty in effect for the nine months ended September 30, 2014 for its commercial lines business was covered under the July 1, 2013/June 30, 2014 treaty year. The Company did not renew its expiring commercial lines quota share reinsurance treaty on July 1, 2014.</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Company’s personal lines quota share treaty that covered the July 1, 2013/June 30, 2014 treaty year was a two year treaty that expired on June 30, 2015. Effective July 1, 2014, the Company had the option to increase the quota share percentage from 75% to a maximum of 85% or decrease the quota share percentage from 75% to a minimum of 55% by giving no less than 30 days advance notice. On May 12, 2014, the Company notified the personal lines reinsurers of its election to reduce the ceding percentage in the personal lines quota share treaty from 75% to 55% effective July 1, 2014.The Company entered into new annual treaties with different terms effective July 1, 2015. The Company’s treaties for the July 1, 2013/ June 30, 2014, July 1, 2014/June 30, 2015 and July 1, 2015/June 30, 2016 treaty years provide for the following material terms: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Treaty Year</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July 1, 2015</w:t>
            </w:r>
          </w:p>
        </w:tc>
        <w:tc>
          <w:tcPr>
            <w:tcW w:w="140" w:type="dxa"/>
            <w:vAlign w:val="bottom"/>
          </w:tcPr>
          <w:p>
            <w:pPr>
              <w:spacing w:after="0"/>
              <w:rPr>
                <w:sz w:val="10"/>
                <w:szCs w:val="10"/>
                <w:color w:val="auto"/>
              </w:rPr>
            </w:pPr>
          </w:p>
        </w:tc>
        <w:tc>
          <w:tcPr>
            <w:tcW w:w="11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July 1, 2014</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July 1, 2013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5"/>
              </w:rPr>
              <w:t>to</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5"/>
              </w:rPr>
              <w:t>to</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Line of Busines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7"/>
              </w:rPr>
              <w:t>June 30, 2016</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June 30, 2015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June 30, 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7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Personal Lines: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80" w:type="dxa"/>
            <w:vAlign w:val="bottom"/>
            <w:gridSpan w:val="2"/>
          </w:tcPr>
          <w:p>
            <w:pPr>
              <w:spacing w:after="0" w:line="194" w:lineRule="exact"/>
              <w:rPr>
                <w:sz w:val="20"/>
                <w:szCs w:val="20"/>
                <w:color w:val="auto"/>
              </w:rPr>
            </w:pPr>
            <w:r>
              <w:rPr>
                <w:rFonts w:ascii="Arial" w:cs="Arial" w:eastAsia="Arial" w:hAnsi="Arial"/>
                <w:sz w:val="17"/>
                <w:szCs w:val="17"/>
                <w:color w:val="auto"/>
              </w:rPr>
              <w:t>Homeowners, dwelling fire and canine legal liability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7"/>
                <w:szCs w:val="17"/>
                <w:color w:val="auto"/>
              </w:rPr>
              <w:t>Quota share treaty: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Percent ceded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ind w:left="340"/>
              <w:spacing w:after="0"/>
              <w:rPr>
                <w:sz w:val="20"/>
                <w:szCs w:val="20"/>
                <w:color w:val="auto"/>
              </w:rPr>
            </w:pPr>
            <w:r>
              <w:rPr>
                <w:rFonts w:ascii="Arial" w:cs="Arial" w:eastAsia="Arial" w:hAnsi="Arial"/>
                <w:sz w:val="17"/>
                <w:szCs w:val="17"/>
                <w:color w:val="auto"/>
              </w:rPr>
              <w:t>Risk retained</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450,000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360,000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750,000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ind w:left="180"/>
              <w:spacing w:after="0"/>
              <w:rPr>
                <w:sz w:val="20"/>
                <w:szCs w:val="20"/>
                <w:color w:val="auto"/>
              </w:rPr>
            </w:pPr>
            <w:r>
              <w:rPr>
                <w:rFonts w:ascii="Arial" w:cs="Arial" w:eastAsia="Arial" w:hAnsi="Arial"/>
                <w:sz w:val="17"/>
                <w:szCs w:val="17"/>
                <w:color w:val="auto"/>
              </w:rPr>
              <w:t>Excess of loss coverage above quota share coverage</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3,750,000</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3,200,000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1,700,000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in excess of</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in excess of</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750,000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800,000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reinsurance coverage per occurrence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4,050,000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3,640,000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ind w:left="180"/>
              <w:spacing w:after="0"/>
              <w:rPr>
                <w:sz w:val="20"/>
                <w:szCs w:val="20"/>
                <w:color w:val="auto"/>
              </w:rPr>
            </w:pPr>
            <w:r>
              <w:rPr>
                <w:rFonts w:ascii="Arial" w:cs="Arial" w:eastAsia="Arial" w:hAnsi="Arial"/>
                <w:sz w:val="17"/>
                <w:szCs w:val="17"/>
                <w:color w:val="auto"/>
              </w:rPr>
              <w:t>Losses per occurrence subject to reinsurance coverage</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4,500,000</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4,000,000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2,900,000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Expiration date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0"/>
              </w:rPr>
              <w:t>June 30, 2016</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June 30, 2015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0"/>
              </w:rPr>
              <w:t>June 30, 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Personal Umbrella</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ind w:left="340"/>
              <w:spacing w:after="0"/>
              <w:rPr>
                <w:sz w:val="20"/>
                <w:szCs w:val="20"/>
                <w:color w:val="auto"/>
              </w:rPr>
            </w:pPr>
            <w:r>
              <w:rPr>
                <w:rFonts w:ascii="Arial" w:cs="Arial" w:eastAsia="Arial" w:hAnsi="Arial"/>
                <w:sz w:val="17"/>
                <w:szCs w:val="17"/>
                <w:color w:val="auto"/>
              </w:rPr>
              <w:t>Quota share treaty: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Percent ceded - first million dollars of coverage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ind w:left="500"/>
              <w:spacing w:after="0"/>
              <w:rPr>
                <w:sz w:val="20"/>
                <w:szCs w:val="20"/>
                <w:color w:val="auto"/>
              </w:rPr>
            </w:pPr>
            <w:r>
              <w:rPr>
                <w:rFonts w:ascii="Arial" w:cs="Arial" w:eastAsia="Arial" w:hAnsi="Arial"/>
                <w:sz w:val="17"/>
                <w:szCs w:val="17"/>
                <w:color w:val="auto"/>
              </w:rPr>
              <w:t>Percent ceded - excess of one million dollars of coverage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14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Risk retained</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100,000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ind w:left="480"/>
              <w:spacing w:after="0"/>
              <w:rPr>
                <w:sz w:val="20"/>
                <w:szCs w:val="20"/>
                <w:color w:val="auto"/>
              </w:rPr>
            </w:pPr>
            <w:r>
              <w:rPr>
                <w:rFonts w:ascii="Arial" w:cs="Arial" w:eastAsia="Arial" w:hAnsi="Arial"/>
                <w:sz w:val="17"/>
                <w:szCs w:val="17"/>
                <w:color w:val="auto"/>
              </w:rPr>
              <w:t>Total reinsurance coverage per occurrence</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2,900,000</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2,900,000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ind w:left="180"/>
              <w:spacing w:after="0"/>
              <w:rPr>
                <w:sz w:val="20"/>
                <w:szCs w:val="20"/>
                <w:color w:val="auto"/>
              </w:rPr>
            </w:pPr>
            <w:r>
              <w:rPr>
                <w:rFonts w:ascii="Arial" w:cs="Arial" w:eastAsia="Arial" w:hAnsi="Arial"/>
                <w:sz w:val="17"/>
                <w:szCs w:val="17"/>
                <w:color w:val="auto"/>
              </w:rPr>
              <w:t>Expiration date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w w:val="90"/>
              </w:rPr>
              <w:t>June 30, 2016</w:t>
            </w: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June 30, 2015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w w:val="90"/>
              </w:rPr>
              <w:t>June 30, 2014</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Commercial Lines: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liability commercial policies, except for commercial auto</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ind w:left="340"/>
              <w:spacing w:after="0"/>
              <w:rPr>
                <w:sz w:val="20"/>
                <w:szCs w:val="20"/>
                <w:color w:val="auto"/>
              </w:rPr>
            </w:pPr>
            <w:r>
              <w:rPr>
                <w:rFonts w:ascii="Arial" w:cs="Arial" w:eastAsia="Arial" w:hAnsi="Arial"/>
                <w:sz w:val="17"/>
                <w:szCs w:val="17"/>
                <w:color w:val="auto"/>
              </w:rPr>
              <w:t>Quota share treaty: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Percent ceded (terminated effective July 1, 2014)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None</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None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ind w:left="500"/>
              <w:spacing w:after="0"/>
              <w:rPr>
                <w:sz w:val="20"/>
                <w:szCs w:val="20"/>
                <w:color w:val="auto"/>
              </w:rPr>
            </w:pPr>
            <w:r>
              <w:rPr>
                <w:rFonts w:ascii="Arial" w:cs="Arial" w:eastAsia="Arial" w:hAnsi="Arial"/>
                <w:sz w:val="17"/>
                <w:szCs w:val="17"/>
                <w:color w:val="auto"/>
              </w:rPr>
              <w:t>Risk retained</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425,000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None</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None</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ind w:left="180"/>
              <w:spacing w:after="0"/>
              <w:rPr>
                <w:sz w:val="20"/>
                <w:szCs w:val="20"/>
                <w:color w:val="auto"/>
              </w:rPr>
            </w:pPr>
            <w:r>
              <w:rPr>
                <w:rFonts w:ascii="Arial" w:cs="Arial" w:eastAsia="Arial" w:hAnsi="Arial"/>
                <w:sz w:val="17"/>
                <w:szCs w:val="17"/>
                <w:color w:val="auto"/>
              </w:rPr>
              <w:t>Excess of loss coverage above quota share coverage</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4,075,000</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3,600,000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2,500,000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in excess of</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in excess of</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425,000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reinsurance coverage per occurrence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4,075,000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ind w:left="180"/>
              <w:spacing w:after="0"/>
              <w:rPr>
                <w:sz w:val="20"/>
                <w:szCs w:val="20"/>
                <w:color w:val="auto"/>
              </w:rPr>
            </w:pPr>
            <w:r>
              <w:rPr>
                <w:rFonts w:ascii="Arial" w:cs="Arial" w:eastAsia="Arial" w:hAnsi="Arial"/>
                <w:sz w:val="17"/>
                <w:szCs w:val="17"/>
                <w:color w:val="auto"/>
              </w:rPr>
              <w:t>Losses per occurrence subject to reinsurance coverage</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4,500,000</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4,000,000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2,900,000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Commercial Auto: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Risk retained</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300,000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ind w:left="180"/>
              <w:spacing w:after="0"/>
              <w:rPr>
                <w:sz w:val="20"/>
                <w:szCs w:val="20"/>
                <w:color w:val="auto"/>
              </w:rPr>
            </w:pPr>
            <w:r>
              <w:rPr>
                <w:rFonts w:ascii="Arial" w:cs="Arial" w:eastAsia="Arial" w:hAnsi="Arial"/>
                <w:sz w:val="17"/>
                <w:szCs w:val="17"/>
                <w:color w:val="auto"/>
              </w:rPr>
              <w:t>Excess of loss coverage in excess of risk retained</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1,700,000</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1,700,000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1,700,000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in excess of</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in excess of</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300,000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Catastrophe Reinsurance:</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ind w:left="180"/>
              <w:spacing w:after="0"/>
              <w:rPr>
                <w:sz w:val="20"/>
                <w:szCs w:val="20"/>
                <w:color w:val="auto"/>
              </w:rPr>
            </w:pPr>
            <w:r>
              <w:rPr>
                <w:rFonts w:ascii="Arial" w:cs="Arial" w:eastAsia="Arial" w:hAnsi="Arial"/>
                <w:sz w:val="17"/>
                <w:szCs w:val="17"/>
                <w:color w:val="auto"/>
              </w:rPr>
              <w:t>Initial loss subject to personal lines quota share treaty</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4,000,000</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4,000,000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4,000,000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Risk retained per catastrophe occurrence (1)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ind w:left="180"/>
              <w:spacing w:after="0"/>
              <w:rPr>
                <w:sz w:val="20"/>
                <w:szCs w:val="20"/>
                <w:color w:val="auto"/>
              </w:rPr>
            </w:pPr>
            <w:r>
              <w:rPr>
                <w:rFonts w:ascii="Arial" w:cs="Arial" w:eastAsia="Arial" w:hAnsi="Arial"/>
                <w:sz w:val="17"/>
                <w:szCs w:val="17"/>
                <w:color w:val="auto"/>
              </w:rPr>
              <w:t>Catastrophe loss coverage in excess of quota share coverage (2) (3)</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176,000,000</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137,000,000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86,000,000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Severe winter weather aggregate (3)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88"/>
              </w:rPr>
              <w:t>Yes</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w w:val="88"/>
              </w:rPr>
              <w:t>Yes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No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7"/>
                <w:szCs w:val="17"/>
                <w:color w:val="auto"/>
              </w:rPr>
              <w:t>Reinstatement premium protection (4)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color w:val="auto"/>
                <w:w w:val="88"/>
              </w:rPr>
              <w:t>Yes</w:t>
            </w: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7"/>
                <w:szCs w:val="17"/>
                <w:color w:val="auto"/>
              </w:rPr>
              <w:t>No</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color w:val="auto"/>
              </w:rPr>
              <w:t>No</w:t>
            </w:r>
          </w:p>
        </w:tc>
        <w:tc>
          <w:tcPr>
            <w:tcW w:w="0" w:type="dxa"/>
            <w:vAlign w:val="bottom"/>
          </w:tcPr>
          <w:p>
            <w:pPr>
              <w:spacing w:after="0"/>
              <w:rPr>
                <w:sz w:val="1"/>
                <w:szCs w:val="1"/>
                <w:color w:val="auto"/>
              </w:rPr>
            </w:pPr>
          </w:p>
        </w:tc>
      </w:tr>
    </w:tbl>
    <w:p>
      <w:pPr>
        <w:ind w:left="320" w:hanging="22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7" w:lineRule="exact"/>
        <w:rPr>
          <w:rFonts w:ascii="Arial" w:cs="Arial" w:eastAsia="Arial" w:hAnsi="Arial"/>
          <w:sz w:val="17"/>
          <w:szCs w:val="17"/>
          <w:color w:val="auto"/>
        </w:rPr>
      </w:pPr>
    </w:p>
    <w:p>
      <w:pPr>
        <w:ind w:left="320" w:hanging="222"/>
        <w:spacing w:after="0" w:line="253"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 Effective July 1, 2015, the duration of a catastrophe occurrence from windstorm, hail, tornado, hurricane and cyclone was extended to 120 consecutive hours from 96 consecutive hours.</w:t>
      </w:r>
    </w:p>
    <w:p>
      <w:pPr>
        <w:ind w:left="320" w:hanging="22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Effective July 1, 2014, our catastrophe treaty also covers losses caused by severe winter weather during any consecutive 28 day period.</w:t>
      </w:r>
    </w:p>
    <w:p>
      <w:pPr>
        <w:spacing w:after="0" w:line="11" w:lineRule="exact"/>
        <w:rPr>
          <w:rFonts w:ascii="Arial" w:cs="Arial" w:eastAsia="Arial" w:hAnsi="Arial"/>
          <w:sz w:val="17"/>
          <w:szCs w:val="17"/>
          <w:color w:val="auto"/>
        </w:rPr>
      </w:pPr>
    </w:p>
    <w:p>
      <w:pPr>
        <w:ind w:left="320" w:hanging="22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Effective July 1, 2015, reinstatement premium protection for $16,000,000 of catastrophe coverage in excess of $4,000,000.</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The single maximum risks per occurrence to which the Company is subject under the new treaties effective July 1, 2015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80" w:type="dxa"/>
            <w:vAlign w:val="bottom"/>
            <w:gridSpan w:val="4"/>
          </w:tcPr>
          <w:p>
            <w:pPr>
              <w:ind w:left="720"/>
              <w:spacing w:after="0"/>
              <w:rPr>
                <w:sz w:val="20"/>
                <w:szCs w:val="20"/>
                <w:color w:val="auto"/>
              </w:rPr>
            </w:pPr>
            <w:r>
              <w:rPr>
                <w:rFonts w:ascii="Arial" w:cs="Arial" w:eastAsia="Arial" w:hAnsi="Arial"/>
                <w:sz w:val="14"/>
                <w:szCs w:val="14"/>
                <w:b w:val="1"/>
                <w:bCs w:val="1"/>
                <w:color w:val="auto"/>
              </w:rPr>
              <w:t>July 1, 2015 - June 30, 2016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220" w:type="dxa"/>
            <w:vAlign w:val="bottom"/>
            <w:vMerge w:val="restart"/>
          </w:tcPr>
          <w:p>
            <w:pPr>
              <w:ind w:left="3900"/>
              <w:spacing w:after="0"/>
              <w:rPr>
                <w:sz w:val="20"/>
                <w:szCs w:val="20"/>
                <w:color w:val="auto"/>
              </w:rPr>
            </w:pPr>
            <w:r>
              <w:rPr>
                <w:rFonts w:ascii="Arial" w:cs="Arial" w:eastAsia="Arial" w:hAnsi="Arial"/>
                <w:sz w:val="14"/>
                <w:szCs w:val="14"/>
                <w:b w:val="1"/>
                <w:bCs w:val="1"/>
                <w:color w:val="auto"/>
              </w:rPr>
              <w:t>Treaty</w:t>
            </w: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Borders>
              <w:top w:val="single" w:sz="8" w:color="auto"/>
              <w:bottom w:val="single" w:sz="8" w:color="auto"/>
            </w:tcBorders>
          </w:tcPr>
          <w:p>
            <w:pPr>
              <w:ind w:left="500"/>
              <w:spacing w:after="0" w:line="142" w:lineRule="exact"/>
              <w:rPr>
                <w:sz w:val="20"/>
                <w:szCs w:val="20"/>
                <w:color w:val="auto"/>
              </w:rPr>
            </w:pPr>
            <w:r>
              <w:rPr>
                <w:rFonts w:ascii="Arial" w:cs="Arial" w:eastAsia="Arial" w:hAnsi="Arial"/>
                <w:sz w:val="14"/>
                <w:szCs w:val="14"/>
                <w:b w:val="1"/>
                <w:bCs w:val="1"/>
                <w:color w:val="auto"/>
              </w:rPr>
              <w:t>Extent of Loss</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Risk Retained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$750,000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Arial" w:cs="Arial" w:eastAsia="Arial" w:hAnsi="Arial"/>
                <w:sz w:val="17"/>
                <w:szCs w:val="17"/>
                <w:color w:val="auto"/>
              </w:rPr>
              <w:t>$750,000 - $4,500,000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Arial" w:cs="Arial" w:eastAsia="Arial" w:hAnsi="Arial"/>
                <w:sz w:val="17"/>
                <w:szCs w:val="17"/>
                <w:color w:val="auto"/>
                <w:w w:val="94"/>
              </w:rPr>
              <w:t>$1,000,000 - $3,000,000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$3,000,000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$425,000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$425,000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Arial" w:cs="Arial" w:eastAsia="Arial" w:hAnsi="Arial"/>
                <w:sz w:val="17"/>
                <w:szCs w:val="17"/>
                <w:color w:val="auto"/>
              </w:rPr>
              <w:t>$425,000 - $4,500,000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Commercial Auto</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$300,000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Arial" w:cs="Arial" w:eastAsia="Arial" w:hAnsi="Arial"/>
                <w:sz w:val="17"/>
                <w:szCs w:val="17"/>
                <w:color w:val="auto"/>
              </w:rPr>
              <w:t>$300,000 - $2,000,000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Catastrophe (2)</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1940" w:type="dxa"/>
            <w:vAlign w:val="bottom"/>
            <w:gridSpan w:val="2"/>
          </w:tcPr>
          <w:p>
            <w:pPr>
              <w:ind w:left="160"/>
              <w:spacing w:after="0" w:line="194" w:lineRule="exact"/>
              <w:rPr>
                <w:sz w:val="20"/>
                <w:szCs w:val="20"/>
                <w:color w:val="auto"/>
              </w:rPr>
            </w:pPr>
            <w:r>
              <w:rPr>
                <w:rFonts w:ascii="Arial" w:cs="Arial" w:eastAsia="Arial" w:hAnsi="Arial"/>
                <w:sz w:val="17"/>
                <w:szCs w:val="17"/>
                <w:color w:val="auto"/>
              </w:rPr>
              <w:t>$4,000,000 -</w:t>
            </w:r>
          </w:p>
        </w:tc>
        <w:tc>
          <w:tcPr>
            <w:tcW w:w="10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None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940" w:type="dxa"/>
            <w:vAlign w:val="bottom"/>
            <w:gridSpan w:val="2"/>
          </w:tcPr>
          <w:p>
            <w:pPr>
              <w:jc w:val="right"/>
              <w:ind w:right="797"/>
              <w:spacing w:after="0"/>
              <w:rPr>
                <w:sz w:val="20"/>
                <w:szCs w:val="20"/>
                <w:color w:val="auto"/>
              </w:rPr>
            </w:pPr>
            <w:r>
              <w:rPr>
                <w:rFonts w:ascii="Arial" w:cs="Arial" w:eastAsia="Arial" w:hAnsi="Arial"/>
                <w:sz w:val="17"/>
                <w:szCs w:val="17"/>
                <w:color w:val="auto"/>
                <w:w w:val="99"/>
              </w:rPr>
              <w:t>$180,000,000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$180,000,000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single maximum risks per occurrence to which the Company is subject under the treaties that expired on June 30, 2015 and 2014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July 1, 2014 - June 30, 2015</w:t>
            </w:r>
          </w:p>
        </w:tc>
        <w:tc>
          <w:tcPr>
            <w:tcW w:w="3080" w:type="dxa"/>
            <w:vAlign w:val="bottom"/>
            <w:gridSpan w:val="4"/>
          </w:tcPr>
          <w:p>
            <w:pPr>
              <w:ind w:left="720"/>
              <w:spacing w:after="0"/>
              <w:rPr>
                <w:sz w:val="20"/>
                <w:szCs w:val="20"/>
                <w:color w:val="auto"/>
              </w:rPr>
            </w:pPr>
            <w:r>
              <w:rPr>
                <w:rFonts w:ascii="Arial" w:cs="Arial" w:eastAsia="Arial" w:hAnsi="Arial"/>
                <w:sz w:val="14"/>
                <w:szCs w:val="14"/>
                <w:b w:val="1"/>
                <w:bCs w:val="1"/>
                <w:color w:val="auto"/>
              </w:rPr>
              <w:t>July 1, 2013 - June 30, 2014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2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Treaty</w:t>
            </w: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top w:val="single" w:sz="8" w:color="auto"/>
            </w:tcBorders>
          </w:tcPr>
          <w:p>
            <w:pPr>
              <w:ind w:left="500"/>
              <w:spacing w:after="0"/>
              <w:rPr>
                <w:sz w:val="20"/>
                <w:szCs w:val="20"/>
                <w:color w:val="auto"/>
              </w:rPr>
            </w:pPr>
            <w:r>
              <w:rPr>
                <w:rFonts w:ascii="Arial" w:cs="Arial" w:eastAsia="Arial" w:hAnsi="Arial"/>
                <w:sz w:val="14"/>
                <w:szCs w:val="14"/>
                <w:b w:val="1"/>
                <w:bCs w:val="1"/>
                <w:color w:val="auto"/>
              </w:rPr>
              <w:t>Extent of Loss</w:t>
            </w: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Risk Retained</w:t>
            </w:r>
          </w:p>
        </w:tc>
        <w:tc>
          <w:tcPr>
            <w:tcW w:w="120" w:type="dxa"/>
            <w:vAlign w:val="bottom"/>
          </w:tcPr>
          <w:p>
            <w:pPr>
              <w:spacing w:after="0"/>
              <w:rPr>
                <w:sz w:val="15"/>
                <w:szCs w:val="15"/>
                <w:color w:val="auto"/>
              </w:rPr>
            </w:pPr>
          </w:p>
        </w:tc>
        <w:tc>
          <w:tcPr>
            <w:tcW w:w="1820" w:type="dxa"/>
            <w:vAlign w:val="bottom"/>
            <w:tcBorders>
              <w:top w:val="single" w:sz="8" w:color="auto"/>
            </w:tcBorders>
          </w:tcPr>
          <w:p>
            <w:pPr>
              <w:ind w:left="520"/>
              <w:spacing w:after="0"/>
              <w:rPr>
                <w:sz w:val="20"/>
                <w:szCs w:val="20"/>
                <w:color w:val="auto"/>
              </w:rPr>
            </w:pPr>
            <w:r>
              <w:rPr>
                <w:rFonts w:ascii="Arial" w:cs="Arial" w:eastAsia="Arial" w:hAnsi="Arial"/>
                <w:sz w:val="14"/>
                <w:szCs w:val="14"/>
                <w:b w:val="1"/>
                <w:bCs w:val="1"/>
                <w:color w:val="auto"/>
              </w:rPr>
              <w:t>Extent of Loss</w:t>
            </w: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Risk Retained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$800,000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$360,000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$1,200,000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Arial" w:cs="Arial" w:eastAsia="Arial" w:hAnsi="Arial"/>
                <w:sz w:val="17"/>
                <w:szCs w:val="17"/>
                <w:color w:val="auto"/>
              </w:rPr>
              <w:t>$800,000 - $4,000,000</w:t>
            </w: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1820" w:type="dxa"/>
            <w:vAlign w:val="bottom"/>
          </w:tcPr>
          <w:p>
            <w:pPr>
              <w:ind w:left="40"/>
              <w:spacing w:after="0"/>
              <w:rPr>
                <w:sz w:val="20"/>
                <w:szCs w:val="20"/>
                <w:color w:val="auto"/>
              </w:rPr>
            </w:pPr>
            <w:r>
              <w:rPr>
                <w:rFonts w:ascii="Arial" w:cs="Arial" w:eastAsia="Arial" w:hAnsi="Arial"/>
                <w:sz w:val="17"/>
                <w:szCs w:val="17"/>
                <w:color w:val="auto"/>
                <w:w w:val="94"/>
              </w:rPr>
              <w:t>$1,200,000 - $2,900,000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$4,000,000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$2,900,000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Arial" w:cs="Arial" w:eastAsia="Arial" w:hAnsi="Arial"/>
                <w:sz w:val="17"/>
                <w:szCs w:val="17"/>
                <w:color w:val="auto"/>
                <w:w w:val="94"/>
              </w:rPr>
              <w:t>$1,000,000 - $3,000,000</w:t>
            </w: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1820" w:type="dxa"/>
            <w:vAlign w:val="bottom"/>
          </w:tcPr>
          <w:p>
            <w:pPr>
              <w:ind w:left="40"/>
              <w:spacing w:after="0"/>
              <w:rPr>
                <w:sz w:val="20"/>
                <w:szCs w:val="20"/>
                <w:color w:val="auto"/>
              </w:rPr>
            </w:pPr>
            <w:r>
              <w:rPr>
                <w:rFonts w:ascii="Arial" w:cs="Arial" w:eastAsia="Arial" w:hAnsi="Arial"/>
                <w:sz w:val="17"/>
                <w:szCs w:val="17"/>
                <w:color w:val="auto"/>
                <w:w w:val="94"/>
              </w:rPr>
              <w:t>$1,000,000 - $2,000,000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$3,000,000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$400,000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Arial" w:cs="Arial" w:eastAsia="Arial" w:hAnsi="Arial"/>
                <w:sz w:val="17"/>
                <w:szCs w:val="17"/>
                <w:color w:val="auto"/>
              </w:rPr>
              <w:t>$400,000 - $4,000,000</w:t>
            </w: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1820" w:type="dxa"/>
            <w:vAlign w:val="bottom"/>
          </w:tcPr>
          <w:p>
            <w:pPr>
              <w:ind w:left="40"/>
              <w:spacing w:after="0"/>
              <w:rPr>
                <w:sz w:val="20"/>
                <w:szCs w:val="20"/>
                <w:color w:val="auto"/>
              </w:rPr>
            </w:pPr>
            <w:r>
              <w:rPr>
                <w:rFonts w:ascii="Arial" w:cs="Arial" w:eastAsia="Arial" w:hAnsi="Arial"/>
                <w:sz w:val="17"/>
                <w:szCs w:val="17"/>
                <w:color w:val="auto"/>
              </w:rPr>
              <w:t>$400,000 - $2,900,000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$4,000,000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$2,900,000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Commercial Auto</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$300,000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$300,000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$300,000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Arial" w:cs="Arial" w:eastAsia="Arial" w:hAnsi="Arial"/>
                <w:sz w:val="17"/>
                <w:szCs w:val="17"/>
                <w:color w:val="auto"/>
              </w:rPr>
              <w:t>$300,000 - $2,000,000</w:t>
            </w: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1820" w:type="dxa"/>
            <w:vAlign w:val="bottom"/>
          </w:tcPr>
          <w:p>
            <w:pPr>
              <w:ind w:left="40"/>
              <w:spacing w:after="0"/>
              <w:rPr>
                <w:sz w:val="20"/>
                <w:szCs w:val="20"/>
                <w:color w:val="auto"/>
              </w:rPr>
            </w:pPr>
            <w:r>
              <w:rPr>
                <w:rFonts w:ascii="Arial" w:cs="Arial" w:eastAsia="Arial" w:hAnsi="Arial"/>
                <w:sz w:val="17"/>
                <w:szCs w:val="17"/>
                <w:color w:val="auto"/>
              </w:rPr>
              <w:t>$300,000 - $2,000,000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$2,000,000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Catastrophe (2)</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$4,000,000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$1,800,000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940" w:type="dxa"/>
            <w:vAlign w:val="bottom"/>
            <w:gridSpan w:val="2"/>
          </w:tcPr>
          <w:p>
            <w:pPr>
              <w:ind w:left="160"/>
              <w:spacing w:after="0" w:line="194" w:lineRule="exact"/>
              <w:rPr>
                <w:sz w:val="20"/>
                <w:szCs w:val="20"/>
                <w:color w:val="auto"/>
              </w:rPr>
            </w:pPr>
            <w:r>
              <w:rPr>
                <w:rFonts w:ascii="Arial" w:cs="Arial" w:eastAsia="Arial" w:hAnsi="Arial"/>
                <w:sz w:val="17"/>
                <w:szCs w:val="17"/>
                <w:color w:val="auto"/>
              </w:rPr>
              <w:t>$4,000,000 -</w:t>
            </w:r>
          </w:p>
        </w:tc>
        <w:tc>
          <w:tcPr>
            <w:tcW w:w="120" w:type="dxa"/>
            <w:vAlign w:val="bottom"/>
          </w:tcPr>
          <w:p>
            <w:pPr>
              <w:spacing w:after="0"/>
              <w:rPr>
                <w:sz w:val="16"/>
                <w:szCs w:val="16"/>
                <w:color w:val="auto"/>
              </w:rPr>
            </w:pPr>
          </w:p>
        </w:tc>
        <w:tc>
          <w:tcPr>
            <w:tcW w:w="12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None</w:t>
            </w:r>
          </w:p>
        </w:tc>
        <w:tc>
          <w:tcPr>
            <w:tcW w:w="1820" w:type="dxa"/>
            <w:vAlign w:val="bottom"/>
          </w:tcPr>
          <w:p>
            <w:pPr>
              <w:ind w:left="40"/>
              <w:spacing w:after="0" w:line="194" w:lineRule="exact"/>
              <w:rPr>
                <w:sz w:val="20"/>
                <w:szCs w:val="20"/>
                <w:color w:val="auto"/>
              </w:rPr>
            </w:pPr>
            <w:r>
              <w:rPr>
                <w:rFonts w:ascii="Arial" w:cs="Arial" w:eastAsia="Arial" w:hAnsi="Arial"/>
                <w:sz w:val="17"/>
                <w:szCs w:val="17"/>
                <w:color w:val="auto"/>
              </w:rPr>
              <w:t>$4,000,000 -</w:t>
            </w:r>
          </w:p>
        </w:tc>
        <w:tc>
          <w:tcPr>
            <w:tcW w:w="10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None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940" w:type="dxa"/>
            <w:vAlign w:val="bottom"/>
            <w:gridSpan w:val="2"/>
          </w:tcPr>
          <w:p>
            <w:pPr>
              <w:jc w:val="right"/>
              <w:ind w:right="797"/>
              <w:spacing w:after="0"/>
              <w:rPr>
                <w:sz w:val="20"/>
                <w:szCs w:val="20"/>
                <w:color w:val="auto"/>
              </w:rPr>
            </w:pPr>
            <w:r>
              <w:rPr>
                <w:rFonts w:ascii="Arial" w:cs="Arial" w:eastAsia="Arial" w:hAnsi="Arial"/>
                <w:sz w:val="17"/>
                <w:szCs w:val="17"/>
                <w:color w:val="auto"/>
                <w:w w:val="99"/>
              </w:rPr>
              <w:t>$141,000,000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$90,000,000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$141,000,000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$90,000,000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________________</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80" w:hanging="277"/>
        <w:spacing w:after="0"/>
        <w:tabs>
          <w:tab w:leader="none" w:pos="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243" w:lineRule="exact"/>
        <w:rPr>
          <w:rFonts w:ascii="Arial" w:cs="Arial" w:eastAsia="Arial" w:hAnsi="Arial"/>
          <w:sz w:val="17"/>
          <w:szCs w:val="17"/>
          <w:color w:val="auto"/>
        </w:rPr>
      </w:pPr>
    </w:p>
    <w:p>
      <w:pPr>
        <w:ind w:left="280" w:hanging="277"/>
        <w:spacing w:after="0"/>
        <w:tabs>
          <w:tab w:leader="none" w:pos="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3" w:name="page24"/>
    <w:bookmarkEnd w:id="23"/>
    <w:p>
      <w:pPr>
        <w:jc w:val="both"/>
        <w:spacing w:after="0" w:line="262" w:lineRule="auto"/>
        <w:rPr>
          <w:sz w:val="20"/>
          <w:szCs w:val="20"/>
          <w:color w:val="auto"/>
        </w:rPr>
      </w:pPr>
      <w:r>
        <w:rPr>
          <w:rFonts w:ascii="Arial" w:cs="Arial" w:eastAsia="Arial" w:hAnsi="Arial"/>
          <w:sz w:val="17"/>
          <w:szCs w:val="17"/>
          <w:color w:val="auto"/>
        </w:rPr>
        <w:t>The Company’s reinsurance program is structured to enable the Company to significantly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estimated ultimate treaty year loss ratios (“Loss Ratio(s)”) for treaties in effect for the nine months and three months ended September 30, 2015 are attributable to contracts for the July 1, 2015/June 30, 2016 treaty year (“2015/2016 Treaty”) and the July 1, 2014/June 30, 2015 treaty year (“2014/2015 Treaty”). The Company’s Loss Ratios for treaties in effect for the nine months and three months ended September 30, 2014 are attributable to contracts for the 2014/2015 Treaty and the July 1, 2013/June 30, 2014 treaty year (“2013/2014 Treaties”).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Treaties in effect for the nine months and three months ended September 30, 2015</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Loss Ratio for the period July 1, 2015 through September 30, 2015, which is attributable to the 2015/2016 Treaty, was higher than the contractual Loss Ratio at which provisional ceding commissions are earned. Accordingly, for the three months ended September 30, 2015, the Company’s contingent ceding commission earned was reduced as a result of the estimated Loss Ratio for the 2015/2016 Treaty.</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Company’s Loss Ratio for the period July 1, 2014 through June 30, 2015, which is attributable to the 2014/2015 Treaty, was lower than the contractual Loss Ratio at which provisional ceding commissions are earned. Accordingly, for the six months ended June 30, 2015, the Company earned contingent ceding commission revenue with respect to the 2014/2015 Treaty. However, as a result of severe winter weather during February and March 2015, the Loss Ratio was greater than what would have been expected during an ordinary winter. Such severe winter weather had the effect of reducing contingent ceding commission revenue that would have otherwise been earned.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Treaties in effect for the nine months and three months ended September 30, 2014</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Loss Ratio for the period July 1, 2014 through September 30, 2014, which is attributable to the 2014/2015 Treaty, was lower than the contractual Loss Ratio at which provisional ceding commissions are earned. Accordingly, for the three month period ended September 30, 2014, the Company recorded contingent ceding commission earned with respect to the 2014/2015 Treaty.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4" w:name="page25"/>
    <w:bookmarkEnd w:id="24"/>
    <w:p>
      <w:pPr>
        <w:jc w:val="both"/>
        <w:spacing w:after="0" w:line="260" w:lineRule="auto"/>
        <w:rPr>
          <w:sz w:val="20"/>
          <w:szCs w:val="20"/>
          <w:color w:val="auto"/>
        </w:rPr>
      </w:pPr>
      <w:r>
        <w:rPr>
          <w:rFonts w:ascii="Arial" w:cs="Arial" w:eastAsia="Arial" w:hAnsi="Arial"/>
          <w:sz w:val="17"/>
          <w:szCs w:val="17"/>
          <w:color w:val="auto"/>
        </w:rPr>
        <w:t>The Company’s Loss Ratios for the period July 1, 2013 through June 30, 2014, which are attributable to the 2013/2014 Treaties, were lower than the contractual Loss Ratios at which provisional ceding commissions are earned. Accordingly, for the six months ended June 30, 2014, the Company earned contingent ceding commission revenue with respect to the 2013/2014 Treaties. However, as a result of severe winter weather during January and February 2014, the Loss Ratios attributable to these treaties as of June 30, 2014 were greater than the Loss Ratios as of December 31, 2013. Such severe winter weather had the effect of reducing contingent ceding commission revenue that would have otherwise been earned.</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to the treaties that were in effect for nine months and three months ended September 30, 2015 and 2014, the Loss Ratios from prior years’ treaties are subject to change as loss reserves from those periods increase or decrease, resulting in an increase or decrease in the commission rate and contingent ceding commissions earned.</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7"/>
          <w:szCs w:val="17"/>
          <w:color w:val="auto"/>
        </w:rPr>
        <w:t>Ceding commissions earned consists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jc w:val="right"/>
              <w:ind w:right="57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0"/>
        </w:trPr>
        <w:tc>
          <w:tcPr>
            <w:tcW w:w="60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2"/>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8"/>
                <w:szCs w:val="18"/>
                <w:color w:val="auto"/>
              </w:rPr>
            </w:pPr>
          </w:p>
        </w:tc>
      </w:tr>
      <w:tr>
        <w:trPr>
          <w:trHeight w:val="20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Provisional ceding commissions earned</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2,854,524</w:t>
            </w:r>
          </w:p>
        </w:tc>
        <w:tc>
          <w:tcPr>
            <w:tcW w:w="46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2,653,690</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8,734,477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9,660,437</w:t>
            </w:r>
          </w:p>
        </w:tc>
      </w:tr>
      <w:tr>
        <w:trPr>
          <w:trHeight w:val="206"/>
        </w:trPr>
        <w:tc>
          <w:tcPr>
            <w:tcW w:w="6060" w:type="dxa"/>
            <w:vAlign w:val="bottom"/>
          </w:tcPr>
          <w:p>
            <w:pPr>
              <w:ind w:left="40"/>
              <w:spacing w:after="0"/>
              <w:rPr>
                <w:sz w:val="20"/>
                <w:szCs w:val="20"/>
                <w:color w:val="auto"/>
              </w:rPr>
            </w:pPr>
            <w:r>
              <w:rPr>
                <w:rFonts w:ascii="Arial" w:cs="Arial" w:eastAsia="Arial" w:hAnsi="Arial"/>
                <w:sz w:val="17"/>
                <w:szCs w:val="17"/>
                <w:color w:val="auto"/>
              </w:rPr>
              <w:t>Contingent ceding commissions earned</w:t>
            </w:r>
          </w:p>
        </w:tc>
        <w:tc>
          <w:tcPr>
            <w:tcW w:w="2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(210,993)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624,629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653,980</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705,214</w:t>
            </w:r>
          </w:p>
        </w:tc>
      </w:tr>
      <w:tr>
        <w:trPr>
          <w:trHeight w:val="26"/>
        </w:trPr>
        <w:tc>
          <w:tcPr>
            <w:tcW w:w="60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60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2,643,531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3,278,319</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9,388,457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10,365,651</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Provisional ceding commissions are settled monthly. Balances due from reinsurers for contingent ceding commissions on quota share treaties are settled annually based on the loss ratio of each treaty year that ends on June 30.</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Bank Line of Credit</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Kingstone maintains a Promissory Note pursuant to a line of credit (together, the “Trustco Agreement”) with Trustco Bank (“Lender”). Under the Trustco Agreement, Kingstone may receive advances from Lender not to exceed an unpaid principal balance of $600,000 (the “Credit Limit”). Advances extended under the Trustco Agreement will bear interest at a floating rate based on the Lender’s prime rate, which was 3.75% at September 30, 2015.</w:t>
      </w:r>
    </w:p>
    <w:p>
      <w:pPr>
        <w:spacing w:after="0" w:line="20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Interest only payments are due monthly. The principal balance is payable on demand, and must be reduced to zero for a minimum of thirty consecutive days during each year of the term of the Trustco Agreement. The line of credit is subject to annual renewal at the discretion of the Lender. Lender may set off any depository accounts maintained by Kingstone that are held by Lender. Payment of amounts due pursuant to the Trustco Agreement is secured by all of Kingstone’s cash and deposit accounts, receivables, inventory and fixed assets, and is guaranteed by Kingstone’s subsidiary, Payments Inc.</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line of credit is used for general corporate purposes.</w:t>
      </w:r>
    </w:p>
    <w:p>
      <w:pPr>
        <w:spacing w:after="0" w:line="24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There were no outstanding balances under the bank line of credit as of September 30, 2015 and December 31, 2014, or during the nine months ended September 30, 2015 and 2014. There are no other fees in connection with this credit line.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Note 8 – Stockholders’ Equity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 Declared</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Dividends declared and paid on Common Stock were $1,098,946 and $947,186 for the nine months ended September 30, 2015 and 2014, respectively. Dividends declared and paid on Common Stock were $366,756 and $364,747 for the three months ended September 30, 2015 and 2014, respectively. The Company’s Board of Directors approved a quarterly dividend on November 10, 2015 of $.0625 per share payable in cash on December 14, 2015 to stockholders of record as of November 30, 2015 (see Note 13).</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Options</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options granted and restricted stock issued. Effective August 12, 2014, the Company adopted the 2014 Equity Participation Plan (the “2014 Plan”) pursuant to which, subject to stockholder approval on or before August 12, 2015, a maximum of 700,000 shares of Common Stock of the Company are authorized to be issued pursuant to the grant of incentive stock options, non-statutory stock options, stock appreciation rights, restricted stock and stock bonuses. The stockholders approved the 2014 Plan on August 11, 2015. Incentive stock options granted under the 2014 Plan and 2005 Plan expire no later than ten years from the date of grant (except no later than five years for a grant to a 10% stockholder). The Board of Directors or the Stock Option Committee determines the expiration date with respect to non-statutory stock options and the vesting provisions for restricted stock granted under the 2014 Plan and 2005 Plan.</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results of operations for the nine months ended September 30, 2015 and 2014 include stock-based stock option compensation expense totaling approximately $130,000 and $119,000, respectively. The results of operations for the three months ended September 30, 2015 and 2014 include stock-based stock option compensation expense totaling approximately $52,000 and $92,000, respectively. Stock-based compensation expense related to stock options is net of estimated forfeitures of 17% for the nine months and three months ended September 30, 2015 and 20% for the nine months and three months ended September 30, 2014. Such amounts have been included in the condensed consolidated statements of income and comprehensive income within other operating expenses.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Stock-based compensation expense in 2015 and 2014 is the estimated fair value of options granted amortized on a straight-line basis over the requisite service period for the entire portion of the award. The weighted average estimated fair value of stock options granted during the three and nine months ended September 30, 2015 and 2014 was $1.87 and $1.60 per share, respectively. The fair value of stock options at the grant date was estimated using the Black-Scholes option-pricing model. The following weighted average assumptions were used for grants during the following periods: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Three months ended</w:t>
            </w:r>
          </w:p>
        </w:tc>
        <w:tc>
          <w:tcPr>
            <w:tcW w:w="2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705"/>
              <w:spacing w:after="0"/>
              <w:rPr>
                <w:sz w:val="20"/>
                <w:szCs w:val="20"/>
                <w:color w:val="auto"/>
              </w:rPr>
            </w:pPr>
            <w:r>
              <w:rPr>
                <w:rFonts w:ascii="Arial" w:cs="Arial" w:eastAsia="Arial" w:hAnsi="Arial"/>
                <w:sz w:val="14"/>
                <w:szCs w:val="14"/>
                <w:b w:val="1"/>
                <w:bCs w:val="1"/>
                <w:color w:val="auto"/>
                <w:w w:val="87"/>
              </w:rPr>
              <w:t>September 30,</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701"/>
              <w:spacing w:after="0"/>
              <w:rPr>
                <w:sz w:val="20"/>
                <w:szCs w:val="20"/>
                <w:color w:val="auto"/>
              </w:rPr>
            </w:pPr>
            <w:r>
              <w:rPr>
                <w:rFonts w:ascii="Arial" w:cs="Arial" w:eastAsia="Arial" w:hAnsi="Arial"/>
                <w:sz w:val="14"/>
                <w:szCs w:val="14"/>
                <w:b w:val="1"/>
                <w:bCs w:val="1"/>
                <w:color w:val="auto"/>
                <w:w w:val="87"/>
              </w:rPr>
              <w:t>September 30,</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00" w:type="dxa"/>
            <w:vAlign w:val="bottom"/>
            <w:gridSpan w:val="2"/>
          </w:tcPr>
          <w:p>
            <w:pPr>
              <w:jc w:val="right"/>
              <w:ind w:right="345"/>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8"/>
                <w:szCs w:val="18"/>
                <w:color w:val="auto"/>
              </w:rPr>
            </w:pPr>
          </w:p>
        </w:tc>
        <w:tc>
          <w:tcPr>
            <w:tcW w:w="1120" w:type="dxa"/>
            <w:vAlign w:val="bottom"/>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ind w:left="80"/>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37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2.62%</w:t>
            </w: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2.97%</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2.62%</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Volatility</w:t>
            </w:r>
          </w:p>
        </w:tc>
        <w:tc>
          <w:tcPr>
            <w:tcW w:w="3760" w:type="dxa"/>
            <w:vAlign w:val="bottom"/>
            <w:gridSpan w:val="3"/>
          </w:tcPr>
          <w:p>
            <w:pPr>
              <w:jc w:val="right"/>
              <w:ind w:right="100"/>
              <w:spacing w:after="0"/>
              <w:rPr>
                <w:sz w:val="20"/>
                <w:szCs w:val="20"/>
                <w:color w:val="auto"/>
              </w:rPr>
            </w:pPr>
            <w:r>
              <w:rPr>
                <w:rFonts w:ascii="Arial" w:cs="Arial" w:eastAsia="Arial" w:hAnsi="Arial"/>
                <w:sz w:val="17"/>
                <w:szCs w:val="17"/>
                <w:color w:val="auto"/>
              </w:rPr>
              <w:t>34.54%</w:t>
            </w:r>
          </w:p>
        </w:tc>
        <w:tc>
          <w:tcPr>
            <w:tcW w:w="3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40.53%</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34.54%</w:t>
            </w:r>
          </w:p>
        </w:tc>
        <w:tc>
          <w:tcPr>
            <w:tcW w:w="3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40.53%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37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1.03%</w:t>
            </w: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0.92%</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Expected Life</w:t>
            </w:r>
          </w:p>
        </w:tc>
        <w:tc>
          <w:tcPr>
            <w:tcW w:w="2380" w:type="dxa"/>
            <w:vAlign w:val="bottom"/>
          </w:tcPr>
          <w:p>
            <w:pPr>
              <w:spacing w:after="0"/>
              <w:rPr>
                <w:sz w:val="18"/>
                <w:szCs w:val="18"/>
                <w:color w:val="auto"/>
              </w:rPr>
            </w:pPr>
          </w:p>
        </w:tc>
        <w:tc>
          <w:tcPr>
            <w:tcW w:w="1740" w:type="dxa"/>
            <w:vAlign w:val="bottom"/>
            <w:gridSpan w:val="3"/>
          </w:tcPr>
          <w:p>
            <w:pPr>
              <w:ind w:left="500"/>
              <w:spacing w:after="0"/>
              <w:rPr>
                <w:sz w:val="20"/>
                <w:szCs w:val="20"/>
                <w:color w:val="auto"/>
              </w:rPr>
            </w:pPr>
            <w:r>
              <w:rPr>
                <w:rFonts w:ascii="Arial" w:cs="Arial" w:eastAsia="Arial" w:hAnsi="Arial"/>
                <w:sz w:val="17"/>
                <w:szCs w:val="17"/>
                <w:color w:val="auto"/>
              </w:rPr>
              <w:t>3.0 years</w:t>
            </w:r>
          </w:p>
        </w:tc>
        <w:tc>
          <w:tcPr>
            <w:tcW w:w="1020" w:type="dxa"/>
            <w:vAlign w:val="bottom"/>
            <w:gridSpan w:val="2"/>
          </w:tcPr>
          <w:p>
            <w:pPr>
              <w:ind w:left="60"/>
              <w:spacing w:after="0"/>
              <w:rPr>
                <w:sz w:val="20"/>
                <w:szCs w:val="20"/>
                <w:color w:val="auto"/>
              </w:rPr>
            </w:pPr>
            <w:r>
              <w:rPr>
                <w:rFonts w:ascii="Arial" w:cs="Arial" w:eastAsia="Arial" w:hAnsi="Arial"/>
                <w:sz w:val="17"/>
                <w:szCs w:val="17"/>
                <w:color w:val="auto"/>
              </w:rPr>
              <w:t>3.25 years</w:t>
            </w:r>
          </w:p>
        </w:tc>
        <w:tc>
          <w:tcPr>
            <w:tcW w:w="1740" w:type="dxa"/>
            <w:vAlign w:val="bottom"/>
            <w:gridSpan w:val="3"/>
          </w:tcPr>
          <w:p>
            <w:pPr>
              <w:ind w:left="500"/>
              <w:spacing w:after="0"/>
              <w:rPr>
                <w:sz w:val="20"/>
                <w:szCs w:val="20"/>
                <w:color w:val="auto"/>
              </w:rPr>
            </w:pPr>
            <w:r>
              <w:rPr>
                <w:rFonts w:ascii="Arial" w:cs="Arial" w:eastAsia="Arial" w:hAnsi="Arial"/>
                <w:sz w:val="17"/>
                <w:szCs w:val="17"/>
                <w:color w:val="auto"/>
              </w:rPr>
              <w:t>3.0 years</w:t>
            </w:r>
          </w:p>
        </w:tc>
        <w:tc>
          <w:tcPr>
            <w:tcW w:w="920" w:type="dxa"/>
            <w:vAlign w:val="bottom"/>
            <w:gridSpan w:val="2"/>
          </w:tcPr>
          <w:p>
            <w:pPr>
              <w:ind w:left="60"/>
              <w:spacing w:after="0"/>
              <w:rPr>
                <w:sz w:val="20"/>
                <w:szCs w:val="20"/>
                <w:color w:val="auto"/>
              </w:rPr>
            </w:pPr>
            <w:r>
              <w:rPr>
                <w:rFonts w:ascii="Arial" w:cs="Arial" w:eastAsia="Arial" w:hAnsi="Arial"/>
                <w:sz w:val="17"/>
                <w:szCs w:val="17"/>
                <w:color w:val="auto"/>
              </w:rPr>
              <w:t>3.25 years</w:t>
            </w: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380" w:type="dxa"/>
            <w:vAlign w:val="bottom"/>
          </w:tcPr>
          <w:p>
            <w:pPr>
              <w:jc w:val="right"/>
              <w:ind w:right="117"/>
              <w:spacing w:after="0"/>
              <w:rPr>
                <w:sz w:val="20"/>
                <w:szCs w:val="20"/>
                <w:color w:val="auto"/>
              </w:rPr>
            </w:pPr>
            <w:r>
              <w:rPr>
                <w:rFonts w:ascii="Arial" w:cs="Arial" w:eastAsia="Arial" w:hAnsi="Arial"/>
                <w:sz w:val="17"/>
                <w:szCs w:val="17"/>
                <w:color w:val="auto"/>
              </w:rPr>
              <w:t>26</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6" w:name="page27"/>
    <w:bookmarkEnd w:id="26"/>
    <w:p>
      <w:pPr>
        <w:jc w:val="both"/>
        <w:spacing w:after="0" w:line="308" w:lineRule="auto"/>
        <w:rPr>
          <w:sz w:val="20"/>
          <w:szCs w:val="20"/>
          <w:color w:val="auto"/>
        </w:rPr>
      </w:pPr>
      <w:r>
        <w:rPr>
          <w:rFonts w:ascii="Arial" w:cs="Arial" w:eastAsia="Arial" w:hAnsi="Arial"/>
          <w:sz w:val="15"/>
          <w:szCs w:val="15"/>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our stock options.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option activity under the Company’s 2005 and 2014 Plans for the nine months ended September 30, 2015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Weighted Average</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 Average</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vMerge w:val="restart"/>
          </w:tcPr>
          <w:p>
            <w:pPr>
              <w:ind w:left="2540"/>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1"/>
              </w:rPr>
              <w:t>Number of Shares</w:t>
            </w:r>
          </w:p>
        </w:tc>
        <w:tc>
          <w:tcPr>
            <w:tcW w:w="80" w:type="dxa"/>
            <w:vAlign w:val="bottom"/>
          </w:tcPr>
          <w:p>
            <w:pPr>
              <w:spacing w:after="0"/>
              <w:rPr>
                <w:sz w:val="12"/>
                <w:szCs w:val="12"/>
                <w:color w:val="auto"/>
              </w:rPr>
            </w:pPr>
          </w:p>
        </w:tc>
        <w:tc>
          <w:tcPr>
            <w:tcW w:w="140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87"/>
              </w:rPr>
              <w:t>Exercise Price per</w:t>
            </w:r>
          </w:p>
        </w:tc>
        <w:tc>
          <w:tcPr>
            <w:tcW w:w="13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Share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Contractual Term</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2015</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421,250</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5.16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1,258,013</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Granted (1)</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50,000</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6.73</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95,500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Exercised</w:t>
            </w:r>
          </w:p>
        </w:tc>
        <w:tc>
          <w:tcPr>
            <w:tcW w:w="1400" w:type="dxa"/>
            <w:vAlign w:val="bottom"/>
            <w:gridSpan w:val="3"/>
          </w:tcPr>
          <w:p>
            <w:pPr>
              <w:jc w:val="right"/>
              <w:ind w:right="80"/>
              <w:spacing w:after="0"/>
              <w:rPr>
                <w:sz w:val="20"/>
                <w:szCs w:val="20"/>
                <w:color w:val="auto"/>
              </w:rPr>
            </w:pPr>
            <w:r>
              <w:rPr>
                <w:rFonts w:ascii="Arial" w:cs="Arial" w:eastAsia="Arial" w:hAnsi="Arial"/>
                <w:sz w:val="17"/>
                <w:szCs w:val="17"/>
                <w:color w:val="auto"/>
              </w:rPr>
              <w:t>(123,750)</w:t>
            </w:r>
          </w:p>
        </w:tc>
        <w:tc>
          <w:tcPr>
            <w:tcW w:w="34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2.58</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662,488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(2,500)</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5.09</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9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September 30, 2015</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345,000</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6.32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801,075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9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September 30, 2015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186,875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451,706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640" w:firstLine="3"/>
        <w:spacing w:after="0" w:line="280" w:lineRule="auto"/>
        <w:tabs>
          <w:tab w:leader="none" w:pos="287"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August 12, 2014, 50,000 options were awarded under the 2014 Plan, which were subject to stockholder approval. The options were granted upon the stockholders' approval of the 2014 Plan on August 11, 2015.</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aggregate intrinsic value of options outstanding and options exercisable at September 30, 2015 is calculated as the difference between the exercise price of the underlying options and the market price of the Company’s Common Stock for the options that had exercise prices that were lower than the $8.64 closing price of the Company’s Common Stock on September 30, 2015. The total intrinsic value of options exercised in the nine months ended September 30, 2015 was $662,488, determined as of the date of exercise.</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Participants in the 2005 and 2014 Plans may exercise their outstanding vested options, in whole or in part, by having the Company reduce the number of shares otherwise issuable by a number of shares having a fair market value equal to the exercise price of the option being exercised (“Net Exercise”). All of the 123,750 options exercised during the nine months ended September 30, 2015 were Net Exercises. A total of 70,115 options were exercised during the nine months ended September 30, 2014.</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September 30, 2015, the fair value of unamortized compensation cost related to unvested stock option awards was approximately $126,000. Unamortized compensation cost as of September 30, 2015 is expected to be recognized over a remaining weighted-average vesting period of 1.25 years.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2015, there were 1,135 shares reserved for grants under the 2005 Plan and 650,000 shares reserved for grants under the 2014 Plan.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Note 9 – Income Taxes</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Income taxes for the nine months ended September 30, 2015 and 2014 were computed using the effective tax rate estimated to be applicable for the full year, which is subject to ongoing review and evaluation by management. The Company files a consolidated U.S. federal income tax return that includes all wholly owned subsidiaries. State tax returns are filed on a consolidated or separate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financial statements taken as a whole for the respective periods. The Company has evaluated this year’s amounts in relation to the current and prior reporting periods and determined that a restatement of those prior reporting periods is not appropriate. The Company’s effective tax rate from operations for the nine months ended September 30, 2015 and 2014 was 33.0% and 32.1%, respectively.</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 reflect temporary differences between the carrying amounts of the assets and liabilities for financial reporting purposes and income tax purposes, tax effected at a various rates depending on whether the temporary differences are subject to federal taxes, state taxes, or both. Significant components of the Company’s deferred tax assets and liabilities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89"/>
              </w:rPr>
              <w:t>September 30,</w:t>
            </w:r>
          </w:p>
        </w:tc>
        <w:tc>
          <w:tcPr>
            <w:tcW w:w="10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0"/>
              </w:rPr>
              <w:t>December 31,</w:t>
            </w:r>
          </w:p>
        </w:tc>
        <w:tc>
          <w:tcPr>
            <w:tcW w:w="0" w:type="dxa"/>
            <w:vAlign w:val="bottom"/>
          </w:tcPr>
          <w:p>
            <w:pPr>
              <w:spacing w:after="0"/>
              <w:rPr>
                <w:sz w:val="1"/>
                <w:szCs w:val="1"/>
                <w:color w:val="auto"/>
              </w:rPr>
            </w:pPr>
          </w:p>
        </w:tc>
      </w:tr>
      <w:tr>
        <w:trPr>
          <w:trHeight w:val="231"/>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95"/>
              </w:rPr>
              <w:t>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320" w:type="dxa"/>
            <w:vAlign w:val="bottom"/>
          </w:tcPr>
          <w:p>
            <w:pPr>
              <w:ind w:left="40"/>
              <w:spacing w:after="0"/>
              <w:rPr>
                <w:sz w:val="20"/>
                <w:szCs w:val="20"/>
                <w:color w:val="auto"/>
              </w:rPr>
            </w:pPr>
            <w:r>
              <w:rPr>
                <w:rFonts w:ascii="Arial" w:cs="Arial" w:eastAsia="Arial" w:hAnsi="Arial"/>
                <w:sz w:val="17"/>
                <w:szCs w:val="17"/>
                <w:color w:val="auto"/>
              </w:rPr>
              <w:t>Deferred tax asset: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operating loss carryovers (1)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187,613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211,550</w:t>
            </w:r>
          </w:p>
        </w:tc>
        <w:tc>
          <w:tcPr>
            <w:tcW w:w="0" w:type="dxa"/>
            <w:vAlign w:val="bottom"/>
          </w:tcPr>
          <w:p>
            <w:pPr>
              <w:spacing w:after="0"/>
              <w:rPr>
                <w:sz w:val="1"/>
                <w:szCs w:val="1"/>
                <w:color w:val="auto"/>
              </w:rPr>
            </w:pPr>
          </w:p>
        </w:tc>
      </w:tr>
      <w:tr>
        <w:trPr>
          <w:trHeight w:val="206"/>
        </w:trPr>
        <w:tc>
          <w:tcPr>
            <w:tcW w:w="7320" w:type="dxa"/>
            <w:vAlign w:val="bottom"/>
          </w:tcPr>
          <w:p>
            <w:pPr>
              <w:ind w:left="40"/>
              <w:spacing w:after="0"/>
              <w:rPr>
                <w:sz w:val="20"/>
                <w:szCs w:val="20"/>
                <w:color w:val="auto"/>
              </w:rPr>
            </w:pPr>
            <w:r>
              <w:rPr>
                <w:rFonts w:ascii="Arial" w:cs="Arial" w:eastAsia="Arial" w:hAnsi="Arial"/>
                <w:sz w:val="17"/>
                <w:szCs w:val="17"/>
                <w:color w:val="auto"/>
              </w:rPr>
              <w:t>Claims reserve discount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396,089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562,941</w:t>
            </w: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Unearned premium</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2,524,398</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1,741,360</w:t>
            </w:r>
          </w:p>
        </w:tc>
        <w:tc>
          <w:tcPr>
            <w:tcW w:w="0" w:type="dxa"/>
            <w:vAlign w:val="bottom"/>
          </w:tcPr>
          <w:p>
            <w:pPr>
              <w:spacing w:after="0"/>
              <w:rPr>
                <w:sz w:val="1"/>
                <w:szCs w:val="1"/>
                <w:color w:val="auto"/>
              </w:rPr>
            </w:pPr>
          </w:p>
        </w:tc>
      </w:tr>
      <w:tr>
        <w:trPr>
          <w:trHeight w:val="206"/>
        </w:trPr>
        <w:tc>
          <w:tcPr>
            <w:tcW w:w="7320" w:type="dxa"/>
            <w:vAlign w:val="bottom"/>
          </w:tcPr>
          <w:p>
            <w:pPr>
              <w:ind w:left="40"/>
              <w:spacing w:after="0"/>
              <w:rPr>
                <w:sz w:val="20"/>
                <w:szCs w:val="20"/>
                <w:color w:val="auto"/>
              </w:rPr>
            </w:pPr>
            <w:r>
              <w:rPr>
                <w:rFonts w:ascii="Arial" w:cs="Arial" w:eastAsia="Arial" w:hAnsi="Arial"/>
                <w:sz w:val="17"/>
                <w:szCs w:val="17"/>
                <w:color w:val="auto"/>
              </w:rPr>
              <w:t>Deferred ceding commission revenue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2,063,768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2,025,224</w:t>
            </w: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110,286</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88,148</w:t>
            </w:r>
          </w:p>
        </w:tc>
        <w:tc>
          <w:tcPr>
            <w:tcW w:w="0" w:type="dxa"/>
            <w:vAlign w:val="bottom"/>
          </w:tcPr>
          <w:p>
            <w:pPr>
              <w:spacing w:after="0"/>
              <w:rPr>
                <w:sz w:val="1"/>
                <w:szCs w:val="1"/>
                <w:color w:val="auto"/>
              </w:rPr>
            </w:pPr>
          </w:p>
        </w:tc>
      </w:tr>
      <w:tr>
        <w:trPr>
          <w:trHeight w:val="26"/>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320" w:type="dxa"/>
            <w:vAlign w:val="bottom"/>
          </w:tcPr>
          <w:p>
            <w:pPr>
              <w:ind w:left="40"/>
              <w:spacing w:after="0"/>
              <w:rPr>
                <w:sz w:val="20"/>
                <w:szCs w:val="20"/>
                <w:color w:val="auto"/>
              </w:rPr>
            </w:pPr>
            <w:r>
              <w:rPr>
                <w:rFonts w:ascii="Arial" w:cs="Arial" w:eastAsia="Arial" w:hAnsi="Arial"/>
                <w:sz w:val="17"/>
                <w:szCs w:val="17"/>
                <w:color w:val="auto"/>
              </w:rPr>
              <w:t>Total deferred tax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5,282,154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4,629,223</w:t>
            </w: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tcPr>
          <w:p>
            <w:pPr>
              <w:ind w:left="40"/>
              <w:spacing w:after="0"/>
              <w:rPr>
                <w:sz w:val="20"/>
                <w:szCs w:val="20"/>
                <w:color w:val="auto"/>
              </w:rPr>
            </w:pPr>
            <w:r>
              <w:rPr>
                <w:rFonts w:ascii="Arial" w:cs="Arial" w:eastAsia="Arial" w:hAnsi="Arial"/>
                <w:sz w:val="17"/>
                <w:szCs w:val="17"/>
                <w:color w:val="auto"/>
              </w:rPr>
              <w:t>Deferred tax liability: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Investment in KICO (2)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1,169,000</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1,169,000</w:t>
            </w:r>
          </w:p>
        </w:tc>
        <w:tc>
          <w:tcPr>
            <w:tcW w:w="0" w:type="dxa"/>
            <w:vAlign w:val="bottom"/>
          </w:tcPr>
          <w:p>
            <w:pPr>
              <w:spacing w:after="0"/>
              <w:rPr>
                <w:sz w:val="1"/>
                <w:szCs w:val="1"/>
                <w:color w:val="auto"/>
              </w:rPr>
            </w:pPr>
          </w:p>
        </w:tc>
      </w:tr>
      <w:tr>
        <w:trPr>
          <w:trHeight w:val="206"/>
        </w:trPr>
        <w:tc>
          <w:tcPr>
            <w:tcW w:w="7320" w:type="dxa"/>
            <w:vAlign w:val="bottom"/>
          </w:tcPr>
          <w:p>
            <w:pPr>
              <w:ind w:left="40"/>
              <w:spacing w:after="0"/>
              <w:rPr>
                <w:sz w:val="20"/>
                <w:szCs w:val="20"/>
                <w:color w:val="auto"/>
              </w:rPr>
            </w:pPr>
            <w:r>
              <w:rPr>
                <w:rFonts w:ascii="Arial" w:cs="Arial" w:eastAsia="Arial" w:hAnsi="Arial"/>
                <w:sz w:val="17"/>
                <w:szCs w:val="17"/>
                <w:color w:val="auto"/>
              </w:rPr>
              <w:t>Deferred acquisition costs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3,555,280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3,055,234</w:t>
            </w: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Intangibles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638,093</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759,400</w:t>
            </w:r>
          </w:p>
        </w:tc>
        <w:tc>
          <w:tcPr>
            <w:tcW w:w="0" w:type="dxa"/>
            <w:vAlign w:val="bottom"/>
          </w:tcPr>
          <w:p>
            <w:pPr>
              <w:spacing w:after="0"/>
              <w:rPr>
                <w:sz w:val="1"/>
                <w:szCs w:val="1"/>
                <w:color w:val="auto"/>
              </w:rPr>
            </w:pPr>
          </w:p>
        </w:tc>
      </w:tr>
      <w:tr>
        <w:trPr>
          <w:trHeight w:val="206"/>
        </w:trPr>
        <w:tc>
          <w:tcPr>
            <w:tcW w:w="7320" w:type="dxa"/>
            <w:vAlign w:val="bottom"/>
          </w:tcPr>
          <w:p>
            <w:pPr>
              <w:ind w:left="4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286,684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291,689</w:t>
            </w: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unrealized appreciation of securities - available for sale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288,558</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491,080</w:t>
            </w:r>
          </w:p>
        </w:tc>
        <w:tc>
          <w:tcPr>
            <w:tcW w:w="0" w:type="dxa"/>
            <w:vAlign w:val="bottom"/>
          </w:tcPr>
          <w:p>
            <w:pPr>
              <w:spacing w:after="0"/>
              <w:rPr>
                <w:sz w:val="1"/>
                <w:szCs w:val="1"/>
                <w:color w:val="auto"/>
              </w:rPr>
            </w:pPr>
          </w:p>
        </w:tc>
      </w:tr>
      <w:tr>
        <w:trPr>
          <w:trHeight w:val="26"/>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320" w:type="dxa"/>
            <w:vAlign w:val="bottom"/>
          </w:tcPr>
          <w:p>
            <w:pPr>
              <w:ind w:left="40"/>
              <w:spacing w:after="0"/>
              <w:rPr>
                <w:sz w:val="20"/>
                <w:szCs w:val="20"/>
                <w:color w:val="auto"/>
              </w:rPr>
            </w:pPr>
            <w:r>
              <w:rPr>
                <w:rFonts w:ascii="Arial" w:cs="Arial" w:eastAsia="Arial" w:hAnsi="Arial"/>
                <w:sz w:val="17"/>
                <w:szCs w:val="17"/>
                <w:color w:val="auto"/>
              </w:rPr>
              <w:t>Total deferred tax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5,937,615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5,766,403</w:t>
            </w: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tcPr>
          <w:p>
            <w:pPr>
              <w:ind w:left="40"/>
              <w:spacing w:after="0"/>
              <w:rPr>
                <w:sz w:val="20"/>
                <w:szCs w:val="20"/>
                <w:color w:val="auto"/>
              </w:rPr>
            </w:pPr>
            <w:r>
              <w:rPr>
                <w:rFonts w:ascii="Arial" w:cs="Arial" w:eastAsia="Arial" w:hAnsi="Arial"/>
                <w:sz w:val="17"/>
                <w:szCs w:val="17"/>
                <w:color w:val="auto"/>
              </w:rPr>
              <w:t>Net deferred income tax liability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(655,461)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(1,137,180)</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7"/>
                <w:szCs w:val="17"/>
                <w:b w:val="1"/>
                <w:bCs w:val="1"/>
                <w:color w:val="auto"/>
              </w:rPr>
              <w:t>_____________________________</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320" w:type="dxa"/>
            <w:vAlign w:val="bottom"/>
          </w:tcPr>
          <w:p>
            <w:pPr>
              <w:spacing w:after="0"/>
              <w:rPr>
                <w:sz w:val="20"/>
                <w:szCs w:val="20"/>
                <w:color w:val="auto"/>
              </w:rPr>
            </w:pPr>
            <w:r>
              <w:rPr>
                <w:rFonts w:ascii="Arial" w:cs="Arial" w:eastAsia="Arial" w:hAnsi="Arial"/>
                <w:sz w:val="17"/>
                <w:szCs w:val="17"/>
                <w:color w:val="auto"/>
              </w:rPr>
              <w:t>(1) The deferred tax assets from net operating loss carryovers (“NOL”) are as follows: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5"/>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320" w:type="dxa"/>
            <w:vAlign w:val="bottom"/>
            <w:tcBorders>
              <w:bottom w:val="single" w:sz="8" w:color="auto"/>
            </w:tcBorders>
          </w:tcPr>
          <w:p>
            <w:pPr>
              <w:ind w:left="3300"/>
              <w:spacing w:after="0"/>
              <w:rPr>
                <w:sz w:val="20"/>
                <w:szCs w:val="20"/>
                <w:color w:val="auto"/>
              </w:rPr>
            </w:pPr>
            <w:r>
              <w:rPr>
                <w:rFonts w:ascii="Arial" w:cs="Arial" w:eastAsia="Arial" w:hAnsi="Arial"/>
                <w:sz w:val="14"/>
                <w:szCs w:val="14"/>
                <w:b w:val="1"/>
                <w:bCs w:val="1"/>
                <w:color w:val="auto"/>
              </w:rPr>
              <w:t>Type of NOL</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3"/>
              </w:rPr>
              <w:t>2014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3"/>
              </w:rPr>
              <w:t>Expiration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w w:val="91"/>
              </w:rPr>
              <w:t>December 31,</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State only (A)</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518,426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567,188</w:t>
            </w: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2035</w:t>
            </w:r>
          </w:p>
        </w:tc>
        <w:tc>
          <w:tcPr>
            <w:tcW w:w="0" w:type="dxa"/>
            <w:vAlign w:val="bottom"/>
          </w:tcPr>
          <w:p>
            <w:pPr>
              <w:spacing w:after="0"/>
              <w:rPr>
                <w:sz w:val="1"/>
                <w:szCs w:val="1"/>
                <w:color w:val="auto"/>
              </w:rPr>
            </w:pPr>
          </w:p>
        </w:tc>
      </w:tr>
      <w:tr>
        <w:trPr>
          <w:trHeight w:val="206"/>
        </w:trPr>
        <w:tc>
          <w:tcPr>
            <w:tcW w:w="7320" w:type="dxa"/>
            <w:vAlign w:val="bottom"/>
          </w:tcPr>
          <w:p>
            <w:pPr>
              <w:ind w:left="40"/>
              <w:spacing w:after="0"/>
              <w:rPr>
                <w:sz w:val="20"/>
                <w:szCs w:val="20"/>
                <w:color w:val="auto"/>
              </w:rPr>
            </w:pPr>
            <w:r>
              <w:rPr>
                <w:rFonts w:ascii="Arial" w:cs="Arial" w:eastAsia="Arial" w:hAnsi="Arial"/>
                <w:sz w:val="17"/>
                <w:szCs w:val="17"/>
                <w:color w:val="auto"/>
              </w:rPr>
              <w:t>Valuation allowance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(344,413)</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(372,638)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State only, net of valuation allowance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174,013</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194,550</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w w:val="91"/>
              </w:rPr>
              <w:t>December 31,</w:t>
            </w:r>
          </w:p>
        </w:tc>
        <w:tc>
          <w:tcPr>
            <w:tcW w:w="0" w:type="dxa"/>
            <w:vAlign w:val="bottom"/>
          </w:tcPr>
          <w:p>
            <w:pPr>
              <w:spacing w:after="0"/>
              <w:rPr>
                <w:sz w:val="1"/>
                <w:szCs w:val="1"/>
                <w:color w:val="auto"/>
              </w:rPr>
            </w:pPr>
          </w:p>
        </w:tc>
      </w:tr>
      <w:tr>
        <w:trPr>
          <w:trHeight w:val="218"/>
        </w:trPr>
        <w:tc>
          <w:tcPr>
            <w:tcW w:w="7320" w:type="dxa"/>
            <w:vAlign w:val="bottom"/>
          </w:tcPr>
          <w:p>
            <w:pPr>
              <w:ind w:left="40"/>
              <w:spacing w:after="0"/>
              <w:rPr>
                <w:sz w:val="20"/>
                <w:szCs w:val="20"/>
                <w:color w:val="auto"/>
              </w:rPr>
            </w:pPr>
            <w:r>
              <w:rPr>
                <w:rFonts w:ascii="Arial" w:cs="Arial" w:eastAsia="Arial" w:hAnsi="Arial"/>
                <w:sz w:val="17"/>
                <w:szCs w:val="17"/>
                <w:color w:val="auto"/>
              </w:rPr>
              <w:t>Amount subject to Annual Limitation, federal only (B)</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13,600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17,000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7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deferred tax asset from net operating loss carryovers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187,613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211,550</w:t>
            </w: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71"/>
        </w:trPr>
        <w:tc>
          <w:tcPr>
            <w:tcW w:w="7320" w:type="dxa"/>
            <w:vAlign w:val="bottom"/>
            <w:tcBorders>
              <w:top w:val="single" w:sz="8" w:color="CCEEFF"/>
            </w:tcBorders>
          </w:tcPr>
          <w:p>
            <w:pPr>
              <w:ind w:left="5620"/>
              <w:spacing w:after="0"/>
              <w:rPr>
                <w:sz w:val="20"/>
                <w:szCs w:val="20"/>
                <w:color w:val="auto"/>
              </w:rPr>
            </w:pPr>
            <w:r>
              <w:rPr>
                <w:rFonts w:ascii="Arial" w:cs="Arial" w:eastAsia="Arial" w:hAnsi="Arial"/>
                <w:sz w:val="17"/>
                <w:szCs w:val="17"/>
                <w:color w:val="auto"/>
              </w:rPr>
              <w:t>28</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7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8" w:name="page29"/>
    <w:bookmarkEnd w:id="28"/>
    <w:p>
      <w:pPr>
        <w:jc w:val="both"/>
        <w:ind w:firstLine="3"/>
        <w:spacing w:after="0" w:line="276" w:lineRule="auto"/>
        <w:tabs>
          <w:tab w:leader="none" w:pos="283" w:val="left"/>
        </w:tabs>
        <w:numPr>
          <w:ilvl w:val="0"/>
          <w:numId w:val="6"/>
        </w:numPr>
        <w:rPr>
          <w:rFonts w:ascii="Arial" w:cs="Arial" w:eastAsia="Arial" w:hAnsi="Arial"/>
          <w:sz w:val="16"/>
          <w:szCs w:val="16"/>
          <w:color w:val="auto"/>
        </w:rPr>
      </w:pPr>
      <w:r>
        <w:rPr>
          <w:rFonts w:ascii="Arial" w:cs="Arial" w:eastAsia="Arial" w:hAnsi="Arial"/>
          <w:sz w:val="16"/>
          <w:szCs w:val="16"/>
          <w:color w:val="auto"/>
        </w:rPr>
        <w:t>Kingstone generates operating losses for state purposes and has prior year NOLs available. The state NOL as of September 30, 2015 and December 31, 2014 was approximately $7,976,000 and $6,834,000, respectively. KICO, the Company’s insurance underwriting subsidiary, is not subject to state income taxes. KICO’s state tax obligations are paid through a gross premiums tax, which is included in the condensed consolidated statements of income and comprehensive income within other underwriting expenses. A valuation allowance has been recorded due to the uncertainty of generating enough state taxable income to utilize 100% of the available state NOLs over their remaining lives, which expire between 2027 and 2035. Effective January 1, 2015, the enacted state tax rate was reduced to 6.5% from 8.33%, resulting in a current period decrease in the available benefit of the state NOL, net of the corresponding valuation adjustment. The decrease in the available benefit of the state net NOL increased the tax provision in the current period by $49,881.</w:t>
      </w:r>
    </w:p>
    <w:p>
      <w:pPr>
        <w:spacing w:after="0" w:line="196" w:lineRule="exact"/>
        <w:rPr>
          <w:rFonts w:ascii="Arial" w:cs="Arial" w:eastAsia="Arial" w:hAnsi="Arial"/>
          <w:sz w:val="16"/>
          <w:szCs w:val="16"/>
          <w:color w:val="auto"/>
        </w:rPr>
      </w:pPr>
    </w:p>
    <w:p>
      <w:pPr>
        <w:jc w:val="both"/>
        <w:ind w:firstLine="3"/>
        <w:spacing w:after="0" w:line="266" w:lineRule="auto"/>
        <w:tabs>
          <w:tab w:leader="none" w:pos="27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has an NOL of $40,000 that is subject to Internal Revenue Code Section 382, which places a limitation on the utilization of the federal NOL loss to approximately $10,000 per year (“Annual Limitation”) as a result of a greater than 50% ownership change of the Company in 1999. The losses subject to the Annual Limitation will be available for future years, expiring through December 31, 2019.</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 Deferred tax liability - investment in KICO</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Under GAAP guidance for business combinations, a temporary difference with an indefinite life exists when the parent has a lower carrying value of its subsidiary for income tax purposes. The Company is required to maintain its deferred tax liability of $1,169,000 related to this temporary difference until the stock of KICO is sold, or the assets of KICO are sold or KICO and the parent are merged.</w:t>
      </w:r>
    </w:p>
    <w:p>
      <w:pPr>
        <w:spacing w:after="0" w:line="21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had no material unrecognized tax benefit and no adjustments to liabilities or operations were required. There were no interest or penalties related to income taxes that have been accrued or recognized as of and for the six months ended June 30, 2015 and 2014. If any had been recognized these would be reported in income tax expense.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auto"/>
        </w:rPr>
        <w:t>IRS Tax Audit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tax returns for years ended December 31, 2012 through 2014 are subject to examination, generally for three years after filing.</w:t>
      </w:r>
    </w:p>
    <w:p>
      <w:pPr>
        <w:spacing w:after="0" w:line="24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In March 2014, the Company received a notice that its federal income tax returns for the years ended December 31, 2011 and 2012 were selected for examination by the Internal Revenue Service. On March 31, 2014, the Company was notified that the examination was cancelled.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Net Income Per Common Share</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Basic net earnings per common share is computed by dividing income available to common shareholders by the weighted-average number of common shares outstanding. Diluted earnings per common share reflect, in periods in which they have a dilutive effect, the impact of common shares issuable upon exercise of stock options. The computation of diluted earnings per common share excludes those options with an exercise price in excess of the average market price of the Company’s common shares during the periods presented.</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computation of diluted earnings per common share excludes outstanding options in periods where the exercise of such options would be anti-dilutive. For the nine months ended September 30, 2015 and 2014, the inclusion of 50,000 and 32,473 options, respectively, in the computation of diluted earnings per common share would have been anti-dilutive for the periods and, as a result, the weighted average number of common shares used in the calculation of diluted earnings per common share has not been adjusted for the effect of such options. For the three months ended September 30, 2015 and 2014, the inclusion of 50,000 and 86,522 options, respectively, in the computation of diluted earnings per common share would have been anti-dilutive for the periods and, as a result, the weighted average number of common shares used in the calculation of diluted earnings per common share has not been adjusted for the effect of such options.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the weighted average number of common shares used in the calculation of basic and diluted earnings per common share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Three months ended</w:t>
            </w:r>
          </w:p>
        </w:tc>
        <w:tc>
          <w:tcPr>
            <w:tcW w:w="25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6"/>
              </w:rPr>
              <w:t>Nine months ended</w:t>
            </w:r>
          </w:p>
        </w:tc>
      </w:tr>
      <w:tr>
        <w:trPr>
          <w:trHeight w:val="170"/>
        </w:trPr>
        <w:tc>
          <w:tcPr>
            <w:tcW w:w="4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731"/>
              <w:spacing w:after="0"/>
              <w:rPr>
                <w:sz w:val="20"/>
                <w:szCs w:val="20"/>
                <w:color w:val="auto"/>
              </w:rPr>
            </w:pPr>
            <w:r>
              <w:rPr>
                <w:rFonts w:ascii="Arial" w:cs="Arial" w:eastAsia="Arial" w:hAnsi="Arial"/>
                <w:sz w:val="14"/>
                <w:szCs w:val="14"/>
                <w:b w:val="1"/>
                <w:bCs w:val="1"/>
                <w:color w:val="auto"/>
                <w:w w:val="87"/>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Borders>
              <w:bottom w:val="single" w:sz="8" w:color="auto"/>
            </w:tcBorders>
            <w:gridSpan w:val="3"/>
          </w:tcPr>
          <w:p>
            <w:pPr>
              <w:jc w:val="center"/>
              <w:ind w:left="683"/>
              <w:spacing w:after="0"/>
              <w:rPr>
                <w:sz w:val="20"/>
                <w:szCs w:val="20"/>
                <w:color w:val="auto"/>
              </w:rPr>
            </w:pPr>
            <w:r>
              <w:rPr>
                <w:rFonts w:ascii="Arial" w:cs="Arial" w:eastAsia="Arial" w:hAnsi="Arial"/>
                <w:sz w:val="14"/>
                <w:szCs w:val="14"/>
                <w:b w:val="1"/>
                <w:bCs w:val="1"/>
                <w:color w:val="auto"/>
                <w:w w:val="87"/>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2"/>
        </w:trPr>
        <w:tc>
          <w:tcPr>
            <w:tcW w:w="4720" w:type="dxa"/>
            <w:vAlign w:val="bottom"/>
          </w:tcPr>
          <w:p>
            <w:pPr>
              <w:spacing w:after="0"/>
              <w:rPr>
                <w:sz w:val="18"/>
                <w:szCs w:val="18"/>
                <w:color w:val="auto"/>
              </w:rPr>
            </w:pPr>
          </w:p>
        </w:tc>
        <w:tc>
          <w:tcPr>
            <w:tcW w:w="2500" w:type="dxa"/>
            <w:vAlign w:val="bottom"/>
            <w:gridSpan w:val="2"/>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ind w:right="358"/>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8"/>
                <w:szCs w:val="18"/>
                <w:color w:val="auto"/>
              </w:rPr>
            </w:pPr>
          </w:p>
        </w:tc>
        <w:tc>
          <w:tcPr>
            <w:tcW w:w="1140" w:type="dxa"/>
            <w:vAlign w:val="bottom"/>
          </w:tcPr>
          <w:p>
            <w:pPr>
              <w:jc w:val="right"/>
              <w:ind w:right="36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3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8"/>
                <w:szCs w:val="18"/>
                <w:color w:val="auto"/>
              </w:rPr>
            </w:pPr>
          </w:p>
        </w:tc>
      </w:tr>
      <w:tr>
        <w:trPr>
          <w:trHeight w:val="206"/>
        </w:trPr>
        <w:tc>
          <w:tcPr>
            <w:tcW w:w="4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4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number of shares outstanding</w:t>
            </w:r>
          </w:p>
        </w:tc>
        <w:tc>
          <w:tcPr>
            <w:tcW w:w="27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7,334,269</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7,294,913</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7,330,178</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7,283,244</w:t>
            </w:r>
          </w:p>
        </w:tc>
      </w:tr>
      <w:tr>
        <w:trPr>
          <w:trHeight w:val="212"/>
        </w:trPr>
        <w:tc>
          <w:tcPr>
            <w:tcW w:w="4720" w:type="dxa"/>
            <w:vAlign w:val="bottom"/>
          </w:tcPr>
          <w:p>
            <w:pPr>
              <w:ind w:left="40"/>
              <w:spacing w:after="0"/>
              <w:rPr>
                <w:sz w:val="20"/>
                <w:szCs w:val="20"/>
                <w:color w:val="auto"/>
              </w:rPr>
            </w:pPr>
            <w:r>
              <w:rPr>
                <w:rFonts w:ascii="Arial" w:cs="Arial" w:eastAsia="Arial" w:hAnsi="Arial"/>
                <w:sz w:val="17"/>
                <w:szCs w:val="17"/>
                <w:color w:val="auto"/>
              </w:rPr>
              <w:t>Effect of dilutive securities, common share equivalents</w:t>
            </w:r>
          </w:p>
        </w:tc>
        <w:tc>
          <w:tcPr>
            <w:tcW w:w="2720" w:type="dxa"/>
            <w:vAlign w:val="bottom"/>
            <w:gridSpan w:val="3"/>
          </w:tcPr>
          <w:p>
            <w:pPr>
              <w:jc w:val="right"/>
              <w:ind w:right="220"/>
              <w:spacing w:after="0"/>
              <w:rPr>
                <w:sz w:val="20"/>
                <w:szCs w:val="20"/>
                <w:color w:val="auto"/>
              </w:rPr>
            </w:pPr>
            <w:r>
              <w:rPr>
                <w:rFonts w:ascii="Arial" w:cs="Arial" w:eastAsia="Arial" w:hAnsi="Arial"/>
                <w:sz w:val="17"/>
                <w:szCs w:val="17"/>
                <w:color w:val="auto"/>
              </w:rPr>
              <w:t>47,357</w:t>
            </w:r>
          </w:p>
        </w:tc>
        <w:tc>
          <w:tcPr>
            <w:tcW w:w="3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83,184</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37,536</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77,050</w:t>
            </w:r>
          </w:p>
        </w:tc>
      </w:tr>
      <w:tr>
        <w:trPr>
          <w:trHeight w:val="206"/>
        </w:trPr>
        <w:tc>
          <w:tcPr>
            <w:tcW w:w="47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4720" w:type="dxa"/>
            <w:vAlign w:val="bottom"/>
          </w:tcPr>
          <w:p>
            <w:pPr>
              <w:ind w:left="40"/>
              <w:spacing w:after="0"/>
              <w:rPr>
                <w:sz w:val="20"/>
                <w:szCs w:val="20"/>
                <w:color w:val="auto"/>
              </w:rPr>
            </w:pPr>
            <w:r>
              <w:rPr>
                <w:rFonts w:ascii="Arial" w:cs="Arial" w:eastAsia="Arial" w:hAnsi="Arial"/>
                <w:sz w:val="17"/>
                <w:szCs w:val="17"/>
                <w:color w:val="auto"/>
              </w:rPr>
              <w:t>Weighted average number of shares outstanding,</w:t>
            </w: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6"/>
        </w:trPr>
        <w:tc>
          <w:tcPr>
            <w:tcW w:w="4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used for computing diluted earnings per share</w:t>
            </w:r>
          </w:p>
        </w:tc>
        <w:tc>
          <w:tcPr>
            <w:tcW w:w="27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7,381,626</w:t>
            </w: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7,378,097</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7,367,714</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7,360,294</w:t>
            </w:r>
          </w:p>
        </w:tc>
      </w:tr>
      <w:tr>
        <w:trPr>
          <w:trHeight w:val="571"/>
        </w:trPr>
        <w:tc>
          <w:tcPr>
            <w:tcW w:w="472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jc w:val="right"/>
              <w:ind w:right="177"/>
              <w:spacing w:after="0"/>
              <w:rPr>
                <w:sz w:val="20"/>
                <w:szCs w:val="20"/>
                <w:color w:val="auto"/>
              </w:rPr>
            </w:pPr>
            <w:r>
              <w:rPr>
                <w:rFonts w:ascii="Arial" w:cs="Arial" w:eastAsia="Arial" w:hAnsi="Arial"/>
                <w:sz w:val="17"/>
                <w:szCs w:val="17"/>
                <w:color w:val="auto"/>
              </w:rPr>
              <w:t>30</w:t>
            </w: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4"/>
        </w:trPr>
        <w:tc>
          <w:tcPr>
            <w:tcW w:w="47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Note 11 - 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Litigation</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From time to time, the Company is involved in various legal proceedings in the ordinary course of business. For example, to the extent a claim asserted by a third party in a law 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The Company is not subject to any other pending legal proceedings that management believes are likely to have a material adverse effect on the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State Insurance Regulation</w:t>
      </w:r>
    </w:p>
    <w:p>
      <w:pPr>
        <w:spacing w:after="0" w:line="233"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In the aftermath of Superstorm Sandy, the New York State Department of Financial Services (the “DFS”) adopted various regulations that affect insurance companies that operate in the state of New York. Included among the regulations are accelerated claims investigation and settlement requirements and mandatory participation in non-binding mediation proceedings funded by the insurer. Further, in February 2013, the state of New York announced that the DFS commenced an investigation into the claims practices of three insurance companies, including KICO, in connection with Superstorm Sandy claims. The DFS stated that the three insurers had a much larger than average consumer complaint rate with regard to Superstorm Sandy claims and indicated that the three insurers were being investigated for (i) failure to send adjusters in a timely manner; (ii) failure to process claims in a timely manner; and (iii) inability of homeowners to contact insurance company representatives. KICO received a letter from the DFS seeking information and data with regard to the foregoing. KICO has cooperated with the DFS in connection with its investigation. On March 14, 2013, KICO supplied requested information and met with the DFS on May 23, 2013. KICO has not received a response from the DFS since its meeting on May 23, 2013 and believes that such matter will not have any effect on the Company’s financial position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Office Lease</w:t>
      </w:r>
    </w:p>
    <w:p>
      <w:pPr>
        <w:spacing w:after="0" w:line="24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On March 27, 2015, the Company entered into a lease agreement for an additional office facility for KICO located in Valley Stream, NY under a non-cancelable operating lease. In addition to the base rental costs, occupancy lease agreements generally provide for rent escalations resulting from increased assessments from real estate taxes and other charges.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lease commencement date was July 1, 2015 and rent commencement begins January 1, 2016. The lease has a term of seven years and six months.</w:t>
      </w:r>
    </w:p>
    <w:p>
      <w:pPr>
        <w:spacing w:after="0" w:line="255"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Rent expense under the lease will be recognized on a straight-line basis over the lease term. At September 30, 2015, cumulative rent expense exceeded cumulative rent payments by $26,126. This difference is recorded as deferred rent and is included in accounts payable, accrued expenses and other liabilities in the accompanying condensed consolidated balance sheets.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As of September 30, 2015, aggregate future minimum rental commitments under this agreement are as follows:</w:t>
      </w:r>
    </w:p>
    <w:p>
      <w:pPr>
        <w:spacing w:after="0" w:line="237" w:lineRule="exact"/>
        <w:rPr>
          <w:sz w:val="20"/>
          <w:szCs w:val="20"/>
          <w:color w:val="auto"/>
        </w:rPr>
      </w:pPr>
    </w:p>
    <w:tbl>
      <w:tblPr>
        <w:tblLayout w:type="fixed"/>
        <w:tblInd w:w="2860" w:type="dxa"/>
        <w:tblCellMar>
          <w:top w:w="0" w:type="dxa"/>
          <w:left w:w="0" w:type="dxa"/>
          <w:bottom w:w="0" w:type="dxa"/>
          <w:right w:w="0" w:type="dxa"/>
        </w:tblCellMar>
      </w:tblPr>
      <w:tr>
        <w:trPr>
          <w:trHeight w:val="206"/>
        </w:trPr>
        <w:tc>
          <w:tcPr>
            <w:tcW w:w="3520" w:type="dxa"/>
            <w:vAlign w:val="bottom"/>
          </w:tcPr>
          <w:p>
            <w:pPr>
              <w:jc w:val="center"/>
              <w:spacing w:after="0"/>
              <w:rPr>
                <w:sz w:val="20"/>
                <w:szCs w:val="20"/>
                <w:color w:val="auto"/>
              </w:rPr>
            </w:pPr>
            <w:r>
              <w:rPr>
                <w:rFonts w:ascii="Arial" w:cs="Arial" w:eastAsia="Arial" w:hAnsi="Arial"/>
                <w:sz w:val="17"/>
                <w:szCs w:val="17"/>
                <w:b w:val="1"/>
                <w:bCs w:val="1"/>
                <w:color w:val="auto"/>
                <w:w w:val="92"/>
              </w:rPr>
              <w:t>For the Year</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6"/>
        </w:trPr>
        <w:tc>
          <w:tcPr>
            <w:tcW w:w="3520" w:type="dxa"/>
            <w:vAlign w:val="bottom"/>
          </w:tcPr>
          <w:p>
            <w:pPr>
              <w:jc w:val="center"/>
              <w:spacing w:after="0"/>
              <w:rPr>
                <w:sz w:val="20"/>
                <w:szCs w:val="20"/>
                <w:color w:val="auto"/>
              </w:rPr>
            </w:pPr>
            <w:r>
              <w:rPr>
                <w:rFonts w:ascii="Arial" w:cs="Arial" w:eastAsia="Arial" w:hAnsi="Arial"/>
                <w:sz w:val="17"/>
                <w:szCs w:val="17"/>
                <w:b w:val="1"/>
                <w:bCs w:val="1"/>
                <w:color w:val="auto"/>
                <w:w w:val="90"/>
              </w:rPr>
              <w:t>Ending</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1"/>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December 31,</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Total</w:t>
            </w:r>
          </w:p>
        </w:tc>
        <w:tc>
          <w:tcPr>
            <w:tcW w:w="180" w:type="dxa"/>
            <w:vAlign w:val="bottom"/>
          </w:tcPr>
          <w:p>
            <w:pPr>
              <w:spacing w:after="0"/>
              <w:rPr>
                <w:sz w:val="20"/>
                <w:szCs w:val="20"/>
                <w:color w:val="auto"/>
              </w:rPr>
            </w:pPr>
          </w:p>
        </w:tc>
      </w:tr>
      <w:tr>
        <w:trPr>
          <w:trHeight w:val="206"/>
        </w:trPr>
        <w:tc>
          <w:tcPr>
            <w:tcW w:w="3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2015</w:t>
            </w:r>
          </w:p>
        </w:tc>
        <w:tc>
          <w:tcPr>
            <w:tcW w:w="580" w:type="dxa"/>
            <w:vAlign w:val="bottom"/>
            <w:gridSpan w:val="2"/>
            <w:shd w:val="clear" w:color="auto" w:fill="CCEEFF"/>
          </w:tcPr>
          <w:p>
            <w:pPr>
              <w:jc w:val="right"/>
              <w:ind w:right="265"/>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r>
      <w:tr>
        <w:trPr>
          <w:trHeight w:val="206"/>
        </w:trPr>
        <w:tc>
          <w:tcPr>
            <w:tcW w:w="3520" w:type="dxa"/>
            <w:vAlign w:val="bottom"/>
          </w:tcPr>
          <w:p>
            <w:pPr>
              <w:jc w:val="center"/>
              <w:spacing w:after="0"/>
              <w:rPr>
                <w:sz w:val="20"/>
                <w:szCs w:val="20"/>
                <w:color w:val="auto"/>
              </w:rPr>
            </w:pPr>
            <w:r>
              <w:rPr>
                <w:rFonts w:ascii="Arial" w:cs="Arial" w:eastAsia="Arial" w:hAnsi="Arial"/>
                <w:sz w:val="17"/>
                <w:szCs w:val="17"/>
                <w:color w:val="auto"/>
                <w:w w:val="89"/>
              </w:rPr>
              <w:t>2016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100,750</w:t>
            </w:r>
          </w:p>
        </w:tc>
        <w:tc>
          <w:tcPr>
            <w:tcW w:w="180" w:type="dxa"/>
            <w:vAlign w:val="bottom"/>
          </w:tcPr>
          <w:p>
            <w:pPr>
              <w:spacing w:after="0"/>
              <w:rPr>
                <w:sz w:val="17"/>
                <w:szCs w:val="17"/>
                <w:color w:val="auto"/>
              </w:rPr>
            </w:pPr>
          </w:p>
        </w:tc>
      </w:tr>
      <w:tr>
        <w:trPr>
          <w:trHeight w:val="206"/>
        </w:trPr>
        <w:tc>
          <w:tcPr>
            <w:tcW w:w="3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2017</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104,276</w:t>
            </w:r>
          </w:p>
        </w:tc>
        <w:tc>
          <w:tcPr>
            <w:tcW w:w="180" w:type="dxa"/>
            <w:vAlign w:val="bottom"/>
            <w:shd w:val="clear" w:color="auto" w:fill="CCEEFF"/>
          </w:tcPr>
          <w:p>
            <w:pPr>
              <w:spacing w:after="0"/>
              <w:rPr>
                <w:sz w:val="17"/>
                <w:szCs w:val="17"/>
                <w:color w:val="auto"/>
              </w:rPr>
            </w:pPr>
          </w:p>
        </w:tc>
      </w:tr>
      <w:tr>
        <w:trPr>
          <w:trHeight w:val="206"/>
        </w:trPr>
        <w:tc>
          <w:tcPr>
            <w:tcW w:w="3520" w:type="dxa"/>
            <w:vAlign w:val="bottom"/>
          </w:tcPr>
          <w:p>
            <w:pPr>
              <w:jc w:val="center"/>
              <w:spacing w:after="0"/>
              <w:rPr>
                <w:sz w:val="20"/>
                <w:szCs w:val="20"/>
                <w:color w:val="auto"/>
              </w:rPr>
            </w:pPr>
            <w:r>
              <w:rPr>
                <w:rFonts w:ascii="Arial" w:cs="Arial" w:eastAsia="Arial" w:hAnsi="Arial"/>
                <w:sz w:val="17"/>
                <w:szCs w:val="17"/>
                <w:color w:val="auto"/>
                <w:w w:val="89"/>
              </w:rPr>
              <w:t>2018</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107,926</w:t>
            </w:r>
          </w:p>
        </w:tc>
        <w:tc>
          <w:tcPr>
            <w:tcW w:w="180" w:type="dxa"/>
            <w:vAlign w:val="bottom"/>
          </w:tcPr>
          <w:p>
            <w:pPr>
              <w:spacing w:after="0"/>
              <w:rPr>
                <w:sz w:val="17"/>
                <w:szCs w:val="17"/>
                <w:color w:val="auto"/>
              </w:rPr>
            </w:pPr>
          </w:p>
        </w:tc>
      </w:tr>
      <w:tr>
        <w:trPr>
          <w:trHeight w:val="206"/>
        </w:trPr>
        <w:tc>
          <w:tcPr>
            <w:tcW w:w="3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2019</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111,703</w:t>
            </w:r>
          </w:p>
        </w:tc>
        <w:tc>
          <w:tcPr>
            <w:tcW w:w="180" w:type="dxa"/>
            <w:vAlign w:val="bottom"/>
            <w:shd w:val="clear" w:color="auto" w:fill="CCEEFF"/>
          </w:tcPr>
          <w:p>
            <w:pPr>
              <w:spacing w:after="0"/>
              <w:rPr>
                <w:sz w:val="17"/>
                <w:szCs w:val="17"/>
                <w:color w:val="auto"/>
              </w:rPr>
            </w:pPr>
          </w:p>
        </w:tc>
      </w:tr>
      <w:tr>
        <w:trPr>
          <w:trHeight w:val="212"/>
        </w:trPr>
        <w:tc>
          <w:tcPr>
            <w:tcW w:w="3520" w:type="dxa"/>
            <w:vAlign w:val="bottom"/>
          </w:tcPr>
          <w:p>
            <w:pPr>
              <w:jc w:val="center"/>
              <w:spacing w:after="0"/>
              <w:rPr>
                <w:sz w:val="20"/>
                <w:szCs w:val="20"/>
                <w:color w:val="auto"/>
              </w:rPr>
            </w:pPr>
            <w:r>
              <w:rPr>
                <w:rFonts w:ascii="Arial" w:cs="Arial" w:eastAsia="Arial" w:hAnsi="Arial"/>
                <w:sz w:val="17"/>
                <w:szCs w:val="17"/>
                <w:color w:val="auto"/>
                <w:w w:val="91"/>
              </w:rPr>
              <w:t>Thereafter</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359,119</w:t>
            </w:r>
          </w:p>
        </w:tc>
        <w:tc>
          <w:tcPr>
            <w:tcW w:w="180" w:type="dxa"/>
            <w:vAlign w:val="bottom"/>
          </w:tcPr>
          <w:p>
            <w:pPr>
              <w:spacing w:after="0"/>
              <w:rPr>
                <w:sz w:val="18"/>
                <w:szCs w:val="18"/>
                <w:color w:val="auto"/>
              </w:rPr>
            </w:pPr>
          </w:p>
        </w:tc>
      </w:tr>
      <w:tr>
        <w:trPr>
          <w:trHeight w:val="246"/>
        </w:trPr>
        <w:tc>
          <w:tcPr>
            <w:tcW w:w="3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783,774</w:t>
            </w:r>
          </w:p>
        </w:tc>
        <w:tc>
          <w:tcPr>
            <w:tcW w:w="180" w:type="dxa"/>
            <w:vAlign w:val="bottom"/>
            <w:tcBorders>
              <w:bottom w:val="single" w:sz="8" w:color="CCEEFF"/>
            </w:tcBorders>
            <w:shd w:val="clear" w:color="auto" w:fill="CCEEFF"/>
          </w:tcPr>
          <w:p>
            <w:pPr>
              <w:spacing w:after="0"/>
              <w:rPr>
                <w:sz w:val="21"/>
                <w:szCs w:val="21"/>
                <w:color w:val="auto"/>
              </w:rPr>
            </w:pPr>
          </w:p>
        </w:tc>
      </w:tr>
    </w:tbl>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Rent expense for the nine months and three months ended September 30, 2015 amounted to $26,126 and is included in the condensed consolidated statements of income and comprehensive income within other underwriting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Premium Finance Placement Fees</w:t>
      </w:r>
    </w:p>
    <w:p>
      <w:pPr>
        <w:spacing w:after="0" w:line="24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Company’s wholly owned subsidiary, Payments Inc. (“Payments”), is licensed as a premium finance agency in the state of New York. Prior to February 1, 2008, Payments provided premium financing in connection with the obtaining of insurance policies. Effective February 1, 2008, Payments sold its outstanding premium finance loan portfolio. The purchaser of the portfolio (the “Purchaser”) agreed that, during the five year period ended February 1, 2013 (which period was extended to February 1, 2015), it would purchase, assume and service all eligible premium finance contracts originated by Payments in the state of New York (the “Agreement”). In connection with such purchases, Payments was entitled to receive a fee generally equal to a percentage of the amount financed.</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On July 17, 2014, the Purchaser terminated the Agreement effective February 1, 2015. Following any expiration or termination of the obligation of the Purchaser to purchase premium finance contracts, Payments was entitled to receive the fees for an additional two years (“Termination Period”) with regard to contracts for policies from the Company’s producers. On March 26, 2015, the Company and the Purchaser agreed to amend the Termination Period to end as of March 31, 2015. The Company received a one-time payment of $350,000 in exchange for the fees that the Company would have received during the Termination Period. The Company’s premium financing business consisted of the placement fees that Payments earned from placing contracts.</w:t>
      </w:r>
    </w:p>
    <w:p>
      <w:pPr>
        <w:spacing w:after="0" w:line="192"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Placement fee revenue included in other income and the related direct expenses included in other operating expenses in the condensed consolidated statements of net income and comprehensive income are as follows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7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23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For the Nine Months Ended</w:t>
            </w:r>
          </w:p>
        </w:tc>
      </w:tr>
      <w:tr>
        <w:trPr>
          <w:trHeight w:val="170"/>
        </w:trPr>
        <w:tc>
          <w:tcPr>
            <w:tcW w:w="60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2"/>
        </w:trPr>
        <w:tc>
          <w:tcPr>
            <w:tcW w:w="60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8"/>
                <w:szCs w:val="18"/>
                <w:color w:val="auto"/>
              </w:rPr>
            </w:pPr>
          </w:p>
        </w:tc>
      </w:tr>
      <w:tr>
        <w:trPr>
          <w:trHeight w:val="206"/>
        </w:trPr>
        <w:tc>
          <w:tcPr>
            <w:tcW w:w="6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Placement fee revenue</w:t>
            </w:r>
          </w:p>
        </w:tc>
        <w:tc>
          <w:tcPr>
            <w:tcW w:w="780" w:type="dxa"/>
            <w:vAlign w:val="bottom"/>
            <w:shd w:val="clear" w:color="auto" w:fill="CCEEFF"/>
          </w:tcPr>
          <w:p>
            <w:pPr>
              <w:jc w:val="right"/>
              <w:ind w:right="603"/>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51,810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54,343</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180,970</w:t>
            </w:r>
          </w:p>
        </w:tc>
      </w:tr>
      <w:tr>
        <w:trPr>
          <w:trHeight w:val="206"/>
        </w:trPr>
        <w:tc>
          <w:tcPr>
            <w:tcW w:w="6060" w:type="dxa"/>
            <w:vAlign w:val="bottom"/>
          </w:tcPr>
          <w:p>
            <w:pPr>
              <w:ind w:left="40"/>
              <w:spacing w:after="0"/>
              <w:rPr>
                <w:sz w:val="20"/>
                <w:szCs w:val="20"/>
                <w:color w:val="auto"/>
              </w:rPr>
            </w:pPr>
            <w:r>
              <w:rPr>
                <w:rFonts w:ascii="Arial" w:cs="Arial" w:eastAsia="Arial" w:hAnsi="Arial"/>
                <w:sz w:val="17"/>
                <w:szCs w:val="17"/>
                <w:color w:val="auto"/>
              </w:rPr>
              <w:t>Early termination fee</w:t>
            </w:r>
          </w:p>
        </w:tc>
        <w:tc>
          <w:tcPr>
            <w:tcW w:w="7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350,000</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6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Direct expenses</w:t>
            </w: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(13,966)</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(12,989)</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(43,002)</w:t>
            </w:r>
          </w:p>
        </w:tc>
      </w:tr>
      <w:tr>
        <w:trPr>
          <w:trHeight w:val="26"/>
        </w:trPr>
        <w:tc>
          <w:tcPr>
            <w:tcW w:w="60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6060" w:type="dxa"/>
            <w:vAlign w:val="bottom"/>
          </w:tcPr>
          <w:p>
            <w:pPr>
              <w:ind w:left="40"/>
              <w:spacing w:after="0"/>
              <w:rPr>
                <w:sz w:val="20"/>
                <w:szCs w:val="20"/>
                <w:color w:val="auto"/>
              </w:rPr>
            </w:pPr>
            <w:r>
              <w:rPr>
                <w:rFonts w:ascii="Arial" w:cs="Arial" w:eastAsia="Arial" w:hAnsi="Arial"/>
                <w:sz w:val="17"/>
                <w:szCs w:val="17"/>
                <w:color w:val="auto"/>
              </w:rPr>
              <w:t>Net income before taxes from placement fees</w:t>
            </w:r>
          </w:p>
        </w:tc>
        <w:tc>
          <w:tcPr>
            <w:tcW w:w="780" w:type="dxa"/>
            <w:vAlign w:val="bottom"/>
          </w:tcPr>
          <w:p>
            <w:pPr>
              <w:jc w:val="right"/>
              <w:ind w:right="603"/>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37,844</w:t>
            </w:r>
          </w:p>
        </w:tc>
        <w:tc>
          <w:tcPr>
            <w:tcW w:w="24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391,354</w:t>
            </w:r>
          </w:p>
        </w:tc>
        <w:tc>
          <w:tcPr>
            <w:tcW w:w="220" w:type="dxa"/>
            <w:vAlign w:val="bottom"/>
          </w:tcPr>
          <w:p>
            <w:pPr>
              <w:spacing w:after="0"/>
              <w:rPr>
                <w:sz w:val="17"/>
                <w:szCs w:val="17"/>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137,968</w:t>
            </w:r>
          </w:p>
        </w:tc>
      </w:tr>
      <w:tr>
        <w:trPr>
          <w:trHeight w:val="20"/>
        </w:trPr>
        <w:tc>
          <w:tcPr>
            <w:tcW w:w="60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Subsequent Events</w:t>
      </w:r>
    </w:p>
    <w:p>
      <w:pPr>
        <w:spacing w:after="0" w:line="24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Company has evaluated events that occurred subsequent to September 30, 2015 through the date these financial statements were issued for matters that required disclosure or adjustment in these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Dividends Declared and Paid</w:t>
      </w:r>
    </w:p>
    <w:p>
      <w:pPr>
        <w:spacing w:after="0" w:line="24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On November 10, 2015, the Company’s Board of Directors approved a quarterly dividend of $.0625 per share payable in cash on December 14, 2015 to stockholders of record as of November 30, 2015.</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2" w:name="page33"/>
    <w:bookmarkEnd w:id="32"/>
    <w:p>
      <w:pPr>
        <w:spacing w:after="0"/>
        <w:tabs>
          <w:tab w:leader="none" w:pos="1200" w:val="left"/>
        </w:tabs>
        <w:rPr>
          <w:sz w:val="20"/>
          <w:szCs w:val="20"/>
          <w:color w:val="auto"/>
        </w:rPr>
      </w:pPr>
      <w:r>
        <w:rPr>
          <w:rFonts w:ascii="Arial" w:cs="Arial" w:eastAsia="Arial" w:hAnsi="Arial"/>
          <w:sz w:val="17"/>
          <w:szCs w:val="17"/>
          <w:b w:val="1"/>
          <w:bCs w:val="1"/>
          <w:u w:val="single" w:color="auto"/>
          <w:color w:val="auto"/>
        </w:rPr>
        <w:t>ITEM 2</w:t>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u w:val="single" w:color="auto"/>
          <w:color w:val="auto"/>
        </w:rPr>
        <w:t>MANAGEMENT’S DISCUSSION AND ANALYSIS OF FINANCIAL CONDITION AND RESULTS OF OPERATIONS</w:t>
      </w:r>
      <w:r>
        <w:rPr>
          <w:rFonts w:ascii="Arial" w:cs="Arial" w:eastAsia="Arial" w:hAnsi="Arial"/>
          <w:sz w:val="17"/>
          <w:szCs w:val="17"/>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offer property and casualty insurance products to small businesses and individuals in New York State through our subsidiary, Kingstone Insurance Company (“KICO”). KICO’s insureds are located primarily in downstate New York, consisting of New York City, Long Island and Westchester County. We are also licensed in the States of New Jersey, Connecticut, Pennsylvania and Texas.</w:t>
      </w:r>
    </w:p>
    <w:p>
      <w:pPr>
        <w:spacing w:after="0" w:line="202"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for a one year period. Earned premiums represent premiums received from insureds, which are recognized as revenue over the period of time that insurance coverage is provided (i.e., ratably over the one year life of the policy). A significant period of time normally elapses between the receipt of insurance premiums and the payment of insurance claims. During this time, KICO invests the premiums, earns investment income and generates net realized and unrealized investment gains and losses on investments.</w:t>
      </w:r>
    </w:p>
    <w:p>
      <w:pPr>
        <w:spacing w:after="0" w:line="210"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Our expenses include the insurance underwriting expenses of KICO and other operating expenses. Insurance companies incur a significant amount of their total expenses from losses incurred by policyholders, which are commonly referred to as claims. In settling these claims for losses, various loss adjustment expenses (“LAE”) are incurred such as insurance adjusters’ fees and litigation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206"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Other operating expenses include our corporate expenses as a holding company. These expenses include legal and auditing fees, executive employment costs, and other costs directly associated with being a public company.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Lines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product lines include the following:</w:t>
      </w:r>
    </w:p>
    <w:p>
      <w:pPr>
        <w:spacing w:after="0" w:line="24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b w:val="1"/>
          <w:bCs w:val="1"/>
          <w:i w:val="1"/>
          <w:iCs w:val="1"/>
          <w:color w:val="auto"/>
        </w:rPr>
        <w:t xml:space="preserve">Personal lines: </w:t>
      </w:r>
      <w:r>
        <w:rPr>
          <w:rFonts w:ascii="Arial" w:cs="Arial" w:eastAsia="Arial" w:hAnsi="Arial"/>
          <w:sz w:val="17"/>
          <w:szCs w:val="17"/>
          <w:color w:val="auto"/>
        </w:rPr>
        <w:t>Our largest line of business is personal lines, consisting of homeowners, dwelling fire, 3-4 family dwelling package, cooperative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condominium, renters, equipment breakdown and service line endorsements, and personal umbrella policies.</w:t>
      </w:r>
    </w:p>
    <w:p>
      <w:pPr>
        <w:spacing w:after="0" w:line="189" w:lineRule="exact"/>
        <w:rPr>
          <w:sz w:val="20"/>
          <w:szCs w:val="20"/>
          <w:color w:val="auto"/>
        </w:rPr>
      </w:pPr>
    </w:p>
    <w:p>
      <w:pPr>
        <w:jc w:val="both"/>
        <w:ind w:firstLine="662"/>
        <w:spacing w:after="0" w:line="280"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We offer business owners policies, which consist primarily of small business retail risks without a residential exposure. We also write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artisan’s liability policies and special multi-peril property and liability policies.</w:t>
      </w:r>
    </w:p>
    <w:p>
      <w:pPr>
        <w:spacing w:after="0" w:line="18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b w:val="1"/>
          <w:bCs w:val="1"/>
          <w:i w:val="1"/>
          <w:iCs w:val="1"/>
          <w:color w:val="auto"/>
        </w:rPr>
        <w:t xml:space="preserve">Commercial automobile: </w:t>
      </w:r>
      <w:r>
        <w:rPr>
          <w:rFonts w:ascii="Arial" w:cs="Arial" w:eastAsia="Arial" w:hAnsi="Arial"/>
          <w:sz w:val="17"/>
          <w:szCs w:val="17"/>
          <w:color w:val="auto"/>
        </w:rPr>
        <w:t>We provided physical damage and liability coverage for light vehicles owned by small contractors and artisans. Due to the poor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of this line, effective October 1, 2014, we decided to no longer accept new commercial auto policies. In February 2015, we decided to no longer offer renewals to our existing commercial auto policies beginning with those that expired on or after May 1, 2015.</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3" w:name="page34"/>
    <w:bookmarkEnd w:id="33"/>
    <w:p>
      <w:pPr>
        <w:jc w:val="both"/>
        <w:ind w:firstLine="620"/>
        <w:spacing w:after="0" w:line="280" w:lineRule="auto"/>
        <w:rPr>
          <w:sz w:val="20"/>
          <w:szCs w:val="20"/>
          <w:color w:val="auto"/>
        </w:rPr>
      </w:pPr>
      <w:r>
        <w:rPr>
          <w:rFonts w:ascii="Arial" w:cs="Arial" w:eastAsia="Arial" w:hAnsi="Arial"/>
          <w:sz w:val="17"/>
          <w:szCs w:val="17"/>
          <w:b w:val="1"/>
          <w:bCs w:val="1"/>
          <w:i w:val="1"/>
          <w:iCs w:val="1"/>
          <w:color w:val="auto"/>
        </w:rPr>
        <w:t xml:space="preserve">Livery physical damage: </w:t>
      </w:r>
      <w:r>
        <w:rPr>
          <w:rFonts w:ascii="Arial" w:cs="Arial" w:eastAsia="Arial" w:hAnsi="Arial"/>
          <w:sz w:val="17"/>
          <w:szCs w:val="17"/>
          <w:color w:val="auto"/>
        </w:rPr>
        <w:t>We write for-hire vehicle physical damage only policies for livery and car service vehicles and taxicabs. These policies insure only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physical damage portion of insurance for such vehicles, with no liability coverage included.</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 xml:space="preserve">Other: </w:t>
      </w:r>
      <w:r>
        <w:rPr>
          <w:rFonts w:ascii="Arial" w:cs="Arial" w:eastAsia="Arial" w:hAnsi="Arial"/>
          <w:sz w:val="17"/>
          <w:szCs w:val="17"/>
          <w:color w:val="auto"/>
        </w:rPr>
        <w:t>We write canine legal liability policies and also have a small participation in mandatory state joint underwriting associations.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Measures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utilize the following key measures in analyzing the results of our insurance underwriting business:</w:t>
      </w:r>
    </w:p>
    <w:p>
      <w:pPr>
        <w:spacing w:after="0" w:line="24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b w:val="1"/>
          <w:bCs w:val="1"/>
          <w:i w:val="1"/>
          <w:iCs w:val="1"/>
          <w:color w:val="auto"/>
        </w:rPr>
        <w:t xml:space="preserve">Net loss ratio: </w:t>
      </w:r>
      <w:r>
        <w:rPr>
          <w:rFonts w:ascii="Arial" w:cs="Arial" w:eastAsia="Arial" w:hAnsi="Arial"/>
          <w:sz w:val="17"/>
          <w:szCs w:val="17"/>
          <w:color w:val="auto"/>
        </w:rPr>
        <w:t>The net loss ratio is a measure of the underwriting profitability of an insurance company’s business. Expressed as a percentage, this 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ratio of net losses and loss adjustment expenses (“LAE”) incurred to net premiums earned.</w:t>
      </w:r>
    </w:p>
    <w:p>
      <w:pPr>
        <w:spacing w:after="0" w:line="18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 administering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202"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b w:val="1"/>
          <w:bCs w:val="1"/>
          <w:i w:val="1"/>
          <w:iCs w:val="1"/>
          <w:color w:val="auto"/>
        </w:rPr>
        <w:t xml:space="preserve">Net combined ratio: </w:t>
      </w:r>
      <w:r>
        <w:rPr>
          <w:rFonts w:ascii="Arial" w:cs="Arial" w:eastAsia="Arial" w:hAnsi="Arial"/>
          <w:sz w:val="17"/>
          <w:szCs w:val="17"/>
          <w:color w:val="auto"/>
        </w:rPr>
        <w:t>The net combined ratio is a measure of an insurance company’s overall underwriting profit. This is the sum of the net loss and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underwriting expense ratios. If the net combined ratio is at or above 100 percent, an insurance company cannot be profitable without investment income, and may not be profitable if investment income is insufficient.</w:t>
      </w:r>
    </w:p>
    <w:p>
      <w:pPr>
        <w:spacing w:after="0" w:line="202"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b w:val="1"/>
          <w:bCs w:val="1"/>
          <w:i w:val="1"/>
          <w:iCs w:val="1"/>
          <w:color w:val="auto"/>
        </w:rPr>
        <w:t xml:space="preserve">Underwriting income: </w:t>
      </w:r>
      <w:r>
        <w:rPr>
          <w:rFonts w:ascii="Arial" w:cs="Arial" w:eastAsia="Arial" w:hAnsi="Arial"/>
          <w:sz w:val="17"/>
          <w:szCs w:val="17"/>
          <w:color w:val="auto"/>
        </w:rPr>
        <w:t>Underwriting income is net pre-tax income attributable to our insurance underwriting business before investment activity. It excludes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9" w:lineRule="exact"/>
        <w:rPr>
          <w:sz w:val="20"/>
          <w:szCs w:val="20"/>
          <w:color w:val="auto"/>
        </w:rPr>
      </w:pPr>
    </w:p>
    <w:p>
      <w:pPr>
        <w:jc w:val="both"/>
        <w:ind w:firstLine="620"/>
        <w:spacing w:after="0" w:line="256" w:lineRule="auto"/>
        <w:rPr>
          <w:sz w:val="20"/>
          <w:szCs w:val="20"/>
          <w:color w:val="auto"/>
        </w:rPr>
      </w:pPr>
      <w:r>
        <w:rPr>
          <w:rFonts w:ascii="Arial" w:cs="Arial" w:eastAsia="Arial" w:hAnsi="Arial"/>
          <w:sz w:val="17"/>
          <w:szCs w:val="17"/>
          <w:color w:val="auto"/>
        </w:rPr>
        <w:t>Our condensed consolidated financial statements include the accounts of Kingstone Companies, Inc. and all majority-owned and controlled subsidiaries. The preparation of financial statements in conformity with accounting principles generally accepted in the United States requires our management to make estimates and assumptions in certain circumstances that affect amounts reported in our consolidated financial statements and related notes. In preparing these financial statements, our management has utilized information available including our past history, industry standards and the current economic environment, among other factors, in forming its estimates and judgments of certain amounts included in the consolidated financial statements, giving due consideration to materiality. It is possible that the ultimate outcome as anticipated by our management in formulating its estimates inherent in these financial statements might not materialize. However,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companies in similar businesses.</w:t>
      </w:r>
    </w:p>
    <w:p>
      <w:pPr>
        <w:spacing w:after="0" w:line="188"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to the condensed consolidated financial statements - “Accounting Policies” for information related to updated accounting policies.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Nine Months Ended September 30, 2015 Compared to Nine Months Ended September 30, 2014</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changes in the results of our operations (in thousands)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89"/>
              </w:rPr>
              <w:t>Nine months ended September 30,</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2"/>
        </w:trPr>
        <w:tc>
          <w:tcPr>
            <w:tcW w:w="592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8"/>
                <w:szCs w:val="18"/>
                <w:color w:val="auto"/>
              </w:rPr>
            </w:pPr>
          </w:p>
        </w:tc>
      </w:tr>
      <w:tr>
        <w:trPr>
          <w:trHeight w:val="206"/>
        </w:trPr>
        <w:tc>
          <w:tcPr>
            <w:tcW w:w="59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 written premiums</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67,227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56,729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10,498</w:t>
            </w:r>
          </w:p>
        </w:tc>
        <w:tc>
          <w:tcPr>
            <w:tcW w:w="14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18.5%</w:t>
            </w:r>
          </w:p>
        </w:tc>
      </w:tr>
      <w:tr>
        <w:trPr>
          <w:trHeight w:val="206"/>
        </w:trPr>
        <w:tc>
          <w:tcPr>
            <w:tcW w:w="5920" w:type="dxa"/>
            <w:vAlign w:val="bottom"/>
          </w:tcPr>
          <w:p>
            <w:pPr>
              <w:ind w:left="200"/>
              <w:spacing w:after="0"/>
              <w:rPr>
                <w:sz w:val="20"/>
                <w:szCs w:val="20"/>
                <w:color w:val="auto"/>
              </w:rPr>
            </w:pPr>
            <w:r>
              <w:rPr>
                <w:rFonts w:ascii="Arial" w:cs="Arial" w:eastAsia="Arial" w:hAnsi="Arial"/>
                <w:sz w:val="17"/>
                <w:szCs w:val="17"/>
                <w:color w:val="auto"/>
              </w:rPr>
              <w:t>Assumed written premiums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(12.8)</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2"/>
        </w:trPr>
        <w:tc>
          <w:tcPr>
            <w:tcW w:w="5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67,261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56,768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10,493</w:t>
            </w:r>
          </w:p>
        </w:tc>
        <w:tc>
          <w:tcPr>
            <w:tcW w:w="14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18.5%</w:t>
            </w:r>
          </w:p>
        </w:tc>
      </w:tr>
      <w:tr>
        <w:trPr>
          <w:trHeight w:val="206"/>
        </w:trPr>
        <w:tc>
          <w:tcPr>
            <w:tcW w:w="5920" w:type="dxa"/>
            <w:vAlign w:val="bottom"/>
            <w:tcBorders>
              <w:top w:val="single" w:sz="8" w:color="CCEEFF"/>
            </w:tcBorders>
          </w:tcPr>
          <w:p>
            <w:pPr>
              <w:ind w:left="200"/>
              <w:spacing w:after="0"/>
              <w:rPr>
                <w:sz w:val="20"/>
                <w:szCs w:val="20"/>
                <w:color w:val="auto"/>
              </w:rPr>
            </w:pPr>
            <w:r>
              <w:rPr>
                <w:rFonts w:ascii="Arial" w:cs="Arial" w:eastAsia="Arial" w:hAnsi="Arial"/>
                <w:sz w:val="17"/>
                <w:szCs w:val="17"/>
                <w:color w:val="auto"/>
              </w:rPr>
              <w:t>Ceded written premiums</w:t>
            </w: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206"/>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Ceded to quota share treaties in force during the period</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22,427</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28,046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(5,619)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5920" w:type="dxa"/>
            <w:vAlign w:val="bottom"/>
          </w:tcPr>
          <w:p>
            <w:pPr>
              <w:ind w:left="360"/>
              <w:spacing w:after="0"/>
              <w:rPr>
                <w:sz w:val="20"/>
                <w:szCs w:val="20"/>
                <w:color w:val="auto"/>
              </w:rPr>
            </w:pPr>
            <w:r>
              <w:rPr>
                <w:rFonts w:ascii="Arial" w:cs="Arial" w:eastAsia="Arial" w:hAnsi="Arial"/>
                <w:sz w:val="17"/>
                <w:szCs w:val="17"/>
                <w:color w:val="auto"/>
              </w:rPr>
              <w:t>Return of premiums previously ceded to prior quota share treaties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(5,866)</w:t>
            </w:r>
          </w:p>
        </w:tc>
        <w:tc>
          <w:tcPr>
            <w:tcW w:w="16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(6,597)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731</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(11.1)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6"/>
        </w:trPr>
        <w:tc>
          <w:tcPr>
            <w:tcW w:w="59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Ceded to quota share treaties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16,561</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21,449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(4,888)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5920" w:type="dxa"/>
            <w:vAlign w:val="bottom"/>
          </w:tcPr>
          <w:p>
            <w:pPr>
              <w:ind w:left="520"/>
              <w:spacing w:after="0"/>
              <w:rPr>
                <w:sz w:val="20"/>
                <w:szCs w:val="20"/>
                <w:color w:val="auto"/>
              </w:rPr>
            </w:pPr>
            <w:r>
              <w:rPr>
                <w:rFonts w:ascii="Arial" w:cs="Arial" w:eastAsia="Arial" w:hAnsi="Arial"/>
                <w:sz w:val="17"/>
                <w:szCs w:val="17"/>
                <w:color w:val="auto"/>
              </w:rPr>
              <w:t>Ceded to excess of loss treaties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967</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765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202</w:t>
            </w:r>
          </w:p>
        </w:tc>
        <w:tc>
          <w:tcPr>
            <w:tcW w:w="1420" w:type="dxa"/>
            <w:vAlign w:val="bottom"/>
            <w:gridSpan w:val="3"/>
          </w:tcPr>
          <w:p>
            <w:pPr>
              <w:jc w:val="right"/>
              <w:ind w:right="54"/>
              <w:spacing w:after="0"/>
              <w:rPr>
                <w:sz w:val="20"/>
                <w:szCs w:val="20"/>
                <w:color w:val="auto"/>
              </w:rPr>
            </w:pPr>
            <w:r>
              <w:rPr>
                <w:rFonts w:ascii="Arial" w:cs="Arial" w:eastAsia="Arial" w:hAnsi="Arial"/>
                <w:sz w:val="17"/>
                <w:szCs w:val="17"/>
                <w:color w:val="auto"/>
              </w:rPr>
              <w:t>26.4%</w:t>
            </w:r>
          </w:p>
        </w:tc>
      </w:tr>
      <w:tr>
        <w:trPr>
          <w:trHeight w:val="206"/>
        </w:trPr>
        <w:tc>
          <w:tcPr>
            <w:tcW w:w="59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Ceded to catastrophe treaties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4,386</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2,646</w:t>
            </w:r>
          </w:p>
        </w:tc>
        <w:tc>
          <w:tcPr>
            <w:tcW w:w="14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152.1%</w:t>
            </w:r>
          </w:p>
        </w:tc>
      </w:tr>
      <w:tr>
        <w:trPr>
          <w:trHeight w:val="206"/>
        </w:trPr>
        <w:tc>
          <w:tcPr>
            <w:tcW w:w="5920" w:type="dxa"/>
            <w:vAlign w:val="bottom"/>
          </w:tcPr>
          <w:p>
            <w:pPr>
              <w:ind w:left="520"/>
              <w:spacing w:after="0"/>
              <w:rPr>
                <w:sz w:val="20"/>
                <w:szCs w:val="20"/>
                <w:color w:val="auto"/>
              </w:rPr>
            </w:pPr>
            <w:r>
              <w:rPr>
                <w:rFonts w:ascii="Arial" w:cs="Arial" w:eastAsia="Arial" w:hAnsi="Arial"/>
                <w:sz w:val="17"/>
                <w:szCs w:val="17"/>
                <w:color w:val="auto"/>
              </w:rPr>
              <w:t>Catastrophe reinstatement (1)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(60)</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(100.0)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2"/>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ceded written premiums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21,914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24,014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(2,100)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5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gridSpan w:val="2"/>
          </w:tcPr>
          <w:p>
            <w:pPr>
              <w:spacing w:after="0"/>
              <w:rPr>
                <w:sz w:val="17"/>
                <w:szCs w:val="17"/>
                <w:color w:val="auto"/>
              </w:rPr>
            </w:pP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written premiums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45,347</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32,754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12,593</w:t>
            </w:r>
          </w:p>
        </w:tc>
        <w:tc>
          <w:tcPr>
            <w:tcW w:w="14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38.4%</w:t>
            </w:r>
          </w:p>
        </w:tc>
      </w:tr>
      <w:tr>
        <w:trPr>
          <w:trHeight w:val="206"/>
        </w:trPr>
        <w:tc>
          <w:tcPr>
            <w:tcW w:w="5920" w:type="dxa"/>
            <w:vAlign w:val="bottom"/>
          </w:tcPr>
          <w:p>
            <w:pPr>
              <w:ind w:left="200"/>
              <w:spacing w:after="0"/>
              <w:rPr>
                <w:sz w:val="20"/>
                <w:szCs w:val="20"/>
                <w:color w:val="auto"/>
              </w:rPr>
            </w:pPr>
            <w:r>
              <w:rPr>
                <w:rFonts w:ascii="Arial" w:cs="Arial" w:eastAsia="Arial" w:hAnsi="Arial"/>
                <w:sz w:val="17"/>
                <w:szCs w:val="17"/>
                <w:color w:val="auto"/>
              </w:rPr>
              <w:t>Change in net unearned premiums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(10,966)</w:t>
            </w:r>
          </w:p>
        </w:tc>
        <w:tc>
          <w:tcPr>
            <w:tcW w:w="16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(10,503)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(463)</w:t>
            </w:r>
          </w:p>
        </w:tc>
        <w:tc>
          <w:tcPr>
            <w:tcW w:w="1420" w:type="dxa"/>
            <w:vAlign w:val="bottom"/>
            <w:gridSpan w:val="3"/>
          </w:tcPr>
          <w:p>
            <w:pPr>
              <w:jc w:val="right"/>
              <w:ind w:right="54"/>
              <w:spacing w:after="0"/>
              <w:rPr>
                <w:sz w:val="20"/>
                <w:szCs w:val="20"/>
                <w:color w:val="auto"/>
              </w:rPr>
            </w:pPr>
            <w:r>
              <w:rPr>
                <w:rFonts w:ascii="Arial" w:cs="Arial" w:eastAsia="Arial" w:hAnsi="Arial"/>
                <w:sz w:val="17"/>
                <w:szCs w:val="17"/>
                <w:color w:val="auto"/>
              </w:rPr>
              <w:t>4.4%</w:t>
            </w: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2"/>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premiums earned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34,381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22,251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12,130</w:t>
            </w:r>
          </w:p>
        </w:tc>
        <w:tc>
          <w:tcPr>
            <w:tcW w:w="14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54.5%</w:t>
            </w:r>
          </w:p>
        </w:tc>
      </w:tr>
      <w:tr>
        <w:trPr>
          <w:trHeight w:val="206"/>
        </w:trPr>
        <w:tc>
          <w:tcPr>
            <w:tcW w:w="5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Ceding commission revenue</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6"/>
        </w:trPr>
        <w:tc>
          <w:tcPr>
            <w:tcW w:w="5920" w:type="dxa"/>
            <w:vAlign w:val="bottom"/>
          </w:tcPr>
          <w:p>
            <w:pPr>
              <w:ind w:left="360"/>
              <w:spacing w:after="0"/>
              <w:rPr>
                <w:sz w:val="20"/>
                <w:szCs w:val="20"/>
                <w:color w:val="auto"/>
              </w:rPr>
            </w:pPr>
            <w:r>
              <w:rPr>
                <w:rFonts w:ascii="Arial" w:cs="Arial" w:eastAsia="Arial" w:hAnsi="Arial"/>
                <w:sz w:val="17"/>
                <w:szCs w:val="17"/>
                <w:color w:val="auto"/>
              </w:rPr>
              <w:t>Excluding the effect of catastrophes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10,669</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10,883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(214)</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Effect of catastrophes (1)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(1,281)</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(764)</w:t>
            </w:r>
          </w:p>
        </w:tc>
        <w:tc>
          <w:tcPr>
            <w:tcW w:w="14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147.8%</w:t>
            </w:r>
          </w:p>
        </w:tc>
      </w:tr>
      <w:tr>
        <w:trPr>
          <w:trHeight w:val="26"/>
        </w:trPr>
        <w:tc>
          <w:tcPr>
            <w:tcW w:w="5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6"/>
        </w:trPr>
        <w:tc>
          <w:tcPr>
            <w:tcW w:w="5920" w:type="dxa"/>
            <w:vAlign w:val="bottom"/>
          </w:tcPr>
          <w:p>
            <w:pPr>
              <w:ind w:left="200"/>
              <w:spacing w:after="0"/>
              <w:rPr>
                <w:sz w:val="20"/>
                <w:szCs w:val="20"/>
                <w:color w:val="auto"/>
              </w:rPr>
            </w:pPr>
            <w:r>
              <w:rPr>
                <w:rFonts w:ascii="Arial" w:cs="Arial" w:eastAsia="Arial" w:hAnsi="Arial"/>
                <w:sz w:val="17"/>
                <w:szCs w:val="17"/>
                <w:color w:val="auto"/>
              </w:rPr>
              <w:t>Total ceding commission revenue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9,388</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10,366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(978)</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(9.4)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investment income</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1,850</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1,294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556</w:t>
            </w:r>
          </w:p>
        </w:tc>
        <w:tc>
          <w:tcPr>
            <w:tcW w:w="14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43.0%</w:t>
            </w:r>
          </w:p>
        </w:tc>
      </w:tr>
      <w:tr>
        <w:trPr>
          <w:trHeight w:val="206"/>
        </w:trPr>
        <w:tc>
          <w:tcPr>
            <w:tcW w:w="5920" w:type="dxa"/>
            <w:vAlign w:val="bottom"/>
          </w:tcPr>
          <w:p>
            <w:pPr>
              <w:ind w:left="200"/>
              <w:spacing w:after="0"/>
              <w:rPr>
                <w:sz w:val="20"/>
                <w:szCs w:val="20"/>
                <w:color w:val="auto"/>
              </w:rPr>
            </w:pPr>
            <w:r>
              <w:rPr>
                <w:rFonts w:ascii="Arial" w:cs="Arial" w:eastAsia="Arial" w:hAnsi="Arial"/>
                <w:sz w:val="17"/>
                <w:szCs w:val="17"/>
                <w:color w:val="auto"/>
              </w:rPr>
              <w:t>Net realized gain on investments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(106)</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437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(543)</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(124.3)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income</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1,300</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558</w:t>
            </w:r>
          </w:p>
        </w:tc>
        <w:tc>
          <w:tcPr>
            <w:tcW w:w="14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75.2%</w:t>
            </w:r>
          </w:p>
        </w:tc>
      </w:tr>
      <w:tr>
        <w:trPr>
          <w:trHeight w:val="26"/>
        </w:trPr>
        <w:tc>
          <w:tcPr>
            <w:tcW w:w="5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12"/>
        </w:trPr>
        <w:tc>
          <w:tcPr>
            <w:tcW w:w="592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46,813</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35,090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11,723</w:t>
            </w:r>
          </w:p>
        </w:tc>
        <w:tc>
          <w:tcPr>
            <w:tcW w:w="200" w:type="dxa"/>
            <w:vAlign w:val="bottom"/>
          </w:tcPr>
          <w:p>
            <w:pPr>
              <w:spacing w:after="0"/>
              <w:rPr>
                <w:sz w:val="18"/>
                <w:szCs w:val="18"/>
                <w:color w:val="auto"/>
              </w:rPr>
            </w:pPr>
          </w:p>
        </w:tc>
        <w:tc>
          <w:tcPr>
            <w:tcW w:w="1420" w:type="dxa"/>
            <w:vAlign w:val="bottom"/>
            <w:gridSpan w:val="3"/>
          </w:tcPr>
          <w:p>
            <w:pPr>
              <w:jc w:val="right"/>
              <w:ind w:right="54"/>
              <w:spacing w:after="0"/>
              <w:rPr>
                <w:sz w:val="20"/>
                <w:szCs w:val="20"/>
                <w:color w:val="auto"/>
              </w:rPr>
            </w:pPr>
            <w:r>
              <w:rPr>
                <w:rFonts w:ascii="Arial" w:cs="Arial" w:eastAsia="Arial" w:hAnsi="Arial"/>
                <w:sz w:val="17"/>
                <w:szCs w:val="17"/>
                <w:color w:val="auto"/>
              </w:rPr>
              <w:t>33.4%</w:t>
            </w:r>
          </w:p>
        </w:tc>
      </w:tr>
      <w:tr>
        <w:trPr>
          <w:trHeight w:val="206"/>
        </w:trPr>
        <w:tc>
          <w:tcPr>
            <w:tcW w:w="5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6"/>
        </w:trPr>
        <w:tc>
          <w:tcPr>
            <w:tcW w:w="5920" w:type="dxa"/>
            <w:vAlign w:val="bottom"/>
          </w:tcPr>
          <w:p>
            <w:pPr>
              <w:ind w:left="40"/>
              <w:spacing w:after="0"/>
              <w:rPr>
                <w:sz w:val="20"/>
                <w:szCs w:val="20"/>
                <w:color w:val="auto"/>
              </w:rPr>
            </w:pPr>
            <w:r>
              <w:rPr>
                <w:rFonts w:ascii="Arial" w:cs="Arial" w:eastAsia="Arial" w:hAnsi="Arial"/>
                <w:sz w:val="17"/>
                <w:szCs w:val="17"/>
                <w:b w:val="1"/>
                <w:bCs w:val="1"/>
                <w:color w:val="auto"/>
              </w:rPr>
              <w:t>Expense</w:t>
            </w:r>
            <w:r>
              <w:rPr>
                <w:rFonts w:ascii="Arial" w:cs="Arial" w:eastAsia="Arial" w:hAnsi="Arial"/>
                <w:sz w:val="17"/>
                <w:szCs w:val="17"/>
                <w:color w:val="auto"/>
              </w:rPr>
              <w:t>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6"/>
        </w:trPr>
        <w:tc>
          <w:tcPr>
            <w:tcW w:w="5920" w:type="dxa"/>
            <w:vAlign w:val="bottom"/>
          </w:tcPr>
          <w:p>
            <w:pPr>
              <w:ind w:left="360"/>
              <w:spacing w:after="0"/>
              <w:rPr>
                <w:sz w:val="20"/>
                <w:szCs w:val="20"/>
                <w:color w:val="auto"/>
              </w:rPr>
            </w:pPr>
            <w:r>
              <w:rPr>
                <w:rFonts w:ascii="Arial" w:cs="Arial" w:eastAsia="Arial" w:hAnsi="Arial"/>
                <w:sz w:val="17"/>
                <w:szCs w:val="17"/>
                <w:color w:val="auto"/>
              </w:rPr>
              <w:t>Direct and assumed: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23,264</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19,988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3,276</w:t>
            </w:r>
          </w:p>
        </w:tc>
        <w:tc>
          <w:tcPr>
            <w:tcW w:w="14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16.4%</w:t>
            </w:r>
          </w:p>
        </w:tc>
      </w:tr>
      <w:tr>
        <w:trPr>
          <w:trHeight w:val="206"/>
        </w:trPr>
        <w:tc>
          <w:tcPr>
            <w:tcW w:w="5920" w:type="dxa"/>
            <w:vAlign w:val="bottom"/>
          </w:tcPr>
          <w:p>
            <w:pPr>
              <w:ind w:left="360"/>
              <w:spacing w:after="0"/>
              <w:rPr>
                <w:sz w:val="20"/>
                <w:szCs w:val="20"/>
                <w:color w:val="auto"/>
              </w:rPr>
            </w:pPr>
            <w:r>
              <w:rPr>
                <w:rFonts w:ascii="Arial" w:cs="Arial" w:eastAsia="Arial" w:hAnsi="Arial"/>
                <w:sz w:val="17"/>
                <w:szCs w:val="17"/>
                <w:color w:val="auto"/>
              </w:rPr>
              <w:t>Losses from catastrophes (1)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4,646</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3,764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882</w:t>
            </w:r>
          </w:p>
        </w:tc>
        <w:tc>
          <w:tcPr>
            <w:tcW w:w="1420" w:type="dxa"/>
            <w:vAlign w:val="bottom"/>
            <w:gridSpan w:val="3"/>
          </w:tcPr>
          <w:p>
            <w:pPr>
              <w:jc w:val="right"/>
              <w:ind w:right="54"/>
              <w:spacing w:after="0"/>
              <w:rPr>
                <w:sz w:val="20"/>
                <w:szCs w:val="20"/>
                <w:color w:val="auto"/>
              </w:rPr>
            </w:pPr>
            <w:r>
              <w:rPr>
                <w:rFonts w:ascii="Arial" w:cs="Arial" w:eastAsia="Arial" w:hAnsi="Arial"/>
                <w:sz w:val="17"/>
                <w:szCs w:val="17"/>
                <w:color w:val="auto"/>
              </w:rPr>
              <w:t>23.4%</w:t>
            </w: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2"/>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direct and assumed loss and loss adjustment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27,910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23,752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4,158</w:t>
            </w:r>
          </w:p>
        </w:tc>
        <w:tc>
          <w:tcPr>
            <w:tcW w:w="14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17.5%</w:t>
            </w:r>
          </w:p>
        </w:tc>
      </w:tr>
      <w:tr>
        <w:trPr>
          <w:trHeight w:val="206"/>
        </w:trPr>
        <w:tc>
          <w:tcPr>
            <w:tcW w:w="5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206"/>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Ceded loss and loss adjustment expenses: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6"/>
        </w:trPr>
        <w:tc>
          <w:tcPr>
            <w:tcW w:w="5920" w:type="dxa"/>
            <w:vAlign w:val="bottom"/>
          </w:tcPr>
          <w:p>
            <w:pPr>
              <w:ind w:left="36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8,471</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9,058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(587)</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(6.5)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Losses from catastrophes (1)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2,555</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6"/>
        </w:trPr>
        <w:tc>
          <w:tcPr>
            <w:tcW w:w="5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12"/>
        </w:trPr>
        <w:tc>
          <w:tcPr>
            <w:tcW w:w="5920" w:type="dxa"/>
            <w:vAlign w:val="bottom"/>
          </w:tcPr>
          <w:p>
            <w:pPr>
              <w:ind w:left="360"/>
              <w:spacing w:after="0"/>
              <w:rPr>
                <w:sz w:val="20"/>
                <w:szCs w:val="20"/>
                <w:color w:val="auto"/>
              </w:rPr>
            </w:pPr>
            <w:r>
              <w:rPr>
                <w:rFonts w:ascii="Arial" w:cs="Arial" w:eastAsia="Arial" w:hAnsi="Arial"/>
                <w:sz w:val="17"/>
                <w:szCs w:val="17"/>
                <w:color w:val="auto"/>
              </w:rPr>
              <w:t>Total ceded loss and loss adjustment expenses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11,026</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11,881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(855)</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(7.2)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5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6"/>
        </w:trPr>
        <w:tc>
          <w:tcPr>
            <w:tcW w:w="5920" w:type="dxa"/>
            <w:vAlign w:val="bottom"/>
          </w:tcPr>
          <w:p>
            <w:pPr>
              <w:ind w:left="360"/>
              <w:spacing w:after="0"/>
              <w:rPr>
                <w:sz w:val="20"/>
                <w:szCs w:val="20"/>
                <w:color w:val="auto"/>
              </w:rPr>
            </w:pPr>
            <w:r>
              <w:rPr>
                <w:rFonts w:ascii="Arial" w:cs="Arial" w:eastAsia="Arial" w:hAnsi="Arial"/>
                <w:sz w:val="17"/>
                <w:szCs w:val="17"/>
                <w:color w:val="auto"/>
              </w:rPr>
              <w:t>Net loss and loss adjustment expenses: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14,793</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3,863</w:t>
            </w:r>
          </w:p>
        </w:tc>
        <w:tc>
          <w:tcPr>
            <w:tcW w:w="14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35.3%</w:t>
            </w:r>
          </w:p>
        </w:tc>
      </w:tr>
      <w:tr>
        <w:trPr>
          <w:trHeight w:val="206"/>
        </w:trPr>
        <w:tc>
          <w:tcPr>
            <w:tcW w:w="5920" w:type="dxa"/>
            <w:vAlign w:val="bottom"/>
          </w:tcPr>
          <w:p>
            <w:pPr>
              <w:ind w:left="360"/>
              <w:spacing w:after="0"/>
              <w:rPr>
                <w:sz w:val="20"/>
                <w:szCs w:val="20"/>
                <w:color w:val="auto"/>
              </w:rPr>
            </w:pPr>
            <w:r>
              <w:rPr>
                <w:rFonts w:ascii="Arial" w:cs="Arial" w:eastAsia="Arial" w:hAnsi="Arial"/>
                <w:sz w:val="17"/>
                <w:szCs w:val="17"/>
                <w:color w:val="auto"/>
              </w:rPr>
              <w:t>Losses from catastrophes (1)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2,091</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941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1,150</w:t>
            </w:r>
          </w:p>
        </w:tc>
        <w:tc>
          <w:tcPr>
            <w:tcW w:w="1420" w:type="dxa"/>
            <w:vAlign w:val="bottom"/>
            <w:gridSpan w:val="3"/>
          </w:tcPr>
          <w:p>
            <w:pPr>
              <w:jc w:val="right"/>
              <w:ind w:right="54"/>
              <w:spacing w:after="0"/>
              <w:rPr>
                <w:sz w:val="20"/>
                <w:szCs w:val="20"/>
                <w:color w:val="auto"/>
              </w:rPr>
            </w:pPr>
            <w:r>
              <w:rPr>
                <w:rFonts w:ascii="Arial" w:cs="Arial" w:eastAsia="Arial" w:hAnsi="Arial"/>
                <w:sz w:val="17"/>
                <w:szCs w:val="17"/>
                <w:color w:val="auto"/>
              </w:rPr>
              <w:t>122.2%</w:t>
            </w: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2"/>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loss and loss adjustment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16,884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11,871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5,013</w:t>
            </w:r>
          </w:p>
        </w:tc>
        <w:tc>
          <w:tcPr>
            <w:tcW w:w="14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42.2%</w:t>
            </w:r>
          </w:p>
        </w:tc>
      </w:tr>
      <w:tr>
        <w:trPr>
          <w:trHeight w:val="206"/>
        </w:trPr>
        <w:tc>
          <w:tcPr>
            <w:tcW w:w="5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gridSpan w:val="2"/>
          </w:tcPr>
          <w:p>
            <w:pPr>
              <w:spacing w:after="0"/>
              <w:rPr>
                <w:sz w:val="17"/>
                <w:szCs w:val="17"/>
                <w:color w:val="auto"/>
              </w:rPr>
            </w:pP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Commission expense</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11,034</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8,592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2,442</w:t>
            </w:r>
          </w:p>
        </w:tc>
        <w:tc>
          <w:tcPr>
            <w:tcW w:w="14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28.4%</w:t>
            </w:r>
          </w:p>
        </w:tc>
      </w:tr>
      <w:tr>
        <w:trPr>
          <w:trHeight w:val="206"/>
        </w:trPr>
        <w:tc>
          <w:tcPr>
            <w:tcW w:w="5920" w:type="dxa"/>
            <w:vAlign w:val="bottom"/>
          </w:tcPr>
          <w:p>
            <w:pPr>
              <w:ind w:left="200"/>
              <w:spacing w:after="0"/>
              <w:rPr>
                <w:sz w:val="20"/>
                <w:szCs w:val="20"/>
                <w:color w:val="auto"/>
              </w:rPr>
            </w:pPr>
            <w:r>
              <w:rPr>
                <w:rFonts w:ascii="Arial" w:cs="Arial" w:eastAsia="Arial" w:hAnsi="Arial"/>
                <w:sz w:val="17"/>
                <w:szCs w:val="17"/>
                <w:color w:val="auto"/>
              </w:rPr>
              <w:t>Other underwriting expenses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9,350</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7,657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1,693</w:t>
            </w:r>
          </w:p>
        </w:tc>
        <w:tc>
          <w:tcPr>
            <w:tcW w:w="1420" w:type="dxa"/>
            <w:vAlign w:val="bottom"/>
            <w:gridSpan w:val="3"/>
          </w:tcPr>
          <w:p>
            <w:pPr>
              <w:jc w:val="right"/>
              <w:ind w:right="54"/>
              <w:spacing w:after="0"/>
              <w:rPr>
                <w:sz w:val="20"/>
                <w:szCs w:val="20"/>
                <w:color w:val="auto"/>
              </w:rPr>
            </w:pPr>
            <w:r>
              <w:rPr>
                <w:rFonts w:ascii="Arial" w:cs="Arial" w:eastAsia="Arial" w:hAnsi="Arial"/>
                <w:sz w:val="17"/>
                <w:szCs w:val="17"/>
                <w:color w:val="auto"/>
              </w:rPr>
              <w:t>22.1%</w:t>
            </w: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operating expenses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1,174</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w:t>
            </w:r>
          </w:p>
        </w:tc>
        <w:tc>
          <w:tcPr>
            <w:tcW w:w="14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9.3%</w:t>
            </w:r>
          </w:p>
        </w:tc>
      </w:tr>
      <w:tr>
        <w:trPr>
          <w:trHeight w:val="206"/>
        </w:trPr>
        <w:tc>
          <w:tcPr>
            <w:tcW w:w="592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749</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642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107</w:t>
            </w:r>
          </w:p>
        </w:tc>
        <w:tc>
          <w:tcPr>
            <w:tcW w:w="1420" w:type="dxa"/>
            <w:vAlign w:val="bottom"/>
            <w:gridSpan w:val="3"/>
          </w:tcPr>
          <w:p>
            <w:pPr>
              <w:jc w:val="right"/>
              <w:ind w:right="54"/>
              <w:spacing w:after="0"/>
              <w:rPr>
                <w:sz w:val="20"/>
                <w:szCs w:val="20"/>
                <w:color w:val="auto"/>
              </w:rPr>
            </w:pPr>
            <w:r>
              <w:rPr>
                <w:rFonts w:ascii="Arial" w:cs="Arial" w:eastAsia="Arial" w:hAnsi="Arial"/>
                <w:sz w:val="17"/>
                <w:szCs w:val="17"/>
                <w:color w:val="auto"/>
              </w:rPr>
              <w:t>16.7%</w:t>
            </w: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2"/>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39,192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29,836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9,355</w:t>
            </w:r>
          </w:p>
        </w:tc>
        <w:tc>
          <w:tcPr>
            <w:tcW w:w="14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31.4%</w:t>
            </w:r>
          </w:p>
        </w:tc>
      </w:tr>
      <w:tr>
        <w:trPr>
          <w:trHeight w:val="206"/>
        </w:trPr>
        <w:tc>
          <w:tcPr>
            <w:tcW w:w="5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gridSpan w:val="2"/>
          </w:tcPr>
          <w:p>
            <w:pPr>
              <w:spacing w:after="0"/>
              <w:rPr>
                <w:sz w:val="17"/>
                <w:szCs w:val="17"/>
                <w:color w:val="auto"/>
              </w:rPr>
            </w:pP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from operations before taxes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7,621</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2,368</w:t>
            </w:r>
          </w:p>
        </w:tc>
        <w:tc>
          <w:tcPr>
            <w:tcW w:w="14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45.1%</w:t>
            </w:r>
          </w:p>
        </w:tc>
      </w:tr>
      <w:tr>
        <w:trPr>
          <w:trHeight w:val="206"/>
        </w:trPr>
        <w:tc>
          <w:tcPr>
            <w:tcW w:w="5920" w:type="dxa"/>
            <w:vAlign w:val="bottom"/>
          </w:tcPr>
          <w:p>
            <w:pPr>
              <w:ind w:left="200"/>
              <w:spacing w:after="0"/>
              <w:rPr>
                <w:sz w:val="20"/>
                <w:szCs w:val="20"/>
                <w:color w:val="auto"/>
              </w:rPr>
            </w:pPr>
            <w:r>
              <w:rPr>
                <w:rFonts w:ascii="Arial" w:cs="Arial" w:eastAsia="Arial" w:hAnsi="Arial"/>
                <w:sz w:val="17"/>
                <w:szCs w:val="17"/>
                <w:color w:val="auto"/>
              </w:rPr>
              <w:t>Provision for income tax</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2,514</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1,689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825</w:t>
            </w:r>
          </w:p>
        </w:tc>
        <w:tc>
          <w:tcPr>
            <w:tcW w:w="1420" w:type="dxa"/>
            <w:vAlign w:val="bottom"/>
            <w:gridSpan w:val="3"/>
          </w:tcPr>
          <w:p>
            <w:pPr>
              <w:jc w:val="right"/>
              <w:ind w:right="54"/>
              <w:spacing w:after="0"/>
              <w:rPr>
                <w:sz w:val="20"/>
                <w:szCs w:val="20"/>
                <w:color w:val="auto"/>
              </w:rPr>
            </w:pPr>
            <w:r>
              <w:rPr>
                <w:rFonts w:ascii="Arial" w:cs="Arial" w:eastAsia="Arial" w:hAnsi="Arial"/>
                <w:sz w:val="17"/>
                <w:szCs w:val="17"/>
                <w:color w:val="auto"/>
              </w:rPr>
              <w:t>48.8%</w:t>
            </w: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26"/>
        </w:trPr>
        <w:tc>
          <w:tcPr>
            <w:tcW w:w="59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Net income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5,107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3,565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1,543</w:t>
            </w:r>
          </w:p>
        </w:tc>
        <w:tc>
          <w:tcPr>
            <w:tcW w:w="142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43.3%</w:t>
            </w:r>
          </w:p>
        </w:tc>
      </w:tr>
      <w:tr>
        <w:trPr>
          <w:trHeight w:val="20"/>
        </w:trPr>
        <w:tc>
          <w:tcPr>
            <w:tcW w:w="5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ind w:left="240" w:hanging="237"/>
        <w:spacing w:after="0" w:line="258" w:lineRule="auto"/>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the nine months ended September 30, 2015 and 2014, includes the effects of severe winter weather (which we define as a catastrophe). The nine months ended September 30, 2014 also includes catastrophe reinstatement premiums resulting from Superstorm Sandy, which occurred on October 29, 2012. We define a “catastrophe” as an event or series of related events that involve multiple first party policyholders, or an event or series of events that produce a number of claims in excess of a preset, per-event threshold of average claims in a specific area, occurring within a certain amount of time constituting the event or series of events. Catastrophes are caused by various natural events including high winds, excessive rain, winter storms, severe winter weather, tornadoes, hailstorms, wildfires, tropical storms, and hurricanes.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671"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6"/>
              </w:rPr>
              <w:t>Nine months ended September 30,</w:t>
            </w:r>
          </w:p>
        </w:tc>
        <w:tc>
          <w:tcPr>
            <w:tcW w:w="11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94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0"/>
                <w:szCs w:val="10"/>
                <w:color w:val="auto"/>
              </w:rPr>
            </w:pPr>
          </w:p>
        </w:tc>
        <w:tc>
          <w:tcPr>
            <w:tcW w:w="13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7"/>
              </w:rPr>
              <w:t>Percentage Point</w:t>
            </w:r>
          </w:p>
        </w:tc>
        <w:tc>
          <w:tcPr>
            <w:tcW w:w="11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3"/>
              </w:rPr>
              <w:t>Percent Change</w:t>
            </w:r>
          </w:p>
        </w:tc>
        <w:tc>
          <w:tcPr>
            <w:tcW w:w="3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94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700" w:type="dxa"/>
            <w:vAlign w:val="bottom"/>
            <w:gridSpan w:val="2"/>
          </w:tcPr>
          <w:p>
            <w:pPr>
              <w:ind w:left="40"/>
              <w:spacing w:after="0"/>
              <w:rPr>
                <w:sz w:val="20"/>
                <w:szCs w:val="20"/>
                <w:color w:val="auto"/>
              </w:rPr>
            </w:pPr>
            <w:r>
              <w:rPr>
                <w:rFonts w:ascii="Arial" w:cs="Arial" w:eastAsia="Arial" w:hAnsi="Arial"/>
                <w:sz w:val="17"/>
                <w:szCs w:val="17"/>
                <w:b w:val="1"/>
                <w:bCs w:val="1"/>
                <w:color w:val="auto"/>
              </w:rPr>
              <w:t>Key ratios: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7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Net loss ratio</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49.1%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53.4%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 %</w:t>
            </w:r>
          </w:p>
        </w:tc>
        <w:tc>
          <w:tcPr>
            <w:tcW w:w="0" w:type="dxa"/>
            <w:vAlign w:val="bottom"/>
          </w:tcPr>
          <w:p>
            <w:pPr>
              <w:spacing w:after="0"/>
              <w:rPr>
                <w:sz w:val="1"/>
                <w:szCs w:val="1"/>
                <w:color w:val="auto"/>
              </w:rPr>
            </w:pPr>
          </w:p>
        </w:tc>
      </w:tr>
      <w:tr>
        <w:trPr>
          <w:trHeight w:val="206"/>
        </w:trPr>
        <w:tc>
          <w:tcPr>
            <w:tcW w:w="5940" w:type="dxa"/>
            <w:vAlign w:val="bottom"/>
          </w:tcPr>
          <w:p>
            <w:pPr>
              <w:ind w:left="40"/>
              <w:spacing w:after="0"/>
              <w:rPr>
                <w:sz w:val="20"/>
                <w:szCs w:val="20"/>
                <w:color w:val="auto"/>
              </w:rPr>
            </w:pPr>
            <w:r>
              <w:rPr>
                <w:rFonts w:ascii="Arial" w:cs="Arial" w:eastAsia="Arial" w:hAnsi="Arial"/>
                <w:sz w:val="17"/>
                <w:szCs w:val="17"/>
                <w:color w:val="auto"/>
              </w:rPr>
              <w:t>Net underwriting expense ratio</w:t>
            </w:r>
          </w:p>
        </w:tc>
        <w:tc>
          <w:tcPr>
            <w:tcW w:w="76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29.9%</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24.0%</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5.9</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6"/>
        </w:trPr>
        <w:tc>
          <w:tcPr>
            <w:tcW w:w="59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94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combined ratio</w:t>
            </w:r>
          </w:p>
        </w:tc>
        <w:tc>
          <w:tcPr>
            <w:tcW w:w="7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79.0%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 Written Premiums</w:t>
      </w:r>
    </w:p>
    <w:p>
      <w:pPr>
        <w:spacing w:after="0" w:line="243"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Direct written premiums during the nine months ended September 30, 2015 (“2015”) were $67,227,000 compared to $56,729,000 during the nine months ended September 30, 2014 (“2014”). The increase of $10,498,000, or 18.5%, was primarily due to an increase in policies in-force during 2015 as compared to 2014. We wrote more new policies as a result of continued demand for our products in the markets that we serve. Policies in-force increased by 18.0% as of September 30, 2015 compared to September 30, 2014.</w:t>
      </w:r>
    </w:p>
    <w:p>
      <w:pPr>
        <w:spacing w:after="0" w:line="205" w:lineRule="exact"/>
        <w:rPr>
          <w:sz w:val="20"/>
          <w:szCs w:val="20"/>
          <w:color w:val="auto"/>
        </w:rPr>
      </w:pPr>
    </w:p>
    <w:p>
      <w:pPr>
        <w:jc w:val="both"/>
        <w:ind w:firstLine="620"/>
        <w:spacing w:after="0" w:line="308" w:lineRule="auto"/>
        <w:rPr>
          <w:sz w:val="20"/>
          <w:szCs w:val="20"/>
          <w:color w:val="auto"/>
        </w:rPr>
      </w:pPr>
      <w:r>
        <w:rPr>
          <w:rFonts w:ascii="Arial" w:cs="Arial" w:eastAsia="Arial" w:hAnsi="Arial"/>
          <w:sz w:val="15"/>
          <w:szCs w:val="15"/>
          <w:color w:val="auto"/>
        </w:rPr>
        <w:t>Our growth rate in direct premiums written was dampened somewhat due to the suspension, effective October 1, 2014, of the writing of new policies in our commercial auto line of business due to a history of poor underwriting results. In February 2015, we made the decision to no longer offer renewals on our existing commercial auto policies beginning with those that expire on or after May 1, 2015. Our direct written premiums in our other lines of business grew by 23.6% in 2015 compared to 2014. Policies-in-force in our other lines of business increased by 19.8% as of September 30, 2015 compared to September 30, 2014.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Written Premiums and Net Premiums Earned</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following table describes the quota share reinsurance ceding rates in effect during 2015 and 2014. For purposes of the discussion herein, the change in quota share ceding rates on July 1 of each year will be referred to as “the Cut-off”. This table should be referred to in conjunction with the discussions for net written premiums, net premiums earned, ceding commission revenue and net loss and loss adjustment expenses that follow.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tcPr>
          <w:p>
            <w:pPr>
              <w:spacing w:after="0"/>
              <w:rPr>
                <w:sz w:val="14"/>
                <w:szCs w:val="14"/>
                <w:color w:val="auto"/>
              </w:rPr>
            </w:pPr>
          </w:p>
        </w:tc>
        <w:tc>
          <w:tcPr>
            <w:tcW w:w="27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0"/>
              </w:rPr>
              <w:t>Nine months ended September 30, 2015</w:t>
            </w:r>
          </w:p>
        </w:tc>
        <w:tc>
          <w:tcPr>
            <w:tcW w:w="26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0"/>
              </w:rPr>
              <w:t>Nine months ended September 30, 2014</w:t>
            </w:r>
          </w:p>
        </w:tc>
      </w:tr>
      <w:tr>
        <w:trPr>
          <w:trHeight w:val="120"/>
        </w:trPr>
        <w:tc>
          <w:tcPr>
            <w:tcW w:w="6000" w:type="dxa"/>
            <w:vAlign w:val="bottom"/>
          </w:tcPr>
          <w:p>
            <w:pPr>
              <w:spacing w:after="0"/>
              <w:rPr>
                <w:sz w:val="10"/>
                <w:szCs w:val="10"/>
                <w:color w:val="auto"/>
              </w:rPr>
            </w:pPr>
          </w:p>
        </w:tc>
        <w:tc>
          <w:tcPr>
            <w:tcW w:w="940" w:type="dxa"/>
            <w:vAlign w:val="bottom"/>
            <w:tcBorders>
              <w:top w:val="single" w:sz="8" w:color="auto"/>
            </w:tcBorders>
          </w:tcPr>
          <w:p>
            <w:pPr>
              <w:jc w:val="center"/>
              <w:ind w:left="133"/>
              <w:spacing w:after="0" w:line="119" w:lineRule="exact"/>
              <w:rPr>
                <w:sz w:val="20"/>
                <w:szCs w:val="20"/>
                <w:color w:val="auto"/>
              </w:rPr>
            </w:pPr>
            <w:r>
              <w:rPr>
                <w:rFonts w:ascii="Arial" w:cs="Arial" w:eastAsia="Arial" w:hAnsi="Arial"/>
                <w:sz w:val="13"/>
                <w:szCs w:val="13"/>
                <w:b w:val="1"/>
                <w:bCs w:val="1"/>
                <w:color w:val="auto"/>
                <w:w w:val="96"/>
              </w:rPr>
              <w:t>January 1,</w:t>
            </w:r>
          </w:p>
        </w:tc>
        <w:tc>
          <w:tcPr>
            <w:tcW w:w="1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3"/>
              </w:rPr>
              <w:t>July 1,</w:t>
            </w:r>
          </w:p>
        </w:tc>
        <w:tc>
          <w:tcPr>
            <w:tcW w:w="260" w:type="dxa"/>
            <w:vAlign w:val="bottom"/>
          </w:tcPr>
          <w:p>
            <w:pPr>
              <w:spacing w:after="0"/>
              <w:rPr>
                <w:sz w:val="10"/>
                <w:szCs w:val="10"/>
                <w:color w:val="auto"/>
              </w:rPr>
            </w:pPr>
          </w:p>
        </w:tc>
        <w:tc>
          <w:tcPr>
            <w:tcW w:w="138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January 1,</w:t>
            </w: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3"/>
              </w:rPr>
              <w:t>July 1,</w:t>
            </w:r>
          </w:p>
        </w:tc>
        <w:tc>
          <w:tcPr>
            <w:tcW w:w="160" w:type="dxa"/>
            <w:vAlign w:val="bottom"/>
          </w:tcPr>
          <w:p>
            <w:pPr>
              <w:spacing w:after="0"/>
              <w:rPr>
                <w:sz w:val="10"/>
                <w:szCs w:val="10"/>
                <w:color w:val="auto"/>
              </w:rPr>
            </w:pPr>
          </w:p>
        </w:tc>
      </w:tr>
      <w:tr>
        <w:trPr>
          <w:trHeight w:val="142"/>
        </w:trPr>
        <w:tc>
          <w:tcPr>
            <w:tcW w:w="6000" w:type="dxa"/>
            <w:vAlign w:val="bottom"/>
          </w:tcPr>
          <w:p>
            <w:pPr>
              <w:spacing w:after="0"/>
              <w:rPr>
                <w:sz w:val="12"/>
                <w:szCs w:val="12"/>
                <w:color w:val="auto"/>
              </w:rPr>
            </w:pPr>
          </w:p>
        </w:tc>
        <w:tc>
          <w:tcPr>
            <w:tcW w:w="940" w:type="dxa"/>
            <w:vAlign w:val="bottom"/>
          </w:tcPr>
          <w:p>
            <w:pPr>
              <w:jc w:val="center"/>
              <w:ind w:left="113"/>
              <w:spacing w:after="0" w:line="142" w:lineRule="exact"/>
              <w:rPr>
                <w:sz w:val="20"/>
                <w:szCs w:val="20"/>
                <w:color w:val="auto"/>
              </w:rPr>
            </w:pPr>
            <w:r>
              <w:rPr>
                <w:rFonts w:ascii="Arial" w:cs="Arial" w:eastAsia="Arial" w:hAnsi="Arial"/>
                <w:sz w:val="14"/>
                <w:szCs w:val="14"/>
                <w:b w:val="1"/>
                <w:bCs w:val="1"/>
                <w:color w:val="auto"/>
                <w:w w:val="90"/>
              </w:rPr>
              <w:t>to</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0"/>
              </w:rPr>
              <w:t>to</w:t>
            </w:r>
          </w:p>
        </w:tc>
        <w:tc>
          <w:tcPr>
            <w:tcW w:w="13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75"/>
              </w:rPr>
              <w:t>to</w:t>
            </w:r>
          </w:p>
        </w:tc>
        <w:tc>
          <w:tcPr>
            <w:tcW w:w="12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75"/>
              </w:rPr>
              <w:t>to</w:t>
            </w:r>
          </w:p>
        </w:tc>
      </w:tr>
      <w:tr>
        <w:trPr>
          <w:trHeight w:val="170"/>
        </w:trPr>
        <w:tc>
          <w:tcPr>
            <w:tcW w:w="6000" w:type="dxa"/>
            <w:vAlign w:val="bottom"/>
          </w:tcPr>
          <w:p>
            <w:pPr>
              <w:spacing w:after="0"/>
              <w:rPr>
                <w:sz w:val="14"/>
                <w:szCs w:val="14"/>
                <w:color w:val="auto"/>
              </w:rPr>
            </w:pPr>
          </w:p>
        </w:tc>
        <w:tc>
          <w:tcPr>
            <w:tcW w:w="940" w:type="dxa"/>
            <w:vAlign w:val="bottom"/>
          </w:tcPr>
          <w:p>
            <w:pPr>
              <w:jc w:val="center"/>
              <w:ind w:left="133"/>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September 30,</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September 30,</w:t>
            </w:r>
          </w:p>
        </w:tc>
      </w:tr>
      <w:tr>
        <w:trPr>
          <w:trHeight w:val="120"/>
        </w:trPr>
        <w:tc>
          <w:tcPr>
            <w:tcW w:w="6000" w:type="dxa"/>
            <w:vAlign w:val="bottom"/>
          </w:tcPr>
          <w:p>
            <w:pPr>
              <w:spacing w:after="0"/>
              <w:rPr>
                <w:sz w:val="10"/>
                <w:szCs w:val="10"/>
                <w:color w:val="auto"/>
              </w:rPr>
            </w:pPr>
          </w:p>
        </w:tc>
        <w:tc>
          <w:tcPr>
            <w:tcW w:w="940" w:type="dxa"/>
            <w:vAlign w:val="bottom"/>
            <w:tcBorders>
              <w:top w:val="single" w:sz="8" w:color="auto"/>
            </w:tcBorders>
          </w:tcPr>
          <w:p>
            <w:pPr>
              <w:jc w:val="center"/>
              <w:ind w:left="133"/>
              <w:spacing w:after="0" w:line="119" w:lineRule="exact"/>
              <w:rPr>
                <w:sz w:val="20"/>
                <w:szCs w:val="20"/>
                <w:color w:val="auto"/>
              </w:rPr>
            </w:pPr>
            <w:r>
              <w:rPr>
                <w:rFonts w:ascii="Arial" w:cs="Arial" w:eastAsia="Arial" w:hAnsi="Arial"/>
                <w:sz w:val="13"/>
                <w:szCs w:val="13"/>
                <w:b w:val="1"/>
                <w:bCs w:val="1"/>
                <w:color w:val="auto"/>
                <w:w w:val="97"/>
              </w:rPr>
              <w:t>("2014/2015</w:t>
            </w:r>
          </w:p>
        </w:tc>
        <w:tc>
          <w:tcPr>
            <w:tcW w:w="1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("2015/2016</w:t>
            </w:r>
          </w:p>
        </w:tc>
        <w:tc>
          <w:tcPr>
            <w:tcW w:w="26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("2013/2014</w:t>
            </w:r>
          </w:p>
        </w:tc>
        <w:tc>
          <w:tcPr>
            <w:tcW w:w="26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("2014/2015</w:t>
            </w:r>
          </w:p>
        </w:tc>
        <w:tc>
          <w:tcPr>
            <w:tcW w:w="160" w:type="dxa"/>
            <w:vAlign w:val="bottom"/>
          </w:tcPr>
          <w:p>
            <w:pPr>
              <w:spacing w:after="0"/>
              <w:rPr>
                <w:sz w:val="10"/>
                <w:szCs w:val="10"/>
                <w:color w:val="auto"/>
              </w:rPr>
            </w:pPr>
          </w:p>
        </w:tc>
      </w:tr>
      <w:tr>
        <w:trPr>
          <w:trHeight w:val="146"/>
        </w:trPr>
        <w:tc>
          <w:tcPr>
            <w:tcW w:w="6000" w:type="dxa"/>
            <w:vAlign w:val="bottom"/>
          </w:tcPr>
          <w:p>
            <w:pPr>
              <w:spacing w:after="0"/>
              <w:rPr>
                <w:sz w:val="12"/>
                <w:szCs w:val="12"/>
                <w:color w:val="auto"/>
              </w:rPr>
            </w:pPr>
          </w:p>
        </w:tc>
        <w:tc>
          <w:tcPr>
            <w:tcW w:w="940" w:type="dxa"/>
            <w:vAlign w:val="bottom"/>
          </w:tcPr>
          <w:p>
            <w:pPr>
              <w:jc w:val="center"/>
              <w:ind w:left="133"/>
              <w:spacing w:after="0" w:line="146" w:lineRule="exact"/>
              <w:rPr>
                <w:sz w:val="20"/>
                <w:szCs w:val="20"/>
                <w:color w:val="auto"/>
              </w:rPr>
            </w:pPr>
            <w:r>
              <w:rPr>
                <w:rFonts w:ascii="Arial" w:cs="Arial" w:eastAsia="Arial" w:hAnsi="Arial"/>
                <w:sz w:val="14"/>
                <w:szCs w:val="14"/>
                <w:b w:val="1"/>
                <w:bCs w:val="1"/>
                <w:color w:val="auto"/>
                <w:w w:val="93"/>
              </w:rPr>
              <w:t>Treaty")</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93"/>
              </w:rPr>
              <w:t>Treaty")</w:t>
            </w:r>
          </w:p>
        </w:tc>
        <w:tc>
          <w:tcPr>
            <w:tcW w:w="138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89"/>
              </w:rPr>
              <w:t>Treaties")</w:t>
            </w:r>
          </w:p>
        </w:tc>
        <w:tc>
          <w:tcPr>
            <w:tcW w:w="1280" w:type="dxa"/>
            <w:vAlign w:val="bottom"/>
            <w:gridSpan w:val="2"/>
          </w:tcPr>
          <w:p>
            <w:pPr>
              <w:jc w:val="center"/>
              <w:ind w:right="140"/>
              <w:spacing w:after="0" w:line="146" w:lineRule="exact"/>
              <w:rPr>
                <w:sz w:val="20"/>
                <w:szCs w:val="20"/>
                <w:color w:val="auto"/>
              </w:rPr>
            </w:pPr>
            <w:r>
              <w:rPr>
                <w:rFonts w:ascii="Arial" w:cs="Arial" w:eastAsia="Arial" w:hAnsi="Arial"/>
                <w:sz w:val="14"/>
                <w:szCs w:val="14"/>
                <w:b w:val="1"/>
                <w:bCs w:val="1"/>
                <w:color w:val="auto"/>
                <w:w w:val="93"/>
              </w:rPr>
              <w:t>Treaty")</w:t>
            </w:r>
          </w:p>
        </w:tc>
      </w:tr>
      <w:tr>
        <w:trPr>
          <w:trHeight w:val="224"/>
        </w:trPr>
        <w:tc>
          <w:tcPr>
            <w:tcW w:w="6940" w:type="dxa"/>
            <w:vAlign w:val="bottom"/>
            <w:gridSpan w:val="2"/>
          </w:tcPr>
          <w:p>
            <w:pPr>
              <w:ind w:left="40"/>
              <w:spacing w:after="0"/>
              <w:rPr>
                <w:sz w:val="20"/>
                <w:szCs w:val="20"/>
                <w:color w:val="auto"/>
              </w:rPr>
            </w:pPr>
            <w:r>
              <w:rPr>
                <w:rFonts w:ascii="Arial" w:cs="Arial" w:eastAsia="Arial" w:hAnsi="Arial"/>
                <w:sz w:val="17"/>
                <w:szCs w:val="17"/>
                <w:b w:val="1"/>
                <w:bCs w:val="1"/>
                <w:color w:val="auto"/>
              </w:rPr>
              <w:t>Quota share reinsurance rates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7"/>
        </w:trPr>
        <w:tc>
          <w:tcPr>
            <w:tcW w:w="69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3"/>
              </w:rPr>
              <w:t>55%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r>
    </w:tbl>
    <w:p>
      <w:pPr>
        <w:spacing w:after="0" w:line="220"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Net written premiums increased $12,593,000, or 38.4%, to $45,347,000 in 2015 from $32,754,000 in 2014. Net written premiums include direct and assumed premiums, less the amount of written premiums ceded under our reinsurance treaties (quota share, excess of loss, and catastrophe). Our personal lines business is currently subject to a quota share treaty and our commercial lines business was subject to a quota share treaty through June 30, 2014. A reduction to the quota share percentage or elimination of a quota share treaty will reduce our ceded written premiums, which will result in a corresponding increase to our net written premiums.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36" w:name="page37"/>
    <w:bookmarkEnd w:id="36"/>
    <w:p>
      <w:pPr>
        <w:ind w:right="60" w:firstLine="620"/>
        <w:spacing w:after="0" w:line="262" w:lineRule="auto"/>
        <w:rPr>
          <w:sz w:val="20"/>
          <w:szCs w:val="20"/>
          <w:color w:val="auto"/>
        </w:rPr>
      </w:pPr>
      <w:r>
        <w:rPr>
          <w:rFonts w:ascii="Arial" w:cs="Arial" w:eastAsia="Arial" w:hAnsi="Arial"/>
          <w:sz w:val="17"/>
          <w:szCs w:val="17"/>
          <w:color w:val="auto"/>
        </w:rPr>
        <w:t>Effective July 1, 2015, we decreased the quota share ceding rate in our personal lines quota share treaty from 55% to 40%. The Cut-off of this treaty on July 1, 2015 resulted in a $5,866,000 return of unearned premiums from our reinsurers that were previously ceded under the expiring personal lines quota share treaty. The new treaty is on a “net” of catastrophe reinsurance basis, as opposed to the “gross” arrangement that existed in prior years. Under a “net” arrangement, all catastrophe reinsurance coverage is now purchased directly by us.</w:t>
      </w:r>
    </w:p>
    <w:p>
      <w:pPr>
        <w:spacing w:after="0" w:line="205"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Effective July 1, 2014, we terminated our commercial lines quota share treaty. The previous commercial lines quota share treaty effective July 1, 2013 had a quota share percentage of 25%. Also, effective July 1, 2014, we decreased the quota share percentage in our personal lines quota share treaty from 75% to 55%. The Cut-off of these treaties on July 1, 2014 results in a $6,597,000 return of unearned premiums from our reinsurers that were previously ceded under the expiring quota share treaties.</w:t>
      </w:r>
    </w:p>
    <w:p>
      <w:pPr>
        <w:spacing w:after="0" w:line="205" w:lineRule="exact"/>
        <w:rPr>
          <w:sz w:val="20"/>
          <w:szCs w:val="20"/>
          <w:color w:val="auto"/>
        </w:rPr>
      </w:pPr>
    </w:p>
    <w:p>
      <w:pPr>
        <w:jc w:val="both"/>
        <w:ind w:firstLine="620"/>
        <w:spacing w:after="0" w:line="299" w:lineRule="auto"/>
        <w:rPr>
          <w:sz w:val="20"/>
          <w:szCs w:val="20"/>
          <w:color w:val="auto"/>
        </w:rPr>
      </w:pPr>
      <w:r>
        <w:rPr>
          <w:rFonts w:ascii="Arial" w:cs="Arial" w:eastAsia="Arial" w:hAnsi="Arial"/>
          <w:sz w:val="15"/>
          <w:szCs w:val="15"/>
          <w:color w:val="auto"/>
        </w:rPr>
        <w:t>Most of the premiums written under our personal lines are also subject to our catastrophe treaty. An increase in our personal lines business gives rise to more property exposure, which increases our exposure to catastrophe risk; therefore, our premiums for catastrophe insurance will increase. This results in an increase in premiums ceded under our catastrophe treaty, which reduces net written premiums. With the inception of our personal lines quota share treaty being on a “net” basis effective July 1, 2015, our catastrophe premiums are paid based on our direct written premiums, compared to catastrophe premiums being paid only on the amount of written premiums that we retained under the expired “gross” basis. As a result of the increase in our personal lines business and the change to a “net” basis for our personal lines quota share treaty, ceded catastrophe premiums increased by $2,646,000, or 152.1%, to $4,386,000 in 2015 from $1,740,000 in 2014.</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An increase in written premiums will also increase the premiums ceded under our excess of loss treaties, which will also reduce our net written premiums.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In 2015, our ceded excess of loss reinsurance premiums increased by $202,000 over the ceded premiums for 2014.</w:t>
      </w:r>
    </w:p>
    <w:p>
      <w:pPr>
        <w:spacing w:after="0" w:line="233"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Net premiums earned increased $12,130,000, or 54.5%, to $34,381,000 in 2015 from $22,251,000 in 2014. The increase was primarily due to us retaining more earned premiums as result of the reduction of the quota share percentage in our personal lines quota share treaty and the elimination of the commercial lines treaty on July 1, 2014. The decreases in our quota share ceding percentages from the July 1, 2015 and 2014 Cut-offs gave us a return of premiums previously ceded, which has the effect of increasing our net premiums earned during the twelve month periods after the Cut-offs. In addition, as premiums written earn ratably over a twelve month period, net premiums earned in 2015 increased due to the higher net written premiums generated for the twelve months ended September 30, 2015 compared to the twelve months ended September 30, 2014.</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24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following table describes the quota share provisional ceding commission rates in effect during 2015 and 2014. This table should be referred to in conjunction with the discussion for ceding commission revenue that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9"/>
              </w:rPr>
              <w:t>Nine months ended September 30, 2015</w:t>
            </w:r>
          </w:p>
        </w:tc>
        <w:tc>
          <w:tcPr>
            <w:tcW w:w="80" w:type="dxa"/>
            <w:vAlign w:val="bottom"/>
          </w:tcPr>
          <w:p>
            <w:pPr>
              <w:spacing w:after="0"/>
              <w:rPr>
                <w:sz w:val="14"/>
                <w:szCs w:val="14"/>
                <w:color w:val="auto"/>
              </w:rPr>
            </w:pPr>
          </w:p>
        </w:tc>
        <w:tc>
          <w:tcPr>
            <w:tcW w:w="266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0"/>
              </w:rPr>
              <w:t>Nine months ended September 30, 2014</w:t>
            </w:r>
          </w:p>
        </w:tc>
      </w:tr>
      <w:tr>
        <w:trPr>
          <w:trHeight w:val="120"/>
        </w:trPr>
        <w:tc>
          <w:tcPr>
            <w:tcW w:w="5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January 1,</w:t>
            </w: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3"/>
              </w:rPr>
              <w:t>July 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Borders>
              <w:top w:val="single" w:sz="8" w:color="auto"/>
            </w:tcBorders>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January 1,</w:t>
            </w:r>
          </w:p>
        </w:tc>
        <w:tc>
          <w:tcPr>
            <w:tcW w:w="11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3"/>
              </w:rPr>
              <w:t>July 1,</w:t>
            </w:r>
          </w:p>
        </w:tc>
        <w:tc>
          <w:tcPr>
            <w:tcW w:w="160" w:type="dxa"/>
            <w:vAlign w:val="bottom"/>
          </w:tcPr>
          <w:p>
            <w:pPr>
              <w:spacing w:after="0"/>
              <w:rPr>
                <w:sz w:val="10"/>
                <w:szCs w:val="10"/>
                <w:color w:val="auto"/>
              </w:rPr>
            </w:pPr>
          </w:p>
        </w:tc>
      </w:tr>
      <w:tr>
        <w:trPr>
          <w:trHeight w:val="142"/>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0"/>
              </w:rPr>
              <w:t>to</w:t>
            </w:r>
          </w:p>
        </w:tc>
        <w:tc>
          <w:tcPr>
            <w:tcW w:w="100" w:type="dxa"/>
            <w:vAlign w:val="bottom"/>
          </w:tcPr>
          <w:p>
            <w:pPr>
              <w:spacing w:after="0"/>
              <w:rPr>
                <w:sz w:val="12"/>
                <w:szCs w:val="12"/>
                <w:color w:val="auto"/>
              </w:rPr>
            </w:pPr>
          </w:p>
        </w:tc>
        <w:tc>
          <w:tcPr>
            <w:tcW w:w="12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0"/>
              </w:rPr>
              <w:t>to</w:t>
            </w:r>
          </w:p>
        </w:tc>
        <w:tc>
          <w:tcPr>
            <w:tcW w:w="80" w:type="dxa"/>
            <w:vAlign w:val="bottom"/>
          </w:tcPr>
          <w:p>
            <w:pPr>
              <w:spacing w:after="0"/>
              <w:rPr>
                <w:sz w:val="12"/>
                <w:szCs w:val="12"/>
                <w:color w:val="auto"/>
              </w:rPr>
            </w:pPr>
          </w:p>
        </w:tc>
        <w:tc>
          <w:tcPr>
            <w:tcW w:w="1380" w:type="dxa"/>
            <w:vAlign w:val="bottom"/>
            <w:gridSpan w:val="4"/>
          </w:tcPr>
          <w:p>
            <w:pPr>
              <w:jc w:val="center"/>
              <w:ind w:right="240"/>
              <w:spacing w:after="0" w:line="142" w:lineRule="exact"/>
              <w:rPr>
                <w:sz w:val="20"/>
                <w:szCs w:val="20"/>
                <w:color w:val="auto"/>
              </w:rPr>
            </w:pPr>
            <w:r>
              <w:rPr>
                <w:rFonts w:ascii="Arial" w:cs="Arial" w:eastAsia="Arial" w:hAnsi="Arial"/>
                <w:sz w:val="14"/>
                <w:szCs w:val="14"/>
                <w:b w:val="1"/>
                <w:bCs w:val="1"/>
                <w:color w:val="auto"/>
                <w:w w:val="75"/>
              </w:rPr>
              <w:t>to</w:t>
            </w:r>
          </w:p>
        </w:tc>
        <w:tc>
          <w:tcPr>
            <w:tcW w:w="128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75"/>
              </w:rPr>
              <w:t>to</w:t>
            </w:r>
          </w:p>
        </w:tc>
      </w:tr>
      <w:tr>
        <w:trPr>
          <w:trHeight w:val="170"/>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September 30,</w:t>
            </w:r>
          </w:p>
        </w:tc>
        <w:tc>
          <w:tcPr>
            <w:tcW w:w="80" w:type="dxa"/>
            <w:vAlign w:val="bottom"/>
          </w:tcPr>
          <w:p>
            <w:pPr>
              <w:spacing w:after="0"/>
              <w:rPr>
                <w:sz w:val="14"/>
                <w:szCs w:val="14"/>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September 30,</w:t>
            </w:r>
          </w:p>
        </w:tc>
      </w:tr>
      <w:tr>
        <w:trPr>
          <w:trHeight w:val="120"/>
        </w:trPr>
        <w:tc>
          <w:tcPr>
            <w:tcW w:w="5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83"/>
              <w:spacing w:after="0" w:line="119" w:lineRule="exact"/>
              <w:rPr>
                <w:sz w:val="20"/>
                <w:szCs w:val="20"/>
                <w:color w:val="auto"/>
              </w:rPr>
            </w:pPr>
            <w:r>
              <w:rPr>
                <w:rFonts w:ascii="Arial" w:cs="Arial" w:eastAsia="Arial" w:hAnsi="Arial"/>
                <w:sz w:val="13"/>
                <w:szCs w:val="13"/>
                <w:b w:val="1"/>
                <w:bCs w:val="1"/>
                <w:color w:val="auto"/>
                <w:w w:val="97"/>
              </w:rPr>
              <w:t>("2014/2015</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("2015/2016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tcBorders>
          </w:tcPr>
          <w:p>
            <w:pPr>
              <w:jc w:val="center"/>
              <w:ind w:left="23"/>
              <w:spacing w:after="0" w:line="119" w:lineRule="exact"/>
              <w:rPr>
                <w:sz w:val="20"/>
                <w:szCs w:val="20"/>
                <w:color w:val="auto"/>
              </w:rPr>
            </w:pPr>
            <w:r>
              <w:rPr>
                <w:rFonts w:ascii="Arial" w:cs="Arial" w:eastAsia="Arial" w:hAnsi="Arial"/>
                <w:sz w:val="13"/>
                <w:szCs w:val="13"/>
                <w:b w:val="1"/>
                <w:bCs w:val="1"/>
                <w:color w:val="auto"/>
                <w:w w:val="97"/>
              </w:rPr>
              <w:t>("2013/2014</w:t>
            </w:r>
          </w:p>
        </w:tc>
        <w:tc>
          <w:tcPr>
            <w:tcW w:w="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Borders>
              <w:top w:val="single" w:sz="8" w:color="auto"/>
            </w:tcBorders>
          </w:tcPr>
          <w:p>
            <w:pPr>
              <w:jc w:val="center"/>
              <w:ind w:left="83"/>
              <w:spacing w:after="0" w:line="119" w:lineRule="exact"/>
              <w:rPr>
                <w:sz w:val="20"/>
                <w:szCs w:val="20"/>
                <w:color w:val="auto"/>
              </w:rPr>
            </w:pPr>
            <w:r>
              <w:rPr>
                <w:rFonts w:ascii="Arial" w:cs="Arial" w:eastAsia="Arial" w:hAnsi="Arial"/>
                <w:sz w:val="13"/>
                <w:szCs w:val="13"/>
                <w:b w:val="1"/>
                <w:bCs w:val="1"/>
                <w:color w:val="auto"/>
                <w:w w:val="97"/>
              </w:rPr>
              <w:t>("2014/2015</w:t>
            </w:r>
          </w:p>
        </w:tc>
        <w:tc>
          <w:tcPr>
            <w:tcW w:w="1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79"/>
        </w:trPr>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Treaty")</w:t>
            </w:r>
          </w:p>
        </w:tc>
        <w:tc>
          <w:tcPr>
            <w:tcW w:w="10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Treaty")</w:t>
            </w:r>
          </w:p>
        </w:tc>
        <w:tc>
          <w:tcPr>
            <w:tcW w:w="80" w:type="dxa"/>
            <w:vAlign w:val="bottom"/>
          </w:tcPr>
          <w:p>
            <w:pPr>
              <w:spacing w:after="0"/>
              <w:rPr>
                <w:sz w:val="15"/>
                <w:szCs w:val="15"/>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Treaties")</w:t>
            </w: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Treaty")</w:t>
            </w:r>
          </w:p>
        </w:tc>
      </w:tr>
      <w:tr>
        <w:trPr>
          <w:trHeight w:val="398"/>
        </w:trPr>
        <w:tc>
          <w:tcPr>
            <w:tcW w:w="6020" w:type="dxa"/>
            <w:vAlign w:val="bottom"/>
            <w:gridSpan w:val="2"/>
          </w:tcPr>
          <w:p>
            <w:pPr>
              <w:spacing w:after="0"/>
              <w:rPr>
                <w:sz w:val="20"/>
                <w:szCs w:val="20"/>
                <w:color w:val="auto"/>
              </w:rPr>
            </w:pPr>
            <w:r>
              <w:rPr>
                <w:rFonts w:ascii="Arial" w:cs="Arial" w:eastAsia="Arial" w:hAnsi="Arial"/>
                <w:sz w:val="17"/>
                <w:szCs w:val="17"/>
                <w:b w:val="1"/>
                <w:bCs w:val="1"/>
                <w:color w:val="auto"/>
              </w:rPr>
              <w:t>Provisional ceding commission rate on quota share treaty</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60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Personal lines</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17"/>
        </w:trPr>
        <w:tc>
          <w:tcPr>
            <w:tcW w:w="6020" w:type="dxa"/>
            <w:vAlign w:val="bottom"/>
            <w:gridSpan w:val="2"/>
          </w:tcPr>
          <w:p>
            <w:pPr>
              <w:ind w:left="200"/>
              <w:spacing w:after="0"/>
              <w:rPr>
                <w:sz w:val="20"/>
                <w:szCs w:val="20"/>
                <w:color w:val="auto"/>
              </w:rPr>
            </w:pPr>
            <w:r>
              <w:rPr>
                <w:rFonts w:ascii="Arial" w:cs="Arial" w:eastAsia="Arial" w:hAnsi="Arial"/>
                <w:sz w:val="17"/>
                <w:szCs w:val="17"/>
                <w:color w:val="auto"/>
              </w:rPr>
              <w:t>Commercial lines</w:t>
            </w: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none</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none</w:t>
            </w:r>
          </w:p>
        </w:tc>
        <w:tc>
          <w:tcPr>
            <w:tcW w:w="80" w:type="dxa"/>
            <w:vAlign w:val="bottom"/>
          </w:tcPr>
          <w:p>
            <w:pPr>
              <w:spacing w:after="0"/>
              <w:rPr>
                <w:sz w:val="18"/>
                <w:szCs w:val="18"/>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7"/>
                <w:szCs w:val="17"/>
                <w:color w:val="auto"/>
              </w:rPr>
              <w:t>36%</w:t>
            </w:r>
          </w:p>
        </w:tc>
        <w:tc>
          <w:tcPr>
            <w:tcW w:w="1280" w:type="dxa"/>
            <w:vAlign w:val="bottom"/>
            <w:gridSpan w:val="3"/>
          </w:tcPr>
          <w:p>
            <w:pPr>
              <w:jc w:val="right"/>
              <w:ind w:right="140"/>
              <w:spacing w:after="0"/>
              <w:rPr>
                <w:sz w:val="20"/>
                <w:szCs w:val="20"/>
                <w:color w:val="auto"/>
              </w:rPr>
            </w:pPr>
            <w:r>
              <w:rPr>
                <w:rFonts w:ascii="Arial" w:cs="Arial" w:eastAsia="Arial" w:hAnsi="Arial"/>
                <w:sz w:val="17"/>
                <w:szCs w:val="17"/>
                <w:color w:val="auto"/>
              </w:rPr>
              <w:t>none</w:t>
            </w:r>
          </w:p>
        </w:tc>
      </w:tr>
      <w:tr>
        <w:trPr>
          <w:trHeight w:val="426"/>
        </w:trPr>
        <w:tc>
          <w:tcPr>
            <w:tcW w:w="10140" w:type="dxa"/>
            <w:vAlign w:val="bottom"/>
            <w:gridSpan w:val="13"/>
          </w:tcPr>
          <w:p>
            <w:pPr>
              <w:ind w:left="620"/>
              <w:spacing w:after="0"/>
              <w:rPr>
                <w:sz w:val="20"/>
                <w:szCs w:val="20"/>
                <w:color w:val="auto"/>
              </w:rPr>
            </w:pPr>
            <w:r>
              <w:rPr>
                <w:rFonts w:ascii="Arial" w:cs="Arial" w:eastAsia="Arial" w:hAnsi="Arial"/>
                <w:sz w:val="17"/>
                <w:szCs w:val="17"/>
                <w:color w:val="auto"/>
                <w:w w:val="93"/>
              </w:rPr>
              <w:t>The following table summarizes the changes in the components of ceding commission revenue (in thousands) for the periods indicated:</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4"/>
                <w:szCs w:val="14"/>
                <w:b w:val="1"/>
                <w:bCs w:val="1"/>
                <w:color w:val="auto"/>
                <w:w w:val="90"/>
              </w:rPr>
              <w:t>Nine months ended September 30,</w:t>
            </w:r>
          </w:p>
        </w:tc>
        <w:tc>
          <w:tcPr>
            <w:tcW w:w="9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2"/>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8"/>
                <w:szCs w:val="18"/>
                <w:color w:val="auto"/>
              </w:rPr>
            </w:pPr>
          </w:p>
        </w:tc>
        <w:tc>
          <w:tcPr>
            <w:tcW w:w="98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43"/>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Percent</w:t>
            </w:r>
          </w:p>
        </w:tc>
      </w:tr>
      <w:tr>
        <w:trPr>
          <w:trHeight w:val="206"/>
        </w:trPr>
        <w:tc>
          <w:tcPr>
            <w:tcW w:w="5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2"/>
        </w:trPr>
        <w:tc>
          <w:tcPr>
            <w:tcW w:w="602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Provisional ceding commissions earned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8,734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9,661</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(9.6) %</w:t>
            </w:r>
          </w:p>
        </w:tc>
      </w:tr>
      <w:tr>
        <w:trPr>
          <w:trHeight w:val="206"/>
        </w:trPr>
        <w:tc>
          <w:tcPr>
            <w:tcW w:w="5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06"/>
        </w:trPr>
        <w:tc>
          <w:tcPr>
            <w:tcW w:w="602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Contingent ceding commissions earned</w:t>
            </w: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6020" w:type="dxa"/>
            <w:vAlign w:val="bottom"/>
            <w:gridSpan w:val="2"/>
          </w:tcPr>
          <w:p>
            <w:pPr>
              <w:ind w:left="200"/>
              <w:spacing w:after="0"/>
              <w:rPr>
                <w:sz w:val="20"/>
                <w:szCs w:val="20"/>
                <w:color w:val="auto"/>
              </w:rPr>
            </w:pPr>
            <w:r>
              <w:rPr>
                <w:rFonts w:ascii="Arial" w:cs="Arial" w:eastAsia="Arial" w:hAnsi="Arial"/>
                <w:sz w:val="17"/>
                <w:szCs w:val="17"/>
                <w:color w:val="auto"/>
              </w:rPr>
              <w:t>Contingent ceding commissions earned excluding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60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the effect of catastrophes</w:t>
            </w:r>
          </w:p>
        </w:tc>
        <w:tc>
          <w:tcPr>
            <w:tcW w:w="14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1,935</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w:t>
            </w: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58.3%</w:t>
            </w:r>
          </w:p>
        </w:tc>
      </w:tr>
      <w:tr>
        <w:trPr>
          <w:trHeight w:val="206"/>
        </w:trPr>
        <w:tc>
          <w:tcPr>
            <w:tcW w:w="6020" w:type="dxa"/>
            <w:vAlign w:val="bottom"/>
            <w:gridSpan w:val="2"/>
          </w:tcPr>
          <w:p>
            <w:pPr>
              <w:ind w:left="200"/>
              <w:spacing w:after="0"/>
              <w:rPr>
                <w:sz w:val="20"/>
                <w:szCs w:val="20"/>
                <w:color w:val="auto"/>
              </w:rPr>
            </w:pPr>
            <w:r>
              <w:rPr>
                <w:rFonts w:ascii="Arial" w:cs="Arial" w:eastAsia="Arial" w:hAnsi="Arial"/>
                <w:sz w:val="17"/>
                <w:szCs w:val="17"/>
                <w:color w:val="auto"/>
              </w:rPr>
              <w:t>Effect of catastrophes on ceding commissions earned</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(1,281)</w:t>
            </w:r>
          </w:p>
        </w:tc>
        <w:tc>
          <w:tcPr>
            <w:tcW w:w="1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(517)</w:t>
            </w:r>
          </w:p>
        </w:tc>
        <w:tc>
          <w:tcPr>
            <w:tcW w:w="8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(764)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7"/>
                <w:szCs w:val="17"/>
                <w:color w:val="auto"/>
              </w:rPr>
              <w:t>147.8%</w:t>
            </w: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2"/>
        </w:trPr>
        <w:tc>
          <w:tcPr>
            <w:tcW w:w="60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Contingent ceding commissions earned</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654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(7.2) %</w:t>
            </w:r>
          </w:p>
        </w:tc>
      </w:tr>
      <w:tr>
        <w:trPr>
          <w:trHeight w:val="206"/>
        </w:trPr>
        <w:tc>
          <w:tcPr>
            <w:tcW w:w="5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gridSpan w:val="2"/>
          </w:tcPr>
          <w:p>
            <w:pPr>
              <w:spacing w:after="0"/>
              <w:rPr>
                <w:sz w:val="17"/>
                <w:szCs w:val="17"/>
                <w:color w:val="auto"/>
              </w:rPr>
            </w:pPr>
          </w:p>
        </w:tc>
      </w:tr>
      <w:tr>
        <w:trPr>
          <w:trHeight w:val="226"/>
        </w:trPr>
        <w:tc>
          <w:tcPr>
            <w:tcW w:w="602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Total ceding commission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9,388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10,366</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(9.4) %</w:t>
            </w:r>
          </w:p>
        </w:tc>
      </w:tr>
      <w:tr>
        <w:trPr>
          <w:trHeight w:val="20"/>
        </w:trPr>
        <w:tc>
          <w:tcPr>
            <w:tcW w:w="5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Ceding commission revenue was $9,388,000 in 2015 compared to $10,366,000 in 2014. The decrease of $978,000, or 9.4%, was due to a decrease in provisional ceding commissions earned and a decrease in contingent ceding commissions earned.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Provisional Ceding Commissions Earned</w:t>
      </w:r>
    </w:p>
    <w:p>
      <w:pPr>
        <w:spacing w:after="0" w:line="24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We receive a provisional ceding commission based on ceded written premiums. Under the terms of the 2015/2016 Treaty, the provisional ceding commission rate increased to 55% from 40% under the 2014/2015 Treaty. The $927,000 decrease in provisional ceding commissions earned is due to: (1) a decrease in the amount of premiums subject to provisional ceding commissions, (2) a decrease in the percentage of ceded premiums subject to quota share under the “net” 2015/2016 Treaty compared to the “gross” 2014/2015 Treaty, (3) partially offset by the increase in the provisional ceding commission rates under the 2015/2016 Treaty.</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Contingent Ceding Commissions Earned</w:t>
      </w:r>
    </w:p>
    <w:p>
      <w:pPr>
        <w:spacing w:after="0" w:line="243" w:lineRule="exact"/>
        <w:rPr>
          <w:sz w:val="20"/>
          <w:szCs w:val="20"/>
          <w:color w:val="auto"/>
        </w:rPr>
      </w:pPr>
    </w:p>
    <w:p>
      <w:pPr>
        <w:jc w:val="both"/>
        <w:ind w:firstLine="620"/>
        <w:spacing w:after="0" w:line="308" w:lineRule="auto"/>
        <w:rPr>
          <w:sz w:val="20"/>
          <w:szCs w:val="20"/>
          <w:color w:val="auto"/>
        </w:rPr>
      </w:pPr>
      <w:r>
        <w:rPr>
          <w:rFonts w:ascii="Arial" w:cs="Arial" w:eastAsia="Arial" w:hAnsi="Arial"/>
          <w:sz w:val="15"/>
          <w:szCs w:val="15"/>
          <w:color w:val="auto"/>
        </w:rPr>
        <w:t>As a result of the increase in the provisional ceding commission rate to 55% under the 2015/2016 Treaty from 40% under the 2014/2015 Treaty, we do not have an opportunity to earn as much contingent ceding commissions. Under the “net” treaty in effect as of July 1, 2015, catastrophe losses in excess of the first $4,000,000 will fall outside of the quota share treaty and such losses will not have an impact on contingent ceding commissions, as was the case under previous “gross” treaties. The new structure eliminates the adverse impact that catastrophe losses above $4,000,000 would have on contingent ceding commissions.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8" w:name="page39"/>
    <w:bookmarkEnd w:id="38"/>
    <w:p>
      <w:pPr>
        <w:jc w:val="both"/>
        <w:ind w:firstLine="620"/>
        <w:spacing w:after="0" w:line="278" w:lineRule="auto"/>
        <w:rPr>
          <w:sz w:val="20"/>
          <w:szCs w:val="20"/>
          <w:color w:val="auto"/>
        </w:rPr>
      </w:pPr>
      <w:r>
        <w:rPr>
          <w:rFonts w:ascii="Arial" w:cs="Arial" w:eastAsia="Arial" w:hAnsi="Arial"/>
          <w:sz w:val="16"/>
          <w:szCs w:val="16"/>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two personal lines quota share treaties described in the table above that were in effect during 2015 are subject to change based on losses incurred from claims with accident dates beginning July 1, 2014. The amount of contingent ceding commissions we are eligible to receive under our prior years’ quota share treaties is subject to change based on losses incurred related to claims with accident dates before July 1, 2014 under those treaties. In addition, our total ceding contingent commission revenue was reduced in 2015 due to us not renewing our commercial lines quota share treaty upon its expiration on June 30, 2014.</w:t>
      </w:r>
    </w:p>
    <w:p>
      <w:pPr>
        <w:spacing w:after="0" w:line="19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The term of our expired personal lines reinsurance quota share treaty covered the period from July 1, 2013 to June 30, 2015 (“2013/2015 Treaty”). The computation to arrive at contingent ceding commission revenue under the 2013/2015 Treaty included catastrophe losses and LAE incurred from severe winter weather during 2015 and 2014 (see discussion of “Net Loss and LAE” below). Such losses increased our ceded loss ratio in our 2013/2015 Treaty, which reduced our contingent ceding commission revenue in accordance with the sliding scale discussed above in 2015 and 2014 by $1,281,000 and $517,000, respectively. See “Reinsurance” below for changes to our personal lines quota share treaty effective July 1, 2015.</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Investment Income</w:t>
      </w:r>
    </w:p>
    <w:p>
      <w:pPr>
        <w:spacing w:after="0" w:line="243"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Net investment income was $1,850,000 in 2015 compared to $1,294,000 in 2014. The increase of $556,000, or 43.0%, was due to an increase in average invested assets in 2015. The increase in cash and invested assets resulted primarily from: (1) the proceeds of $18,804,000 that we received on December 13, 2013 from our public offering being fully deployed in 2015 as compared to the partial deployment in 2014 and (2) increased operating cash flows for the period after September 30, 2014. The increase in operating cash flows is due in part from the reduction in quota share rates on July 1, 2015 and 2014. The reduction in quota share rates results in a decline in ceded premiums, which leads to more cash flow and more invested funds. The pre-tax equivalent investment yield on estimated annual income, excluding cash, was 4.81% and 4.69% as of September 30, 2015 and 2014,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Income</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Other income was $1,300,000 in 2015 compared to $742,000 in 2014. The increase of $558,000, or 75.2%, was primarily due to the $350,000 we received as early settlement of the termination agreement that generated placement fees in our premium finance business (see Note 12 to the Condensed Consolidated Financial Statements).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auto"/>
        </w:rPr>
        <w:t>Net Loss and LAE</w:t>
      </w:r>
    </w:p>
    <w:p>
      <w:pPr>
        <w:spacing w:after="0" w:line="24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Net loss and LAE was $16,884,000 in 2015 compared to $11,871,000 in 2014. The net loss ratio was 49.1% in 2015 compared to 53.4% in 2014, a decrease of 4.3 percentage points. The following graphs summarize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1174115</wp:posOffset>
            </wp:positionH>
            <wp:positionV relativeFrom="paragraph">
              <wp:posOffset>128270</wp:posOffset>
            </wp:positionV>
            <wp:extent cx="4908550" cy="45726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08550" cy="457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620"/>
        <w:spacing w:after="0" w:line="256" w:lineRule="auto"/>
        <w:rPr>
          <w:sz w:val="20"/>
          <w:szCs w:val="20"/>
          <w:color w:val="auto"/>
        </w:rPr>
      </w:pPr>
      <w:r>
        <w:rPr>
          <w:rFonts w:ascii="Arial" w:cs="Arial" w:eastAsia="Arial" w:hAnsi="Arial"/>
          <w:sz w:val="17"/>
          <w:szCs w:val="17"/>
          <w:color w:val="auto"/>
        </w:rPr>
        <w:t>During 2015, our net loss ratio has decreased compared to 2014 due to several factors. The primary driver of the decrease is an improvement in prior year loss development, as we recorded 1.4 points of favorable prior year loss development in 2015 compared to 3.6 points of adverse (unfavorable) prior year development over the same period in 2014, or an improvement of 5.0 points. Additionally, the core loss ratio (excluding prior year loss development and severe winter weather) has declined to 44.4% in 2015 from 45.5% in 2014, an improvement of 1.1 points. The improvement in the core net loss ratio was driven by favorable results for personal lines compared to 2014 and a continued shift in the net earned premium mix towards lines of business that have a lower core loss ratio such as personal lines and livery physical damage. Offsetting some of the above improvements was the impact of severe winter weather, determined as the losses incurred over and above those expected in an average winter season. Severe winter weather had a 6.1% impact on the net loss ratio in 2015 compared to 4.2% in 2014, an increase of 1.9 points. The provision in our current year catastrophe reinsurance treaty that added coverage for winter storm losses in excess of $4,000,000 over any 28 day period was not triggered by the winter weather in 2015. See table below under “Additional Financial Information” summarizing net loss ratios by line of business.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0" w:name="page41"/>
    <w:bookmarkEnd w:id="40"/>
    <w:p>
      <w:pPr>
        <w:ind w:left="1240"/>
        <w:spacing w:after="0"/>
        <w:rPr>
          <w:sz w:val="20"/>
          <w:szCs w:val="20"/>
          <w:color w:val="auto"/>
        </w:rPr>
      </w:pPr>
      <w:r>
        <w:rPr>
          <w:rFonts w:ascii="Arial" w:cs="Arial" w:eastAsia="Arial" w:hAnsi="Arial"/>
          <w:sz w:val="17"/>
          <w:szCs w:val="17"/>
          <w:i w:val="1"/>
          <w:iCs w:val="1"/>
          <w:color w:val="auto"/>
        </w:rPr>
        <w:t>Commercial Auto Line of Business</w:t>
      </w:r>
    </w:p>
    <w:p>
      <w:pPr>
        <w:spacing w:after="0" w:line="24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Effective October 1, 2014 we decided to no longer accept applications for new commercial auto coverage. The action was taken following a series of underwriting and pricing measures which were intended to improve the profitability of this line of business. The actions taken did not yield the hoped for results. In February 2015, we decided to no longer offer renewals to our existing commercial auto policies beginning with those that expired on or after May 1, 2015. As of December 31, 2014, we had 730 commercial auto policies in force, which represented 1.6% of our policies in force. As of September 30, 2015, we had 238 commercial auto policies in force, which represented 0.5% of our policies in force.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Commission Expense</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Commission expense was $11,034,000 in 2015 or 18.3% of direct earned premiums. Commission expense was $8,592,000 in 2014 or 17.4% of direct earned premiums. The increase of $2,442,000, or 28.4%, is due to the increase in direct written premiums in 2015 as compared to 2014 and a change in the mix of business to lines of business with higher commission rates, and an increase in bonus commissions.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Underwriting Expenses</w:t>
      </w:r>
    </w:p>
    <w:p>
      <w:pPr>
        <w:spacing w:after="0" w:line="243" w:lineRule="exact"/>
        <w:rPr>
          <w:sz w:val="20"/>
          <w:szCs w:val="20"/>
          <w:color w:val="auto"/>
        </w:rPr>
      </w:pPr>
    </w:p>
    <w:p>
      <w:pPr>
        <w:jc w:val="both"/>
        <w:ind w:firstLine="620"/>
        <w:spacing w:after="0" w:line="275" w:lineRule="auto"/>
        <w:rPr>
          <w:sz w:val="20"/>
          <w:szCs w:val="20"/>
          <w:color w:val="auto"/>
        </w:rPr>
      </w:pPr>
      <w:r>
        <w:rPr>
          <w:rFonts w:ascii="Arial" w:cs="Arial" w:eastAsia="Arial" w:hAnsi="Arial"/>
          <w:sz w:val="16"/>
          <w:szCs w:val="16"/>
          <w:color w:val="auto"/>
        </w:rPr>
        <w:t>Other underwriting expenses were $9,350,000 in 2015 compared to $7,657,000 in 2014. The increase of $1,693,000, or 22.1%, in other underwriting expenses was primarily due to expenses directly and indirectly related to growth in direct written premiums, rate increases in state assessed regulatory fees, and state taxes based on premiums written.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Salaries and employment costs were $4,361,000 in 2015 compared to $3,660,000 in 2014. The increase of $701,000, or 19.2%, was due to hiring of additional staff to service our current level of business and anticipated growth in volume. In addition, there were annual rate increases in both salaries and the cost of employee benefits. Other underwriting expenses as a percentage of direct written premiums increased to 13.9% in 2015 from 13.5% in 2014. Other underwriting expenses as a percentage of direct earned premiums remained constant at 15.5% for both periods.</w:t>
      </w:r>
    </w:p>
    <w:p>
      <w:pPr>
        <w:spacing w:after="0" w:line="198"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Our net underwriting expense ratio in 2015 was 29.9% compared with 24.0% in 2014. The following table shows the individual components of our net underwriting expense ratio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Nine months ended</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336"/>
              <w:spacing w:after="0"/>
              <w:rPr>
                <w:sz w:val="20"/>
                <w:szCs w:val="20"/>
                <w:color w:val="auto"/>
              </w:rPr>
            </w:pPr>
            <w:r>
              <w:rPr>
                <w:rFonts w:ascii="Arial" w:cs="Arial" w:eastAsia="Arial" w:hAnsi="Arial"/>
                <w:sz w:val="14"/>
                <w:szCs w:val="14"/>
                <w:b w:val="1"/>
                <w:bCs w:val="1"/>
                <w:color w:val="auto"/>
                <w:w w:val="83"/>
              </w:rPr>
              <w:t>2014</w:t>
            </w:r>
          </w:p>
        </w:tc>
        <w:tc>
          <w:tcPr>
            <w:tcW w:w="3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Point Change</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Ceding commission revenue - provisional</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(25.4)%</w:t>
            </w: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Ceding commission revenue - contingent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(1.9)</w:t>
            </w:r>
          </w:p>
        </w:tc>
        <w:tc>
          <w:tcPr>
            <w:tcW w:w="4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(3.2)</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w:t>
            </w: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Acquistion costs and other underwriting expenses: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Commission expense</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32.1</w:t>
            </w: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38.6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ind w:left="140"/>
              <w:spacing w:after="0"/>
              <w:rPr>
                <w:sz w:val="20"/>
                <w:szCs w:val="20"/>
                <w:color w:val="auto"/>
              </w:rPr>
            </w:pPr>
            <w:r>
              <w:rPr>
                <w:rFonts w:ascii="Arial" w:cs="Arial" w:eastAsia="Arial" w:hAnsi="Arial"/>
                <w:sz w:val="17"/>
                <w:szCs w:val="17"/>
                <w:color w:val="auto"/>
              </w:rPr>
              <w:t>Other underwriting expenses</w:t>
            </w:r>
          </w:p>
        </w:tc>
        <w:tc>
          <w:tcPr>
            <w:tcW w:w="7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27.2</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34.4</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underwriting expense ratio</w:t>
            </w:r>
          </w:p>
        </w:tc>
        <w:tc>
          <w:tcPr>
            <w:tcW w:w="7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29.9%</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220" w:firstLine="620"/>
        <w:spacing w:after="0" w:line="266" w:lineRule="auto"/>
        <w:rPr>
          <w:sz w:val="20"/>
          <w:szCs w:val="20"/>
          <w:color w:val="auto"/>
        </w:rPr>
      </w:pPr>
      <w:r>
        <w:rPr>
          <w:rFonts w:ascii="Arial" w:cs="Arial" w:eastAsia="Arial" w:hAnsi="Arial"/>
          <w:sz w:val="17"/>
          <w:szCs w:val="17"/>
          <w:color w:val="auto"/>
        </w:rPr>
        <w:t>The increase of 5.9 percentage points was due to the individual components of provisional ceding commission revenue, commission expense and other underwriting expenses and their relation to the increase in net premiums earned as a result of the additional retention resulting from the Cut-offs to our quota share treaties on July 1, 2015.</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Operating Expenses</w:t>
      </w:r>
    </w:p>
    <w:p>
      <w:pPr>
        <w:spacing w:after="0" w:line="243"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Other operating expenses, related to the expenses of our holding company, were $1,174,000 in 2015 compared to $1,074,000 in 2014. The increase in 2015 of $100,000, or 9.3%, was primarily due to an increase in the rate of executive compensation, higher stock-based compensation expense from additional options granted to our chief executive officer in August 2014 pursuant to his amended employment agreement, and an increase in investor relation fees.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Depreciation and Amortization</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Depreciation and amortization was $749,000 in 2015 compared to $642,000 in 2014. The increase of $107,000, or 16.7%, in depreciation and amortization was primarily due to depreciation on newly purchased assets used to upgrade our systems infrastructure and the Kingston home office building from which we operate.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 Expense</w:t>
      </w:r>
    </w:p>
    <w:p>
      <w:pPr>
        <w:spacing w:after="0" w:line="24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Income tax expense in 2015 was $2,514,000, which resulted in an effective tax rate of 33.0%. Income tax expense in 2014 was $1,689,000, which resulted in an effective tax rate of 32.1%. Income before taxes was $7,621,000 in 2015 compared to $5,254,000 in 2014. The increase in the effective tax rate by 0.9 percentage points in 2015 is a result of the change in the enacted state tax rate resulting in a current period decrease in the deferred tax benefit of our state net operating losses, net of the corresponding valuation adjustment. This increase was partially offset by the benefits of permanent differences generated from investment income as a result of the increase in our invested assets.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Income</w:t>
      </w:r>
    </w:p>
    <w:p>
      <w:pPr>
        <w:spacing w:after="0" w:line="243"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Net income was $5,107,000 in 2015 compared to $3,565,000 in 2014. The increase in net income of $1,543,000, or 43.3%, was due to the circumstances described above that caused the increase in our net premiums earned, net investment income, and other income, and a decrease in our net loss ratio, partially offset by a decrease in net realized gains and ceding commission revenue, and increases in other underwriting expenses related to premium growth and other operating expenses.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322" w:gutter="0" w:footer="0" w:header="0"/>
        </w:sectPr>
      </w:pPr>
    </w:p>
    <w:bookmarkStart w:id="41" w:name="page42"/>
    <w:bookmarkEnd w:id="41"/>
    <w:p>
      <w:pPr>
        <w:ind w:left="620"/>
        <w:spacing w:after="0"/>
        <w:rPr>
          <w:sz w:val="20"/>
          <w:szCs w:val="20"/>
          <w:color w:val="auto"/>
        </w:rPr>
      </w:pPr>
      <w:r>
        <w:rPr>
          <w:rFonts w:ascii="Arial" w:cs="Arial" w:eastAsia="Arial" w:hAnsi="Arial"/>
          <w:sz w:val="17"/>
          <w:szCs w:val="17"/>
          <w:b w:val="1"/>
          <w:bCs w:val="1"/>
          <w:i w:val="1"/>
          <w:iCs w:val="1"/>
          <w:color w:val="auto"/>
        </w:rPr>
        <w:t>Three Months Ended September 30, 2015 Compared to Three Months Ended September 30, 2014</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changes in the results of our operations (in thousands)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89"/>
              </w:rPr>
              <w:t>Three months ended September 30,</w:t>
            </w: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2"/>
        </w:trPr>
        <w:tc>
          <w:tcPr>
            <w:tcW w:w="592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8"/>
                <w:szCs w:val="18"/>
                <w:color w:val="auto"/>
              </w:rPr>
            </w:pPr>
          </w:p>
        </w:tc>
      </w:tr>
      <w:tr>
        <w:trPr>
          <w:trHeight w:val="206"/>
        </w:trPr>
        <w:tc>
          <w:tcPr>
            <w:tcW w:w="59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 written premiums</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24,571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20,131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4,440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40" w:type="dxa"/>
            <w:vAlign w:val="bottom"/>
            <w:shd w:val="clear" w:color="auto" w:fill="CCEEFF"/>
          </w:tcPr>
          <w:p>
            <w:pPr>
              <w:spacing w:after="0"/>
              <w:rPr>
                <w:sz w:val="17"/>
                <w:szCs w:val="17"/>
                <w:color w:val="auto"/>
              </w:rPr>
            </w:pPr>
          </w:p>
        </w:tc>
      </w:tr>
      <w:tr>
        <w:trPr>
          <w:trHeight w:val="206"/>
        </w:trPr>
        <w:tc>
          <w:tcPr>
            <w:tcW w:w="5920" w:type="dxa"/>
            <w:vAlign w:val="bottom"/>
          </w:tcPr>
          <w:p>
            <w:pPr>
              <w:ind w:left="200"/>
              <w:spacing w:after="0"/>
              <w:rPr>
                <w:sz w:val="20"/>
                <w:szCs w:val="20"/>
                <w:color w:val="auto"/>
              </w:rPr>
            </w:pPr>
            <w:r>
              <w:rPr>
                <w:rFonts w:ascii="Arial" w:cs="Arial" w:eastAsia="Arial" w:hAnsi="Arial"/>
                <w:sz w:val="17"/>
                <w:szCs w:val="17"/>
                <w:color w:val="auto"/>
              </w:rPr>
              <w:t>Assumed written premiums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1420" w:type="dxa"/>
            <w:vAlign w:val="bottom"/>
            <w:gridSpan w:val="3"/>
          </w:tcPr>
          <w:p>
            <w:pPr>
              <w:jc w:val="right"/>
              <w:spacing w:after="0"/>
              <w:rPr>
                <w:sz w:val="20"/>
                <w:szCs w:val="20"/>
                <w:color w:val="auto"/>
              </w:rPr>
            </w:pPr>
            <w:r>
              <w:rPr>
                <w:rFonts w:ascii="Arial" w:cs="Arial" w:eastAsia="Arial" w:hAnsi="Arial"/>
                <w:sz w:val="17"/>
                <w:szCs w:val="17"/>
                <w:color w:val="auto"/>
              </w:rPr>
              <w:t>(47.8) %</w:t>
            </w: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2"/>
        </w:trPr>
        <w:tc>
          <w:tcPr>
            <w:tcW w:w="5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24,583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4,429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40" w:type="dxa"/>
            <w:vAlign w:val="bottom"/>
            <w:shd w:val="clear" w:color="auto" w:fill="CCEEFF"/>
          </w:tcPr>
          <w:p>
            <w:pPr>
              <w:spacing w:after="0"/>
              <w:rPr>
                <w:sz w:val="18"/>
                <w:szCs w:val="18"/>
                <w:color w:val="auto"/>
              </w:rPr>
            </w:pPr>
          </w:p>
        </w:tc>
      </w:tr>
      <w:tr>
        <w:trPr>
          <w:trHeight w:val="206"/>
        </w:trPr>
        <w:tc>
          <w:tcPr>
            <w:tcW w:w="5920" w:type="dxa"/>
            <w:vAlign w:val="bottom"/>
            <w:tcBorders>
              <w:top w:val="single" w:sz="8" w:color="CCEEFF"/>
            </w:tcBorders>
          </w:tcPr>
          <w:p>
            <w:pPr>
              <w:ind w:left="200"/>
              <w:spacing w:after="0"/>
              <w:rPr>
                <w:sz w:val="20"/>
                <w:szCs w:val="20"/>
                <w:color w:val="auto"/>
              </w:rPr>
            </w:pPr>
            <w:r>
              <w:rPr>
                <w:rFonts w:ascii="Arial" w:cs="Arial" w:eastAsia="Arial" w:hAnsi="Arial"/>
                <w:sz w:val="17"/>
                <w:szCs w:val="17"/>
                <w:color w:val="auto"/>
              </w:rPr>
              <w:t>Ceded written premiums</w:t>
            </w: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06"/>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Ceded to quota share treaties in force during the period</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6,415</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8,049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(1,634)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920" w:type="dxa"/>
            <w:vAlign w:val="bottom"/>
          </w:tcPr>
          <w:p>
            <w:pPr>
              <w:ind w:left="360"/>
              <w:spacing w:after="0"/>
              <w:rPr>
                <w:sz w:val="20"/>
                <w:szCs w:val="20"/>
                <w:color w:val="auto"/>
              </w:rPr>
            </w:pPr>
            <w:r>
              <w:rPr>
                <w:rFonts w:ascii="Arial" w:cs="Arial" w:eastAsia="Arial" w:hAnsi="Arial"/>
                <w:sz w:val="17"/>
                <w:szCs w:val="17"/>
                <w:color w:val="auto"/>
              </w:rPr>
              <w:t>Return of premiums previously ceded to prior quota share treaties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(5,866)</w:t>
            </w:r>
          </w:p>
        </w:tc>
        <w:tc>
          <w:tcPr>
            <w:tcW w:w="1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(6,597)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731</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(11.1)</w:t>
            </w:r>
          </w:p>
        </w:tc>
        <w:tc>
          <w:tcPr>
            <w:tcW w:w="140" w:type="dxa"/>
            <w:vAlign w:val="bottom"/>
          </w:tcPr>
          <w:p>
            <w:pPr>
              <w:jc w:val="right"/>
              <w:spacing w:after="0"/>
              <w:rPr>
                <w:sz w:val="20"/>
                <w:szCs w:val="20"/>
                <w:color w:val="auto"/>
              </w:rPr>
            </w:pPr>
            <w:r>
              <w:rPr>
                <w:rFonts w:ascii="Arial" w:cs="Arial" w:eastAsia="Arial" w:hAnsi="Arial"/>
                <w:sz w:val="17"/>
                <w:szCs w:val="17"/>
                <w:color w:val="auto"/>
                <w:w w:val="79"/>
              </w:rPr>
              <w:t>%</w:t>
            </w: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6"/>
        </w:trPr>
        <w:tc>
          <w:tcPr>
            <w:tcW w:w="59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Ceded to quota share treaties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549</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1,452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920" w:type="dxa"/>
            <w:vAlign w:val="bottom"/>
          </w:tcPr>
          <w:p>
            <w:pPr>
              <w:ind w:left="520"/>
              <w:spacing w:after="0"/>
              <w:rPr>
                <w:sz w:val="20"/>
                <w:szCs w:val="20"/>
                <w:color w:val="auto"/>
              </w:rPr>
            </w:pPr>
            <w:r>
              <w:rPr>
                <w:rFonts w:ascii="Arial" w:cs="Arial" w:eastAsia="Arial" w:hAnsi="Arial"/>
                <w:sz w:val="17"/>
                <w:szCs w:val="17"/>
                <w:color w:val="auto"/>
              </w:rPr>
              <w:t>Ceded to excess of loss treaties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390</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341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14.4%</w:t>
            </w:r>
          </w:p>
        </w:tc>
        <w:tc>
          <w:tcPr>
            <w:tcW w:w="140" w:type="dxa"/>
            <w:vAlign w:val="bottom"/>
          </w:tcPr>
          <w:p>
            <w:pPr>
              <w:spacing w:after="0"/>
              <w:rPr>
                <w:sz w:val="17"/>
                <w:szCs w:val="17"/>
                <w:color w:val="auto"/>
              </w:rPr>
            </w:pPr>
          </w:p>
        </w:tc>
      </w:tr>
      <w:tr>
        <w:trPr>
          <w:trHeight w:val="206"/>
        </w:trPr>
        <w:tc>
          <w:tcPr>
            <w:tcW w:w="59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Ceded to catastrophe treaties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2,307</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1,674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264.5%</w:t>
            </w:r>
          </w:p>
        </w:tc>
        <w:tc>
          <w:tcPr>
            <w:tcW w:w="140" w:type="dxa"/>
            <w:vAlign w:val="bottom"/>
            <w:shd w:val="clear" w:color="auto" w:fill="CCEEFF"/>
          </w:tcPr>
          <w:p>
            <w:pPr>
              <w:spacing w:after="0"/>
              <w:rPr>
                <w:sz w:val="17"/>
                <w:szCs w:val="17"/>
                <w:color w:val="auto"/>
              </w:rPr>
            </w:pPr>
          </w:p>
        </w:tc>
      </w:tr>
      <w:tr>
        <w:trPr>
          <w:trHeight w:val="206"/>
        </w:trPr>
        <w:tc>
          <w:tcPr>
            <w:tcW w:w="5920" w:type="dxa"/>
            <w:vAlign w:val="bottom"/>
          </w:tcPr>
          <w:p>
            <w:pPr>
              <w:ind w:left="520"/>
              <w:spacing w:after="0"/>
              <w:rPr>
                <w:sz w:val="20"/>
                <w:szCs w:val="20"/>
                <w:color w:val="auto"/>
              </w:rPr>
            </w:pPr>
            <w:r>
              <w:rPr>
                <w:rFonts w:ascii="Arial" w:cs="Arial" w:eastAsia="Arial" w:hAnsi="Arial"/>
                <w:sz w:val="17"/>
                <w:szCs w:val="17"/>
                <w:color w:val="auto"/>
              </w:rPr>
              <w:t>Catastrophe reinstatement (1)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(60)</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(100.0)</w:t>
            </w:r>
          </w:p>
        </w:tc>
        <w:tc>
          <w:tcPr>
            <w:tcW w:w="140" w:type="dxa"/>
            <w:vAlign w:val="bottom"/>
          </w:tcPr>
          <w:p>
            <w:pPr>
              <w:jc w:val="right"/>
              <w:spacing w:after="0"/>
              <w:rPr>
                <w:sz w:val="20"/>
                <w:szCs w:val="20"/>
                <w:color w:val="auto"/>
              </w:rPr>
            </w:pPr>
            <w:r>
              <w:rPr>
                <w:rFonts w:ascii="Arial" w:cs="Arial" w:eastAsia="Arial" w:hAnsi="Arial"/>
                <w:sz w:val="17"/>
                <w:szCs w:val="17"/>
                <w:color w:val="auto"/>
                <w:w w:val="79"/>
              </w:rPr>
              <w:t>%</w:t>
            </w: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2"/>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ceded written premiums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3,246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40" w:type="dxa"/>
            <w:vAlign w:val="bottom"/>
            <w:shd w:val="clear" w:color="auto" w:fill="CCEEFF"/>
          </w:tcPr>
          <w:p>
            <w:pPr>
              <w:spacing w:after="0"/>
              <w:rPr>
                <w:sz w:val="18"/>
                <w:szCs w:val="18"/>
                <w:color w:val="auto"/>
              </w:rPr>
            </w:pPr>
          </w:p>
        </w:tc>
      </w:tr>
      <w:tr>
        <w:trPr>
          <w:trHeight w:val="206"/>
        </w:trPr>
        <w:tc>
          <w:tcPr>
            <w:tcW w:w="5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written premiums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21,337</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3,669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40" w:type="dxa"/>
            <w:vAlign w:val="bottom"/>
            <w:shd w:val="clear" w:color="auto" w:fill="CCEEFF"/>
          </w:tcPr>
          <w:p>
            <w:pPr>
              <w:spacing w:after="0"/>
              <w:rPr>
                <w:sz w:val="17"/>
                <w:szCs w:val="17"/>
                <w:color w:val="auto"/>
              </w:rPr>
            </w:pPr>
          </w:p>
        </w:tc>
      </w:tr>
      <w:tr>
        <w:trPr>
          <w:trHeight w:val="206"/>
        </w:trPr>
        <w:tc>
          <w:tcPr>
            <w:tcW w:w="5920" w:type="dxa"/>
            <w:vAlign w:val="bottom"/>
          </w:tcPr>
          <w:p>
            <w:pPr>
              <w:ind w:left="200"/>
              <w:spacing w:after="0"/>
              <w:rPr>
                <w:sz w:val="20"/>
                <w:szCs w:val="20"/>
                <w:color w:val="auto"/>
              </w:rPr>
            </w:pPr>
            <w:r>
              <w:rPr>
                <w:rFonts w:ascii="Arial" w:cs="Arial" w:eastAsia="Arial" w:hAnsi="Arial"/>
                <w:sz w:val="17"/>
                <w:szCs w:val="17"/>
                <w:color w:val="auto"/>
              </w:rPr>
              <w:t>Change in net unearned premiums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(8,208)</w:t>
            </w:r>
          </w:p>
        </w:tc>
        <w:tc>
          <w:tcPr>
            <w:tcW w:w="1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(7,773)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(435)</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5.6%</w:t>
            </w:r>
          </w:p>
        </w:tc>
        <w:tc>
          <w:tcPr>
            <w:tcW w:w="140" w:type="dxa"/>
            <w:vAlign w:val="bottom"/>
          </w:tcPr>
          <w:p>
            <w:pPr>
              <w:spacing w:after="0"/>
              <w:rPr>
                <w:sz w:val="17"/>
                <w:szCs w:val="17"/>
                <w:color w:val="auto"/>
              </w:rPr>
            </w:pP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2"/>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premiums earned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13,129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3,234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40" w:type="dxa"/>
            <w:vAlign w:val="bottom"/>
            <w:shd w:val="clear" w:color="auto" w:fill="CCEEFF"/>
          </w:tcPr>
          <w:p>
            <w:pPr>
              <w:spacing w:after="0"/>
              <w:rPr>
                <w:sz w:val="18"/>
                <w:szCs w:val="18"/>
                <w:color w:val="auto"/>
              </w:rPr>
            </w:pPr>
          </w:p>
        </w:tc>
      </w:tr>
      <w:tr>
        <w:trPr>
          <w:trHeight w:val="206"/>
        </w:trPr>
        <w:tc>
          <w:tcPr>
            <w:tcW w:w="5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Ceding commission revenue</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5920" w:type="dxa"/>
            <w:vAlign w:val="bottom"/>
          </w:tcPr>
          <w:p>
            <w:pPr>
              <w:ind w:left="360"/>
              <w:spacing w:after="0"/>
              <w:rPr>
                <w:sz w:val="20"/>
                <w:szCs w:val="20"/>
                <w:color w:val="auto"/>
              </w:rPr>
            </w:pPr>
            <w:r>
              <w:rPr>
                <w:rFonts w:ascii="Arial" w:cs="Arial" w:eastAsia="Arial" w:hAnsi="Arial"/>
                <w:sz w:val="17"/>
                <w:szCs w:val="17"/>
                <w:color w:val="auto"/>
              </w:rPr>
              <w:t>Excluding the effect of catastrophes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2,643</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3,278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(635)</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(19.4)</w:t>
            </w:r>
          </w:p>
        </w:tc>
        <w:tc>
          <w:tcPr>
            <w:tcW w:w="140" w:type="dxa"/>
            <w:vAlign w:val="bottom"/>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Effect of catastrophes (1)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17"/>
                <w:szCs w:val="17"/>
                <w:color w:val="auto"/>
              </w:rPr>
            </w:pPr>
          </w:p>
        </w:tc>
      </w:tr>
      <w:tr>
        <w:trPr>
          <w:trHeight w:val="26"/>
        </w:trPr>
        <w:tc>
          <w:tcPr>
            <w:tcW w:w="5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6"/>
        </w:trPr>
        <w:tc>
          <w:tcPr>
            <w:tcW w:w="5920" w:type="dxa"/>
            <w:vAlign w:val="bottom"/>
          </w:tcPr>
          <w:p>
            <w:pPr>
              <w:ind w:left="200"/>
              <w:spacing w:after="0"/>
              <w:rPr>
                <w:sz w:val="20"/>
                <w:szCs w:val="20"/>
                <w:color w:val="auto"/>
              </w:rPr>
            </w:pPr>
            <w:r>
              <w:rPr>
                <w:rFonts w:ascii="Arial" w:cs="Arial" w:eastAsia="Arial" w:hAnsi="Arial"/>
                <w:sz w:val="17"/>
                <w:szCs w:val="17"/>
                <w:color w:val="auto"/>
              </w:rPr>
              <w:t>Total ceding commission revenue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2,643</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3,278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(635)</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(19.4)</w:t>
            </w:r>
          </w:p>
        </w:tc>
        <w:tc>
          <w:tcPr>
            <w:tcW w:w="140" w:type="dxa"/>
            <w:vAlign w:val="bottom"/>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investment income</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649</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140" w:type="dxa"/>
            <w:vAlign w:val="bottom"/>
            <w:shd w:val="clear" w:color="auto" w:fill="CCEEFF"/>
          </w:tcPr>
          <w:p>
            <w:pPr>
              <w:spacing w:after="0"/>
              <w:rPr>
                <w:sz w:val="17"/>
                <w:szCs w:val="17"/>
                <w:color w:val="auto"/>
              </w:rPr>
            </w:pPr>
          </w:p>
        </w:tc>
      </w:tr>
      <w:tr>
        <w:trPr>
          <w:trHeight w:val="206"/>
        </w:trPr>
        <w:tc>
          <w:tcPr>
            <w:tcW w:w="5920" w:type="dxa"/>
            <w:vAlign w:val="bottom"/>
          </w:tcPr>
          <w:p>
            <w:pPr>
              <w:ind w:left="200"/>
              <w:spacing w:after="0"/>
              <w:rPr>
                <w:sz w:val="20"/>
                <w:szCs w:val="20"/>
                <w:color w:val="auto"/>
              </w:rPr>
            </w:pPr>
            <w:r>
              <w:rPr>
                <w:rFonts w:ascii="Arial" w:cs="Arial" w:eastAsia="Arial" w:hAnsi="Arial"/>
                <w:sz w:val="17"/>
                <w:szCs w:val="17"/>
                <w:color w:val="auto"/>
              </w:rPr>
              <w:t>Net realized gain on investments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(40)</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115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(155)</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(134.8)</w:t>
            </w:r>
          </w:p>
        </w:tc>
        <w:tc>
          <w:tcPr>
            <w:tcW w:w="140" w:type="dxa"/>
            <w:vAlign w:val="bottom"/>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income</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275</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40" w:type="dxa"/>
            <w:vAlign w:val="bottom"/>
            <w:shd w:val="clear" w:color="auto" w:fill="CCEEFF"/>
          </w:tcPr>
          <w:p>
            <w:pPr>
              <w:spacing w:after="0"/>
              <w:rPr>
                <w:sz w:val="17"/>
                <w:szCs w:val="17"/>
                <w:color w:val="auto"/>
              </w:rPr>
            </w:pPr>
          </w:p>
        </w:tc>
      </w:tr>
      <w:tr>
        <w:trPr>
          <w:trHeight w:val="26"/>
        </w:trPr>
        <w:tc>
          <w:tcPr>
            <w:tcW w:w="5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2"/>
        </w:trPr>
        <w:tc>
          <w:tcPr>
            <w:tcW w:w="592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16,656</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14,016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2,640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18.8%</w:t>
            </w:r>
          </w:p>
        </w:tc>
        <w:tc>
          <w:tcPr>
            <w:tcW w:w="140" w:type="dxa"/>
            <w:vAlign w:val="bottom"/>
          </w:tcPr>
          <w:p>
            <w:pPr>
              <w:spacing w:after="0"/>
              <w:rPr>
                <w:sz w:val="18"/>
                <w:szCs w:val="18"/>
                <w:color w:val="auto"/>
              </w:rPr>
            </w:pPr>
          </w:p>
        </w:tc>
      </w:tr>
      <w:tr>
        <w:trPr>
          <w:trHeight w:val="206"/>
        </w:trPr>
        <w:tc>
          <w:tcPr>
            <w:tcW w:w="5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5920" w:type="dxa"/>
            <w:vAlign w:val="bottom"/>
          </w:tcPr>
          <w:p>
            <w:pPr>
              <w:ind w:left="40"/>
              <w:spacing w:after="0"/>
              <w:rPr>
                <w:sz w:val="20"/>
                <w:szCs w:val="20"/>
                <w:color w:val="auto"/>
              </w:rPr>
            </w:pPr>
            <w:r>
              <w:rPr>
                <w:rFonts w:ascii="Arial" w:cs="Arial" w:eastAsia="Arial" w:hAnsi="Arial"/>
                <w:sz w:val="17"/>
                <w:szCs w:val="17"/>
                <w:b w:val="1"/>
                <w:bCs w:val="1"/>
                <w:color w:val="auto"/>
              </w:rPr>
              <w:t>Expense</w:t>
            </w:r>
            <w:r>
              <w:rPr>
                <w:rFonts w:ascii="Arial" w:cs="Arial" w:eastAsia="Arial" w:hAnsi="Arial"/>
                <w:sz w:val="17"/>
                <w:szCs w:val="17"/>
                <w:color w:val="auto"/>
              </w:rPr>
              <w:t>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5920" w:type="dxa"/>
            <w:vAlign w:val="bottom"/>
          </w:tcPr>
          <w:p>
            <w:pPr>
              <w:ind w:left="360"/>
              <w:spacing w:after="0"/>
              <w:rPr>
                <w:sz w:val="20"/>
                <w:szCs w:val="20"/>
                <w:color w:val="auto"/>
              </w:rPr>
            </w:pPr>
            <w:r>
              <w:rPr>
                <w:rFonts w:ascii="Arial" w:cs="Arial" w:eastAsia="Arial" w:hAnsi="Arial"/>
                <w:sz w:val="17"/>
                <w:szCs w:val="17"/>
                <w:color w:val="auto"/>
              </w:rPr>
              <w:t>Direct and assumed: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6,787</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2,022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140" w:type="dxa"/>
            <w:vAlign w:val="bottom"/>
            <w:shd w:val="clear" w:color="auto" w:fill="CCEEFF"/>
          </w:tcPr>
          <w:p>
            <w:pPr>
              <w:spacing w:after="0"/>
              <w:rPr>
                <w:sz w:val="17"/>
                <w:szCs w:val="17"/>
                <w:color w:val="auto"/>
              </w:rPr>
            </w:pPr>
          </w:p>
        </w:tc>
      </w:tr>
      <w:tr>
        <w:trPr>
          <w:trHeight w:val="206"/>
        </w:trPr>
        <w:tc>
          <w:tcPr>
            <w:tcW w:w="5920" w:type="dxa"/>
            <w:vAlign w:val="bottom"/>
          </w:tcPr>
          <w:p>
            <w:pPr>
              <w:ind w:left="360"/>
              <w:spacing w:after="0"/>
              <w:rPr>
                <w:sz w:val="20"/>
                <w:szCs w:val="20"/>
                <w:color w:val="auto"/>
              </w:rPr>
            </w:pPr>
            <w:r>
              <w:rPr>
                <w:rFonts w:ascii="Arial" w:cs="Arial" w:eastAsia="Arial" w:hAnsi="Arial"/>
                <w:sz w:val="17"/>
                <w:szCs w:val="17"/>
                <w:color w:val="auto"/>
              </w:rPr>
              <w:t>Losses from catastrophes (1)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174</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174</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tcPr>
          <w:p>
            <w:pPr>
              <w:spacing w:after="0"/>
              <w:rPr>
                <w:sz w:val="17"/>
                <w:szCs w:val="17"/>
                <w:color w:val="auto"/>
              </w:rPr>
            </w:pP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2"/>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direct and assumed loss and loss adjustment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6,961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2,196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140" w:type="dxa"/>
            <w:vAlign w:val="bottom"/>
            <w:shd w:val="clear" w:color="auto" w:fill="CCEEFF"/>
          </w:tcPr>
          <w:p>
            <w:pPr>
              <w:spacing w:after="0"/>
              <w:rPr>
                <w:sz w:val="18"/>
                <w:szCs w:val="18"/>
                <w:color w:val="auto"/>
              </w:rPr>
            </w:pPr>
          </w:p>
        </w:tc>
      </w:tr>
      <w:tr>
        <w:trPr>
          <w:trHeight w:val="206"/>
        </w:trPr>
        <w:tc>
          <w:tcPr>
            <w:tcW w:w="5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06"/>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Ceded loss and loss adjustment expenses: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5920" w:type="dxa"/>
            <w:vAlign w:val="bottom"/>
          </w:tcPr>
          <w:p>
            <w:pPr>
              <w:ind w:left="36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1,816</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1,589</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700.0%</w:t>
            </w:r>
          </w:p>
        </w:tc>
        <w:tc>
          <w:tcPr>
            <w:tcW w:w="140" w:type="dxa"/>
            <w:vAlign w:val="bottom"/>
          </w:tcPr>
          <w:p>
            <w:pPr>
              <w:spacing w:after="0"/>
              <w:rPr>
                <w:sz w:val="17"/>
                <w:szCs w:val="17"/>
                <w:color w:val="auto"/>
              </w:rPr>
            </w:pPr>
          </w:p>
        </w:tc>
      </w:tr>
      <w:tr>
        <w:trPr>
          <w:trHeight w:val="206"/>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Losses from catastrophes (1)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17"/>
                <w:szCs w:val="17"/>
                <w:color w:val="auto"/>
              </w:rPr>
            </w:pPr>
          </w:p>
        </w:tc>
      </w:tr>
      <w:tr>
        <w:trPr>
          <w:trHeight w:val="26"/>
        </w:trPr>
        <w:tc>
          <w:tcPr>
            <w:tcW w:w="5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2"/>
        </w:trPr>
        <w:tc>
          <w:tcPr>
            <w:tcW w:w="5920" w:type="dxa"/>
            <w:vAlign w:val="bottom"/>
          </w:tcPr>
          <w:p>
            <w:pPr>
              <w:ind w:left="360"/>
              <w:spacing w:after="0"/>
              <w:rPr>
                <w:sz w:val="20"/>
                <w:szCs w:val="20"/>
                <w:color w:val="auto"/>
              </w:rPr>
            </w:pPr>
            <w:r>
              <w:rPr>
                <w:rFonts w:ascii="Arial" w:cs="Arial" w:eastAsia="Arial" w:hAnsi="Arial"/>
                <w:sz w:val="17"/>
                <w:szCs w:val="17"/>
                <w:color w:val="auto"/>
              </w:rPr>
              <w:t>Total ceded loss and loss adjustment expenses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1,911</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1,684</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741.9%</w:t>
            </w:r>
          </w:p>
        </w:tc>
        <w:tc>
          <w:tcPr>
            <w:tcW w:w="140" w:type="dxa"/>
            <w:vAlign w:val="bottom"/>
          </w:tcPr>
          <w:p>
            <w:pPr>
              <w:spacing w:after="0"/>
              <w:rPr>
                <w:sz w:val="18"/>
                <w:szCs w:val="18"/>
                <w:color w:val="auto"/>
              </w:rPr>
            </w:pPr>
          </w:p>
        </w:tc>
      </w:tr>
      <w:tr>
        <w:trPr>
          <w:trHeight w:val="206"/>
        </w:trPr>
        <w:tc>
          <w:tcPr>
            <w:tcW w:w="5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5920" w:type="dxa"/>
            <w:vAlign w:val="bottom"/>
          </w:tcPr>
          <w:p>
            <w:pPr>
              <w:ind w:left="360"/>
              <w:spacing w:after="0"/>
              <w:rPr>
                <w:sz w:val="20"/>
                <w:szCs w:val="20"/>
                <w:color w:val="auto"/>
              </w:rPr>
            </w:pPr>
            <w:r>
              <w:rPr>
                <w:rFonts w:ascii="Arial" w:cs="Arial" w:eastAsia="Arial" w:hAnsi="Arial"/>
                <w:sz w:val="17"/>
                <w:szCs w:val="17"/>
                <w:color w:val="auto"/>
              </w:rPr>
              <w:t>Net loss and loss adjustment expenses: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4,971</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4,538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40" w:type="dxa"/>
            <w:vAlign w:val="bottom"/>
            <w:shd w:val="clear" w:color="auto" w:fill="CCEEFF"/>
          </w:tcPr>
          <w:p>
            <w:pPr>
              <w:spacing w:after="0"/>
              <w:rPr>
                <w:sz w:val="17"/>
                <w:szCs w:val="17"/>
                <w:color w:val="auto"/>
              </w:rPr>
            </w:pPr>
          </w:p>
        </w:tc>
      </w:tr>
      <w:tr>
        <w:trPr>
          <w:trHeight w:val="206"/>
        </w:trPr>
        <w:tc>
          <w:tcPr>
            <w:tcW w:w="5920" w:type="dxa"/>
            <w:vAlign w:val="bottom"/>
          </w:tcPr>
          <w:p>
            <w:pPr>
              <w:ind w:left="360"/>
              <w:spacing w:after="0"/>
              <w:rPr>
                <w:sz w:val="20"/>
                <w:szCs w:val="20"/>
                <w:color w:val="auto"/>
              </w:rPr>
            </w:pPr>
            <w:r>
              <w:rPr>
                <w:rFonts w:ascii="Arial" w:cs="Arial" w:eastAsia="Arial" w:hAnsi="Arial"/>
                <w:sz w:val="17"/>
                <w:szCs w:val="17"/>
                <w:color w:val="auto"/>
              </w:rPr>
              <w:t>Losses from catastrophes (1)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79</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na %</w:t>
            </w:r>
          </w:p>
        </w:tc>
        <w:tc>
          <w:tcPr>
            <w:tcW w:w="140" w:type="dxa"/>
            <w:vAlign w:val="bottom"/>
          </w:tcPr>
          <w:p>
            <w:pPr>
              <w:spacing w:after="0"/>
              <w:rPr>
                <w:sz w:val="17"/>
                <w:szCs w:val="17"/>
                <w:color w:val="auto"/>
              </w:rPr>
            </w:pP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2"/>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loss and loss adjustment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5,050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512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40" w:type="dxa"/>
            <w:vAlign w:val="bottom"/>
            <w:shd w:val="clear" w:color="auto" w:fill="CCEEFF"/>
          </w:tcPr>
          <w:p>
            <w:pPr>
              <w:spacing w:after="0"/>
              <w:rPr>
                <w:sz w:val="18"/>
                <w:szCs w:val="18"/>
                <w:color w:val="auto"/>
              </w:rPr>
            </w:pPr>
          </w:p>
        </w:tc>
      </w:tr>
      <w:tr>
        <w:trPr>
          <w:trHeight w:val="206"/>
        </w:trPr>
        <w:tc>
          <w:tcPr>
            <w:tcW w:w="5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Commission expense</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4,021</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915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140" w:type="dxa"/>
            <w:vAlign w:val="bottom"/>
            <w:shd w:val="clear" w:color="auto" w:fill="CCEEFF"/>
          </w:tcPr>
          <w:p>
            <w:pPr>
              <w:spacing w:after="0"/>
              <w:rPr>
                <w:sz w:val="17"/>
                <w:szCs w:val="17"/>
                <w:color w:val="auto"/>
              </w:rPr>
            </w:pPr>
          </w:p>
        </w:tc>
      </w:tr>
      <w:tr>
        <w:trPr>
          <w:trHeight w:val="206"/>
        </w:trPr>
        <w:tc>
          <w:tcPr>
            <w:tcW w:w="5920" w:type="dxa"/>
            <w:vAlign w:val="bottom"/>
          </w:tcPr>
          <w:p>
            <w:pPr>
              <w:ind w:left="200"/>
              <w:spacing w:after="0"/>
              <w:rPr>
                <w:sz w:val="20"/>
                <w:szCs w:val="20"/>
                <w:color w:val="auto"/>
              </w:rPr>
            </w:pPr>
            <w:r>
              <w:rPr>
                <w:rFonts w:ascii="Arial" w:cs="Arial" w:eastAsia="Arial" w:hAnsi="Arial"/>
                <w:sz w:val="17"/>
                <w:szCs w:val="17"/>
                <w:color w:val="auto"/>
              </w:rPr>
              <w:t>Other underwriting expenses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3,389</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2,846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543</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19.1%</w:t>
            </w:r>
          </w:p>
        </w:tc>
        <w:tc>
          <w:tcPr>
            <w:tcW w:w="140" w:type="dxa"/>
            <w:vAlign w:val="bottom"/>
          </w:tcPr>
          <w:p>
            <w:pPr>
              <w:spacing w:after="0"/>
              <w:rPr>
                <w:sz w:val="17"/>
                <w:szCs w:val="17"/>
                <w:color w:val="auto"/>
              </w:rPr>
            </w:pP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operating expenses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468</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92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267</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249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140" w:type="dxa"/>
            <w:vAlign w:val="bottom"/>
          </w:tcPr>
          <w:p>
            <w:pPr>
              <w:spacing w:after="0"/>
              <w:rPr>
                <w:sz w:val="17"/>
                <w:szCs w:val="17"/>
                <w:color w:val="auto"/>
              </w:rPr>
            </w:pP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2"/>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13,195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1,970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40" w:type="dxa"/>
            <w:vAlign w:val="bottom"/>
            <w:shd w:val="clear" w:color="auto" w:fill="CCEEFF"/>
          </w:tcPr>
          <w:p>
            <w:pPr>
              <w:spacing w:after="0"/>
              <w:rPr>
                <w:sz w:val="18"/>
                <w:szCs w:val="18"/>
                <w:color w:val="auto"/>
              </w:rPr>
            </w:pPr>
          </w:p>
        </w:tc>
      </w:tr>
      <w:tr>
        <w:trPr>
          <w:trHeight w:val="206"/>
        </w:trPr>
        <w:tc>
          <w:tcPr>
            <w:tcW w:w="5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from operations before taxes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3,461</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670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40" w:type="dxa"/>
            <w:vAlign w:val="bottom"/>
            <w:shd w:val="clear" w:color="auto" w:fill="CCEEFF"/>
          </w:tcPr>
          <w:p>
            <w:pPr>
              <w:spacing w:after="0"/>
              <w:rPr>
                <w:sz w:val="17"/>
                <w:szCs w:val="17"/>
                <w:color w:val="auto"/>
              </w:rPr>
            </w:pPr>
          </w:p>
        </w:tc>
      </w:tr>
      <w:tr>
        <w:trPr>
          <w:trHeight w:val="206"/>
        </w:trPr>
        <w:tc>
          <w:tcPr>
            <w:tcW w:w="5920" w:type="dxa"/>
            <w:vAlign w:val="bottom"/>
          </w:tcPr>
          <w:p>
            <w:pPr>
              <w:ind w:left="200"/>
              <w:spacing w:after="0"/>
              <w:rPr>
                <w:sz w:val="20"/>
                <w:szCs w:val="20"/>
                <w:color w:val="auto"/>
              </w:rPr>
            </w:pPr>
            <w:r>
              <w:rPr>
                <w:rFonts w:ascii="Arial" w:cs="Arial" w:eastAsia="Arial" w:hAnsi="Arial"/>
                <w:sz w:val="17"/>
                <w:szCs w:val="17"/>
                <w:color w:val="auto"/>
              </w:rPr>
              <w:t>Provision for income tax</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1,115</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907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208</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22.9%</w:t>
            </w:r>
          </w:p>
        </w:tc>
        <w:tc>
          <w:tcPr>
            <w:tcW w:w="140" w:type="dxa"/>
            <w:vAlign w:val="bottom"/>
          </w:tcPr>
          <w:p>
            <w:pPr>
              <w:spacing w:after="0"/>
              <w:rPr>
                <w:sz w:val="17"/>
                <w:szCs w:val="17"/>
                <w:color w:val="auto"/>
              </w:rPr>
            </w:pP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26"/>
        </w:trPr>
        <w:tc>
          <w:tcPr>
            <w:tcW w:w="59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Net income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2,346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462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40" w:type="dxa"/>
            <w:vAlign w:val="bottom"/>
            <w:shd w:val="clear" w:color="auto" w:fill="CCEEFF"/>
          </w:tcPr>
          <w:p>
            <w:pPr>
              <w:spacing w:after="0"/>
              <w:rPr>
                <w:sz w:val="19"/>
                <w:szCs w:val="19"/>
                <w:color w:val="auto"/>
              </w:rPr>
            </w:pPr>
          </w:p>
        </w:tc>
      </w:tr>
      <w:tr>
        <w:trPr>
          <w:trHeight w:val="20"/>
        </w:trPr>
        <w:tc>
          <w:tcPr>
            <w:tcW w:w="5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ind w:left="240" w:hanging="237"/>
        <w:spacing w:after="0" w:line="258" w:lineRule="auto"/>
        <w:tabs>
          <w:tab w:leader="none" w:pos="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the three months ended September 30, 2015, includes the effects of severe winter weather (which we define as a catastrophe). The three months ended September 30, 2014 includes catastrophe reinstatement premiums resulting from Superstorm Sandy, which occurred on October 29, 2012. We define a “catastrophe” as an event or series of related events that involve multiple first party policyholders, or an event or series of events that produce a number of claims in excess of a preset, per-event threshold of average claims in a specific area, occurring within a certain amount of time constituting the event or series of events. Catastrophes are caused by various natural events including high winds, excessive rain, winter storms, severe winter weather, tornadoes, hailstorms, wildfires, tropical storms, and hurricanes.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76" w:right="239" w:bottom="1135"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5"/>
              </w:rPr>
              <w:t>Three months ended September 30,</w:t>
            </w:r>
          </w:p>
        </w:tc>
        <w:tc>
          <w:tcPr>
            <w:tcW w:w="11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94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0"/>
                <w:szCs w:val="10"/>
                <w:color w:val="auto"/>
              </w:rPr>
            </w:pPr>
          </w:p>
        </w:tc>
        <w:tc>
          <w:tcPr>
            <w:tcW w:w="13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7"/>
              </w:rPr>
              <w:t>Percentage Point</w:t>
            </w:r>
          </w:p>
        </w:tc>
        <w:tc>
          <w:tcPr>
            <w:tcW w:w="11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3"/>
              </w:rPr>
              <w:t>Percent Change</w:t>
            </w:r>
          </w:p>
        </w:tc>
        <w:tc>
          <w:tcPr>
            <w:tcW w:w="3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94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700" w:type="dxa"/>
            <w:vAlign w:val="bottom"/>
            <w:gridSpan w:val="2"/>
          </w:tcPr>
          <w:p>
            <w:pPr>
              <w:ind w:left="40"/>
              <w:spacing w:after="0"/>
              <w:rPr>
                <w:sz w:val="20"/>
                <w:szCs w:val="20"/>
                <w:color w:val="auto"/>
              </w:rPr>
            </w:pPr>
            <w:r>
              <w:rPr>
                <w:rFonts w:ascii="Arial" w:cs="Arial" w:eastAsia="Arial" w:hAnsi="Arial"/>
                <w:sz w:val="17"/>
                <w:szCs w:val="17"/>
                <w:b w:val="1"/>
                <w:bCs w:val="1"/>
                <w:color w:val="auto"/>
              </w:rPr>
              <w:t>Key ratios: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7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Net loss ratio</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38.5%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(16.1) %</w:t>
            </w:r>
          </w:p>
        </w:tc>
        <w:tc>
          <w:tcPr>
            <w:tcW w:w="0" w:type="dxa"/>
            <w:vAlign w:val="bottom"/>
          </w:tcPr>
          <w:p>
            <w:pPr>
              <w:spacing w:after="0"/>
              <w:rPr>
                <w:sz w:val="1"/>
                <w:szCs w:val="1"/>
                <w:color w:val="auto"/>
              </w:rPr>
            </w:pPr>
          </w:p>
        </w:tc>
      </w:tr>
      <w:tr>
        <w:trPr>
          <w:trHeight w:val="206"/>
        </w:trPr>
        <w:tc>
          <w:tcPr>
            <w:tcW w:w="5940" w:type="dxa"/>
            <w:vAlign w:val="bottom"/>
          </w:tcPr>
          <w:p>
            <w:pPr>
              <w:ind w:left="40"/>
              <w:spacing w:after="0"/>
              <w:rPr>
                <w:sz w:val="20"/>
                <w:szCs w:val="20"/>
                <w:color w:val="auto"/>
              </w:rPr>
            </w:pPr>
            <w:r>
              <w:rPr>
                <w:rFonts w:ascii="Arial" w:cs="Arial" w:eastAsia="Arial" w:hAnsi="Arial"/>
                <w:sz w:val="17"/>
                <w:szCs w:val="17"/>
                <w:color w:val="auto"/>
              </w:rPr>
              <w:t>Net underwriting expense ratio</w:t>
            </w:r>
          </w:p>
        </w:tc>
        <w:tc>
          <w:tcPr>
            <w:tcW w:w="76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34.3%</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25.0%</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9.3</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37.2%</w:t>
            </w:r>
          </w:p>
        </w:tc>
        <w:tc>
          <w:tcPr>
            <w:tcW w:w="0" w:type="dxa"/>
            <w:vAlign w:val="bottom"/>
          </w:tcPr>
          <w:p>
            <w:pPr>
              <w:spacing w:after="0"/>
              <w:rPr>
                <w:sz w:val="1"/>
                <w:szCs w:val="1"/>
                <w:color w:val="auto"/>
              </w:rPr>
            </w:pPr>
          </w:p>
        </w:tc>
      </w:tr>
      <w:tr>
        <w:trPr>
          <w:trHeight w:val="26"/>
        </w:trPr>
        <w:tc>
          <w:tcPr>
            <w:tcW w:w="59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94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combined ratio</w:t>
            </w:r>
          </w:p>
        </w:tc>
        <w:tc>
          <w:tcPr>
            <w:tcW w:w="7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72.8%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70.9%</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 Written Premiums</w:t>
      </w:r>
    </w:p>
    <w:p>
      <w:pPr>
        <w:spacing w:after="0" w:line="243"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Direct written premiums during the three months ended September 30, 2015 (“Q3-2015”) were $24,571,000 compared to $20,131,000 during the three months ended September 30, 2014 (“Q3-2014”). The increase of $4,440,000, or 22.1%, was primarily due to an increase in policies in-force during Q3-2015 as compared to Q3-2014. We wrote more new policies as a result of continued demand for our products in the markets that we serve. Policies in-force increased by 18.0% as of September 30, 2015 compared to September 30, 2014.</w:t>
      </w:r>
    </w:p>
    <w:p>
      <w:pPr>
        <w:spacing w:after="0" w:line="205" w:lineRule="exact"/>
        <w:rPr>
          <w:sz w:val="20"/>
          <w:szCs w:val="20"/>
          <w:color w:val="auto"/>
        </w:rPr>
      </w:pPr>
    </w:p>
    <w:p>
      <w:pPr>
        <w:jc w:val="both"/>
        <w:ind w:firstLine="620"/>
        <w:spacing w:after="0" w:line="308" w:lineRule="auto"/>
        <w:rPr>
          <w:sz w:val="20"/>
          <w:szCs w:val="20"/>
          <w:color w:val="auto"/>
        </w:rPr>
      </w:pPr>
      <w:r>
        <w:rPr>
          <w:rFonts w:ascii="Arial" w:cs="Arial" w:eastAsia="Arial" w:hAnsi="Arial"/>
          <w:sz w:val="15"/>
          <w:szCs w:val="15"/>
          <w:color w:val="auto"/>
        </w:rPr>
        <w:t>Our growth rate in direct premiums written was dampened somewhat due to the suspension, effective October 1, 2014, of the writing of new policies in our commercial auto line of business due to a history of poor underwriting results. In February 2015, we made the decision to no longer offer renewals on our existing commercial auto policies beginning with those that expire on or after May 1, 2015. Our direct written premiums in our other lines of business grew by 26.3% in Q3-2015 compared to Q3-2014. Policies-in-force in our other lines of business increased by 19.8% as of September 30, 2015 compared to September 30, 2014.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Written Premiums and Net Premiums Earned</w:t>
      </w:r>
    </w:p>
    <w:p>
      <w:pPr>
        <w:spacing w:after="0" w:line="243"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The following table describes the quota share reinsurance ceding rates in effect during Q3-2015 and Q3-2014. For purposes of the discussion herein, the change in quota share ceding rates on July 1 of each year will be referred to as “the Cut-off”. This table should be referred to in conjunction with the discussions for net written premiums, net premiums earned, ceding commission revenue and net loss and loss adjustment expenses that follow.</w:t>
      </w:r>
    </w:p>
    <w:p>
      <w:pPr>
        <w:spacing w:after="0" w:line="234"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jc w:val="center"/>
        <w:ind w:left="8620"/>
        <w:spacing w:after="0" w:line="221"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4"/>
        </w:trPr>
        <w:tc>
          <w:tcPr>
            <w:tcW w:w="876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345"/>
              <w:spacing w:after="0" w:line="148"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45"/>
              <w:spacing w:after="0" w:line="148"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r>
      <w:tr>
        <w:trPr>
          <w:trHeight w:val="120"/>
        </w:trPr>
        <w:tc>
          <w:tcPr>
            <w:tcW w:w="8760" w:type="dxa"/>
            <w:vAlign w:val="bottom"/>
          </w:tcPr>
          <w:p>
            <w:pPr>
              <w:spacing w:after="0"/>
              <w:rPr>
                <w:sz w:val="10"/>
                <w:szCs w:val="10"/>
                <w:color w:val="auto"/>
              </w:rPr>
            </w:pPr>
          </w:p>
        </w:tc>
        <w:tc>
          <w:tcPr>
            <w:tcW w:w="1120" w:type="dxa"/>
            <w:vAlign w:val="bottom"/>
          </w:tcPr>
          <w:p>
            <w:pPr>
              <w:jc w:val="right"/>
              <w:ind w:right="125"/>
              <w:spacing w:after="0" w:line="119" w:lineRule="exact"/>
              <w:rPr>
                <w:sz w:val="20"/>
                <w:szCs w:val="20"/>
                <w:color w:val="auto"/>
              </w:rPr>
            </w:pPr>
            <w:r>
              <w:rPr>
                <w:rFonts w:ascii="Arial" w:cs="Arial" w:eastAsia="Arial" w:hAnsi="Arial"/>
                <w:sz w:val="13"/>
                <w:szCs w:val="13"/>
                <w:b w:val="1"/>
                <w:bCs w:val="1"/>
                <w:color w:val="auto"/>
              </w:rPr>
              <w:t>("2015/2016</w:t>
            </w:r>
          </w:p>
        </w:tc>
        <w:tc>
          <w:tcPr>
            <w:tcW w:w="260" w:type="dxa"/>
            <w:vAlign w:val="bottom"/>
          </w:tcPr>
          <w:p>
            <w:pPr>
              <w:spacing w:after="0"/>
              <w:rPr>
                <w:sz w:val="10"/>
                <w:szCs w:val="10"/>
                <w:color w:val="auto"/>
              </w:rPr>
            </w:pPr>
          </w:p>
        </w:tc>
        <w:tc>
          <w:tcPr>
            <w:tcW w:w="1120" w:type="dxa"/>
            <w:vAlign w:val="bottom"/>
          </w:tcPr>
          <w:p>
            <w:pPr>
              <w:jc w:val="right"/>
              <w:ind w:right="125"/>
              <w:spacing w:after="0" w:line="119" w:lineRule="exact"/>
              <w:rPr>
                <w:sz w:val="20"/>
                <w:szCs w:val="20"/>
                <w:color w:val="auto"/>
              </w:rPr>
            </w:pPr>
            <w:r>
              <w:rPr>
                <w:rFonts w:ascii="Arial" w:cs="Arial" w:eastAsia="Arial" w:hAnsi="Arial"/>
                <w:sz w:val="13"/>
                <w:szCs w:val="13"/>
                <w:b w:val="1"/>
                <w:bCs w:val="1"/>
                <w:color w:val="auto"/>
              </w:rPr>
              <w:t>("2014/2015</w:t>
            </w:r>
          </w:p>
        </w:tc>
        <w:tc>
          <w:tcPr>
            <w:tcW w:w="160" w:type="dxa"/>
            <w:vAlign w:val="bottom"/>
          </w:tcPr>
          <w:p>
            <w:pPr>
              <w:spacing w:after="0"/>
              <w:rPr>
                <w:sz w:val="10"/>
                <w:szCs w:val="10"/>
                <w:color w:val="auto"/>
              </w:rPr>
            </w:pPr>
          </w:p>
        </w:tc>
      </w:tr>
      <w:tr>
        <w:trPr>
          <w:trHeight w:val="179"/>
        </w:trPr>
        <w:tc>
          <w:tcPr>
            <w:tcW w:w="8760" w:type="dxa"/>
            <w:vAlign w:val="bottom"/>
          </w:tcPr>
          <w:p>
            <w:pPr>
              <w:spacing w:after="0"/>
              <w:rPr>
                <w:sz w:val="15"/>
                <w:szCs w:val="15"/>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Treaty")</w:t>
            </w: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Treaty")</w:t>
            </w:r>
          </w:p>
        </w:tc>
      </w:tr>
      <w:tr>
        <w:trPr>
          <w:trHeight w:val="398"/>
        </w:trPr>
        <w:tc>
          <w:tcPr>
            <w:tcW w:w="8760" w:type="dxa"/>
            <w:vAlign w:val="bottom"/>
          </w:tcPr>
          <w:p>
            <w:pPr>
              <w:ind w:left="40"/>
              <w:spacing w:after="0"/>
              <w:rPr>
                <w:sz w:val="20"/>
                <w:szCs w:val="20"/>
                <w:color w:val="auto"/>
              </w:rPr>
            </w:pPr>
            <w:r>
              <w:rPr>
                <w:rFonts w:ascii="Arial" w:cs="Arial" w:eastAsia="Arial" w:hAnsi="Arial"/>
                <w:sz w:val="17"/>
                <w:szCs w:val="17"/>
                <w:b w:val="1"/>
                <w:bCs w:val="1"/>
                <w:color w:val="auto"/>
              </w:rPr>
              <w:t>Quota share reinsurance rates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8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r>
      <w:tr>
        <w:trPr>
          <w:trHeight w:val="217"/>
        </w:trPr>
        <w:tc>
          <w:tcPr>
            <w:tcW w:w="8760" w:type="dxa"/>
            <w:vAlign w:val="bottom"/>
          </w:tcPr>
          <w:p>
            <w:pPr>
              <w:ind w:left="40"/>
              <w:spacing w:after="0"/>
              <w:rPr>
                <w:sz w:val="20"/>
                <w:szCs w:val="20"/>
                <w:color w:val="auto"/>
              </w:rPr>
            </w:pPr>
            <w:r>
              <w:rPr>
                <w:rFonts w:ascii="Arial" w:cs="Arial" w:eastAsia="Arial" w:hAnsi="Arial"/>
                <w:sz w:val="17"/>
                <w:szCs w:val="17"/>
                <w:color w:val="auto"/>
              </w:rPr>
              <w:t>Commercial lines</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none</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none</w:t>
            </w:r>
          </w:p>
        </w:tc>
      </w:tr>
    </w:tbl>
    <w:p>
      <w:pPr>
        <w:spacing w:after="0" w:line="183"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Net written premiums increased $3,669,000, or 20.8%, to $21,337,000 in Q3-2015 from $17,668,000 in Q3-2014. Net written premiums include direct and assumed premiums, less the amount of written premiums ceded under our reinsurance treaties (quota share, excess of loss, and catastrophe). Our personal lines business is subject to a quota share treaty. A reduction to the quota share ceding rates will reduce our ceded written premiums, which will result in a corresponding increase to our net written premiums.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43" w:name="page44"/>
    <w:bookmarkEnd w:id="43"/>
    <w:p>
      <w:pPr>
        <w:jc w:val="both"/>
        <w:ind w:firstLine="620"/>
        <w:spacing w:after="0" w:line="262" w:lineRule="auto"/>
        <w:rPr>
          <w:sz w:val="20"/>
          <w:szCs w:val="20"/>
          <w:color w:val="auto"/>
        </w:rPr>
      </w:pPr>
      <w:r>
        <w:rPr>
          <w:rFonts w:ascii="Arial" w:cs="Arial" w:eastAsia="Arial" w:hAnsi="Arial"/>
          <w:sz w:val="17"/>
          <w:szCs w:val="17"/>
          <w:color w:val="auto"/>
        </w:rPr>
        <w:t>Effective July 1, 2015, we decreased the quota share ceding rates in our personal lines quota share treaty from 55% to 40%. The Cut-off of this treaty on July 1, 2015 resulted in a $5,866,000 return of unearned premiums from our reinsurers that were previously ceded under the expiring personal lines quota share treaty. The new treaty is on a “net” of catastrophe reinsurance basis, as opposed to the “gross” arrangement that existed in prior years. Under a “net” arrangement, all catastrophe reinsurance coverage is now purchased directly by us.</w:t>
      </w:r>
    </w:p>
    <w:p>
      <w:pPr>
        <w:spacing w:after="0" w:line="205" w:lineRule="exact"/>
        <w:rPr>
          <w:sz w:val="20"/>
          <w:szCs w:val="20"/>
          <w:color w:val="auto"/>
        </w:rPr>
      </w:pPr>
    </w:p>
    <w:p>
      <w:pPr>
        <w:jc w:val="both"/>
        <w:ind w:firstLine="620"/>
        <w:spacing w:after="0" w:line="299" w:lineRule="auto"/>
        <w:rPr>
          <w:sz w:val="20"/>
          <w:szCs w:val="20"/>
          <w:color w:val="auto"/>
        </w:rPr>
      </w:pPr>
      <w:r>
        <w:rPr>
          <w:rFonts w:ascii="Arial" w:cs="Arial" w:eastAsia="Arial" w:hAnsi="Arial"/>
          <w:sz w:val="15"/>
          <w:szCs w:val="15"/>
          <w:color w:val="auto"/>
        </w:rPr>
        <w:t>Most of the premiums written under our personal lines are also subject to our catastrophe treaty. An increase in our personal lines business gives rise to more property exposure, which increases our exposure to catastrophe risk; therefore, our premiums for catastrophe insurance will increase. This results in an increase in premiums ceded under our catastrophe treaty, which reduces net written premiums. With the inception of our personal lines quota share treaty being on a “net” basis effective July 1, 2015, our catastrophe premiums are paid based on our direct written premiums, compared to catastrophe premiums being paid only on the amount of written premiums that we retained under the expired “gross” basis. As a result of the increase in our personal lines business and the change to a “net” basis for our personal lines quota share treaty, ceded catastrophe premiums increased by $1,674,000, or 264.5%, to $2,307,000 in Q3-2015 from $633,000 in Q3-2014.</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An increase in written premiums will also increase the premiums ceded under our excess of loss treaties, which will also reduce our net written premiums.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In Q3-2015, our excess of loss reinsurance ceded premiums increased by $49,000 over the ceded premiums in Q3-2014.</w:t>
      </w:r>
    </w:p>
    <w:p>
      <w:pPr>
        <w:spacing w:after="0" w:line="233" w:lineRule="exact"/>
        <w:rPr>
          <w:sz w:val="20"/>
          <w:szCs w:val="20"/>
          <w:color w:val="auto"/>
        </w:rPr>
      </w:pPr>
    </w:p>
    <w:p>
      <w:pPr>
        <w:jc w:val="both"/>
        <w:ind w:firstLine="620"/>
        <w:spacing w:after="0" w:line="302" w:lineRule="auto"/>
        <w:rPr>
          <w:sz w:val="20"/>
          <w:szCs w:val="20"/>
          <w:color w:val="auto"/>
        </w:rPr>
      </w:pPr>
      <w:r>
        <w:rPr>
          <w:rFonts w:ascii="Arial" w:cs="Arial" w:eastAsia="Arial" w:hAnsi="Arial"/>
          <w:sz w:val="15"/>
          <w:szCs w:val="15"/>
          <w:color w:val="auto"/>
        </w:rPr>
        <w:t>Net premiums earned increased $3,234,000, or 32.7%, to $13,129,000 in Q3-2015 from $9,895,000 in Q3-2014. The increase was primarily due to us retaining more earned premiums as result of the reduction of the quota share ceding rate in our personal lines quota share treaty. The decreases in our quota share ceding rate from the July 1, 2015 Cut-off gave us a return of premiums previously ceded, which has the effect of increasing our net premiums earned during the twelve month periods after the Cut-off. In addition, as premiums written earn ratably over a twelve month period, net premiums earned in Q3-2015 increased due to the higher net written premiums generated for the twelve months ended September 30, 2015 compared to the twelve months ended September 30, 2014.</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24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following table describes the quota share provisional ceding commission rates in effect during Q3-2015 and Q3-2014. This table should be referred to in conjunction with the discussion for ceding commission revenue that follows.</w:t>
      </w:r>
    </w:p>
    <w:p>
      <w:pPr>
        <w:spacing w:after="0" w:line="241"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jc w:val="center"/>
        <w:ind w:left="8620"/>
        <w:spacing w:after="0" w:line="221"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4"/>
        </w:trPr>
        <w:tc>
          <w:tcPr>
            <w:tcW w:w="49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348"/>
              <w:spacing w:after="0" w:line="148"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45"/>
              <w:spacing w:after="0" w:line="148"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r>
      <w:tr>
        <w:trPr>
          <w:trHeight w:val="120"/>
        </w:trPr>
        <w:tc>
          <w:tcPr>
            <w:tcW w:w="49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12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rPr>
              <w:t>("2015/2016</w:t>
            </w:r>
          </w:p>
        </w:tc>
        <w:tc>
          <w:tcPr>
            <w:tcW w:w="260" w:type="dxa"/>
            <w:vAlign w:val="bottom"/>
          </w:tcPr>
          <w:p>
            <w:pPr>
              <w:spacing w:after="0"/>
              <w:rPr>
                <w:sz w:val="10"/>
                <w:szCs w:val="10"/>
                <w:color w:val="auto"/>
              </w:rPr>
            </w:pPr>
          </w:p>
        </w:tc>
        <w:tc>
          <w:tcPr>
            <w:tcW w:w="1120" w:type="dxa"/>
            <w:vAlign w:val="bottom"/>
          </w:tcPr>
          <w:p>
            <w:pPr>
              <w:jc w:val="right"/>
              <w:ind w:right="125"/>
              <w:spacing w:after="0" w:line="119" w:lineRule="exact"/>
              <w:rPr>
                <w:sz w:val="20"/>
                <w:szCs w:val="20"/>
                <w:color w:val="auto"/>
              </w:rPr>
            </w:pPr>
            <w:r>
              <w:rPr>
                <w:rFonts w:ascii="Arial" w:cs="Arial" w:eastAsia="Arial" w:hAnsi="Arial"/>
                <w:sz w:val="13"/>
                <w:szCs w:val="13"/>
                <w:b w:val="1"/>
                <w:bCs w:val="1"/>
                <w:color w:val="auto"/>
              </w:rPr>
              <w:t>("2014/2015</w:t>
            </w:r>
          </w:p>
        </w:tc>
        <w:tc>
          <w:tcPr>
            <w:tcW w:w="160" w:type="dxa"/>
            <w:vAlign w:val="bottom"/>
          </w:tcPr>
          <w:p>
            <w:pPr>
              <w:spacing w:after="0"/>
              <w:rPr>
                <w:sz w:val="10"/>
                <w:szCs w:val="10"/>
                <w:color w:val="auto"/>
              </w:rPr>
            </w:pPr>
          </w:p>
        </w:tc>
      </w:tr>
      <w:tr>
        <w:trPr>
          <w:trHeight w:val="179"/>
        </w:trPr>
        <w:tc>
          <w:tcPr>
            <w:tcW w:w="49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Treaty")</w:t>
            </w: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Treaty")</w:t>
            </w:r>
          </w:p>
        </w:tc>
      </w:tr>
      <w:tr>
        <w:trPr>
          <w:trHeight w:val="398"/>
        </w:trPr>
        <w:tc>
          <w:tcPr>
            <w:tcW w:w="4920" w:type="dxa"/>
            <w:vAlign w:val="bottom"/>
          </w:tcPr>
          <w:p>
            <w:pPr>
              <w:spacing w:after="0"/>
              <w:rPr>
                <w:sz w:val="20"/>
                <w:szCs w:val="20"/>
                <w:color w:val="auto"/>
              </w:rPr>
            </w:pPr>
            <w:r>
              <w:rPr>
                <w:rFonts w:ascii="Arial" w:cs="Arial" w:eastAsia="Arial" w:hAnsi="Arial"/>
                <w:sz w:val="17"/>
                <w:szCs w:val="17"/>
                <w:b w:val="1"/>
                <w:bCs w:val="1"/>
                <w:color w:val="auto"/>
              </w:rPr>
              <w:t>Provisional ceding commission rate on quota share treaty</w:t>
            </w:r>
          </w:p>
        </w:tc>
        <w:tc>
          <w:tcPr>
            <w:tcW w:w="3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49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52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17"/>
        </w:trPr>
        <w:tc>
          <w:tcPr>
            <w:tcW w:w="4920" w:type="dxa"/>
            <w:vAlign w:val="bottom"/>
          </w:tcPr>
          <w:p>
            <w:pPr>
              <w:ind w:left="40"/>
              <w:spacing w:after="0"/>
              <w:rPr>
                <w:sz w:val="20"/>
                <w:szCs w:val="20"/>
                <w:color w:val="auto"/>
              </w:rPr>
            </w:pPr>
            <w:r>
              <w:rPr>
                <w:rFonts w:ascii="Arial" w:cs="Arial" w:eastAsia="Arial" w:hAnsi="Arial"/>
                <w:sz w:val="17"/>
                <w:szCs w:val="17"/>
                <w:color w:val="auto"/>
              </w:rPr>
              <w:t>Commercial lines</w:t>
            </w:r>
          </w:p>
        </w:tc>
        <w:tc>
          <w:tcPr>
            <w:tcW w:w="38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none</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none</w:t>
            </w:r>
          </w:p>
        </w:tc>
      </w:tr>
      <w:tr>
        <w:trPr>
          <w:trHeight w:val="801"/>
        </w:trPr>
        <w:tc>
          <w:tcPr>
            <w:tcW w:w="4920" w:type="dxa"/>
            <w:vAlign w:val="bottom"/>
          </w:tcPr>
          <w:p>
            <w:pPr>
              <w:spacing w:after="0"/>
              <w:rPr>
                <w:sz w:val="24"/>
                <w:szCs w:val="24"/>
                <w:color w:val="auto"/>
              </w:rPr>
            </w:pPr>
          </w:p>
        </w:tc>
        <w:tc>
          <w:tcPr>
            <w:tcW w:w="3840" w:type="dxa"/>
            <w:vAlign w:val="bottom"/>
          </w:tcPr>
          <w:p>
            <w:pPr>
              <w:jc w:val="right"/>
              <w:ind w:right="2874"/>
              <w:spacing w:after="0"/>
              <w:rPr>
                <w:sz w:val="20"/>
                <w:szCs w:val="20"/>
                <w:color w:val="auto"/>
              </w:rPr>
            </w:pPr>
            <w:r>
              <w:rPr>
                <w:rFonts w:ascii="Arial" w:cs="Arial" w:eastAsia="Arial" w:hAnsi="Arial"/>
                <w:sz w:val="17"/>
                <w:szCs w:val="17"/>
                <w:color w:val="auto"/>
              </w:rPr>
              <w:t>44</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4"/>
        </w:trPr>
        <w:tc>
          <w:tcPr>
            <w:tcW w:w="4920" w:type="dxa"/>
            <w:vAlign w:val="bottom"/>
            <w:tcBorders>
              <w:bottom w:val="single" w:sz="8" w:color="808080"/>
            </w:tcBorders>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4" w:name="page45"/>
    <w:bookmarkEnd w:id="44"/>
    <w:p>
      <w:pPr>
        <w:ind w:left="62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89"/>
              </w:rPr>
              <w:t>Three months ended September 30,</w:t>
            </w: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2"/>
        </w:trPr>
        <w:tc>
          <w:tcPr>
            <w:tcW w:w="592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8"/>
                <w:szCs w:val="18"/>
                <w:color w:val="auto"/>
              </w:rPr>
            </w:pPr>
          </w:p>
        </w:tc>
      </w:tr>
      <w:tr>
        <w:trPr>
          <w:trHeight w:val="206"/>
        </w:trPr>
        <w:tc>
          <w:tcPr>
            <w:tcW w:w="5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Provisional ceding commissions earned</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2,854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2,653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40" w:type="dxa"/>
            <w:vAlign w:val="bottom"/>
            <w:shd w:val="clear" w:color="auto" w:fill="CCEEFF"/>
          </w:tcPr>
          <w:p>
            <w:pPr>
              <w:spacing w:after="0"/>
              <w:rPr>
                <w:sz w:val="18"/>
                <w:szCs w:val="18"/>
                <w:color w:val="auto"/>
              </w:rPr>
            </w:pPr>
          </w:p>
        </w:tc>
      </w:tr>
      <w:tr>
        <w:trPr>
          <w:trHeight w:val="206"/>
        </w:trPr>
        <w:tc>
          <w:tcPr>
            <w:tcW w:w="5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0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Contingent ceding commissions earned</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5920" w:type="dxa"/>
            <w:vAlign w:val="bottom"/>
          </w:tcPr>
          <w:p>
            <w:pPr>
              <w:ind w:left="360"/>
              <w:spacing w:after="0"/>
              <w:rPr>
                <w:sz w:val="20"/>
                <w:szCs w:val="20"/>
                <w:color w:val="auto"/>
              </w:rPr>
            </w:pPr>
            <w:r>
              <w:rPr>
                <w:rFonts w:ascii="Arial" w:cs="Arial" w:eastAsia="Arial" w:hAnsi="Arial"/>
                <w:sz w:val="17"/>
                <w:szCs w:val="17"/>
                <w:color w:val="auto"/>
              </w:rPr>
              <w:t>Contingent ceding commissions earned excluding</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59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the effect of catastrophes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(211)</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(836)</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920" w:type="dxa"/>
            <w:vAlign w:val="bottom"/>
          </w:tcPr>
          <w:p>
            <w:pPr>
              <w:ind w:left="360"/>
              <w:spacing w:after="0"/>
              <w:rPr>
                <w:sz w:val="20"/>
                <w:szCs w:val="20"/>
                <w:color w:val="auto"/>
              </w:rPr>
            </w:pPr>
            <w:r>
              <w:rPr>
                <w:rFonts w:ascii="Arial" w:cs="Arial" w:eastAsia="Arial" w:hAnsi="Arial"/>
                <w:sz w:val="17"/>
                <w:szCs w:val="17"/>
                <w:color w:val="auto"/>
              </w:rPr>
              <w:t>Effect of catastrophes on ceding commissions earned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na %</w:t>
            </w:r>
          </w:p>
        </w:tc>
        <w:tc>
          <w:tcPr>
            <w:tcW w:w="140" w:type="dxa"/>
            <w:vAlign w:val="bottom"/>
          </w:tcPr>
          <w:p>
            <w:pPr>
              <w:spacing w:after="0"/>
              <w:rPr>
                <w:sz w:val="17"/>
                <w:szCs w:val="17"/>
                <w:color w:val="auto"/>
              </w:rPr>
            </w:pPr>
          </w:p>
        </w:tc>
      </w:tr>
      <w:tr>
        <w:trPr>
          <w:trHeight w:val="26"/>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2"/>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Contingent ceding commissions earned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(836)</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26"/>
        </w:trPr>
        <w:tc>
          <w:tcPr>
            <w:tcW w:w="5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ceding commission revenue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2,643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3,278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(635)</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
        </w:trPr>
        <w:tc>
          <w:tcPr>
            <w:tcW w:w="5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Ceding commission revenue was $2,643,000 in Q3-2015 compared to $3,278,000 in Q3-2014. The decrease of $635,000, or 19.4%, was due to an increase in provisional ceding commissions earned and a decrease in contingent ceding commissions earned.</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Provisional Ceding Commissions Earned</w:t>
      </w:r>
    </w:p>
    <w:p>
      <w:pPr>
        <w:spacing w:after="0" w:line="243" w:lineRule="exact"/>
        <w:rPr>
          <w:sz w:val="20"/>
          <w:szCs w:val="20"/>
          <w:color w:val="auto"/>
        </w:rPr>
      </w:pPr>
    </w:p>
    <w:p>
      <w:pPr>
        <w:jc w:val="both"/>
        <w:ind w:firstLine="620"/>
        <w:spacing w:after="0" w:line="318" w:lineRule="auto"/>
        <w:rPr>
          <w:sz w:val="20"/>
          <w:szCs w:val="20"/>
          <w:color w:val="auto"/>
        </w:rPr>
      </w:pPr>
      <w:r>
        <w:rPr>
          <w:rFonts w:ascii="Arial" w:cs="Arial" w:eastAsia="Arial" w:hAnsi="Arial"/>
          <w:sz w:val="15"/>
          <w:szCs w:val="15"/>
          <w:color w:val="auto"/>
        </w:rPr>
        <w:t>The $201,000 increase in provisional ceding commissions earned is primarily due to the increase in provisional ceding rates under the 2015/2016 Treaty, partially offset by (1) a decrease in the quota share rate to 40% from 55%, which decreased the ceded premiums subject to provisional ceding commissions, and (2) a decrease in the percentage of ceded premiums subject to quota share under the “net” 2015/2016 Treaty compared to the “gross” 2014/2015 Treaty.</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Contingent Ceding Commissions Earned</w:t>
      </w:r>
    </w:p>
    <w:p>
      <w:pPr>
        <w:spacing w:after="0" w:line="243" w:lineRule="exact"/>
        <w:rPr>
          <w:sz w:val="20"/>
          <w:szCs w:val="20"/>
          <w:color w:val="auto"/>
        </w:rPr>
      </w:pPr>
    </w:p>
    <w:p>
      <w:pPr>
        <w:jc w:val="both"/>
        <w:ind w:firstLine="620"/>
        <w:spacing w:after="0" w:line="308" w:lineRule="auto"/>
        <w:rPr>
          <w:sz w:val="20"/>
          <w:szCs w:val="20"/>
          <w:color w:val="auto"/>
        </w:rPr>
      </w:pPr>
      <w:r>
        <w:rPr>
          <w:rFonts w:ascii="Arial" w:cs="Arial" w:eastAsia="Arial" w:hAnsi="Arial"/>
          <w:sz w:val="15"/>
          <w:szCs w:val="15"/>
          <w:color w:val="auto"/>
        </w:rPr>
        <w:t>As a result of the increase in the provisional ceding commission rate to 55% under the 2015/2016 Treaty from 40% under the 2014/2015 Treaty, we do not have an opportunity to earn as much contingent ceding commissions. Under the “net” treaty in effect as of July 1, 2015, catastrophe losses in excess of the first $4,000,000 will fall outside of the quota share treaty and such losses will not have an impact on contingent ceding commissions, as was the case under previous “gross” treaties. The new structure eliminates the adverse impact that catastrophe losses above $4,000,000 would have on contingent ceding commissions.</w:t>
      </w:r>
    </w:p>
    <w:p>
      <w:pPr>
        <w:spacing w:after="0" w:line="173"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The amount of contingent ceding commissions we are eligible to receive under the 2015/2016 Treaty described in the table above that was in effect during Q3-2015 is subject to change based on losses incurred from claims with accident dates beginning July 1, 2015. The amount of contingent ceding commissions we are eligible to receive under our prior years’ quota share treaties is subject to change based on losses incurred related to claims with accident dates before July 1, 2014 under those treaties.</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$836,000 decrease in contingent ceding commissions earned is due to a decrease in the amount of premiums ceded as a result of a reduction to the personal lines quota share ceding percentages under the July 1, 2015 Cut-off from our personal lines from 55% to 40%. In addition, under the terms of the 2015/2016 Treaty our contingent ceding commission rates were reduced in exchange for an increase in our provisional ceding commission rates. See “Reinsurance” below for changes to our personal lines quota share treaty effective July 1, 2015.</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auto"/>
        </w:rPr>
        <w:t>Net Investment Income</w:t>
      </w:r>
    </w:p>
    <w:p>
      <w:pPr>
        <w:spacing w:after="0" w:line="24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Net investment income was $649,000 in Q3-2015 compared to $464,000 in Q3-2014. The increase of $185,000, or 39.9%, was due to an increase in average invested assets in 2015. The increase in cash and invested assets resulted primarily from increased operating cash flows for the period after September 30, 2014. The increase in operating cash flows is due in part from the reduction in quota share rates on July 1, 2015 and 2014. The reduction in quota share rates results in a decline in ceded premiums, which leads to more cash flow and more invested funds. The pre-tax equivalent investment yield on estimated annual income, excluding cash, was 4.81% and 4.69% as of September 30, 2015 and 2014,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 and LAE</w:t>
      </w:r>
    </w:p>
    <w:p>
      <w:pPr>
        <w:spacing w:after="0" w:line="243"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Net loss and LAE was $5,050,000 in Q3-2015 compared to $4,538,000 in Q3-2014. The net loss ratio was 38.5% in Q3-2015 compared to 45.9% in Q3-2014, a decrease of 7.4 percentage points. The following graphs summarize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113665</wp:posOffset>
            </wp:positionV>
            <wp:extent cx="4802505" cy="4466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02505" cy="4466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During Q3-2015, our net loss ratio decreased compared to Q3-2014 due primarily to a decrease in prior year development. In Q3-2015, prior year development was favorable by 4.2 points, compared to adverse (unfavorable) development of 4.4 points in Q3-2014, or a year-over-year decrease of 8.6 points. Favorable prior year loss development was recorded for both personal lines and legacy lead paint claims. The impact of severe winter weather increased the net loss ratio reported for Q3-2015 by 0.6 points, as one additional large pipe freeze claims developed in the quarter. No additional impact from severe winter weather was recorded in Q3-2014. The core net loss ratio increased slightly to 42.1% in Q3-2015 from 41.5% in Q3-2014. This was driven by higher claims severity for personal lines during Q3-2015. See table below under “Additional Financial Information” summarizing the net loss ratios by line of business.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6" w:name="page47"/>
    <w:bookmarkEnd w:id="46"/>
    <w:p>
      <w:pPr>
        <w:ind w:left="1240"/>
        <w:spacing w:after="0"/>
        <w:rPr>
          <w:sz w:val="20"/>
          <w:szCs w:val="20"/>
          <w:color w:val="auto"/>
        </w:rPr>
      </w:pPr>
      <w:r>
        <w:rPr>
          <w:rFonts w:ascii="Arial" w:cs="Arial" w:eastAsia="Arial" w:hAnsi="Arial"/>
          <w:sz w:val="17"/>
          <w:szCs w:val="17"/>
          <w:i w:val="1"/>
          <w:iCs w:val="1"/>
          <w:color w:val="auto"/>
        </w:rPr>
        <w:t>Commercial Auto Line of Business</w:t>
      </w:r>
    </w:p>
    <w:p>
      <w:pPr>
        <w:spacing w:after="0" w:line="243"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Effective October 1, 2014 we decided to no longer accept applications for new commercial auto coverage. The action was taken following a series of underwriting and pricing measures which were intended to improve the profitability of this line of business. The actions taken did not yield the hoped for results. In February 2015, we decided to no longer offer renewals to our existing commercial auto policies beginning with those that expired on or after May 1, 2015. We had 238 and 835 commercial auto policies in force, as of September 30, 2015 and 2014, respectively, which represented 0.5% and 1.9% of our policies in force.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Commission Expense</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Commission expense was $4,021,000 in Q3-2015, or 18.9% of direct earned premiums. Commission expense was $3,106,000 in Q3-2014, or 17.6% of direct earned premiums. The increase of $915,000, or 29.5%, is due to the increase in direct written premiums in Q3-2015 as compared to Q3-2014, a change in in the mix of business to lines of business with higher commission rates, and an increase in bonus commissions.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Underwriting Expenses</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Other underwriting expenses were $3,389,000 in Q3-2015 compared to $2,846,000 in Q3-2014. The increase of $543,000, or 19.1%, in other underwriting expenses was primarily due to expenses directly and indirectly related to growth in direct written premiums, rate increases in state assessed regulatory fees, and state taxes based on premiums written.</w:t>
      </w:r>
    </w:p>
    <w:p>
      <w:pPr>
        <w:spacing w:after="0" w:line="202"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Salaries and employment costs were $1,683,000 in Q3-2015 compared to $1,477,000 in Q3-2014. The increase of $206,000, or 13.9%, was due to hiring of additional staff to service our current level of business and anticipated growth in volume. In addition, there were annual rate increases in both salaries and the cost of employee benefits. Other underwriting expenses as a percentage of direct written premiums decreased to 13.8% in Q3-2015 from 14.1% in Q3-2014. Other underwriting expenses as a percentage of direct earned premiums decreased to 16.0% in Q3-2015 from 16.1% in Q3-2014.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7" w:name="page48"/>
    <w:bookmarkEnd w:id="47"/>
    <w:p>
      <w:pPr>
        <w:jc w:val="both"/>
        <w:ind w:firstLine="620"/>
        <w:spacing w:after="0" w:line="280" w:lineRule="auto"/>
        <w:rPr>
          <w:sz w:val="20"/>
          <w:szCs w:val="20"/>
          <w:color w:val="auto"/>
        </w:rPr>
      </w:pPr>
      <w:r>
        <w:rPr>
          <w:rFonts w:ascii="Arial" w:cs="Arial" w:eastAsia="Arial" w:hAnsi="Arial"/>
          <w:sz w:val="17"/>
          <w:szCs w:val="17"/>
          <w:color w:val="auto"/>
        </w:rPr>
        <w:t>Our net underwriting expense ratio in Q3-2015 was 34.3% compared with 25.0% in Q3-2014. The following table shows the individual components of our net underwriting expense ratio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Three months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9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336"/>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Point Change</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Ceding commission revenue - provisional</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(21.7) %</w:t>
            </w: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(26.8)</w:t>
            </w: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80" w:type="dxa"/>
            <w:vAlign w:val="bottom"/>
            <w:gridSpan w:val="2"/>
          </w:tcPr>
          <w:p>
            <w:pPr>
              <w:spacing w:after="0"/>
              <w:rPr>
                <w:sz w:val="20"/>
                <w:szCs w:val="20"/>
                <w:color w:val="auto"/>
              </w:rPr>
            </w:pPr>
            <w:r>
              <w:rPr>
                <w:rFonts w:ascii="Arial" w:cs="Arial" w:eastAsia="Arial" w:hAnsi="Arial"/>
                <w:sz w:val="17"/>
                <w:szCs w:val="17"/>
                <w:color w:val="auto"/>
              </w:rPr>
              <w:t>Ceding commission revenue - contingent</w:t>
            </w: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rPr>
              <w:t>1.6</w:t>
            </w:r>
          </w:p>
        </w:tc>
        <w:tc>
          <w:tcPr>
            <w:tcW w:w="4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(6.3)</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(2.0)</w:t>
            </w: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w:t>
            </w: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80" w:type="dxa"/>
            <w:vAlign w:val="bottom"/>
            <w:gridSpan w:val="2"/>
          </w:tcPr>
          <w:p>
            <w:pPr>
              <w:spacing w:after="0"/>
              <w:rPr>
                <w:sz w:val="20"/>
                <w:szCs w:val="20"/>
                <w:color w:val="auto"/>
              </w:rPr>
            </w:pPr>
            <w:r>
              <w:rPr>
                <w:rFonts w:ascii="Arial" w:cs="Arial" w:eastAsia="Arial" w:hAnsi="Arial"/>
                <w:sz w:val="17"/>
                <w:szCs w:val="17"/>
                <w:color w:val="auto"/>
              </w:rPr>
              <w:t>Acquistion costs and other underwriting expenses:</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Commission expense</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30.6</w:t>
            </w: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31.4</w:t>
            </w: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80" w:type="dxa"/>
            <w:vAlign w:val="bottom"/>
          </w:tcPr>
          <w:p>
            <w:pPr>
              <w:ind w:left="140"/>
              <w:spacing w:after="0"/>
              <w:rPr>
                <w:sz w:val="20"/>
                <w:szCs w:val="20"/>
                <w:color w:val="auto"/>
              </w:rPr>
            </w:pPr>
            <w:r>
              <w:rPr>
                <w:rFonts w:ascii="Arial" w:cs="Arial" w:eastAsia="Arial" w:hAnsi="Arial"/>
                <w:sz w:val="17"/>
                <w:szCs w:val="17"/>
                <w:color w:val="auto"/>
              </w:rPr>
              <w:t>Other underwriting expenses</w:t>
            </w:r>
          </w:p>
        </w:tc>
        <w:tc>
          <w:tcPr>
            <w:tcW w:w="700" w:type="dxa"/>
            <w:vAlign w:val="bottom"/>
          </w:tcPr>
          <w:p>
            <w:pPr>
              <w:spacing w:after="0"/>
              <w:rPr>
                <w:sz w:val="17"/>
                <w:szCs w:val="17"/>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rPr>
              <w:t>25.8</w:t>
            </w:r>
          </w:p>
        </w:tc>
        <w:tc>
          <w:tcPr>
            <w:tcW w:w="4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28.8</w:t>
            </w:r>
          </w:p>
        </w:tc>
        <w:tc>
          <w:tcPr>
            <w:tcW w:w="30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Net underwriting expense ratio</w:t>
            </w:r>
          </w:p>
        </w:tc>
        <w:tc>
          <w:tcPr>
            <w:tcW w:w="7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34.3%</w:t>
            </w:r>
          </w:p>
        </w:tc>
        <w:tc>
          <w:tcPr>
            <w:tcW w:w="4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74"/>
              <w:spacing w:after="0"/>
              <w:rPr>
                <w:sz w:val="20"/>
                <w:szCs w:val="20"/>
                <w:color w:val="auto"/>
              </w:rPr>
            </w:pPr>
            <w:r>
              <w:rPr>
                <w:rFonts w:ascii="Arial" w:cs="Arial" w:eastAsia="Arial" w:hAnsi="Arial"/>
                <w:sz w:val="17"/>
                <w:szCs w:val="17"/>
                <w:color w:val="auto"/>
              </w:rPr>
              <w:t>25.0%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increase of 9.3 percentage points was due to the individual components of provisional ceding commission revenue, commission expense and other underwriting expenses and their relation to the increase in net premiums earned as a result of the additional retention resulting from the Cut-offs to our quota share treaties on July 1, 2015.</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Operating Expenses</w:t>
      </w:r>
    </w:p>
    <w:p>
      <w:pPr>
        <w:spacing w:after="0" w:line="24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Other operating expenses, related to the expenses of our holding company, were $468,000 in Q3-2015 compared to $486,000 in Q3-2014. The decrease in Q3-2015 of $18,000, or 3.7%, was primarily due to immaterial net fluctuations of various other operating expenses.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Depreciation and Amortization</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Depreciation and amortization was $267,000 in Q3-2015 compared to $249,000 in Q3-2014. The increase of $18,000, or 7.2%, in depreciation and amortization was primarily due to depreciation on newly purchased assets used to upgrade our systems infrastructure and the Kingston home office building from which we operate.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 Expense</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Income tax expense in Q3-2015 was $1,115,000, which resulted in an effective tax rate of 32.2%. Income tax expense in Q3-2014 was $907,000, which resulted in an effective tax rate of 32.5%. Income before taxes was $3,461,000 in Q3-2015 compared to $2,791,000 in Q3-2014. The decrease in the effective tax rate by 0.3 percentage points in Q3-2015 is a result of the effect of permanent differences and tax true-ups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Income</w:t>
      </w: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income was $2,346,000 in Q3-2015 compared to $1,884,000 in Q3-2014. The increase in net income of $462,000, or 24.5%, was due to the circumstances described above that caused the increase in our net premiums earned and net investment income, and a decrease in our net loss ratio, partially offset by a decrease in net realized gains and ceding commission revenue, and increases in other underwriting expenses related to premium growth.</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Additional Financial Information</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 wide array of property and casualty policies to our producers. The following table summarizes gross and net premiums written, net premiums earned, and loss and loss adjustment expenses by major product type, which were determined based primarily on similar economic characteristics and risks of loss.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9"/>
              </w:rPr>
              <w:t>For the Three Months Ended</w:t>
            </w:r>
          </w:p>
        </w:tc>
        <w:tc>
          <w:tcPr>
            <w:tcW w:w="220" w:type="dxa"/>
            <w:vAlign w:val="bottom"/>
          </w:tcPr>
          <w:p>
            <w:pPr>
              <w:spacing w:after="0"/>
              <w:rPr>
                <w:sz w:val="14"/>
                <w:szCs w:val="14"/>
                <w:color w:val="auto"/>
              </w:rPr>
            </w:pPr>
          </w:p>
        </w:tc>
        <w:tc>
          <w:tcPr>
            <w:tcW w:w="2440" w:type="dxa"/>
            <w:vAlign w:val="bottom"/>
            <w:gridSpan w:val="6"/>
          </w:tcPr>
          <w:p>
            <w:pPr>
              <w:ind w:left="220"/>
              <w:spacing w:after="0"/>
              <w:rPr>
                <w:sz w:val="20"/>
                <w:szCs w:val="20"/>
                <w:color w:val="auto"/>
              </w:rPr>
            </w:pPr>
            <w:r>
              <w:rPr>
                <w:rFonts w:ascii="Arial" w:cs="Arial" w:eastAsia="Arial" w:hAnsi="Arial"/>
                <w:sz w:val="14"/>
                <w:szCs w:val="14"/>
                <w:b w:val="1"/>
                <w:bCs w:val="1"/>
                <w:color w:val="auto"/>
              </w:rPr>
              <w:t>For the Nine Months Ended</w:t>
            </w:r>
          </w:p>
        </w:tc>
      </w:tr>
      <w:tr>
        <w:trPr>
          <w:trHeight w:val="170"/>
        </w:trPr>
        <w:tc>
          <w:tcPr>
            <w:tcW w:w="6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2"/>
        </w:trPr>
        <w:tc>
          <w:tcPr>
            <w:tcW w:w="6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8"/>
                <w:szCs w:val="18"/>
                <w:color w:val="auto"/>
              </w:rPr>
            </w:pPr>
          </w:p>
        </w:tc>
      </w:tr>
      <w:tr>
        <w:trPr>
          <w:trHeight w:val="412"/>
        </w:trPr>
        <w:tc>
          <w:tcPr>
            <w:tcW w:w="6000" w:type="dxa"/>
            <w:vAlign w:val="bottom"/>
          </w:tcPr>
          <w:p>
            <w:pPr>
              <w:ind w:left="40"/>
              <w:spacing w:after="0"/>
              <w:rPr>
                <w:sz w:val="20"/>
                <w:szCs w:val="20"/>
                <w:color w:val="auto"/>
              </w:rPr>
            </w:pPr>
            <w:r>
              <w:rPr>
                <w:rFonts w:ascii="Arial" w:cs="Arial" w:eastAsia="Arial" w:hAnsi="Arial"/>
                <w:sz w:val="17"/>
                <w:szCs w:val="17"/>
                <w:color w:val="auto"/>
              </w:rPr>
              <w:t>Gross premiums written:</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6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19,145,024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15,711,055</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50,346,928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3"/>
              </w:rPr>
              <w:t>41,545,193</w:t>
            </w:r>
          </w:p>
        </w:tc>
      </w:tr>
      <w:tr>
        <w:trPr>
          <w:trHeight w:val="206"/>
        </w:trPr>
        <w:tc>
          <w:tcPr>
            <w:tcW w:w="6000" w:type="dxa"/>
            <w:vAlign w:val="bottom"/>
          </w:tcPr>
          <w:p>
            <w:pPr>
              <w:ind w:left="40"/>
              <w:spacing w:after="0"/>
              <w:rPr>
                <w:sz w:val="20"/>
                <w:szCs w:val="20"/>
                <w:color w:val="auto"/>
              </w:rPr>
            </w:pPr>
            <w:r>
              <w:rPr>
                <w:rFonts w:ascii="Arial" w:cs="Arial" w:eastAsia="Arial" w:hAnsi="Arial"/>
                <w:sz w:val="17"/>
                <w:szCs w:val="17"/>
                <w:color w:val="auto"/>
              </w:rPr>
              <w:t>Commercial lines</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3,075,096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2,522,580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9,376,315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8,868,681</w:t>
            </w:r>
          </w:p>
        </w:tc>
        <w:tc>
          <w:tcPr>
            <w:tcW w:w="160" w:type="dxa"/>
            <w:vAlign w:val="bottom"/>
          </w:tcPr>
          <w:p>
            <w:pPr>
              <w:spacing w:after="0"/>
              <w:rPr>
                <w:sz w:val="17"/>
                <w:szCs w:val="17"/>
                <w:color w:val="auto"/>
              </w:rPr>
            </w:pPr>
          </w:p>
        </w:tc>
      </w:tr>
      <w:tr>
        <w:trPr>
          <w:trHeight w:val="206"/>
        </w:trPr>
        <w:tc>
          <w:tcPr>
            <w:tcW w:w="6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Commercial auto</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(42,630)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660,352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537,123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2,796,350</w:t>
            </w:r>
          </w:p>
        </w:tc>
        <w:tc>
          <w:tcPr>
            <w:tcW w:w="160" w:type="dxa"/>
            <w:vAlign w:val="bottom"/>
            <w:shd w:val="clear" w:color="auto" w:fill="CCEEFF"/>
          </w:tcPr>
          <w:p>
            <w:pPr>
              <w:spacing w:after="0"/>
              <w:rPr>
                <w:sz w:val="17"/>
                <w:szCs w:val="17"/>
                <w:color w:val="auto"/>
              </w:rPr>
            </w:pPr>
          </w:p>
        </w:tc>
      </w:tr>
      <w:tr>
        <w:trPr>
          <w:trHeight w:val="206"/>
        </w:trPr>
        <w:tc>
          <w:tcPr>
            <w:tcW w:w="600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2,342,470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1,196,027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6,800,527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3,337,415</w:t>
            </w:r>
          </w:p>
        </w:tc>
        <w:tc>
          <w:tcPr>
            <w:tcW w:w="160" w:type="dxa"/>
            <w:vAlign w:val="bottom"/>
          </w:tcPr>
          <w:p>
            <w:pPr>
              <w:spacing w:after="0"/>
              <w:rPr>
                <w:sz w:val="17"/>
                <w:szCs w:val="17"/>
                <w:color w:val="auto"/>
              </w:rPr>
            </w:pPr>
          </w:p>
        </w:tc>
      </w:tr>
      <w:tr>
        <w:trPr>
          <w:trHeight w:val="206"/>
        </w:trPr>
        <w:tc>
          <w:tcPr>
            <w:tcW w:w="6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63,481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64,058</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199,912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220,681</w:t>
            </w:r>
          </w:p>
        </w:tc>
      </w:tr>
      <w:tr>
        <w:trPr>
          <w:trHeight w:val="26"/>
        </w:trPr>
        <w:tc>
          <w:tcPr>
            <w:tcW w:w="60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06"/>
        </w:trPr>
        <w:tc>
          <w:tcPr>
            <w:tcW w:w="6000" w:type="dxa"/>
            <w:vAlign w:val="bottom"/>
          </w:tcPr>
          <w:p>
            <w:pPr>
              <w:ind w:left="200"/>
              <w:spacing w:after="0"/>
              <w:rPr>
                <w:sz w:val="20"/>
                <w:szCs w:val="20"/>
                <w:color w:val="auto"/>
              </w:rPr>
            </w:pPr>
            <w:r>
              <w:rPr>
                <w:rFonts w:ascii="Arial" w:cs="Arial" w:eastAsia="Arial" w:hAnsi="Arial"/>
                <w:sz w:val="17"/>
                <w:szCs w:val="17"/>
                <w:color w:val="auto"/>
              </w:rPr>
              <w:t>Total</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24,583,441</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20,154,072</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67,260,805</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w w:val="93"/>
              </w:rPr>
              <w:t>56,768,320</w:t>
            </w:r>
          </w:p>
        </w:tc>
      </w:tr>
      <w:tr>
        <w:trPr>
          <w:trHeight w:val="20"/>
        </w:trPr>
        <w:tc>
          <w:tcPr>
            <w:tcW w:w="6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6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6000" w:type="dxa"/>
            <w:vAlign w:val="bottom"/>
          </w:tcPr>
          <w:p>
            <w:pPr>
              <w:ind w:left="40"/>
              <w:spacing w:after="0"/>
              <w:rPr>
                <w:sz w:val="20"/>
                <w:szCs w:val="20"/>
                <w:color w:val="auto"/>
              </w:rPr>
            </w:pPr>
            <w:r>
              <w:rPr>
                <w:rFonts w:ascii="Arial" w:cs="Arial" w:eastAsia="Arial" w:hAnsi="Arial"/>
                <w:sz w:val="17"/>
                <w:szCs w:val="17"/>
                <w:color w:val="auto"/>
              </w:rPr>
              <w:t>Net premiums written: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6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6000" w:type="dxa"/>
            <w:vAlign w:val="bottom"/>
          </w:tcPr>
          <w:p>
            <w:pPr>
              <w:ind w:left="200"/>
              <w:spacing w:after="0"/>
              <w:rPr>
                <w:sz w:val="20"/>
                <w:szCs w:val="20"/>
                <w:color w:val="auto"/>
              </w:rPr>
            </w:pPr>
            <w:r>
              <w:rPr>
                <w:rFonts w:ascii="Arial" w:cs="Arial" w:eastAsia="Arial" w:hAnsi="Arial"/>
                <w:sz w:val="17"/>
                <w:szCs w:val="17"/>
                <w:color w:val="auto"/>
              </w:rPr>
              <w:t>Excluding the effect of quota share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6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adjustments on July 1</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10,271,498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6,997,928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23,443,844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3"/>
              </w:rPr>
              <w:t>13,346,410</w:t>
            </w:r>
          </w:p>
        </w:tc>
      </w:tr>
      <w:tr>
        <w:trPr>
          <w:trHeight w:val="206"/>
        </w:trPr>
        <w:tc>
          <w:tcPr>
            <w:tcW w:w="6000" w:type="dxa"/>
            <w:vAlign w:val="bottom"/>
          </w:tcPr>
          <w:p>
            <w:pPr>
              <w:ind w:left="200"/>
              <w:spacing w:after="0"/>
              <w:rPr>
                <w:sz w:val="20"/>
                <w:szCs w:val="20"/>
                <w:color w:val="auto"/>
              </w:rPr>
            </w:pPr>
            <w:r>
              <w:rPr>
                <w:rFonts w:ascii="Arial" w:cs="Arial" w:eastAsia="Arial" w:hAnsi="Arial"/>
                <w:sz w:val="17"/>
                <w:szCs w:val="17"/>
                <w:color w:val="auto"/>
              </w:rPr>
              <w:t>Return of premiums previously ceded to</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6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prior quota share treaties</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5,866,300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5,159,646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5,866,300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5,159,646</w:t>
            </w:r>
          </w:p>
        </w:tc>
        <w:tc>
          <w:tcPr>
            <w:tcW w:w="160" w:type="dxa"/>
            <w:vAlign w:val="bottom"/>
            <w:shd w:val="clear" w:color="auto" w:fill="CCEEFF"/>
          </w:tcPr>
          <w:p>
            <w:pPr>
              <w:spacing w:after="0"/>
              <w:rPr>
                <w:sz w:val="17"/>
                <w:szCs w:val="17"/>
                <w:color w:val="auto"/>
              </w:rPr>
            </w:pPr>
          </w:p>
        </w:tc>
      </w:tr>
      <w:tr>
        <w:trPr>
          <w:trHeight w:val="26"/>
        </w:trPr>
        <w:tc>
          <w:tcPr>
            <w:tcW w:w="60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2"/>
        </w:trPr>
        <w:tc>
          <w:tcPr>
            <w:tcW w:w="6000" w:type="dxa"/>
            <w:vAlign w:val="bottom"/>
          </w:tcPr>
          <w:p>
            <w:pPr>
              <w:ind w:left="200"/>
              <w:spacing w:after="0"/>
              <w:rPr>
                <w:sz w:val="20"/>
                <w:szCs w:val="20"/>
                <w:color w:val="auto"/>
              </w:rPr>
            </w:pPr>
            <w:r>
              <w:rPr>
                <w:rFonts w:ascii="Arial" w:cs="Arial" w:eastAsia="Arial" w:hAnsi="Arial"/>
                <w:sz w:val="17"/>
                <w:szCs w:val="17"/>
                <w:color w:val="auto"/>
              </w:rPr>
              <w:t>Total Personal lines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16,137,798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12,157,574</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29,310,144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w w:val="93"/>
              </w:rPr>
              <w:t>18,506,056</w:t>
            </w:r>
          </w:p>
        </w:tc>
      </w:tr>
      <w:tr>
        <w:trPr>
          <w:trHeight w:val="206"/>
        </w:trPr>
        <w:tc>
          <w:tcPr>
            <w:tcW w:w="60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6000" w:type="dxa"/>
            <w:vAlign w:val="bottom"/>
          </w:tcPr>
          <w:p>
            <w:pPr>
              <w:ind w:left="40"/>
              <w:spacing w:after="0"/>
              <w:rPr>
                <w:sz w:val="20"/>
                <w:szCs w:val="20"/>
                <w:color w:val="auto"/>
              </w:rPr>
            </w:pPr>
            <w:r>
              <w:rPr>
                <w:rFonts w:ascii="Arial" w:cs="Arial" w:eastAsia="Arial" w:hAnsi="Arial"/>
                <w:sz w:val="17"/>
                <w:szCs w:val="17"/>
                <w:color w:val="auto"/>
              </w:rPr>
              <w:t>Commercial lines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6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Excluding the effect of quota share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6000" w:type="dxa"/>
            <w:vAlign w:val="bottom"/>
          </w:tcPr>
          <w:p>
            <w:pPr>
              <w:ind w:left="360"/>
              <w:spacing w:after="0"/>
              <w:rPr>
                <w:sz w:val="20"/>
                <w:szCs w:val="20"/>
                <w:color w:val="auto"/>
              </w:rPr>
            </w:pPr>
            <w:r>
              <w:rPr>
                <w:rFonts w:ascii="Arial" w:cs="Arial" w:eastAsia="Arial" w:hAnsi="Arial"/>
                <w:sz w:val="17"/>
                <w:szCs w:val="17"/>
                <w:color w:val="auto"/>
              </w:rPr>
              <w:t>adjustments on July 1</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2,833,838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2,157,528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8,592,916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6,583,539</w:t>
            </w:r>
          </w:p>
        </w:tc>
        <w:tc>
          <w:tcPr>
            <w:tcW w:w="160" w:type="dxa"/>
            <w:vAlign w:val="bottom"/>
          </w:tcPr>
          <w:p>
            <w:pPr>
              <w:spacing w:after="0"/>
              <w:rPr>
                <w:sz w:val="17"/>
                <w:szCs w:val="17"/>
                <w:color w:val="auto"/>
              </w:rPr>
            </w:pPr>
          </w:p>
        </w:tc>
      </w:tr>
      <w:tr>
        <w:trPr>
          <w:trHeight w:val="206"/>
        </w:trPr>
        <w:tc>
          <w:tcPr>
            <w:tcW w:w="6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Return of premiums previously ceded to</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6000" w:type="dxa"/>
            <w:vAlign w:val="bottom"/>
          </w:tcPr>
          <w:p>
            <w:pPr>
              <w:ind w:left="360"/>
              <w:spacing w:after="0"/>
              <w:rPr>
                <w:sz w:val="20"/>
                <w:szCs w:val="20"/>
                <w:color w:val="auto"/>
              </w:rPr>
            </w:pPr>
            <w:r>
              <w:rPr>
                <w:rFonts w:ascii="Arial" w:cs="Arial" w:eastAsia="Arial" w:hAnsi="Arial"/>
                <w:sz w:val="17"/>
                <w:szCs w:val="17"/>
                <w:color w:val="auto"/>
              </w:rPr>
              <w:t>prior quota share treaties</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1,437,345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1,437,345</w:t>
            </w:r>
          </w:p>
        </w:tc>
        <w:tc>
          <w:tcPr>
            <w:tcW w:w="160" w:type="dxa"/>
            <w:vAlign w:val="bottom"/>
          </w:tcPr>
          <w:p>
            <w:pPr>
              <w:spacing w:after="0"/>
              <w:rPr>
                <w:sz w:val="17"/>
                <w:szCs w:val="17"/>
                <w:color w:val="auto"/>
              </w:rPr>
            </w:pPr>
          </w:p>
        </w:tc>
      </w:tr>
      <w:tr>
        <w:trPr>
          <w:trHeight w:val="26"/>
        </w:trPr>
        <w:tc>
          <w:tcPr>
            <w:tcW w:w="6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2"/>
        </w:trPr>
        <w:tc>
          <w:tcPr>
            <w:tcW w:w="6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Commercial lines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2,833,838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3,594,873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8,592,916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8,020,884</w:t>
            </w:r>
          </w:p>
        </w:tc>
        <w:tc>
          <w:tcPr>
            <w:tcW w:w="160" w:type="dxa"/>
            <w:vAlign w:val="bottom"/>
            <w:shd w:val="clear" w:color="auto" w:fill="CCEEFF"/>
          </w:tcPr>
          <w:p>
            <w:pPr>
              <w:spacing w:after="0"/>
              <w:rPr>
                <w:sz w:val="18"/>
                <w:szCs w:val="18"/>
                <w:color w:val="auto"/>
              </w:rPr>
            </w:pPr>
          </w:p>
        </w:tc>
      </w:tr>
      <w:tr>
        <w:trPr>
          <w:trHeight w:val="206"/>
        </w:trPr>
        <w:tc>
          <w:tcPr>
            <w:tcW w:w="6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06"/>
        </w:trPr>
        <w:tc>
          <w:tcPr>
            <w:tcW w:w="6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Commercial auto</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(41,136)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662,763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487,735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2,723,895</w:t>
            </w:r>
          </w:p>
        </w:tc>
        <w:tc>
          <w:tcPr>
            <w:tcW w:w="160" w:type="dxa"/>
            <w:vAlign w:val="bottom"/>
            <w:shd w:val="clear" w:color="auto" w:fill="CCEEFF"/>
          </w:tcPr>
          <w:p>
            <w:pPr>
              <w:spacing w:after="0"/>
              <w:rPr>
                <w:sz w:val="17"/>
                <w:szCs w:val="17"/>
                <w:color w:val="auto"/>
              </w:rPr>
            </w:pPr>
          </w:p>
        </w:tc>
      </w:tr>
      <w:tr>
        <w:trPr>
          <w:trHeight w:val="206"/>
        </w:trPr>
        <w:tc>
          <w:tcPr>
            <w:tcW w:w="600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2,342,470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1,196,027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6,800,527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3,337,415</w:t>
            </w:r>
          </w:p>
        </w:tc>
        <w:tc>
          <w:tcPr>
            <w:tcW w:w="160" w:type="dxa"/>
            <w:vAlign w:val="bottom"/>
          </w:tcPr>
          <w:p>
            <w:pPr>
              <w:spacing w:after="0"/>
              <w:rPr>
                <w:sz w:val="17"/>
                <w:szCs w:val="17"/>
                <w:color w:val="auto"/>
              </w:rPr>
            </w:pPr>
          </w:p>
        </w:tc>
      </w:tr>
      <w:tr>
        <w:trPr>
          <w:trHeight w:val="206"/>
        </w:trPr>
        <w:tc>
          <w:tcPr>
            <w:tcW w:w="6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64,599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56,907</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155,875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166,338</w:t>
            </w:r>
          </w:p>
        </w:tc>
      </w:tr>
      <w:tr>
        <w:trPr>
          <w:trHeight w:val="26"/>
        </w:trPr>
        <w:tc>
          <w:tcPr>
            <w:tcW w:w="60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06"/>
        </w:trPr>
        <w:tc>
          <w:tcPr>
            <w:tcW w:w="6000" w:type="dxa"/>
            <w:vAlign w:val="bottom"/>
          </w:tcPr>
          <w:p>
            <w:pPr>
              <w:ind w:left="200"/>
              <w:spacing w:after="0"/>
              <w:rPr>
                <w:sz w:val="20"/>
                <w:szCs w:val="20"/>
                <w:color w:val="auto"/>
              </w:rPr>
            </w:pPr>
            <w:r>
              <w:rPr>
                <w:rFonts w:ascii="Arial" w:cs="Arial" w:eastAsia="Arial" w:hAnsi="Arial"/>
                <w:sz w:val="17"/>
                <w:szCs w:val="17"/>
                <w:color w:val="auto"/>
              </w:rPr>
              <w:t>Total</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21,337,569</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17,668,144</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45,347,197</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w w:val="93"/>
              </w:rPr>
              <w:t>32,754,588</w:t>
            </w:r>
          </w:p>
        </w:tc>
      </w:tr>
      <w:tr>
        <w:trPr>
          <w:trHeight w:val="20"/>
        </w:trPr>
        <w:tc>
          <w:tcPr>
            <w:tcW w:w="6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6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6000" w:type="dxa"/>
            <w:vAlign w:val="bottom"/>
          </w:tcPr>
          <w:p>
            <w:pPr>
              <w:ind w:left="40"/>
              <w:spacing w:after="0"/>
              <w:rPr>
                <w:sz w:val="20"/>
                <w:szCs w:val="20"/>
                <w:color w:val="auto"/>
              </w:rPr>
            </w:pPr>
            <w:r>
              <w:rPr>
                <w:rFonts w:ascii="Arial" w:cs="Arial" w:eastAsia="Arial" w:hAnsi="Arial"/>
                <w:sz w:val="17"/>
                <w:szCs w:val="17"/>
                <w:color w:val="auto"/>
              </w:rPr>
              <w:t>Net premiums earned: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6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8,171,882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5,570,792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20,371,281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3"/>
              </w:rPr>
              <w:t>10,939,049</w:t>
            </w:r>
          </w:p>
        </w:tc>
      </w:tr>
      <w:tr>
        <w:trPr>
          <w:trHeight w:val="206"/>
        </w:trPr>
        <w:tc>
          <w:tcPr>
            <w:tcW w:w="6000" w:type="dxa"/>
            <w:vAlign w:val="bottom"/>
          </w:tcPr>
          <w:p>
            <w:pPr>
              <w:ind w:left="40"/>
              <w:spacing w:after="0"/>
              <w:rPr>
                <w:sz w:val="20"/>
                <w:szCs w:val="20"/>
                <w:color w:val="auto"/>
              </w:rPr>
            </w:pPr>
            <w:r>
              <w:rPr>
                <w:rFonts w:ascii="Arial" w:cs="Arial" w:eastAsia="Arial" w:hAnsi="Arial"/>
                <w:sz w:val="17"/>
                <w:szCs w:val="17"/>
                <w:color w:val="auto"/>
              </w:rPr>
              <w:t>Commercial lines</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2,616,290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2,381,999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7,481,031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5,716,654</w:t>
            </w:r>
          </w:p>
        </w:tc>
        <w:tc>
          <w:tcPr>
            <w:tcW w:w="160" w:type="dxa"/>
            <w:vAlign w:val="bottom"/>
          </w:tcPr>
          <w:p>
            <w:pPr>
              <w:spacing w:after="0"/>
              <w:rPr>
                <w:sz w:val="17"/>
                <w:szCs w:val="17"/>
                <w:color w:val="auto"/>
              </w:rPr>
            </w:pPr>
          </w:p>
        </w:tc>
      </w:tr>
      <w:tr>
        <w:trPr>
          <w:trHeight w:val="206"/>
        </w:trPr>
        <w:tc>
          <w:tcPr>
            <w:tcW w:w="6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Commercial auto</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333,338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969,934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1,517,246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3,105,243</w:t>
            </w:r>
          </w:p>
        </w:tc>
        <w:tc>
          <w:tcPr>
            <w:tcW w:w="160" w:type="dxa"/>
            <w:vAlign w:val="bottom"/>
            <w:shd w:val="clear" w:color="auto" w:fill="CCEEFF"/>
          </w:tcPr>
          <w:p>
            <w:pPr>
              <w:spacing w:after="0"/>
              <w:rPr>
                <w:sz w:val="17"/>
                <w:szCs w:val="17"/>
                <w:color w:val="auto"/>
              </w:rPr>
            </w:pPr>
          </w:p>
        </w:tc>
      </w:tr>
      <w:tr>
        <w:trPr>
          <w:trHeight w:val="206"/>
        </w:trPr>
        <w:tc>
          <w:tcPr>
            <w:tcW w:w="600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1,962,121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938,287</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4,882,588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2,360,959</w:t>
            </w:r>
          </w:p>
        </w:tc>
        <w:tc>
          <w:tcPr>
            <w:tcW w:w="160" w:type="dxa"/>
            <w:vAlign w:val="bottom"/>
          </w:tcPr>
          <w:p>
            <w:pPr>
              <w:spacing w:after="0"/>
              <w:rPr>
                <w:sz w:val="17"/>
                <w:szCs w:val="17"/>
                <w:color w:val="auto"/>
              </w:rPr>
            </w:pPr>
          </w:p>
        </w:tc>
      </w:tr>
      <w:tr>
        <w:trPr>
          <w:trHeight w:val="206"/>
        </w:trPr>
        <w:tc>
          <w:tcPr>
            <w:tcW w:w="6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45,973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33,988</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128,972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128,779</w:t>
            </w:r>
          </w:p>
        </w:tc>
      </w:tr>
      <w:tr>
        <w:trPr>
          <w:trHeight w:val="26"/>
        </w:trPr>
        <w:tc>
          <w:tcPr>
            <w:tcW w:w="60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06"/>
        </w:trPr>
        <w:tc>
          <w:tcPr>
            <w:tcW w:w="6000" w:type="dxa"/>
            <w:vAlign w:val="bottom"/>
          </w:tcPr>
          <w:p>
            <w:pPr>
              <w:ind w:left="200"/>
              <w:spacing w:after="0"/>
              <w:rPr>
                <w:sz w:val="20"/>
                <w:szCs w:val="20"/>
                <w:color w:val="auto"/>
              </w:rPr>
            </w:pPr>
            <w:r>
              <w:rPr>
                <w:rFonts w:ascii="Arial" w:cs="Arial" w:eastAsia="Arial" w:hAnsi="Arial"/>
                <w:sz w:val="17"/>
                <w:szCs w:val="17"/>
                <w:color w:val="auto"/>
              </w:rPr>
              <w:t>Total</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13,129,604</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Pr>
          <w:p>
            <w:pPr>
              <w:ind w:left="120"/>
              <w:spacing w:after="0"/>
              <w:rPr>
                <w:sz w:val="20"/>
                <w:szCs w:val="20"/>
                <w:color w:val="auto"/>
              </w:rPr>
            </w:pPr>
            <w:r>
              <w:rPr>
                <w:rFonts w:ascii="Arial" w:cs="Arial" w:eastAsia="Arial" w:hAnsi="Arial"/>
                <w:sz w:val="17"/>
                <w:szCs w:val="17"/>
                <w:color w:val="auto"/>
                <w:w w:val="87"/>
              </w:rPr>
              <w:t>9,895,000</w:t>
            </w:r>
          </w:p>
        </w:tc>
        <w:tc>
          <w:tcPr>
            <w:tcW w:w="26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34,381,118</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w w:val="93"/>
              </w:rPr>
              <w:t>22,250,684</w:t>
            </w:r>
          </w:p>
        </w:tc>
      </w:tr>
      <w:tr>
        <w:trPr>
          <w:trHeight w:val="20"/>
        </w:trPr>
        <w:tc>
          <w:tcPr>
            <w:tcW w:w="6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6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6000" w:type="dxa"/>
            <w:vAlign w:val="bottom"/>
          </w:tcPr>
          <w:p>
            <w:pPr>
              <w:ind w:left="40"/>
              <w:spacing w:after="0"/>
              <w:rPr>
                <w:sz w:val="20"/>
                <w:szCs w:val="20"/>
                <w:color w:val="auto"/>
              </w:rPr>
            </w:pPr>
            <w:r>
              <w:rPr>
                <w:rFonts w:ascii="Arial" w:cs="Arial" w:eastAsia="Arial" w:hAnsi="Arial"/>
                <w:sz w:val="17"/>
                <w:szCs w:val="17"/>
                <w:color w:val="auto"/>
              </w:rPr>
              <w:t>Net loss and loss adjustment expenses: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6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2,705,526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877,100</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8,857,444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4,239,455</w:t>
            </w:r>
          </w:p>
        </w:tc>
        <w:tc>
          <w:tcPr>
            <w:tcW w:w="160" w:type="dxa"/>
            <w:vAlign w:val="bottom"/>
            <w:shd w:val="clear" w:color="auto" w:fill="CCEEFF"/>
          </w:tcPr>
          <w:p>
            <w:pPr>
              <w:spacing w:after="0"/>
              <w:rPr>
                <w:sz w:val="17"/>
                <w:szCs w:val="17"/>
                <w:color w:val="auto"/>
              </w:rPr>
            </w:pPr>
          </w:p>
        </w:tc>
      </w:tr>
      <w:tr>
        <w:trPr>
          <w:trHeight w:val="206"/>
        </w:trPr>
        <w:tc>
          <w:tcPr>
            <w:tcW w:w="6000" w:type="dxa"/>
            <w:vAlign w:val="bottom"/>
          </w:tcPr>
          <w:p>
            <w:pPr>
              <w:ind w:left="40"/>
              <w:spacing w:after="0"/>
              <w:rPr>
                <w:sz w:val="20"/>
                <w:szCs w:val="20"/>
                <w:color w:val="auto"/>
              </w:rPr>
            </w:pPr>
            <w:r>
              <w:rPr>
                <w:rFonts w:ascii="Arial" w:cs="Arial" w:eastAsia="Arial" w:hAnsi="Arial"/>
                <w:sz w:val="17"/>
                <w:szCs w:val="17"/>
                <w:color w:val="auto"/>
              </w:rPr>
              <w:t>Commercial lines</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1,339,960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1,343,194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4,638,848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2,881,640</w:t>
            </w:r>
          </w:p>
        </w:tc>
        <w:tc>
          <w:tcPr>
            <w:tcW w:w="160" w:type="dxa"/>
            <w:vAlign w:val="bottom"/>
          </w:tcPr>
          <w:p>
            <w:pPr>
              <w:spacing w:after="0"/>
              <w:rPr>
                <w:sz w:val="17"/>
                <w:szCs w:val="17"/>
                <w:color w:val="auto"/>
              </w:rPr>
            </w:pPr>
          </w:p>
        </w:tc>
      </w:tr>
      <w:tr>
        <w:trPr>
          <w:trHeight w:val="206"/>
        </w:trPr>
        <w:tc>
          <w:tcPr>
            <w:tcW w:w="6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Commercial auto</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8,122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1,548,361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585,658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2,840,763</w:t>
            </w:r>
          </w:p>
        </w:tc>
        <w:tc>
          <w:tcPr>
            <w:tcW w:w="160" w:type="dxa"/>
            <w:vAlign w:val="bottom"/>
            <w:shd w:val="clear" w:color="auto" w:fill="CCEEFF"/>
          </w:tcPr>
          <w:p>
            <w:pPr>
              <w:spacing w:after="0"/>
              <w:rPr>
                <w:sz w:val="17"/>
                <w:szCs w:val="17"/>
                <w:color w:val="auto"/>
              </w:rPr>
            </w:pPr>
          </w:p>
        </w:tc>
      </w:tr>
      <w:tr>
        <w:trPr>
          <w:trHeight w:val="206"/>
        </w:trPr>
        <w:tc>
          <w:tcPr>
            <w:tcW w:w="600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666,838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389,951</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1,796,867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901,779</w:t>
            </w:r>
          </w:p>
        </w:tc>
      </w:tr>
      <w:tr>
        <w:trPr>
          <w:trHeight w:val="206"/>
        </w:trPr>
        <w:tc>
          <w:tcPr>
            <w:tcW w:w="6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94,855</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113,621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240,664</w:t>
            </w:r>
          </w:p>
        </w:tc>
      </w:tr>
      <w:tr>
        <w:trPr>
          <w:trHeight w:val="206"/>
        </w:trPr>
        <w:tc>
          <w:tcPr>
            <w:tcW w:w="6000" w:type="dxa"/>
            <w:vAlign w:val="bottom"/>
          </w:tcPr>
          <w:p>
            <w:pPr>
              <w:ind w:left="40"/>
              <w:spacing w:after="0"/>
              <w:rPr>
                <w:sz w:val="20"/>
                <w:szCs w:val="20"/>
                <w:color w:val="auto"/>
              </w:rPr>
            </w:pPr>
            <w:r>
              <w:rPr>
                <w:rFonts w:ascii="Arial" w:cs="Arial" w:eastAsia="Arial" w:hAnsi="Arial"/>
                <w:sz w:val="17"/>
                <w:szCs w:val="17"/>
                <w:color w:val="auto"/>
              </w:rPr>
              <w:t>Unallocated loss adjustment expenses</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327,927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284,706</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891,786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766,759</w:t>
            </w:r>
          </w:p>
        </w:tc>
      </w:tr>
      <w:tr>
        <w:trPr>
          <w:trHeight w:val="26"/>
        </w:trPr>
        <w:tc>
          <w:tcPr>
            <w:tcW w:w="6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26"/>
        </w:trPr>
        <w:tc>
          <w:tcPr>
            <w:tcW w:w="6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5,050,194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4,538,167</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16,884,224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3"/>
              </w:rPr>
              <w:t>11,871,060</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Net loss ratio:</w:t>
            </w:r>
          </w:p>
        </w:tc>
        <w:tc>
          <w:tcPr>
            <w:tcW w:w="28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6"/>
        </w:trPr>
        <w:tc>
          <w:tcPr>
            <w:tcW w:w="4880" w:type="dxa"/>
            <w:vAlign w:val="bottom"/>
          </w:tcPr>
          <w:p>
            <w:pPr>
              <w:spacing w:after="0"/>
              <w:rPr>
                <w:sz w:val="20"/>
                <w:szCs w:val="20"/>
                <w:color w:val="auto"/>
              </w:rPr>
            </w:pPr>
            <w:r>
              <w:rPr>
                <w:rFonts w:ascii="Arial" w:cs="Arial" w:eastAsia="Arial" w:hAnsi="Arial"/>
                <w:sz w:val="17"/>
                <w:szCs w:val="17"/>
                <w:color w:val="auto"/>
              </w:rPr>
              <w:t>Personal lines</w:t>
            </w:r>
          </w:p>
        </w:tc>
        <w:tc>
          <w:tcPr>
            <w:tcW w:w="2820" w:type="dxa"/>
            <w:vAlign w:val="bottom"/>
          </w:tcPr>
          <w:p>
            <w:pPr>
              <w:jc w:val="right"/>
              <w:ind w:right="334"/>
              <w:spacing w:after="0"/>
              <w:rPr>
                <w:sz w:val="20"/>
                <w:szCs w:val="20"/>
                <w:color w:val="auto"/>
              </w:rPr>
            </w:pPr>
            <w:r>
              <w:rPr>
                <w:rFonts w:ascii="Arial" w:cs="Arial" w:eastAsia="Arial" w:hAnsi="Arial"/>
                <w:sz w:val="17"/>
                <w:szCs w:val="17"/>
                <w:color w:val="auto"/>
              </w:rPr>
              <w:t>33.1%</w:t>
            </w:r>
          </w:p>
        </w:tc>
        <w:tc>
          <w:tcPr>
            <w:tcW w:w="1420" w:type="dxa"/>
            <w:vAlign w:val="bottom"/>
          </w:tcPr>
          <w:p>
            <w:pPr>
              <w:jc w:val="right"/>
              <w:ind w:right="374"/>
              <w:spacing w:after="0"/>
              <w:rPr>
                <w:sz w:val="20"/>
                <w:szCs w:val="20"/>
                <w:color w:val="auto"/>
              </w:rPr>
            </w:pPr>
            <w:r>
              <w:rPr>
                <w:rFonts w:ascii="Arial" w:cs="Arial" w:eastAsia="Arial" w:hAnsi="Arial"/>
                <w:sz w:val="17"/>
                <w:szCs w:val="17"/>
                <w:color w:val="auto"/>
              </w:rPr>
              <w:t>15.7%</w:t>
            </w:r>
          </w:p>
        </w:tc>
        <w:tc>
          <w:tcPr>
            <w:tcW w:w="1340" w:type="dxa"/>
            <w:vAlign w:val="bottom"/>
          </w:tcPr>
          <w:p>
            <w:pPr>
              <w:jc w:val="right"/>
              <w:ind w:right="334"/>
              <w:spacing w:after="0"/>
              <w:rPr>
                <w:sz w:val="20"/>
                <w:szCs w:val="20"/>
                <w:color w:val="auto"/>
              </w:rPr>
            </w:pPr>
            <w:r>
              <w:rPr>
                <w:rFonts w:ascii="Arial" w:cs="Arial" w:eastAsia="Arial" w:hAnsi="Arial"/>
                <w:sz w:val="17"/>
                <w:szCs w:val="17"/>
                <w:color w:val="auto"/>
              </w:rPr>
              <w:t>43.5%</w:t>
            </w:r>
          </w:p>
        </w:tc>
        <w:tc>
          <w:tcPr>
            <w:tcW w:w="960" w:type="dxa"/>
            <w:vAlign w:val="bottom"/>
          </w:tcPr>
          <w:p>
            <w:pPr>
              <w:jc w:val="right"/>
              <w:spacing w:after="0"/>
              <w:rPr>
                <w:sz w:val="20"/>
                <w:szCs w:val="20"/>
                <w:color w:val="auto"/>
              </w:rPr>
            </w:pPr>
            <w:r>
              <w:rPr>
                <w:rFonts w:ascii="Arial" w:cs="Arial" w:eastAsia="Arial" w:hAnsi="Arial"/>
                <w:sz w:val="17"/>
                <w:szCs w:val="17"/>
                <w:color w:val="auto"/>
              </w:rPr>
              <w:t>38.8%</w:t>
            </w:r>
          </w:p>
        </w:tc>
      </w:tr>
      <w:tr>
        <w:trPr>
          <w:trHeight w:val="206"/>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28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51.2%</w:t>
            </w:r>
          </w:p>
        </w:tc>
        <w:tc>
          <w:tcPr>
            <w:tcW w:w="142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56.4%</w:t>
            </w:r>
          </w:p>
        </w:tc>
        <w:tc>
          <w:tcPr>
            <w:tcW w:w="13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62.0%</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r>
      <w:tr>
        <w:trPr>
          <w:trHeight w:val="206"/>
        </w:trPr>
        <w:tc>
          <w:tcPr>
            <w:tcW w:w="4880" w:type="dxa"/>
            <w:vAlign w:val="bottom"/>
          </w:tcPr>
          <w:p>
            <w:pPr>
              <w:spacing w:after="0"/>
              <w:rPr>
                <w:sz w:val="20"/>
                <w:szCs w:val="20"/>
                <w:color w:val="auto"/>
              </w:rPr>
            </w:pPr>
            <w:r>
              <w:rPr>
                <w:rFonts w:ascii="Arial" w:cs="Arial" w:eastAsia="Arial" w:hAnsi="Arial"/>
                <w:sz w:val="17"/>
                <w:szCs w:val="17"/>
                <w:color w:val="auto"/>
              </w:rPr>
              <w:t>Commercial auto</w:t>
            </w:r>
          </w:p>
        </w:tc>
        <w:tc>
          <w:tcPr>
            <w:tcW w:w="2820" w:type="dxa"/>
            <w:vAlign w:val="bottom"/>
          </w:tcPr>
          <w:p>
            <w:pPr>
              <w:jc w:val="right"/>
              <w:ind w:right="334"/>
              <w:spacing w:after="0"/>
              <w:rPr>
                <w:sz w:val="20"/>
                <w:szCs w:val="20"/>
                <w:color w:val="auto"/>
              </w:rPr>
            </w:pPr>
            <w:r>
              <w:rPr>
                <w:rFonts w:ascii="Arial" w:cs="Arial" w:eastAsia="Arial" w:hAnsi="Arial"/>
                <w:sz w:val="17"/>
                <w:szCs w:val="17"/>
                <w:color w:val="auto"/>
              </w:rPr>
              <w:t>2.4%</w:t>
            </w:r>
          </w:p>
        </w:tc>
        <w:tc>
          <w:tcPr>
            <w:tcW w:w="1420" w:type="dxa"/>
            <w:vAlign w:val="bottom"/>
          </w:tcPr>
          <w:p>
            <w:pPr>
              <w:jc w:val="right"/>
              <w:ind w:right="374"/>
              <w:spacing w:after="0"/>
              <w:rPr>
                <w:sz w:val="20"/>
                <w:szCs w:val="20"/>
                <w:color w:val="auto"/>
              </w:rPr>
            </w:pPr>
            <w:r>
              <w:rPr>
                <w:rFonts w:ascii="Arial" w:cs="Arial" w:eastAsia="Arial" w:hAnsi="Arial"/>
                <w:sz w:val="17"/>
                <w:szCs w:val="17"/>
                <w:color w:val="auto"/>
              </w:rPr>
              <w:t>159.6%</w:t>
            </w:r>
          </w:p>
        </w:tc>
        <w:tc>
          <w:tcPr>
            <w:tcW w:w="1340" w:type="dxa"/>
            <w:vAlign w:val="bottom"/>
          </w:tcPr>
          <w:p>
            <w:pPr>
              <w:jc w:val="right"/>
              <w:ind w:right="334"/>
              <w:spacing w:after="0"/>
              <w:rPr>
                <w:sz w:val="20"/>
                <w:szCs w:val="20"/>
                <w:color w:val="auto"/>
              </w:rPr>
            </w:pPr>
            <w:r>
              <w:rPr>
                <w:rFonts w:ascii="Arial" w:cs="Arial" w:eastAsia="Arial" w:hAnsi="Arial"/>
                <w:sz w:val="17"/>
                <w:szCs w:val="17"/>
                <w:color w:val="auto"/>
              </w:rPr>
              <w:t>38.6%</w:t>
            </w:r>
          </w:p>
        </w:tc>
        <w:tc>
          <w:tcPr>
            <w:tcW w:w="960" w:type="dxa"/>
            <w:vAlign w:val="bottom"/>
          </w:tcPr>
          <w:p>
            <w:pPr>
              <w:jc w:val="right"/>
              <w:spacing w:after="0"/>
              <w:rPr>
                <w:sz w:val="20"/>
                <w:szCs w:val="20"/>
                <w:color w:val="auto"/>
              </w:rPr>
            </w:pPr>
            <w:r>
              <w:rPr>
                <w:rFonts w:ascii="Arial" w:cs="Arial" w:eastAsia="Arial" w:hAnsi="Arial"/>
                <w:sz w:val="17"/>
                <w:szCs w:val="17"/>
                <w:color w:val="auto"/>
              </w:rPr>
              <w:t>91.5%</w:t>
            </w:r>
          </w:p>
        </w:tc>
      </w:tr>
      <w:tr>
        <w:trPr>
          <w:trHeight w:val="206"/>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Livery physical damage</w:t>
            </w:r>
          </w:p>
        </w:tc>
        <w:tc>
          <w:tcPr>
            <w:tcW w:w="28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34.0%</w:t>
            </w:r>
          </w:p>
        </w:tc>
        <w:tc>
          <w:tcPr>
            <w:tcW w:w="142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41.6%</w:t>
            </w:r>
          </w:p>
        </w:tc>
        <w:tc>
          <w:tcPr>
            <w:tcW w:w="13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36.8%</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r>
      <w:tr>
        <w:trPr>
          <w:trHeight w:val="206"/>
        </w:trPr>
        <w:tc>
          <w:tcPr>
            <w:tcW w:w="4880" w:type="dxa"/>
            <w:vAlign w:val="bottom"/>
          </w:tcPr>
          <w:p>
            <w:pPr>
              <w:spacing w:after="0"/>
              <w:rPr>
                <w:sz w:val="20"/>
                <w:szCs w:val="20"/>
                <w:color w:val="auto"/>
              </w:rPr>
            </w:pPr>
            <w:r>
              <w:rPr>
                <w:rFonts w:ascii="Arial" w:cs="Arial" w:eastAsia="Arial" w:hAnsi="Arial"/>
                <w:sz w:val="17"/>
                <w:szCs w:val="17"/>
                <w:color w:val="auto"/>
              </w:rPr>
              <w:t>Other(1)</w:t>
            </w:r>
          </w:p>
        </w:tc>
        <w:tc>
          <w:tcPr>
            <w:tcW w:w="2820" w:type="dxa"/>
            <w:vAlign w:val="bottom"/>
          </w:tcPr>
          <w:p>
            <w:pPr>
              <w:jc w:val="right"/>
              <w:ind w:right="334"/>
              <w:spacing w:after="0"/>
              <w:rPr>
                <w:sz w:val="20"/>
                <w:szCs w:val="20"/>
                <w:color w:val="auto"/>
              </w:rPr>
            </w:pPr>
            <w:r>
              <w:rPr>
                <w:rFonts w:ascii="Arial" w:cs="Arial" w:eastAsia="Arial" w:hAnsi="Arial"/>
                <w:sz w:val="17"/>
                <w:szCs w:val="17"/>
                <w:color w:val="auto"/>
              </w:rPr>
              <w:t>4.0%</w:t>
            </w:r>
          </w:p>
        </w:tc>
        <w:tc>
          <w:tcPr>
            <w:tcW w:w="1420" w:type="dxa"/>
            <w:vAlign w:val="bottom"/>
          </w:tcPr>
          <w:p>
            <w:pPr>
              <w:jc w:val="right"/>
              <w:ind w:right="374"/>
              <w:spacing w:after="0"/>
              <w:rPr>
                <w:sz w:val="20"/>
                <w:szCs w:val="20"/>
                <w:color w:val="auto"/>
              </w:rPr>
            </w:pPr>
            <w:r>
              <w:rPr>
                <w:rFonts w:ascii="Arial" w:cs="Arial" w:eastAsia="Arial" w:hAnsi="Arial"/>
                <w:sz w:val="17"/>
                <w:szCs w:val="17"/>
                <w:color w:val="auto"/>
              </w:rPr>
              <w:t>279.1%</w:t>
            </w:r>
          </w:p>
        </w:tc>
        <w:tc>
          <w:tcPr>
            <w:tcW w:w="1340" w:type="dxa"/>
            <w:vAlign w:val="bottom"/>
          </w:tcPr>
          <w:p>
            <w:pPr>
              <w:jc w:val="right"/>
              <w:ind w:right="334"/>
              <w:spacing w:after="0"/>
              <w:rPr>
                <w:sz w:val="20"/>
                <w:szCs w:val="20"/>
                <w:color w:val="auto"/>
              </w:rPr>
            </w:pPr>
            <w:r>
              <w:rPr>
                <w:rFonts w:ascii="Arial" w:cs="Arial" w:eastAsia="Arial" w:hAnsi="Arial"/>
                <w:sz w:val="17"/>
                <w:szCs w:val="17"/>
                <w:color w:val="auto"/>
              </w:rPr>
              <w:t>88.1%</w:t>
            </w:r>
          </w:p>
        </w:tc>
        <w:tc>
          <w:tcPr>
            <w:tcW w:w="960" w:type="dxa"/>
            <w:vAlign w:val="bottom"/>
          </w:tcPr>
          <w:p>
            <w:pPr>
              <w:jc w:val="right"/>
              <w:spacing w:after="0"/>
              <w:rPr>
                <w:sz w:val="20"/>
                <w:szCs w:val="20"/>
                <w:color w:val="auto"/>
              </w:rPr>
            </w:pPr>
            <w:r>
              <w:rPr>
                <w:rFonts w:ascii="Arial" w:cs="Arial" w:eastAsia="Arial" w:hAnsi="Arial"/>
                <w:sz w:val="17"/>
                <w:szCs w:val="17"/>
                <w:color w:val="auto"/>
              </w:rPr>
              <w:t>186.9%</w:t>
            </w:r>
          </w:p>
        </w:tc>
      </w:tr>
      <w:tr>
        <w:trPr>
          <w:trHeight w:val="206"/>
        </w:trPr>
        <w:tc>
          <w:tcPr>
            <w:tcW w:w="4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28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38.5%</w:t>
            </w:r>
          </w:p>
        </w:tc>
        <w:tc>
          <w:tcPr>
            <w:tcW w:w="142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45.9%</w:t>
            </w:r>
          </w:p>
        </w:tc>
        <w:tc>
          <w:tcPr>
            <w:tcW w:w="13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49.1%</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w:t>
            </w:r>
          </w:p>
        </w:tc>
      </w:tr>
      <w:tr>
        <w:trPr>
          <w:trHeight w:val="217"/>
        </w:trPr>
        <w:tc>
          <w:tcPr>
            <w:tcW w:w="4880" w:type="dxa"/>
            <w:vAlign w:val="bottom"/>
          </w:tcPr>
          <w:p>
            <w:pPr>
              <w:spacing w:after="0"/>
              <w:rPr>
                <w:sz w:val="20"/>
                <w:szCs w:val="20"/>
                <w:color w:val="auto"/>
              </w:rPr>
            </w:pPr>
            <w:r>
              <w:rPr>
                <w:rFonts w:ascii="Arial" w:cs="Arial" w:eastAsia="Arial" w:hAnsi="Arial"/>
                <w:sz w:val="17"/>
                <w:szCs w:val="17"/>
                <w:color w:val="auto"/>
              </w:rPr>
              <w:t>__________________________________</w:t>
            </w:r>
          </w:p>
        </w:tc>
        <w:tc>
          <w:tcPr>
            <w:tcW w:w="2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209" w:lineRule="exact"/>
        <w:rPr>
          <w:sz w:val="20"/>
          <w:szCs w:val="20"/>
          <w:color w:val="auto"/>
        </w:rPr>
      </w:pPr>
    </w:p>
    <w:p>
      <w:pPr>
        <w:ind w:left="620" w:hanging="617"/>
        <w:spacing w:after="0" w:line="280"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includes, among other things, premiums and loss and loss adjustment expenses from our participation in a mandatory state joint underwriting association.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096"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Insurance Underwriting Business on a Standalone Basis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insurance underwriting business reported on a standalone basis for the periods indicated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4580" w:type="dxa"/>
            <w:vAlign w:val="bottom"/>
          </w:tcPr>
          <w:p>
            <w:pPr>
              <w:ind w:left="40"/>
              <w:spacing w:after="0"/>
              <w:rPr>
                <w:sz w:val="20"/>
                <w:szCs w:val="20"/>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s</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premiums earned</w:t>
            </w:r>
          </w:p>
        </w:tc>
        <w:tc>
          <w:tcPr>
            <w:tcW w:w="16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13,129,604</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9,895,000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34,381,118</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22,250,684</w:t>
            </w:r>
          </w:p>
        </w:tc>
        <w:tc>
          <w:tcPr>
            <w:tcW w:w="0" w:type="dxa"/>
            <w:vAlign w:val="bottom"/>
          </w:tcPr>
          <w:p>
            <w:pPr>
              <w:spacing w:after="0"/>
              <w:rPr>
                <w:sz w:val="1"/>
                <w:szCs w:val="1"/>
                <w:color w:val="auto"/>
              </w:rPr>
            </w:pPr>
          </w:p>
        </w:tc>
      </w:tr>
      <w:tr>
        <w:trPr>
          <w:trHeight w:val="206"/>
        </w:trPr>
        <w:tc>
          <w:tcPr>
            <w:tcW w:w="4580" w:type="dxa"/>
            <w:vAlign w:val="bottom"/>
          </w:tcPr>
          <w:p>
            <w:pPr>
              <w:ind w:left="200"/>
              <w:spacing w:after="0"/>
              <w:rPr>
                <w:sz w:val="20"/>
                <w:szCs w:val="20"/>
                <w:color w:val="auto"/>
              </w:rPr>
            </w:pPr>
            <w:r>
              <w:rPr>
                <w:rFonts w:ascii="Arial" w:cs="Arial" w:eastAsia="Arial" w:hAnsi="Arial"/>
                <w:sz w:val="17"/>
                <w:szCs w:val="17"/>
                <w:color w:val="auto"/>
              </w:rPr>
              <w:t>Ceding commission revenue</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2,643,531</w:t>
            </w: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3,278,319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9,388,457</w:t>
            </w:r>
          </w:p>
        </w:tc>
        <w:tc>
          <w:tcPr>
            <w:tcW w:w="3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10,365,651</w:t>
            </w: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investment income</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649,441</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463,513</w:t>
            </w: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1,850,069</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1,294,216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tcPr>
          <w:p>
            <w:pPr>
              <w:ind w:left="200"/>
              <w:spacing w:after="0"/>
              <w:rPr>
                <w:sz w:val="20"/>
                <w:szCs w:val="20"/>
                <w:color w:val="auto"/>
              </w:rPr>
            </w:pPr>
            <w:r>
              <w:rPr>
                <w:rFonts w:ascii="Arial" w:cs="Arial" w:eastAsia="Arial" w:hAnsi="Arial"/>
                <w:sz w:val="17"/>
                <w:szCs w:val="17"/>
                <w:color w:val="auto"/>
              </w:rPr>
              <w:t>Net realized gain on investments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(40,487)</w:t>
            </w:r>
          </w:p>
        </w:tc>
        <w:tc>
          <w:tcPr>
            <w:tcW w:w="32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115,176</w:t>
            </w:r>
          </w:p>
        </w:tc>
        <w:tc>
          <w:tcPr>
            <w:tcW w:w="2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(105,718)</w:t>
            </w:r>
          </w:p>
        </w:tc>
        <w:tc>
          <w:tcPr>
            <w:tcW w:w="3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438,126</w:t>
            </w: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income</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268,698</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204,494</w:t>
            </w: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721,087</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535,847</w:t>
            </w:r>
          </w:p>
        </w:tc>
        <w:tc>
          <w:tcPr>
            <w:tcW w:w="0" w:type="dxa"/>
            <w:vAlign w:val="bottom"/>
          </w:tcPr>
          <w:p>
            <w:pPr>
              <w:spacing w:after="0"/>
              <w:rPr>
                <w:sz w:val="1"/>
                <w:szCs w:val="1"/>
                <w:color w:val="auto"/>
              </w:rPr>
            </w:pPr>
          </w:p>
        </w:tc>
      </w:tr>
      <w:tr>
        <w:trPr>
          <w:trHeight w:val="26"/>
        </w:trPr>
        <w:tc>
          <w:tcPr>
            <w:tcW w:w="45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8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16,650,787</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13,956,502</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46,235,013</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34,884,524</w:t>
            </w: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tcPr>
          <w:p>
            <w:pPr>
              <w:ind w:left="40"/>
              <w:spacing w:after="0"/>
              <w:rPr>
                <w:sz w:val="20"/>
                <w:szCs w:val="20"/>
                <w:color w:val="auto"/>
              </w:rPr>
            </w:pPr>
            <w:r>
              <w:rPr>
                <w:rFonts w:ascii="Arial" w:cs="Arial" w:eastAsia="Arial" w:hAnsi="Arial"/>
                <w:sz w:val="17"/>
                <w:szCs w:val="17"/>
                <w:b w:val="1"/>
                <w:bCs w:val="1"/>
                <w:color w:val="auto"/>
              </w:rPr>
              <w:t>Expense</w:t>
            </w:r>
            <w:r>
              <w:rPr>
                <w:rFonts w:ascii="Arial" w:cs="Arial" w:eastAsia="Arial" w:hAnsi="Arial"/>
                <w:sz w:val="17"/>
                <w:szCs w:val="17"/>
                <w:color w:val="auto"/>
              </w:rPr>
              <w:t>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5,050,194</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4,538,167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16,884,224</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11,871,060</w:t>
            </w:r>
          </w:p>
        </w:tc>
        <w:tc>
          <w:tcPr>
            <w:tcW w:w="0" w:type="dxa"/>
            <w:vAlign w:val="bottom"/>
          </w:tcPr>
          <w:p>
            <w:pPr>
              <w:spacing w:after="0"/>
              <w:rPr>
                <w:sz w:val="1"/>
                <w:szCs w:val="1"/>
                <w:color w:val="auto"/>
              </w:rPr>
            </w:pPr>
          </w:p>
        </w:tc>
      </w:tr>
      <w:tr>
        <w:trPr>
          <w:trHeight w:val="206"/>
        </w:trPr>
        <w:tc>
          <w:tcPr>
            <w:tcW w:w="4580" w:type="dxa"/>
            <w:vAlign w:val="bottom"/>
          </w:tcPr>
          <w:p>
            <w:pPr>
              <w:ind w:left="200"/>
              <w:spacing w:after="0"/>
              <w:rPr>
                <w:sz w:val="20"/>
                <w:szCs w:val="20"/>
                <w:color w:val="auto"/>
              </w:rPr>
            </w:pPr>
            <w:r>
              <w:rPr>
                <w:rFonts w:ascii="Arial" w:cs="Arial" w:eastAsia="Arial" w:hAnsi="Arial"/>
                <w:sz w:val="17"/>
                <w:szCs w:val="17"/>
                <w:color w:val="auto"/>
              </w:rPr>
              <w:t>Commission expense</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4,021,383</w:t>
            </w: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3,106,064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11,033,874</w:t>
            </w:r>
          </w:p>
        </w:tc>
        <w:tc>
          <w:tcPr>
            <w:tcW w:w="300" w:type="dxa"/>
            <w:vAlign w:val="bottom"/>
          </w:tcPr>
          <w:p>
            <w:pPr>
              <w:spacing w:after="0"/>
              <w:rPr>
                <w:sz w:val="17"/>
                <w:szCs w:val="17"/>
                <w:color w:val="auto"/>
              </w:rPr>
            </w:pPr>
          </w:p>
        </w:tc>
        <w:tc>
          <w:tcPr>
            <w:tcW w:w="820" w:type="dxa"/>
            <w:vAlign w:val="bottom"/>
          </w:tcPr>
          <w:p>
            <w:pPr>
              <w:ind w:left="140"/>
              <w:spacing w:after="0"/>
              <w:rPr>
                <w:sz w:val="20"/>
                <w:szCs w:val="20"/>
                <w:color w:val="auto"/>
              </w:rPr>
            </w:pPr>
            <w:r>
              <w:rPr>
                <w:rFonts w:ascii="Arial" w:cs="Arial" w:eastAsia="Arial" w:hAnsi="Arial"/>
                <w:sz w:val="17"/>
                <w:szCs w:val="17"/>
                <w:color w:val="auto"/>
                <w:w w:val="87"/>
              </w:rPr>
              <w:t>8,592,364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underwriting expenses</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3,389,024</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2,845,708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9,349,842</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7,656,532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266,578</w:t>
            </w:r>
          </w:p>
        </w:tc>
        <w:tc>
          <w:tcPr>
            <w:tcW w:w="32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248,042</w:t>
            </w: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747,118</w:t>
            </w:r>
          </w:p>
        </w:tc>
        <w:tc>
          <w:tcPr>
            <w:tcW w:w="3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639,403</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expenses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12,727,179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10,737,981</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38,015,058</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28,759,359</w:t>
            </w:r>
          </w:p>
        </w:tc>
        <w:tc>
          <w:tcPr>
            <w:tcW w:w="0" w:type="dxa"/>
            <w:vAlign w:val="bottom"/>
          </w:tcPr>
          <w:p>
            <w:pPr>
              <w:spacing w:after="0"/>
              <w:rPr>
                <w:sz w:val="1"/>
                <w:szCs w:val="1"/>
                <w:color w:val="auto"/>
              </w:rPr>
            </w:pPr>
          </w:p>
        </w:tc>
      </w:tr>
      <w:tr>
        <w:trPr>
          <w:trHeight w:val="206"/>
        </w:trPr>
        <w:tc>
          <w:tcPr>
            <w:tcW w:w="458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from operations</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3,923,608</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3,218,521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8,219,955</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6,125,165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tcPr>
          <w:p>
            <w:pPr>
              <w:ind w:left="200"/>
              <w:spacing w:after="0"/>
              <w:rPr>
                <w:sz w:val="20"/>
                <w:szCs w:val="20"/>
                <w:color w:val="auto"/>
              </w:rPr>
            </w:pPr>
            <w:r>
              <w:rPr>
                <w:rFonts w:ascii="Arial" w:cs="Arial" w:eastAsia="Arial" w:hAnsi="Arial"/>
                <w:sz w:val="17"/>
                <w:szCs w:val="17"/>
                <w:color w:val="auto"/>
              </w:rPr>
              <w:t>Income tax expense</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1,282,497</w:t>
            </w: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1,039,149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2,678,834</w:t>
            </w:r>
          </w:p>
        </w:tc>
        <w:tc>
          <w:tcPr>
            <w:tcW w:w="300" w:type="dxa"/>
            <w:vAlign w:val="bottom"/>
          </w:tcPr>
          <w:p>
            <w:pPr>
              <w:spacing w:after="0"/>
              <w:rPr>
                <w:sz w:val="17"/>
                <w:szCs w:val="17"/>
                <w:color w:val="auto"/>
              </w:rPr>
            </w:pPr>
          </w:p>
        </w:tc>
        <w:tc>
          <w:tcPr>
            <w:tcW w:w="820" w:type="dxa"/>
            <w:vAlign w:val="bottom"/>
          </w:tcPr>
          <w:p>
            <w:pPr>
              <w:ind w:left="140"/>
              <w:spacing w:after="0"/>
              <w:rPr>
                <w:sz w:val="20"/>
                <w:szCs w:val="20"/>
                <w:color w:val="auto"/>
              </w:rPr>
            </w:pPr>
            <w:r>
              <w:rPr>
                <w:rFonts w:ascii="Arial" w:cs="Arial" w:eastAsia="Arial" w:hAnsi="Arial"/>
                <w:sz w:val="17"/>
                <w:szCs w:val="17"/>
                <w:color w:val="auto"/>
                <w:w w:val="87"/>
              </w:rPr>
              <w:t>1,961,849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5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Net incom</w:t>
            </w:r>
            <w:r>
              <w:rPr>
                <w:rFonts w:ascii="Arial" w:cs="Arial" w:eastAsia="Arial" w:hAnsi="Arial"/>
                <w:sz w:val="17"/>
                <w:szCs w:val="17"/>
                <w:color w:val="auto"/>
              </w:rPr>
              <w:t>e</w:t>
            </w:r>
          </w:p>
        </w:tc>
        <w:tc>
          <w:tcPr>
            <w:tcW w:w="14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2,641,111</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2,179,372</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5,541,121</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4,163,316</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58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tcPr>
          <w:p>
            <w:pPr>
              <w:ind w:left="40"/>
              <w:spacing w:after="0"/>
              <w:rPr>
                <w:sz w:val="20"/>
                <w:szCs w:val="20"/>
                <w:color w:val="auto"/>
              </w:rPr>
            </w:pPr>
            <w:r>
              <w:rPr>
                <w:rFonts w:ascii="Arial" w:cs="Arial" w:eastAsia="Arial" w:hAnsi="Arial"/>
                <w:sz w:val="17"/>
                <w:szCs w:val="17"/>
                <w:b w:val="1"/>
                <w:bCs w:val="1"/>
                <w:color w:val="auto"/>
              </w:rPr>
              <w:t>Key Measures: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loss ratio</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38.5%</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45.9%</w:t>
            </w: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49.1%</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53.4%</w:t>
            </w:r>
          </w:p>
        </w:tc>
        <w:tc>
          <w:tcPr>
            <w:tcW w:w="0" w:type="dxa"/>
            <w:vAlign w:val="bottom"/>
          </w:tcPr>
          <w:p>
            <w:pPr>
              <w:spacing w:after="0"/>
              <w:rPr>
                <w:sz w:val="1"/>
                <w:szCs w:val="1"/>
                <w:color w:val="auto"/>
              </w:rPr>
            </w:pPr>
          </w:p>
        </w:tc>
      </w:tr>
      <w:tr>
        <w:trPr>
          <w:trHeight w:val="206"/>
        </w:trPr>
        <w:tc>
          <w:tcPr>
            <w:tcW w:w="4580" w:type="dxa"/>
            <w:vAlign w:val="bottom"/>
          </w:tcPr>
          <w:p>
            <w:pPr>
              <w:ind w:left="200"/>
              <w:spacing w:after="0"/>
              <w:rPr>
                <w:sz w:val="20"/>
                <w:szCs w:val="20"/>
                <w:color w:val="auto"/>
              </w:rPr>
            </w:pPr>
            <w:r>
              <w:rPr>
                <w:rFonts w:ascii="Arial" w:cs="Arial" w:eastAsia="Arial" w:hAnsi="Arial"/>
                <w:sz w:val="17"/>
                <w:szCs w:val="17"/>
                <w:color w:val="auto"/>
              </w:rPr>
              <w:t>Net underwriting expense ratio</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34.3%</w:t>
            </w:r>
          </w:p>
        </w:tc>
        <w:tc>
          <w:tcPr>
            <w:tcW w:w="3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25.0%</w:t>
            </w:r>
          </w:p>
        </w:tc>
        <w:tc>
          <w:tcPr>
            <w:tcW w:w="2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29.9%</w:t>
            </w:r>
          </w:p>
        </w:tc>
        <w:tc>
          <w:tcPr>
            <w:tcW w:w="3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combined ratio</w:t>
            </w:r>
          </w:p>
        </w:tc>
        <w:tc>
          <w:tcPr>
            <w:tcW w:w="1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72.8%</w:t>
            </w: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70.9%</w:t>
            </w:r>
          </w:p>
        </w:tc>
        <w:tc>
          <w:tcPr>
            <w:tcW w:w="22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79.0%</w:t>
            </w:r>
          </w:p>
        </w:tc>
        <w:tc>
          <w:tcPr>
            <w:tcW w:w="3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0" w:type="dxa"/>
            <w:vAlign w:val="bottom"/>
          </w:tcPr>
          <w:p>
            <w:pPr>
              <w:spacing w:after="0"/>
              <w:rPr>
                <w:sz w:val="1"/>
                <w:szCs w:val="1"/>
                <w:color w:val="auto"/>
              </w:rPr>
            </w:pPr>
          </w:p>
        </w:tc>
      </w:tr>
      <w:tr>
        <w:trPr>
          <w:trHeight w:val="198"/>
        </w:trPr>
        <w:tc>
          <w:tcPr>
            <w:tcW w:w="458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Reconciliation of net underwriting expense ratio:</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tcPr>
          <w:p>
            <w:pPr>
              <w:ind w:left="160"/>
              <w:spacing w:after="0"/>
              <w:rPr>
                <w:sz w:val="20"/>
                <w:szCs w:val="20"/>
                <w:color w:val="auto"/>
              </w:rPr>
            </w:pPr>
            <w:r>
              <w:rPr>
                <w:rFonts w:ascii="Arial" w:cs="Arial" w:eastAsia="Arial" w:hAnsi="Arial"/>
                <w:sz w:val="17"/>
                <w:szCs w:val="17"/>
                <w:color w:val="auto"/>
              </w:rPr>
              <w:t>Acquisition costs and other</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underwriting expenses</w:t>
            </w:r>
          </w:p>
        </w:tc>
        <w:tc>
          <w:tcPr>
            <w:tcW w:w="16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7,410,407</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5,951,772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20,383,716</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16,248,896</w:t>
            </w:r>
          </w:p>
        </w:tc>
        <w:tc>
          <w:tcPr>
            <w:tcW w:w="0" w:type="dxa"/>
            <w:vAlign w:val="bottom"/>
          </w:tcPr>
          <w:p>
            <w:pPr>
              <w:spacing w:after="0"/>
              <w:rPr>
                <w:sz w:val="1"/>
                <w:szCs w:val="1"/>
                <w:color w:val="auto"/>
              </w:rPr>
            </w:pPr>
          </w:p>
        </w:tc>
      </w:tr>
      <w:tr>
        <w:trPr>
          <w:trHeight w:val="206"/>
        </w:trPr>
        <w:tc>
          <w:tcPr>
            <w:tcW w:w="4580" w:type="dxa"/>
            <w:vAlign w:val="bottom"/>
          </w:tcPr>
          <w:p>
            <w:pPr>
              <w:ind w:left="200"/>
              <w:spacing w:after="0"/>
              <w:rPr>
                <w:sz w:val="20"/>
                <w:szCs w:val="20"/>
                <w:color w:val="auto"/>
              </w:rPr>
            </w:pPr>
            <w:r>
              <w:rPr>
                <w:rFonts w:ascii="Arial" w:cs="Arial" w:eastAsia="Arial" w:hAnsi="Arial"/>
                <w:sz w:val="17"/>
                <w:szCs w:val="17"/>
                <w:color w:val="auto"/>
              </w:rPr>
              <w:t>Less: Ceding commission revenue</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(2,643,531)</w:t>
            </w:r>
          </w:p>
        </w:tc>
        <w:tc>
          <w:tcPr>
            <w:tcW w:w="3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w w:val="96"/>
              </w:rPr>
              <w:t>(3,278,319)</w:t>
            </w:r>
          </w:p>
        </w:tc>
        <w:tc>
          <w:tcPr>
            <w:tcW w:w="2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(9,388,457)</w:t>
            </w:r>
          </w:p>
        </w:tc>
        <w:tc>
          <w:tcPr>
            <w:tcW w:w="3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(10,365,651)</w:t>
            </w: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 Other income</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(268,698)</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(204,494)</w:t>
            </w: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(721,087)</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(535,847)</w:t>
            </w:r>
          </w:p>
        </w:tc>
        <w:tc>
          <w:tcPr>
            <w:tcW w:w="0" w:type="dxa"/>
            <w:vAlign w:val="bottom"/>
          </w:tcPr>
          <w:p>
            <w:pPr>
              <w:spacing w:after="0"/>
              <w:rPr>
                <w:sz w:val="1"/>
                <w:szCs w:val="1"/>
                <w:color w:val="auto"/>
              </w:rPr>
            </w:pPr>
          </w:p>
        </w:tc>
      </w:tr>
      <w:tr>
        <w:trPr>
          <w:trHeight w:val="26"/>
        </w:trPr>
        <w:tc>
          <w:tcPr>
            <w:tcW w:w="45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580" w:type="dxa"/>
            <w:vAlign w:val="bottom"/>
          </w:tcPr>
          <w:p>
            <w:pPr>
              <w:ind w:left="200"/>
              <w:spacing w:after="0"/>
              <w:rPr>
                <w:sz w:val="20"/>
                <w:szCs w:val="20"/>
                <w:color w:val="auto"/>
              </w:rPr>
            </w:pPr>
            <w:r>
              <w:rPr>
                <w:rFonts w:ascii="Arial" w:cs="Arial" w:eastAsia="Arial" w:hAnsi="Arial"/>
                <w:sz w:val="17"/>
                <w:szCs w:val="17"/>
                <w:color w:val="auto"/>
              </w:rPr>
              <w:t>Net underwriting expenses</w:t>
            </w:r>
          </w:p>
        </w:tc>
        <w:tc>
          <w:tcPr>
            <w:tcW w:w="142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4,498,178</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00" w:type="dxa"/>
            <w:vAlign w:val="bottom"/>
          </w:tcPr>
          <w:p>
            <w:pPr>
              <w:ind w:left="120"/>
              <w:spacing w:after="0"/>
              <w:rPr>
                <w:sz w:val="20"/>
                <w:szCs w:val="20"/>
                <w:color w:val="auto"/>
              </w:rPr>
            </w:pPr>
            <w:r>
              <w:rPr>
                <w:rFonts w:ascii="Arial" w:cs="Arial" w:eastAsia="Arial" w:hAnsi="Arial"/>
                <w:sz w:val="17"/>
                <w:szCs w:val="17"/>
                <w:color w:val="auto"/>
                <w:w w:val="87"/>
              </w:rPr>
              <w:t>2,468,959</w:t>
            </w:r>
          </w:p>
        </w:tc>
        <w:tc>
          <w:tcPr>
            <w:tcW w:w="26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10,274,172</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820" w:type="dxa"/>
            <w:vAlign w:val="bottom"/>
          </w:tcPr>
          <w:p>
            <w:pPr>
              <w:ind w:left="140"/>
              <w:spacing w:after="0"/>
              <w:rPr>
                <w:sz w:val="20"/>
                <w:szCs w:val="20"/>
                <w:color w:val="auto"/>
              </w:rPr>
            </w:pPr>
            <w:r>
              <w:rPr>
                <w:rFonts w:ascii="Arial" w:cs="Arial" w:eastAsia="Arial" w:hAnsi="Arial"/>
                <w:sz w:val="17"/>
                <w:szCs w:val="17"/>
                <w:color w:val="auto"/>
                <w:w w:val="87"/>
              </w:rPr>
              <w:t>5,347,398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5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tcPr>
          <w:p>
            <w:pPr>
              <w:ind w:left="200"/>
              <w:spacing w:after="0"/>
              <w:rPr>
                <w:sz w:val="20"/>
                <w:szCs w:val="20"/>
                <w:color w:val="auto"/>
              </w:rPr>
            </w:pPr>
            <w:r>
              <w:rPr>
                <w:rFonts w:ascii="Arial" w:cs="Arial" w:eastAsia="Arial" w:hAnsi="Arial"/>
                <w:sz w:val="17"/>
                <w:szCs w:val="17"/>
                <w:color w:val="auto"/>
              </w:rPr>
              <w:t>Net premiums earned</w:t>
            </w:r>
          </w:p>
        </w:tc>
        <w:tc>
          <w:tcPr>
            <w:tcW w:w="164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13,129,604</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00" w:type="dxa"/>
            <w:vAlign w:val="bottom"/>
          </w:tcPr>
          <w:p>
            <w:pPr>
              <w:ind w:left="120"/>
              <w:spacing w:after="0"/>
              <w:rPr>
                <w:sz w:val="20"/>
                <w:szCs w:val="20"/>
                <w:color w:val="auto"/>
              </w:rPr>
            </w:pPr>
            <w:r>
              <w:rPr>
                <w:rFonts w:ascii="Arial" w:cs="Arial" w:eastAsia="Arial" w:hAnsi="Arial"/>
                <w:sz w:val="17"/>
                <w:szCs w:val="17"/>
                <w:color w:val="auto"/>
                <w:w w:val="87"/>
              </w:rPr>
              <w:t>9,895,000</w:t>
            </w:r>
          </w:p>
        </w:tc>
        <w:tc>
          <w:tcPr>
            <w:tcW w:w="26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34,381,118</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22,250,684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5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tcPr>
          <w:p>
            <w:pPr>
              <w:ind w:left="200"/>
              <w:spacing w:after="0"/>
              <w:rPr>
                <w:sz w:val="20"/>
                <w:szCs w:val="20"/>
                <w:color w:val="auto"/>
              </w:rPr>
            </w:pPr>
            <w:r>
              <w:rPr>
                <w:rFonts w:ascii="Arial" w:cs="Arial" w:eastAsia="Arial" w:hAnsi="Arial"/>
                <w:sz w:val="17"/>
                <w:szCs w:val="17"/>
                <w:color w:val="auto"/>
              </w:rPr>
              <w:t>Net Underwriting Expense Ratio</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34.3%</w:t>
            </w:r>
          </w:p>
        </w:tc>
        <w:tc>
          <w:tcPr>
            <w:tcW w:w="3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25.0%</w:t>
            </w:r>
          </w:p>
        </w:tc>
        <w:tc>
          <w:tcPr>
            <w:tcW w:w="2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29.9%</w:t>
            </w:r>
          </w:p>
        </w:tc>
        <w:tc>
          <w:tcPr>
            <w:tcW w:w="3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20" w:type="dxa"/>
            <w:vAlign w:val="bottom"/>
            <w:vMerge w:val="restart"/>
          </w:tcPr>
          <w:p>
            <w:pPr>
              <w:jc w:val="right"/>
              <w:ind w:right="114"/>
              <w:spacing w:after="0"/>
              <w:rPr>
                <w:sz w:val="20"/>
                <w:szCs w:val="20"/>
                <w:color w:val="auto"/>
              </w:rPr>
            </w:pPr>
            <w:r>
              <w:rPr>
                <w:rFonts w:ascii="Arial" w:cs="Arial" w:eastAsia="Arial" w:hAnsi="Arial"/>
                <w:sz w:val="17"/>
                <w:szCs w:val="17"/>
                <w:color w:val="auto"/>
              </w:rPr>
              <w:t>50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45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5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An analysis of our direct, assumed and ceded earned premiums, loss and loss adjustment expenses, and loss ratios is shown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Direct</w:t>
            </w:r>
          </w:p>
        </w:tc>
        <w:tc>
          <w:tcPr>
            <w:tcW w:w="20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Assumed</w:t>
            </w:r>
          </w:p>
        </w:tc>
        <w:tc>
          <w:tcPr>
            <w:tcW w:w="100" w:type="dxa"/>
            <w:vAlign w:val="bottom"/>
          </w:tcPr>
          <w:p>
            <w:pPr>
              <w:spacing w:after="0"/>
              <w:rPr>
                <w:sz w:val="14"/>
                <w:szCs w:val="1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Ceded</w:t>
            </w:r>
          </w:p>
        </w:tc>
        <w:tc>
          <w:tcPr>
            <w:tcW w:w="12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412"/>
        </w:trPr>
        <w:tc>
          <w:tcPr>
            <w:tcW w:w="4500" w:type="dxa"/>
            <w:vAlign w:val="bottom"/>
          </w:tcPr>
          <w:p>
            <w:pPr>
              <w:spacing w:after="0"/>
              <w:rPr>
                <w:sz w:val="20"/>
                <w:szCs w:val="20"/>
                <w:color w:val="auto"/>
              </w:rPr>
            </w:pPr>
            <w:r>
              <w:rPr>
                <w:rFonts w:ascii="Arial" w:cs="Arial" w:eastAsia="Arial" w:hAnsi="Arial"/>
                <w:sz w:val="17"/>
                <w:szCs w:val="17"/>
                <w:b w:val="1"/>
                <w:bCs w:val="1"/>
                <w:color w:val="auto"/>
              </w:rPr>
              <w:t>Nine months ended September 30, 2015</w:t>
            </w:r>
          </w:p>
        </w:tc>
        <w:tc>
          <w:tcPr>
            <w:tcW w:w="1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Written premiums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0"/>
              </w:rPr>
              <w:t>67,225,990.00</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34,815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(21,913,608.00)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45,347,197.00</w:t>
            </w:r>
          </w:p>
        </w:tc>
        <w:tc>
          <w:tcPr>
            <w:tcW w:w="0" w:type="dxa"/>
            <w:vAlign w:val="bottom"/>
          </w:tcPr>
          <w:p>
            <w:pPr>
              <w:spacing w:after="0"/>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Change in unearned premiums</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(6,984,651)</w:t>
            </w:r>
          </w:p>
        </w:tc>
        <w:tc>
          <w:tcPr>
            <w:tcW w:w="2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1,362</w:t>
            </w:r>
          </w:p>
        </w:tc>
        <w:tc>
          <w:tcPr>
            <w:tcW w:w="1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(3,982,790)</w:t>
            </w:r>
          </w:p>
        </w:tc>
        <w:tc>
          <w:tcPr>
            <w:tcW w:w="1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(10,966,079)</w:t>
            </w:r>
          </w:p>
        </w:tc>
        <w:tc>
          <w:tcPr>
            <w:tcW w:w="0" w:type="dxa"/>
            <w:vAlign w:val="bottom"/>
          </w:tcPr>
          <w:p>
            <w:pPr>
              <w:spacing w:after="0"/>
              <w:rPr>
                <w:sz w:val="1"/>
                <w:szCs w:val="1"/>
                <w:color w:val="auto"/>
              </w:rPr>
            </w:pPr>
          </w:p>
        </w:tc>
      </w:tr>
      <w:tr>
        <w:trPr>
          <w:trHeight w:val="26"/>
        </w:trPr>
        <w:tc>
          <w:tcPr>
            <w:tcW w:w="4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Earned premiums</w:t>
            </w: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60,241,339</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36,177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(25,896,398)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34,381,118</w:t>
            </w:r>
          </w:p>
        </w:tc>
        <w:tc>
          <w:tcPr>
            <w:tcW w:w="0" w:type="dxa"/>
            <w:vAlign w:val="bottom"/>
          </w:tcPr>
          <w:p>
            <w:pPr>
              <w:spacing w:after="0"/>
              <w:rPr>
                <w:sz w:val="1"/>
                <w:szCs w:val="1"/>
                <w:color w:val="auto"/>
              </w:rPr>
            </w:pPr>
          </w:p>
        </w:tc>
      </w:tr>
      <w:tr>
        <w:trPr>
          <w:trHeight w:val="198"/>
        </w:trPr>
        <w:tc>
          <w:tcPr>
            <w:tcW w:w="45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 exluding</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360"/>
              <w:spacing w:after="0"/>
              <w:rPr>
                <w:sz w:val="20"/>
                <w:szCs w:val="20"/>
                <w:color w:val="auto"/>
              </w:rPr>
            </w:pPr>
            <w:r>
              <w:rPr>
                <w:rFonts w:ascii="Arial" w:cs="Arial" w:eastAsia="Arial" w:hAnsi="Arial"/>
                <w:sz w:val="17"/>
                <w:szCs w:val="17"/>
                <w:color w:val="auto"/>
              </w:rPr>
              <w:t>the effect of catastrophes</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23,162,707</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101,782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(8,470,858)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14,793,631</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4,645,762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(2,555,169)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2,090,593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5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Loss and loss adjustment expenses</w:t>
            </w:r>
          </w:p>
        </w:tc>
        <w:tc>
          <w:tcPr>
            <w:tcW w:w="14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27,808,469</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101,782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(11,026,027)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16,884,224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Loss ratio excluding the effect of catastrophes</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38.5%</w:t>
            </w:r>
          </w:p>
        </w:tc>
        <w:tc>
          <w:tcPr>
            <w:tcW w:w="2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281.3%</w:t>
            </w:r>
          </w:p>
        </w:tc>
        <w:tc>
          <w:tcPr>
            <w:tcW w:w="10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32.7%</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43.0%</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w:t>
            </w:r>
          </w:p>
        </w:tc>
        <w:tc>
          <w:tcPr>
            <w:tcW w:w="2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6"/>
        </w:trPr>
        <w:tc>
          <w:tcPr>
            <w:tcW w:w="45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Loss ratio</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46.2%</w:t>
            </w:r>
          </w:p>
        </w:tc>
        <w:tc>
          <w:tcPr>
            <w:tcW w:w="2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281.3%</w:t>
            </w:r>
          </w:p>
        </w:tc>
        <w:tc>
          <w:tcPr>
            <w:tcW w:w="10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42.6%</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40"/>
              <w:spacing w:after="0"/>
              <w:rPr>
                <w:sz w:val="20"/>
                <w:szCs w:val="20"/>
                <w:color w:val="auto"/>
              </w:rPr>
            </w:pPr>
            <w:r>
              <w:rPr>
                <w:rFonts w:ascii="Arial" w:cs="Arial" w:eastAsia="Arial" w:hAnsi="Arial"/>
                <w:sz w:val="17"/>
                <w:szCs w:val="17"/>
                <w:b w:val="1"/>
                <w:bCs w:val="1"/>
                <w:color w:val="auto"/>
              </w:rPr>
              <w:t>Nine months ended September 30, 2014</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Written premiums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56,729,057</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39,263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(24,013,732)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32,754,588</w:t>
            </w:r>
          </w:p>
        </w:tc>
        <w:tc>
          <w:tcPr>
            <w:tcW w:w="0" w:type="dxa"/>
            <w:vAlign w:val="bottom"/>
          </w:tcPr>
          <w:p>
            <w:pPr>
              <w:spacing w:after="0"/>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Change in unearned premiums</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(7,311,116)</w:t>
            </w:r>
          </w:p>
        </w:tc>
        <w:tc>
          <w:tcPr>
            <w:tcW w:w="20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(6,082)</w:t>
            </w:r>
          </w:p>
        </w:tc>
        <w:tc>
          <w:tcPr>
            <w:tcW w:w="1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(3,186,706)</w:t>
            </w:r>
          </w:p>
        </w:tc>
        <w:tc>
          <w:tcPr>
            <w:tcW w:w="1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(10,503,904)</w:t>
            </w:r>
          </w:p>
        </w:tc>
        <w:tc>
          <w:tcPr>
            <w:tcW w:w="0" w:type="dxa"/>
            <w:vAlign w:val="bottom"/>
          </w:tcPr>
          <w:p>
            <w:pPr>
              <w:spacing w:after="0"/>
              <w:rPr>
                <w:sz w:val="1"/>
                <w:szCs w:val="1"/>
                <w:color w:val="auto"/>
              </w:rPr>
            </w:pPr>
          </w:p>
        </w:tc>
      </w:tr>
      <w:tr>
        <w:trPr>
          <w:trHeight w:val="26"/>
        </w:trPr>
        <w:tc>
          <w:tcPr>
            <w:tcW w:w="4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Earned premiums</w:t>
            </w: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49,417,941</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33,181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(27,200,438)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22,250,684</w:t>
            </w:r>
          </w:p>
        </w:tc>
        <w:tc>
          <w:tcPr>
            <w:tcW w:w="0" w:type="dxa"/>
            <w:vAlign w:val="bottom"/>
          </w:tcPr>
          <w:p>
            <w:pPr>
              <w:spacing w:after="0"/>
              <w:rPr>
                <w:sz w:val="1"/>
                <w:szCs w:val="1"/>
                <w:color w:val="auto"/>
              </w:rPr>
            </w:pPr>
          </w:p>
        </w:tc>
      </w:tr>
      <w:tr>
        <w:trPr>
          <w:trHeight w:val="198"/>
        </w:trPr>
        <w:tc>
          <w:tcPr>
            <w:tcW w:w="45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 exluding</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360"/>
              <w:spacing w:after="0"/>
              <w:rPr>
                <w:sz w:val="20"/>
                <w:szCs w:val="20"/>
                <w:color w:val="auto"/>
              </w:rPr>
            </w:pPr>
            <w:r>
              <w:rPr>
                <w:rFonts w:ascii="Arial" w:cs="Arial" w:eastAsia="Arial" w:hAnsi="Arial"/>
                <w:sz w:val="17"/>
                <w:szCs w:val="17"/>
                <w:color w:val="auto"/>
              </w:rPr>
              <w:t>the effect of catastrophes</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19,939,544</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48,774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(9,058,285)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10,930,033</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3,764,108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(2,823,081)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941,027</w:t>
            </w:r>
          </w:p>
        </w:tc>
        <w:tc>
          <w:tcPr>
            <w:tcW w:w="0" w:type="dxa"/>
            <w:vAlign w:val="bottom"/>
          </w:tcPr>
          <w:p>
            <w:pPr>
              <w:spacing w:after="0"/>
              <w:rPr>
                <w:sz w:val="1"/>
                <w:szCs w:val="1"/>
                <w:color w:val="auto"/>
              </w:rPr>
            </w:pPr>
          </w:p>
        </w:tc>
      </w:tr>
      <w:tr>
        <w:trPr>
          <w:trHeight w:val="26"/>
        </w:trPr>
        <w:tc>
          <w:tcPr>
            <w:tcW w:w="45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Loss and loss adjustment expenses</w:t>
            </w:r>
          </w:p>
        </w:tc>
        <w:tc>
          <w:tcPr>
            <w:tcW w:w="14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23,703,652</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48,774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(11,881,366)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11,871,060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Loss ratio excluding the effect of catastrophes</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40.3%</w:t>
            </w:r>
          </w:p>
        </w:tc>
        <w:tc>
          <w:tcPr>
            <w:tcW w:w="2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147.0%</w:t>
            </w:r>
          </w:p>
        </w:tc>
        <w:tc>
          <w:tcPr>
            <w:tcW w:w="10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33.3%</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w:t>
            </w:r>
          </w:p>
        </w:tc>
        <w:tc>
          <w:tcPr>
            <w:tcW w:w="2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6"/>
        </w:trPr>
        <w:tc>
          <w:tcPr>
            <w:tcW w:w="45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Loss ratio</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48.0%</w:t>
            </w:r>
          </w:p>
        </w:tc>
        <w:tc>
          <w:tcPr>
            <w:tcW w:w="2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147.0%</w:t>
            </w:r>
          </w:p>
        </w:tc>
        <w:tc>
          <w:tcPr>
            <w:tcW w:w="10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43.7%</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53.4%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40"/>
              <w:spacing w:after="0"/>
              <w:rPr>
                <w:sz w:val="20"/>
                <w:szCs w:val="20"/>
                <w:color w:val="auto"/>
              </w:rPr>
            </w:pPr>
            <w:r>
              <w:rPr>
                <w:rFonts w:ascii="Arial" w:cs="Arial" w:eastAsia="Arial" w:hAnsi="Arial"/>
                <w:sz w:val="17"/>
                <w:szCs w:val="17"/>
                <w:b w:val="1"/>
                <w:bCs w:val="1"/>
                <w:color w:val="auto"/>
              </w:rPr>
              <w:t>Three months ended September 30, 2015</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Written premiums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24,570,496</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12,945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(3,245,871)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21,337,570</w:t>
            </w:r>
          </w:p>
        </w:tc>
        <w:tc>
          <w:tcPr>
            <w:tcW w:w="0" w:type="dxa"/>
            <w:vAlign w:val="bottom"/>
          </w:tcPr>
          <w:p>
            <w:pPr>
              <w:spacing w:after="0"/>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Change in unearned premiums</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(3,330,333)</w:t>
            </w:r>
          </w:p>
        </w:tc>
        <w:tc>
          <w:tcPr>
            <w:tcW w:w="20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(1,015)</w:t>
            </w:r>
          </w:p>
        </w:tc>
        <w:tc>
          <w:tcPr>
            <w:tcW w:w="1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(4,876,618)</w:t>
            </w:r>
          </w:p>
        </w:tc>
        <w:tc>
          <w:tcPr>
            <w:tcW w:w="1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(8,207,966)</w:t>
            </w:r>
          </w:p>
        </w:tc>
        <w:tc>
          <w:tcPr>
            <w:tcW w:w="0" w:type="dxa"/>
            <w:vAlign w:val="bottom"/>
          </w:tcPr>
          <w:p>
            <w:pPr>
              <w:spacing w:after="0"/>
              <w:rPr>
                <w:sz w:val="1"/>
                <w:szCs w:val="1"/>
                <w:color w:val="auto"/>
              </w:rPr>
            </w:pPr>
          </w:p>
        </w:tc>
      </w:tr>
      <w:tr>
        <w:trPr>
          <w:trHeight w:val="26"/>
        </w:trPr>
        <w:tc>
          <w:tcPr>
            <w:tcW w:w="4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Earned premiums</w:t>
            </w: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21,240,163</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11,930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(8,122,489)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13,129,604</w:t>
            </w:r>
          </w:p>
        </w:tc>
        <w:tc>
          <w:tcPr>
            <w:tcW w:w="0" w:type="dxa"/>
            <w:vAlign w:val="bottom"/>
          </w:tcPr>
          <w:p>
            <w:pPr>
              <w:spacing w:after="0"/>
              <w:rPr>
                <w:sz w:val="1"/>
                <w:szCs w:val="1"/>
                <w:color w:val="auto"/>
              </w:rPr>
            </w:pPr>
          </w:p>
        </w:tc>
      </w:tr>
      <w:tr>
        <w:trPr>
          <w:trHeight w:val="198"/>
        </w:trPr>
        <w:tc>
          <w:tcPr>
            <w:tcW w:w="45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 exluding</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360"/>
              <w:spacing w:after="0"/>
              <w:rPr>
                <w:sz w:val="20"/>
                <w:szCs w:val="20"/>
                <w:color w:val="auto"/>
              </w:rPr>
            </w:pPr>
            <w:r>
              <w:rPr>
                <w:rFonts w:ascii="Arial" w:cs="Arial" w:eastAsia="Arial" w:hAnsi="Arial"/>
                <w:sz w:val="17"/>
                <w:szCs w:val="17"/>
                <w:color w:val="auto"/>
              </w:rPr>
              <w:t>the effect of catastrophes</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6,756,876</w:t>
            </w:r>
          </w:p>
        </w:tc>
        <w:tc>
          <w:tcPr>
            <w:tcW w:w="260" w:type="dxa"/>
            <w:vAlign w:val="bottom"/>
          </w:tcPr>
          <w:p>
            <w:pPr>
              <w:spacing w:after="0"/>
              <w:rPr>
                <w:sz w:val="17"/>
                <w:szCs w:val="17"/>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31,056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(1,815,970)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4,971,962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173,849</w:t>
            </w:r>
          </w:p>
        </w:tc>
        <w:tc>
          <w:tcPr>
            <w:tcW w:w="2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(95,617)</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78,232</w:t>
            </w:r>
          </w:p>
        </w:tc>
        <w:tc>
          <w:tcPr>
            <w:tcW w:w="0" w:type="dxa"/>
            <w:vAlign w:val="bottom"/>
          </w:tcPr>
          <w:p>
            <w:pPr>
              <w:spacing w:after="0"/>
              <w:rPr>
                <w:sz w:val="1"/>
                <w:szCs w:val="1"/>
                <w:color w:val="auto"/>
              </w:rPr>
            </w:pPr>
          </w:p>
        </w:tc>
      </w:tr>
      <w:tr>
        <w:trPr>
          <w:trHeight w:val="26"/>
        </w:trPr>
        <w:tc>
          <w:tcPr>
            <w:tcW w:w="45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Loss and loss adjustment expenses</w:t>
            </w:r>
          </w:p>
        </w:tc>
        <w:tc>
          <w:tcPr>
            <w:tcW w:w="14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6,930,725</w:t>
            </w:r>
          </w:p>
        </w:tc>
        <w:tc>
          <w:tcPr>
            <w:tcW w:w="260" w:type="dxa"/>
            <w:vAlign w:val="bottom"/>
          </w:tcPr>
          <w:p>
            <w:pPr>
              <w:spacing w:after="0"/>
              <w:rPr>
                <w:sz w:val="17"/>
                <w:szCs w:val="17"/>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31,056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(1,911,587)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5,050,194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Loss ratio excluding the effect of catastrophes</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31.8%</w:t>
            </w:r>
          </w:p>
        </w:tc>
        <w:tc>
          <w:tcPr>
            <w:tcW w:w="2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260.3%</w:t>
            </w:r>
          </w:p>
        </w:tc>
        <w:tc>
          <w:tcPr>
            <w:tcW w:w="10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22.4%</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0.8%</w:t>
            </w:r>
          </w:p>
        </w:tc>
        <w:tc>
          <w:tcPr>
            <w:tcW w:w="2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6"/>
        </w:trPr>
        <w:tc>
          <w:tcPr>
            <w:tcW w:w="45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Loss ratio</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32.6%</w:t>
            </w:r>
          </w:p>
        </w:tc>
        <w:tc>
          <w:tcPr>
            <w:tcW w:w="2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260.3%</w:t>
            </w:r>
          </w:p>
        </w:tc>
        <w:tc>
          <w:tcPr>
            <w:tcW w:w="10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23.5%</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40"/>
              <w:spacing w:after="0"/>
              <w:rPr>
                <w:sz w:val="20"/>
                <w:szCs w:val="20"/>
                <w:color w:val="auto"/>
              </w:rPr>
            </w:pPr>
            <w:r>
              <w:rPr>
                <w:rFonts w:ascii="Arial" w:cs="Arial" w:eastAsia="Arial" w:hAnsi="Arial"/>
                <w:sz w:val="17"/>
                <w:szCs w:val="17"/>
                <w:b w:val="1"/>
                <w:bCs w:val="1"/>
                <w:color w:val="auto"/>
              </w:rPr>
              <w:t>Three months ended September 30, 2014</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Written premiums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20,131,112</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22,961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(2,485,929)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17,668,144</w:t>
            </w:r>
          </w:p>
        </w:tc>
        <w:tc>
          <w:tcPr>
            <w:tcW w:w="0" w:type="dxa"/>
            <w:vAlign w:val="bottom"/>
          </w:tcPr>
          <w:p>
            <w:pPr>
              <w:spacing w:after="0"/>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Change in unearned premiums</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(2,438,306)</w:t>
            </w:r>
          </w:p>
        </w:tc>
        <w:tc>
          <w:tcPr>
            <w:tcW w:w="20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(12,433)</w:t>
            </w:r>
          </w:p>
        </w:tc>
        <w:tc>
          <w:tcPr>
            <w:tcW w:w="1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(5,322,405)</w:t>
            </w:r>
          </w:p>
        </w:tc>
        <w:tc>
          <w:tcPr>
            <w:tcW w:w="1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(7,773,144)</w:t>
            </w:r>
          </w:p>
        </w:tc>
        <w:tc>
          <w:tcPr>
            <w:tcW w:w="0" w:type="dxa"/>
            <w:vAlign w:val="bottom"/>
          </w:tcPr>
          <w:p>
            <w:pPr>
              <w:spacing w:after="0"/>
              <w:rPr>
                <w:sz w:val="1"/>
                <w:szCs w:val="1"/>
                <w:color w:val="auto"/>
              </w:rPr>
            </w:pPr>
          </w:p>
        </w:tc>
      </w:tr>
      <w:tr>
        <w:trPr>
          <w:trHeight w:val="26"/>
        </w:trPr>
        <w:tc>
          <w:tcPr>
            <w:tcW w:w="4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Earned premiums</w:t>
            </w: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17,692,806</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10,528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(7,808,334)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9,895,000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5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 exluding</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360"/>
              <w:spacing w:after="0"/>
              <w:rPr>
                <w:sz w:val="20"/>
                <w:szCs w:val="20"/>
                <w:color w:val="auto"/>
              </w:rPr>
            </w:pPr>
            <w:r>
              <w:rPr>
                <w:rFonts w:ascii="Arial" w:cs="Arial" w:eastAsia="Arial" w:hAnsi="Arial"/>
                <w:sz w:val="17"/>
                <w:szCs w:val="17"/>
                <w:color w:val="auto"/>
              </w:rPr>
              <w:t>the effect of catastrophes</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4,749,296</w:t>
            </w:r>
          </w:p>
        </w:tc>
        <w:tc>
          <w:tcPr>
            <w:tcW w:w="260" w:type="dxa"/>
            <w:vAlign w:val="bottom"/>
          </w:tcPr>
          <w:p>
            <w:pPr>
              <w:spacing w:after="0"/>
              <w:rPr>
                <w:sz w:val="17"/>
                <w:szCs w:val="17"/>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15,958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(227,087)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4,538,167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5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Loss and loss adjustment expenses</w:t>
            </w:r>
          </w:p>
        </w:tc>
        <w:tc>
          <w:tcPr>
            <w:tcW w:w="14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4,749,296</w:t>
            </w:r>
          </w:p>
        </w:tc>
        <w:tc>
          <w:tcPr>
            <w:tcW w:w="260" w:type="dxa"/>
            <w:vAlign w:val="bottom"/>
          </w:tcPr>
          <w:p>
            <w:pPr>
              <w:spacing w:after="0"/>
              <w:rPr>
                <w:sz w:val="17"/>
                <w:szCs w:val="17"/>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15,958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(227,087)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4,538,167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Loss ratio excluding the effect of catastrophes</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26.8%</w:t>
            </w:r>
          </w:p>
        </w:tc>
        <w:tc>
          <w:tcPr>
            <w:tcW w:w="2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151.6%</w:t>
            </w:r>
          </w:p>
        </w:tc>
        <w:tc>
          <w:tcPr>
            <w:tcW w:w="10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45.9%</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w:t>
            </w:r>
          </w:p>
        </w:tc>
        <w:tc>
          <w:tcPr>
            <w:tcW w:w="2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6"/>
        </w:trPr>
        <w:tc>
          <w:tcPr>
            <w:tcW w:w="45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Loss ratio</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26.8%</w:t>
            </w:r>
          </w:p>
        </w:tc>
        <w:tc>
          <w:tcPr>
            <w:tcW w:w="2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151.6%</w:t>
            </w:r>
          </w:p>
        </w:tc>
        <w:tc>
          <w:tcPr>
            <w:tcW w:w="10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45.9%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60" w:type="dxa"/>
            <w:vAlign w:val="bottom"/>
            <w:vMerge w:val="restart"/>
          </w:tcPr>
          <w:p>
            <w:pPr>
              <w:jc w:val="right"/>
              <w:ind w:right="74"/>
              <w:spacing w:after="0"/>
              <w:rPr>
                <w:sz w:val="20"/>
                <w:szCs w:val="20"/>
                <w:color w:val="auto"/>
              </w:rPr>
            </w:pPr>
            <w:r>
              <w:rPr>
                <w:rFonts w:ascii="Arial" w:cs="Arial" w:eastAsia="Arial" w:hAnsi="Arial"/>
                <w:sz w:val="17"/>
                <w:szCs w:val="17"/>
                <w:color w:val="auto"/>
              </w:rPr>
              <w:t>51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45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5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1" w:name="page52"/>
    <w:bookmarkEnd w:id="51"/>
    <w:p>
      <w:pPr>
        <w:ind w:left="620"/>
        <w:spacing w:after="0"/>
        <w:rPr>
          <w:sz w:val="20"/>
          <w:szCs w:val="20"/>
          <w:color w:val="auto"/>
        </w:rPr>
      </w:pPr>
      <w:r>
        <w:rPr>
          <w:rFonts w:ascii="Arial" w:cs="Arial" w:eastAsia="Arial" w:hAnsi="Arial"/>
          <w:sz w:val="17"/>
          <w:szCs w:val="17"/>
          <w:color w:val="auto"/>
        </w:rPr>
        <w:t>The key measures for our insurance underwriting business for the periods indicated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premiums earned</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13,129,604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9,895,000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34,381,118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3"/>
              </w:rPr>
              <w:t>22,250,684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tcPr>
          <w:p>
            <w:pPr>
              <w:ind w:left="20"/>
              <w:spacing w:after="0"/>
              <w:rPr>
                <w:sz w:val="20"/>
                <w:szCs w:val="20"/>
                <w:color w:val="auto"/>
              </w:rPr>
            </w:pPr>
            <w:r>
              <w:rPr>
                <w:rFonts w:ascii="Arial" w:cs="Arial" w:eastAsia="Arial" w:hAnsi="Arial"/>
                <w:sz w:val="17"/>
                <w:szCs w:val="17"/>
                <w:color w:val="auto"/>
              </w:rPr>
              <w:t>Ceding commission revenue (1)</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2,643,531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7"/>
              </w:rPr>
              <w:t>3,278,319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9,388,457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w w:val="93"/>
              </w:rPr>
              <w:t>10,365,651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268,698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204,494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721,087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535,847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and loss adjustment expenses (2)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5,050,194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4,538,167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16,884,224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3"/>
              </w:rPr>
              <w:t>11,871,060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Acquistion costs and other underwriting expenses: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tcPr>
          <w:p>
            <w:pPr>
              <w:ind w:left="180"/>
              <w:spacing w:after="0"/>
              <w:rPr>
                <w:sz w:val="20"/>
                <w:szCs w:val="20"/>
                <w:color w:val="auto"/>
              </w:rPr>
            </w:pPr>
            <w:r>
              <w:rPr>
                <w:rFonts w:ascii="Arial" w:cs="Arial" w:eastAsia="Arial" w:hAnsi="Arial"/>
                <w:sz w:val="17"/>
                <w:szCs w:val="17"/>
                <w:color w:val="auto"/>
              </w:rPr>
              <w:t>Commission expense</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4,021,383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7"/>
              </w:rPr>
              <w:t>3,106,064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11,033,874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7"/>
                <w:szCs w:val="17"/>
                <w:color w:val="auto"/>
                <w:w w:val="87"/>
              </w:rPr>
              <w:t>8,592,364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underwriting expenses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3,389,024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2,845,708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9,349,842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7,656,532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Total acquistion costs and other</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underwriting expenses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7,410,407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5,951,772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20,383,716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3"/>
              </w:rPr>
              <w:t>16,248,896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Underwriting income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3,581,232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2,887,874</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7,222,722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5,032,226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Key Measures:</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6000" w:type="dxa"/>
            <w:vAlign w:val="bottom"/>
          </w:tcPr>
          <w:p>
            <w:pPr>
              <w:ind w:left="200"/>
              <w:spacing w:after="0"/>
              <w:rPr>
                <w:sz w:val="20"/>
                <w:szCs w:val="20"/>
                <w:color w:val="auto"/>
              </w:rPr>
            </w:pPr>
            <w:r>
              <w:rPr>
                <w:rFonts w:ascii="Arial" w:cs="Arial" w:eastAsia="Arial" w:hAnsi="Arial"/>
                <w:sz w:val="17"/>
                <w:szCs w:val="17"/>
                <w:color w:val="auto"/>
              </w:rPr>
              <w:t>Net loss ratio excluding the effect of catastrophes</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37.9%</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45.9%</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43.0%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49.1%</w:t>
            </w:r>
          </w:p>
        </w:tc>
      </w:tr>
      <w:tr>
        <w:trPr>
          <w:trHeight w:val="206"/>
        </w:trPr>
        <w:tc>
          <w:tcPr>
            <w:tcW w:w="6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Effect of catastrophe loss on net loss ratio (2) (3)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6"/>
        </w:trPr>
        <w:tc>
          <w:tcPr>
            <w:tcW w:w="60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2"/>
        </w:trPr>
        <w:tc>
          <w:tcPr>
            <w:tcW w:w="6000" w:type="dxa"/>
            <w:vAlign w:val="bottom"/>
          </w:tcPr>
          <w:p>
            <w:pPr>
              <w:ind w:left="200"/>
              <w:spacing w:after="0"/>
              <w:rPr>
                <w:sz w:val="20"/>
                <w:szCs w:val="20"/>
                <w:color w:val="auto"/>
              </w:rPr>
            </w:pPr>
            <w:r>
              <w:rPr>
                <w:rFonts w:ascii="Arial" w:cs="Arial" w:eastAsia="Arial" w:hAnsi="Arial"/>
                <w:sz w:val="17"/>
                <w:szCs w:val="17"/>
                <w:color w:val="auto"/>
              </w:rPr>
              <w:t>Net loss ratio</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38.5%</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45.9%</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49.1%</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53.4%</w:t>
            </w:r>
          </w:p>
        </w:tc>
      </w:tr>
      <w:tr>
        <w:trPr>
          <w:trHeight w:val="206"/>
        </w:trPr>
        <w:tc>
          <w:tcPr>
            <w:tcW w:w="60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6000" w:type="dxa"/>
            <w:vAlign w:val="bottom"/>
          </w:tcPr>
          <w:p>
            <w:pPr>
              <w:ind w:left="40"/>
              <w:spacing w:after="0"/>
              <w:rPr>
                <w:sz w:val="20"/>
                <w:szCs w:val="20"/>
                <w:color w:val="auto"/>
              </w:rPr>
            </w:pPr>
            <w:r>
              <w:rPr>
                <w:rFonts w:ascii="Arial" w:cs="Arial" w:eastAsia="Arial" w:hAnsi="Arial"/>
                <w:sz w:val="17"/>
                <w:szCs w:val="17"/>
                <w:color w:val="auto"/>
              </w:rPr>
              <w:t>Net underwriting expense ratio excluding the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6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effect of catastrophes</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21.7%</w:t>
            </w:r>
          </w:p>
        </w:tc>
      </w:tr>
      <w:tr>
        <w:trPr>
          <w:trHeight w:val="206"/>
        </w:trPr>
        <w:tc>
          <w:tcPr>
            <w:tcW w:w="6000" w:type="dxa"/>
            <w:vAlign w:val="bottom"/>
          </w:tcPr>
          <w:p>
            <w:pPr>
              <w:ind w:left="40"/>
              <w:spacing w:after="0"/>
              <w:rPr>
                <w:sz w:val="20"/>
                <w:szCs w:val="20"/>
                <w:color w:val="auto"/>
              </w:rPr>
            </w:pPr>
            <w:r>
              <w:rPr>
                <w:rFonts w:ascii="Arial" w:cs="Arial" w:eastAsia="Arial" w:hAnsi="Arial"/>
                <w:sz w:val="17"/>
                <w:szCs w:val="17"/>
                <w:color w:val="auto"/>
              </w:rPr>
              <w:t>Effect of catastrophe loss on net underwriting</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6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expense ratio (1) (2) (3)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6"/>
        </w:trPr>
        <w:tc>
          <w:tcPr>
            <w:tcW w:w="60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2"/>
        </w:trPr>
        <w:tc>
          <w:tcPr>
            <w:tcW w:w="6000" w:type="dxa"/>
            <w:vAlign w:val="bottom"/>
          </w:tcPr>
          <w:p>
            <w:pPr>
              <w:ind w:left="40"/>
              <w:spacing w:after="0"/>
              <w:rPr>
                <w:sz w:val="20"/>
                <w:szCs w:val="20"/>
                <w:color w:val="auto"/>
              </w:rPr>
            </w:pPr>
            <w:r>
              <w:rPr>
                <w:rFonts w:ascii="Arial" w:cs="Arial" w:eastAsia="Arial" w:hAnsi="Arial"/>
                <w:sz w:val="17"/>
                <w:szCs w:val="17"/>
                <w:color w:val="auto"/>
              </w:rPr>
              <w:t>Net underwriting expense ratio</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34.3%</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25.0%</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29.9%</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24.0%</w:t>
            </w:r>
          </w:p>
        </w:tc>
      </w:tr>
      <w:tr>
        <w:trPr>
          <w:trHeight w:val="206"/>
        </w:trPr>
        <w:tc>
          <w:tcPr>
            <w:tcW w:w="60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6000" w:type="dxa"/>
            <w:vAlign w:val="bottom"/>
          </w:tcPr>
          <w:p>
            <w:pPr>
              <w:ind w:left="40"/>
              <w:spacing w:after="0"/>
              <w:rPr>
                <w:sz w:val="20"/>
                <w:szCs w:val="20"/>
                <w:color w:val="auto"/>
              </w:rPr>
            </w:pPr>
            <w:r>
              <w:rPr>
                <w:rFonts w:ascii="Arial" w:cs="Arial" w:eastAsia="Arial" w:hAnsi="Arial"/>
                <w:sz w:val="17"/>
                <w:szCs w:val="17"/>
                <w:color w:val="auto"/>
              </w:rPr>
              <w:t>Net combined ratio excluding the effect</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6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of catastrophes</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72.2%</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70.9%</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70.8%</w:t>
            </w:r>
          </w:p>
        </w:tc>
      </w:tr>
      <w:tr>
        <w:trPr>
          <w:trHeight w:val="206"/>
        </w:trPr>
        <w:tc>
          <w:tcPr>
            <w:tcW w:w="6000" w:type="dxa"/>
            <w:vAlign w:val="bottom"/>
          </w:tcPr>
          <w:p>
            <w:pPr>
              <w:ind w:left="40"/>
              <w:spacing w:after="0"/>
              <w:rPr>
                <w:sz w:val="20"/>
                <w:szCs w:val="20"/>
                <w:color w:val="auto"/>
              </w:rPr>
            </w:pPr>
            <w:r>
              <w:rPr>
                <w:rFonts w:ascii="Arial" w:cs="Arial" w:eastAsia="Arial" w:hAnsi="Arial"/>
                <w:sz w:val="17"/>
                <w:szCs w:val="17"/>
                <w:color w:val="auto"/>
              </w:rPr>
              <w:t>Effect of catastrophe loss on net combined</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6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ratio (1) (2) (3)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6"/>
        </w:trPr>
        <w:tc>
          <w:tcPr>
            <w:tcW w:w="60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2"/>
        </w:trPr>
        <w:tc>
          <w:tcPr>
            <w:tcW w:w="6000" w:type="dxa"/>
            <w:vAlign w:val="bottom"/>
          </w:tcPr>
          <w:p>
            <w:pPr>
              <w:ind w:left="40"/>
              <w:spacing w:after="0"/>
              <w:rPr>
                <w:sz w:val="20"/>
                <w:szCs w:val="20"/>
                <w:color w:val="auto"/>
              </w:rPr>
            </w:pPr>
            <w:r>
              <w:rPr>
                <w:rFonts w:ascii="Arial" w:cs="Arial" w:eastAsia="Arial" w:hAnsi="Arial"/>
                <w:sz w:val="17"/>
                <w:szCs w:val="17"/>
                <w:color w:val="auto"/>
              </w:rPr>
              <w:t>Net combined ratio</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72.8%</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70.9%</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79.0%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77.4%</w:t>
            </w:r>
          </w:p>
        </w:tc>
      </w:tr>
      <w:tr>
        <w:trPr>
          <w:trHeight w:val="206"/>
        </w:trPr>
        <w:tc>
          <w:tcPr>
            <w:tcW w:w="60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00" w:type="dxa"/>
            <w:vAlign w:val="bottom"/>
            <w:gridSpan w:val="2"/>
          </w:tcPr>
          <w:p>
            <w:pPr>
              <w:ind w:left="40"/>
              <w:spacing w:after="0"/>
              <w:rPr>
                <w:sz w:val="20"/>
                <w:szCs w:val="20"/>
                <w:color w:val="auto"/>
              </w:rPr>
            </w:pPr>
            <w:r>
              <w:rPr>
                <w:rFonts w:ascii="Arial" w:cs="Arial" w:eastAsia="Arial" w:hAnsi="Arial"/>
                <w:sz w:val="17"/>
                <w:szCs w:val="17"/>
                <w:color w:val="auto"/>
              </w:rPr>
              <w:t>Reconciliation of net underwriting expense ratio: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60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Acquisition costs and other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6000" w:type="dxa"/>
            <w:vAlign w:val="bottom"/>
            <w:gridSpan w:val="2"/>
          </w:tcPr>
          <w:p>
            <w:pPr>
              <w:ind w:left="200"/>
              <w:spacing w:after="0"/>
              <w:rPr>
                <w:sz w:val="20"/>
                <w:szCs w:val="20"/>
                <w:color w:val="auto"/>
              </w:rPr>
            </w:pPr>
            <w:r>
              <w:rPr>
                <w:rFonts w:ascii="Arial" w:cs="Arial" w:eastAsia="Arial" w:hAnsi="Arial"/>
                <w:sz w:val="17"/>
                <w:szCs w:val="17"/>
                <w:color w:val="auto"/>
              </w:rPr>
              <w:t>underwriting expenses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7,410,407</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5,951,772</w:t>
            </w:r>
          </w:p>
        </w:tc>
        <w:tc>
          <w:tcPr>
            <w:tcW w:w="26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20,383,716</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16,248,896</w:t>
            </w:r>
          </w:p>
        </w:tc>
      </w:tr>
      <w:tr>
        <w:trPr>
          <w:trHeight w:val="206"/>
        </w:trPr>
        <w:tc>
          <w:tcPr>
            <w:tcW w:w="60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Less: Ceding commission revenue (1)</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(2,643,531)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(3,278,319)</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(9,388,457)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(10,365,651)</w:t>
            </w:r>
          </w:p>
        </w:tc>
      </w:tr>
      <w:tr>
        <w:trPr>
          <w:trHeight w:val="206"/>
        </w:trPr>
        <w:tc>
          <w:tcPr>
            <w:tcW w:w="6000" w:type="dxa"/>
            <w:vAlign w:val="bottom"/>
            <w:gridSpan w:val="2"/>
          </w:tcPr>
          <w:p>
            <w:pPr>
              <w:ind w:left="40"/>
              <w:spacing w:after="0"/>
              <w:rPr>
                <w:sz w:val="20"/>
                <w:szCs w:val="20"/>
                <w:color w:val="auto"/>
              </w:rPr>
            </w:pPr>
            <w:r>
              <w:rPr>
                <w:rFonts w:ascii="Arial" w:cs="Arial" w:eastAsia="Arial" w:hAnsi="Arial"/>
                <w:sz w:val="17"/>
                <w:szCs w:val="17"/>
                <w:color w:val="auto"/>
              </w:rPr>
              <w:t>Less: Other income</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(268,698)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(204,494)</w:t>
            </w:r>
          </w:p>
        </w:tc>
        <w:tc>
          <w:tcPr>
            <w:tcW w:w="2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(721,087)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(535,847)</w:t>
            </w:r>
          </w:p>
        </w:tc>
      </w:tr>
      <w:tr>
        <w:trPr>
          <w:trHeight w:val="26"/>
        </w:trPr>
        <w:tc>
          <w:tcPr>
            <w:tcW w:w="11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46"/>
        </w:trPr>
        <w:tc>
          <w:tcPr>
            <w:tcW w:w="1180" w:type="dxa"/>
            <w:vAlign w:val="bottom"/>
            <w:shd w:val="clear" w:color="auto" w:fill="CCEEFF"/>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4,498,178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2,468,959</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10,274,172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5,347,398</w:t>
            </w:r>
          </w:p>
        </w:tc>
        <w:tc>
          <w:tcPr>
            <w:tcW w:w="160" w:type="dxa"/>
            <w:vAlign w:val="bottom"/>
            <w:shd w:val="clear" w:color="auto" w:fill="CCEEFF"/>
          </w:tcPr>
          <w:p>
            <w:pPr>
              <w:spacing w:after="0"/>
              <w:rPr>
                <w:sz w:val="21"/>
                <w:szCs w:val="21"/>
                <w:color w:val="auto"/>
              </w:rPr>
            </w:pPr>
          </w:p>
        </w:tc>
      </w:tr>
      <w:tr>
        <w:trPr>
          <w:trHeight w:val="95"/>
        </w:trPr>
        <w:tc>
          <w:tcPr>
            <w:tcW w:w="1180" w:type="dxa"/>
            <w:vAlign w:val="bottom"/>
            <w:tcBorders>
              <w:top w:val="single" w:sz="8" w:color="CCEEFF"/>
              <w:bottom w:val="single" w:sz="8" w:color="808080"/>
            </w:tcBorders>
          </w:tcPr>
          <w:p>
            <w:pPr>
              <w:spacing w:after="0"/>
              <w:rPr>
                <w:sz w:val="8"/>
                <w:szCs w:val="8"/>
                <w:color w:val="auto"/>
              </w:rPr>
            </w:pPr>
          </w:p>
        </w:tc>
        <w:tc>
          <w:tcPr>
            <w:tcW w:w="4820" w:type="dxa"/>
            <w:vAlign w:val="bottom"/>
            <w:tcBorders>
              <w:top w:val="single" w:sz="8" w:color="CCEE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60" w:type="dxa"/>
            <w:vAlign w:val="bottom"/>
            <w:tcBorders>
              <w:top w:val="single" w:sz="8" w:color="CCEEFF"/>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r>
    </w:tbl>
    <w:p>
      <w:pPr>
        <w:spacing w:after="0" w:line="91" w:lineRule="exact"/>
        <w:rPr>
          <w:sz w:val="20"/>
          <w:szCs w:val="20"/>
          <w:color w:val="auto"/>
        </w:rPr>
      </w:pPr>
    </w:p>
    <w:p>
      <w:pPr>
        <w:jc w:val="both"/>
        <w:ind w:firstLine="3"/>
        <w:spacing w:after="0" w:line="266" w:lineRule="auto"/>
        <w:tabs>
          <w:tab w:leader="none" w:pos="2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the nine months ended September 30, 2015 and 2014, the effect of severe winter weather, defined as a catastrophe, reduced contingent ceding commission revenue by $1,280,521 and $517,269, respectively. For the three months ended September 30, 2015 and 2014, there was no effect from severe winter weather, defined as a catastrophe, on contingent ceding commission.</w:t>
      </w:r>
    </w:p>
    <w:p>
      <w:pPr>
        <w:spacing w:after="0" w:line="201" w:lineRule="exact"/>
        <w:rPr>
          <w:rFonts w:ascii="Arial" w:cs="Arial" w:eastAsia="Arial" w:hAnsi="Arial"/>
          <w:sz w:val="17"/>
          <w:szCs w:val="17"/>
          <w:color w:val="auto"/>
        </w:rPr>
      </w:pPr>
    </w:p>
    <w:p>
      <w:pPr>
        <w:jc w:val="both"/>
        <w:ind w:firstLine="3"/>
        <w:spacing w:after="0" w:line="266" w:lineRule="auto"/>
        <w:tabs>
          <w:tab w:leader="none" w:pos="251"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the nine months ended September 30, 2015 and 2014, includes the sum of net catastrophe losses and loss adjustment expenses of $2,090,593 and $941,027, respectively, resulting from severe winter weather. For the three months ended September 30, 2015 and 2014, includes the sum of net catastrophe losses and loss adjustment expenses of $78,232 and $-0-, respectively, resulting from severe winter weather.</w:t>
      </w:r>
    </w:p>
    <w:p>
      <w:pPr>
        <w:spacing w:after="0" w:line="201" w:lineRule="exact"/>
        <w:rPr>
          <w:rFonts w:ascii="Arial" w:cs="Arial" w:eastAsia="Arial" w:hAnsi="Arial"/>
          <w:sz w:val="17"/>
          <w:szCs w:val="17"/>
          <w:color w:val="auto"/>
        </w:rPr>
      </w:pPr>
    </w:p>
    <w:p>
      <w:pPr>
        <w:jc w:val="both"/>
        <w:ind w:firstLine="3"/>
        <w:spacing w:after="0" w:line="260" w:lineRule="auto"/>
        <w:tabs>
          <w:tab w:leader="none" w:pos="2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the nine months ended September 30, 2015 and 2014, the effect of catastrophe loss from severe winter weather on our net combined ratio only includes the direct effects of loss and loss adjustment expenses and ceding commission revenue and does not include the indirect effects of a $324,906 and $163,673, respectively, decrease in other underwriting expenses. For the three months ended September 30, 2015 and 2014, the effect of catastrophe loss from severe winter weather on our net combined ratio only includes the direct effects of loss and loss adjustment expenses and ceding commission revenue. There was no material indirect effect to other underwriting expenses.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Investments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Portfolio Summary</w:t>
      </w:r>
    </w:p>
    <w:p>
      <w:pPr>
        <w:spacing w:after="0" w:line="243"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following table presents a breakdown of the amortized cost, aggregate fair value and unrealized gains and losses by investment type as of September 30, 2015 and December 31, 2014:</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Available-for-Sale Securities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September 30, 2015</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90"/>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 or</w:t>
            </w: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Gross Unrealized Losses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r>
      <w:tr>
        <w:trPr>
          <w:trHeight w:val="179"/>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w w:val="90"/>
              </w:rPr>
              <w:t>Amortized</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7"/>
              </w:rPr>
              <w:t>Less than 12</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2"/>
              </w:rPr>
              <w:t>More than 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w w:val="93"/>
              </w:rPr>
              <w:t>Fair</w:t>
            </w:r>
          </w:p>
        </w:tc>
        <w:tc>
          <w:tcPr>
            <w:tcW w:w="128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rPr>
              <w:t>Fair</w:t>
            </w:r>
          </w:p>
        </w:tc>
      </w:tr>
      <w:tr>
        <w:trPr>
          <w:trHeight w:val="17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5"/>
              </w:rPr>
              <w:t>Cos</w:t>
            </w:r>
            <w:r>
              <w:rPr>
                <w:rFonts w:ascii="Arial" w:cs="Arial" w:eastAsia="Arial" w:hAnsi="Arial"/>
                <w:sz w:val="14"/>
                <w:szCs w:val="14"/>
                <w:color w:val="auto"/>
                <w:w w:val="85"/>
              </w:rPr>
              <w:t>t</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8"/>
              </w:rPr>
              <w:t>Months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8"/>
              </w:rPr>
              <w:t>Months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5"/>
                <w:szCs w:val="15"/>
                <w:color w:val="auto"/>
              </w:rPr>
            </w:pPr>
          </w:p>
        </w:tc>
      </w:tr>
      <w:tr>
        <w:trPr>
          <w:trHeight w:val="412"/>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Political subdivisions of States,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Territories and Possessions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1"/>
              </w:rPr>
              <w:t>13,682,943.00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478,684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(37,619)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14,124,008.00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19.7%</w:t>
            </w:r>
          </w:p>
        </w:tc>
      </w:tr>
      <w:tr>
        <w:trPr>
          <w:trHeight w:val="206"/>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Corporate and other bonds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Industrial and miscellaneous</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43,005,459</w:t>
            </w: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791,305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(333,737)</w:t>
            </w: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(40,438)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43,422,589</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60.6%</w:t>
            </w:r>
          </w:p>
        </w:tc>
      </w:tr>
      <w:tr>
        <w:trPr>
          <w:trHeight w:val="206"/>
        </w:trPr>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Residential mortgage backed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securities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4,523,275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49,488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(24,051)</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4,548,712</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6"/>
        </w:trPr>
        <w:tc>
          <w:tcPr>
            <w:tcW w:w="3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Total fixed-maturity securities</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61,211,677</w:t>
            </w: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1,319,477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(395,407)</w:t>
            </w: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(40,438)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62,095,309</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86.7%</w:t>
            </w:r>
          </w:p>
        </w:tc>
      </w:tr>
      <w:tr>
        <w:trPr>
          <w:trHeight w:val="20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Equity Securities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9,536,987</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320,708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(349,805)</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(14,598)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9,493,292</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w:t>
            </w:r>
          </w:p>
        </w:tc>
      </w:tr>
      <w:tr>
        <w:trPr>
          <w:trHeight w:val="26"/>
        </w:trPr>
        <w:tc>
          <w:tcPr>
            <w:tcW w:w="3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70,748,664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1,640,185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(745,212)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(55,036)</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71,588,601</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100.00%</w:t>
            </w: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6"/>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7"/>
                <w:szCs w:val="17"/>
                <w:b w:val="1"/>
                <w:bCs w:val="1"/>
                <w:color w:val="auto"/>
              </w:rPr>
              <w:t>December 31, 2014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19"/>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0"/>
              </w:rPr>
              <w:t>Cost or</w:t>
            </w: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Gross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jc w:val="right"/>
              <w:ind w:right="500"/>
              <w:spacing w:after="0"/>
              <w:rPr>
                <w:sz w:val="20"/>
                <w:szCs w:val="20"/>
                <w:color w:val="auto"/>
              </w:rPr>
            </w:pPr>
            <w:r>
              <w:rPr>
                <w:rFonts w:ascii="Arial" w:cs="Arial" w:eastAsia="Arial" w:hAnsi="Arial"/>
                <w:sz w:val="17"/>
                <w:szCs w:val="17"/>
                <w:b w:val="1"/>
                <w:bCs w:val="1"/>
                <w:color w:val="auto"/>
              </w:rPr>
              <w:t>Gross Unrealized Losses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Aggregate</w:t>
            </w:r>
          </w:p>
        </w:tc>
        <w:tc>
          <w:tcPr>
            <w:tcW w:w="12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rPr>
              <w:t>% of</w:t>
            </w:r>
          </w:p>
        </w:tc>
      </w:tr>
      <w:tr>
        <w:trPr>
          <w:trHeight w:val="188"/>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88" w:lineRule="exact"/>
              <w:rPr>
                <w:sz w:val="20"/>
                <w:szCs w:val="20"/>
                <w:color w:val="auto"/>
              </w:rPr>
            </w:pPr>
            <w:r>
              <w:rPr>
                <w:rFonts w:ascii="Arial" w:cs="Arial" w:eastAsia="Arial" w:hAnsi="Arial"/>
                <w:sz w:val="17"/>
                <w:szCs w:val="17"/>
                <w:b w:val="1"/>
                <w:bCs w:val="1"/>
                <w:color w:val="auto"/>
                <w:w w:val="93"/>
              </w:rPr>
              <w:t>Amortized</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line="188" w:lineRule="exact"/>
              <w:rPr>
                <w:sz w:val="20"/>
                <w:szCs w:val="20"/>
                <w:color w:val="auto"/>
              </w:rPr>
            </w:pPr>
            <w:r>
              <w:rPr>
                <w:rFonts w:ascii="Arial" w:cs="Arial" w:eastAsia="Arial" w:hAnsi="Arial"/>
                <w:sz w:val="17"/>
                <w:szCs w:val="17"/>
                <w:b w:val="1"/>
                <w:bCs w:val="1"/>
                <w:color w:val="auto"/>
                <w:w w:val="92"/>
              </w:rPr>
              <w:t>Unrealized</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20"/>
              <w:spacing w:after="0" w:line="188" w:lineRule="exact"/>
              <w:rPr>
                <w:sz w:val="20"/>
                <w:szCs w:val="20"/>
                <w:color w:val="auto"/>
              </w:rPr>
            </w:pPr>
            <w:r>
              <w:rPr>
                <w:rFonts w:ascii="Arial" w:cs="Arial" w:eastAsia="Arial" w:hAnsi="Arial"/>
                <w:sz w:val="17"/>
                <w:szCs w:val="17"/>
                <w:b w:val="1"/>
                <w:bCs w:val="1"/>
                <w:color w:val="auto"/>
                <w:w w:val="89"/>
              </w:rPr>
              <w:t>Less than 12</w:t>
            </w:r>
          </w:p>
        </w:tc>
        <w:tc>
          <w:tcPr>
            <w:tcW w:w="1160" w:type="dxa"/>
            <w:vAlign w:val="bottom"/>
            <w:tcBorders>
              <w:top w:val="single" w:sz="8" w:color="auto"/>
            </w:tcBorders>
            <w:gridSpan w:val="2"/>
          </w:tcPr>
          <w:p>
            <w:pPr>
              <w:jc w:val="center"/>
              <w:spacing w:after="0" w:line="188" w:lineRule="exact"/>
              <w:rPr>
                <w:sz w:val="20"/>
                <w:szCs w:val="20"/>
                <w:color w:val="auto"/>
              </w:rPr>
            </w:pPr>
            <w:r>
              <w:rPr>
                <w:rFonts w:ascii="Arial" w:cs="Arial" w:eastAsia="Arial" w:hAnsi="Arial"/>
                <w:sz w:val="17"/>
                <w:szCs w:val="17"/>
                <w:b w:val="1"/>
                <w:bCs w:val="1"/>
                <w:color w:val="auto"/>
                <w:w w:val="95"/>
              </w:rPr>
              <w:t>More than 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00"/>
              <w:spacing w:after="0" w:line="188" w:lineRule="exact"/>
              <w:rPr>
                <w:sz w:val="20"/>
                <w:szCs w:val="20"/>
                <w:color w:val="auto"/>
              </w:rPr>
            </w:pPr>
            <w:r>
              <w:rPr>
                <w:rFonts w:ascii="Arial" w:cs="Arial" w:eastAsia="Arial" w:hAnsi="Arial"/>
                <w:sz w:val="17"/>
                <w:szCs w:val="17"/>
                <w:b w:val="1"/>
                <w:bCs w:val="1"/>
                <w:color w:val="auto"/>
              </w:rPr>
              <w:t>Fair</w:t>
            </w:r>
          </w:p>
        </w:tc>
        <w:tc>
          <w:tcPr>
            <w:tcW w:w="1280" w:type="dxa"/>
            <w:vAlign w:val="bottom"/>
            <w:gridSpan w:val="2"/>
          </w:tcPr>
          <w:p>
            <w:pPr>
              <w:jc w:val="center"/>
              <w:ind w:right="140"/>
              <w:spacing w:after="0" w:line="188" w:lineRule="exact"/>
              <w:rPr>
                <w:sz w:val="20"/>
                <w:szCs w:val="20"/>
                <w:color w:val="auto"/>
              </w:rPr>
            </w:pPr>
            <w:r>
              <w:rPr>
                <w:rFonts w:ascii="Arial" w:cs="Arial" w:eastAsia="Arial" w:hAnsi="Arial"/>
                <w:sz w:val="17"/>
                <w:szCs w:val="17"/>
                <w:b w:val="1"/>
                <w:bCs w:val="1"/>
                <w:color w:val="auto"/>
                <w:w w:val="96"/>
              </w:rPr>
              <w:t>Fair</w:t>
            </w:r>
          </w:p>
        </w:tc>
      </w:tr>
      <w:tr>
        <w:trPr>
          <w:trHeight w:val="231"/>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Categor</w:t>
            </w:r>
            <w:r>
              <w:rPr>
                <w:rFonts w:ascii="Arial" w:cs="Arial" w:eastAsia="Arial" w:hAnsi="Arial"/>
                <w:sz w:val="17"/>
                <w:szCs w:val="17"/>
                <w:color w:val="auto"/>
              </w:rPr>
              <w:t>y</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7"/>
              <w:spacing w:after="0"/>
              <w:rPr>
                <w:sz w:val="20"/>
                <w:szCs w:val="20"/>
                <w:color w:val="auto"/>
              </w:rPr>
            </w:pPr>
            <w:r>
              <w:rPr>
                <w:rFonts w:ascii="Arial" w:cs="Arial" w:eastAsia="Arial" w:hAnsi="Arial"/>
                <w:sz w:val="17"/>
                <w:szCs w:val="17"/>
                <w:b w:val="1"/>
                <w:bCs w:val="1"/>
                <w:color w:val="auto"/>
                <w:w w:val="86"/>
              </w:rPr>
              <w:t>Cos</w:t>
            </w:r>
            <w:r>
              <w:rPr>
                <w:rFonts w:ascii="Arial" w:cs="Arial" w:eastAsia="Arial" w:hAnsi="Arial"/>
                <w:sz w:val="17"/>
                <w:szCs w:val="17"/>
                <w:color w:val="auto"/>
                <w:w w:val="86"/>
              </w:rPr>
              <w:t>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7"/>
                <w:szCs w:val="17"/>
                <w:b w:val="1"/>
                <w:bCs w:val="1"/>
                <w:color w:val="auto"/>
                <w:w w:val="93"/>
              </w:rPr>
              <w:t>Gains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8"/>
              <w:spacing w:after="0"/>
              <w:rPr>
                <w:sz w:val="20"/>
                <w:szCs w:val="20"/>
                <w:color w:val="auto"/>
              </w:rPr>
            </w:pPr>
            <w:r>
              <w:rPr>
                <w:rFonts w:ascii="Arial" w:cs="Arial" w:eastAsia="Arial" w:hAnsi="Arial"/>
                <w:sz w:val="17"/>
                <w:szCs w:val="17"/>
                <w:b w:val="1"/>
                <w:bCs w:val="1"/>
                <w:color w:val="auto"/>
                <w:w w:val="92"/>
              </w:rPr>
              <w:t>Months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92"/>
              </w:rPr>
              <w:t>Months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7"/>
              <w:spacing w:after="0"/>
              <w:rPr>
                <w:sz w:val="20"/>
                <w:szCs w:val="20"/>
                <w:color w:val="auto"/>
              </w:rPr>
            </w:pPr>
            <w:r>
              <w:rPr>
                <w:rFonts w:ascii="Arial" w:cs="Arial" w:eastAsia="Arial" w:hAnsi="Arial"/>
                <w:sz w:val="17"/>
                <w:szCs w:val="17"/>
                <w:b w:val="1"/>
                <w:bCs w:val="1"/>
                <w:color w:val="auto"/>
                <w:w w:val="88"/>
              </w:rPr>
              <w:t>Value</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Value</w:t>
            </w:r>
          </w:p>
        </w:tc>
        <w:tc>
          <w:tcPr>
            <w:tcW w:w="160" w:type="dxa"/>
            <w:vAlign w:val="bottom"/>
          </w:tcPr>
          <w:p>
            <w:pPr>
              <w:spacing w:after="0"/>
              <w:rPr>
                <w:sz w:val="20"/>
                <w:szCs w:val="20"/>
                <w:color w:val="auto"/>
              </w:rPr>
            </w:pPr>
          </w:p>
        </w:tc>
      </w:tr>
      <w:tr>
        <w:trPr>
          <w:trHeight w:val="412"/>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Political subdivisions of States,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Territories and Possessions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13,862,141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412,490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(23,813)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(6,379)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14,244,439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24.1%</w:t>
            </w:r>
          </w:p>
        </w:tc>
      </w:tr>
      <w:tr>
        <w:trPr>
          <w:trHeight w:val="206"/>
        </w:trPr>
        <w:tc>
          <w:tcPr>
            <w:tcW w:w="33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Corporate and other bonds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Industrial and miscellaneous</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36,221,300</w:t>
            </w: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803,440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(118,092)</w:t>
            </w: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(30,228)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36,876,420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62.4%</w:t>
            </w:r>
          </w:p>
        </w:tc>
      </w:tr>
      <w:tr>
        <w:trPr>
          <w:trHeight w:val="26"/>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Total fixed-maturity securities</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50,083,441</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1,215,930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(141,905)</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(36,607)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51,120,859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86.5%</w:t>
            </w:r>
          </w:p>
        </w:tc>
      </w:tr>
      <w:tr>
        <w:trPr>
          <w:trHeight w:val="206"/>
        </w:trPr>
        <w:tc>
          <w:tcPr>
            <w:tcW w:w="3320" w:type="dxa"/>
            <w:vAlign w:val="bottom"/>
            <w:gridSpan w:val="2"/>
          </w:tcPr>
          <w:p>
            <w:pPr>
              <w:ind w:left="40"/>
              <w:spacing w:after="0"/>
              <w:rPr>
                <w:sz w:val="20"/>
                <w:szCs w:val="20"/>
                <w:color w:val="auto"/>
              </w:rPr>
            </w:pPr>
            <w:r>
              <w:rPr>
                <w:rFonts w:ascii="Arial" w:cs="Arial" w:eastAsia="Arial" w:hAnsi="Arial"/>
                <w:sz w:val="17"/>
                <w:szCs w:val="17"/>
                <w:color w:val="auto"/>
              </w:rPr>
              <w:t>Equity Securities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7,621,309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464,130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(2,647)</w:t>
            </w: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(65,063)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8,017,729</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13.5%</w:t>
            </w:r>
          </w:p>
        </w:tc>
      </w:tr>
      <w:tr>
        <w:trPr>
          <w:trHeight w:val="26"/>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46"/>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57,704,750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1,680,060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(144,552)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(101,670)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59,138,588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571"/>
        </w:trPr>
        <w:tc>
          <w:tcPr>
            <w:tcW w:w="3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114"/>
        </w:trPr>
        <w:tc>
          <w:tcPr>
            <w:tcW w:w="3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3" w:name="page54"/>
    <w:bookmarkEnd w:id="53"/>
    <w:p>
      <w:pPr>
        <w:ind w:left="620"/>
        <w:spacing w:after="0"/>
        <w:rPr>
          <w:sz w:val="20"/>
          <w:szCs w:val="20"/>
          <w:color w:val="auto"/>
        </w:rPr>
      </w:pPr>
      <w:r>
        <w:rPr>
          <w:rFonts w:ascii="Arial" w:cs="Arial" w:eastAsia="Arial" w:hAnsi="Arial"/>
          <w:sz w:val="17"/>
          <w:szCs w:val="17"/>
          <w:u w:val="single" w:color="auto"/>
          <w:color w:val="auto"/>
        </w:rPr>
        <w:t>Held-to-Maturity Securities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September 30, 2015</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Cost or</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Gross Unrealized Losses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101"/>
              <w:spacing w:after="0" w:line="156" w:lineRule="exact"/>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7"/>
              </w:rPr>
              <w:t>Less than 12</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More than 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80"/>
              <w:spacing w:after="0" w:line="156" w:lineRule="exact"/>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5"/>
                <w:szCs w:val="15"/>
                <w:color w:val="auto"/>
              </w:rPr>
            </w:pPr>
          </w:p>
        </w:tc>
        <w:tc>
          <w:tcPr>
            <w:tcW w:w="128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gridSpan w:val="2"/>
          </w:tcPr>
          <w:p>
            <w:pPr>
              <w:ind w:left="2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80" w:type="dxa"/>
            <w:vAlign w:val="bottom"/>
          </w:tcPr>
          <w:p>
            <w:pPr>
              <w:spacing w:after="0"/>
              <w:rPr>
                <w:sz w:val="15"/>
                <w:szCs w:val="15"/>
                <w:color w:val="auto"/>
              </w:rPr>
            </w:pPr>
          </w:p>
        </w:tc>
        <w:tc>
          <w:tcPr>
            <w:tcW w:w="960" w:type="dxa"/>
            <w:vAlign w:val="bottom"/>
          </w:tcPr>
          <w:p>
            <w:pPr>
              <w:jc w:val="center"/>
              <w:ind w:right="101"/>
              <w:spacing w:after="0"/>
              <w:rPr>
                <w:sz w:val="20"/>
                <w:szCs w:val="20"/>
                <w:color w:val="auto"/>
              </w:rPr>
            </w:pPr>
            <w:r>
              <w:rPr>
                <w:rFonts w:ascii="Arial" w:cs="Arial" w:eastAsia="Arial" w:hAnsi="Arial"/>
                <w:sz w:val="14"/>
                <w:szCs w:val="14"/>
                <w:b w:val="1"/>
                <w:bCs w:val="1"/>
                <w:color w:val="auto"/>
                <w:w w:val="85"/>
              </w:rPr>
              <w:t>Cos</w:t>
            </w:r>
            <w:r>
              <w:rPr>
                <w:rFonts w:ascii="Arial" w:cs="Arial" w:eastAsia="Arial" w:hAnsi="Arial"/>
                <w:sz w:val="14"/>
                <w:szCs w:val="14"/>
                <w:color w:val="auto"/>
                <w:w w:val="85"/>
              </w:rPr>
              <w:t>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Months</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Months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80"/>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606,380</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163,096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769,476</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Territories and Possessions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1,416,537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58,142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(46,621)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1,428,058</w:t>
            </w:r>
          </w:p>
        </w:tc>
        <w:tc>
          <w:tcPr>
            <w:tcW w:w="1480" w:type="dxa"/>
            <w:vAlign w:val="bottom"/>
            <w:gridSpan w:val="3"/>
          </w:tcPr>
          <w:p>
            <w:pPr>
              <w:jc w:val="right"/>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Corporate and other bonds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Industrial and miscellaneous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3,114,281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91,875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(2,577)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(127,694)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3,075,885</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5,137,198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313,113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(174,315)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5,273,419</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December 31, 2014</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Cost or</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Gross Unrealized Losses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101"/>
              <w:spacing w:after="0" w:line="156" w:lineRule="exact"/>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7"/>
              </w:rPr>
              <w:t>Less than 12</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More than 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80"/>
              <w:spacing w:after="0" w:line="156" w:lineRule="exact"/>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5"/>
                <w:szCs w:val="15"/>
                <w:color w:val="auto"/>
              </w:rPr>
            </w:pPr>
          </w:p>
        </w:tc>
        <w:tc>
          <w:tcPr>
            <w:tcW w:w="128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gridSpan w:val="2"/>
          </w:tcPr>
          <w:p>
            <w:pPr>
              <w:ind w:left="2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80" w:type="dxa"/>
            <w:vAlign w:val="bottom"/>
          </w:tcPr>
          <w:p>
            <w:pPr>
              <w:spacing w:after="0"/>
              <w:rPr>
                <w:sz w:val="15"/>
                <w:szCs w:val="15"/>
                <w:color w:val="auto"/>
              </w:rPr>
            </w:pPr>
          </w:p>
        </w:tc>
        <w:tc>
          <w:tcPr>
            <w:tcW w:w="960" w:type="dxa"/>
            <w:vAlign w:val="bottom"/>
          </w:tcPr>
          <w:p>
            <w:pPr>
              <w:jc w:val="center"/>
              <w:ind w:right="101"/>
              <w:spacing w:after="0"/>
              <w:rPr>
                <w:sz w:val="20"/>
                <w:szCs w:val="20"/>
                <w:color w:val="auto"/>
              </w:rPr>
            </w:pPr>
            <w:r>
              <w:rPr>
                <w:rFonts w:ascii="Arial" w:cs="Arial" w:eastAsia="Arial" w:hAnsi="Arial"/>
                <w:sz w:val="14"/>
                <w:szCs w:val="14"/>
                <w:b w:val="1"/>
                <w:bCs w:val="1"/>
                <w:color w:val="auto"/>
                <w:w w:val="85"/>
              </w:rPr>
              <w:t>Cos</w:t>
            </w:r>
            <w:r>
              <w:rPr>
                <w:rFonts w:ascii="Arial" w:cs="Arial" w:eastAsia="Arial" w:hAnsi="Arial"/>
                <w:sz w:val="14"/>
                <w:szCs w:val="14"/>
                <w:color w:val="auto"/>
                <w:w w:val="85"/>
              </w:rPr>
              <w:t>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Months</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Months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80"/>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606,353</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183,200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789,553</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3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Territories and Possessions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1,413,303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49,981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(12,247)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1,451,037</w:t>
            </w:r>
          </w:p>
        </w:tc>
        <w:tc>
          <w:tcPr>
            <w:tcW w:w="1480" w:type="dxa"/>
            <w:vAlign w:val="bottom"/>
            <w:gridSpan w:val="3"/>
          </w:tcPr>
          <w:p>
            <w:pPr>
              <w:jc w:val="right"/>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Corporate and other bonds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Industrial and miscellaneous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3,109,079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98,306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(52,921)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3,154,464</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tcBorders>
              <w:top w:val="single" w:sz="8" w:color="CCEEFF"/>
            </w:tcBorders>
            <w:gridSpan w:val="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5,128,735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331,487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(52,921)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(12,247)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5,395,054.00</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U.S. Treasury securities included in held-to-maturity securities are held in trust pursuant to the New York State Department of Financial Services’ minimum funds requirement.</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amortized cost and fair value of the Company’s investments in held-to-maturity securities by contractual maturity as of September 30, 2015 and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2014 is shown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jc w:val="right"/>
              <w:ind w:right="617"/>
              <w:spacing w:after="0"/>
              <w:rPr>
                <w:sz w:val="20"/>
                <w:szCs w:val="20"/>
                <w:color w:val="auto"/>
              </w:rPr>
            </w:pPr>
            <w:r>
              <w:rPr>
                <w:rFonts w:ascii="Arial" w:cs="Arial" w:eastAsia="Arial" w:hAnsi="Arial"/>
                <w:sz w:val="14"/>
                <w:szCs w:val="14"/>
                <w:b w:val="1"/>
                <w:bCs w:val="1"/>
                <w:color w:val="auto"/>
              </w:rPr>
              <w:t>September 30, 2015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 2014</w:t>
            </w:r>
          </w:p>
        </w:tc>
      </w:tr>
      <w:tr>
        <w:trPr>
          <w:trHeight w:val="179"/>
        </w:trPr>
        <w:tc>
          <w:tcPr>
            <w:tcW w:w="36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Amortized</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Amortized</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680" w:type="dxa"/>
            <w:vAlign w:val="bottom"/>
          </w:tcPr>
          <w:p>
            <w:pPr>
              <w:ind w:left="40"/>
              <w:spacing w:after="0"/>
              <w:rPr>
                <w:sz w:val="20"/>
                <w:szCs w:val="20"/>
                <w:color w:val="auto"/>
              </w:rPr>
            </w:pPr>
            <w:r>
              <w:rPr>
                <w:rFonts w:ascii="Arial" w:cs="Arial" w:eastAsia="Arial" w:hAnsi="Arial"/>
                <w:sz w:val="14"/>
                <w:szCs w:val="14"/>
                <w:b w:val="1"/>
                <w:bCs w:val="1"/>
                <w:color w:val="auto"/>
              </w:rPr>
              <w:t>Remaining Time to Maturit</w:t>
            </w:r>
            <w:r>
              <w:rPr>
                <w:rFonts w:ascii="Arial" w:cs="Arial" w:eastAsia="Arial" w:hAnsi="Arial"/>
                <w:sz w:val="14"/>
                <w:szCs w:val="14"/>
                <w:color w:val="auto"/>
              </w:rPr>
              <w:t>y</w:t>
            </w: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77"/>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 Value</w:t>
            </w:r>
          </w:p>
        </w:tc>
      </w:tr>
      <w:tr>
        <w:trPr>
          <w:trHeight w:val="206"/>
        </w:trPr>
        <w:tc>
          <w:tcPr>
            <w:tcW w:w="368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3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Less than one year</w:t>
            </w:r>
          </w:p>
        </w:tc>
        <w:tc>
          <w:tcPr>
            <w:tcW w:w="2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3680" w:type="dxa"/>
            <w:vAlign w:val="bottom"/>
          </w:tcPr>
          <w:p>
            <w:pPr>
              <w:ind w:left="40"/>
              <w:spacing w:after="0"/>
              <w:rPr>
                <w:sz w:val="20"/>
                <w:szCs w:val="20"/>
                <w:color w:val="auto"/>
              </w:rPr>
            </w:pPr>
            <w:r>
              <w:rPr>
                <w:rFonts w:ascii="Arial" w:cs="Arial" w:eastAsia="Arial" w:hAnsi="Arial"/>
                <w:sz w:val="17"/>
                <w:szCs w:val="17"/>
                <w:color w:val="auto"/>
              </w:rPr>
              <w:t>One to five years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500,000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505,150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3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Five to ten years</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4,030,818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3,998,793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3,522,927</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3,563,401</w:t>
            </w:r>
          </w:p>
        </w:tc>
      </w:tr>
      <w:tr>
        <w:trPr>
          <w:trHeight w:val="206"/>
        </w:trPr>
        <w:tc>
          <w:tcPr>
            <w:tcW w:w="3680" w:type="dxa"/>
            <w:vAlign w:val="bottom"/>
          </w:tcPr>
          <w:p>
            <w:pPr>
              <w:ind w:left="40"/>
              <w:spacing w:after="0"/>
              <w:rPr>
                <w:sz w:val="20"/>
                <w:szCs w:val="20"/>
                <w:color w:val="auto"/>
              </w:rPr>
            </w:pPr>
            <w:r>
              <w:rPr>
                <w:rFonts w:ascii="Arial" w:cs="Arial" w:eastAsia="Arial" w:hAnsi="Arial"/>
                <w:sz w:val="17"/>
                <w:szCs w:val="17"/>
                <w:color w:val="auto"/>
              </w:rPr>
              <w:t>More than 10 years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606,380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769,476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1,605,808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1,831,653</w:t>
            </w:r>
          </w:p>
        </w:tc>
      </w:tr>
      <w:tr>
        <w:trPr>
          <w:trHeight w:val="26"/>
        </w:trPr>
        <w:tc>
          <w:tcPr>
            <w:tcW w:w="36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6"/>
        </w:trPr>
        <w:tc>
          <w:tcPr>
            <w:tcW w:w="3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380" w:type="dxa"/>
            <w:vAlign w:val="bottom"/>
            <w:gridSpan w:val="2"/>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5,137,198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5,273,419</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5,128,735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5,395,054</w:t>
            </w:r>
          </w:p>
        </w:tc>
      </w:tr>
      <w:tr>
        <w:trPr>
          <w:trHeight w:val="571"/>
        </w:trPr>
        <w:tc>
          <w:tcPr>
            <w:tcW w:w="3680" w:type="dxa"/>
            <w:vAlign w:val="bottom"/>
            <w:tcBorders>
              <w:top w:val="single" w:sz="8" w:color="CCEEFF"/>
            </w:tcBorders>
          </w:tcPr>
          <w:p>
            <w:pPr>
              <w:spacing w:after="0"/>
              <w:rPr>
                <w:sz w:val="24"/>
                <w:szCs w:val="24"/>
                <w:color w:val="auto"/>
              </w:rPr>
            </w:pPr>
          </w:p>
        </w:tc>
        <w:tc>
          <w:tcPr>
            <w:tcW w:w="2280" w:type="dxa"/>
            <w:vAlign w:val="bottom"/>
            <w:tcBorders>
              <w:top w:val="single" w:sz="8" w:color="CCEEFF"/>
            </w:tcBorders>
          </w:tcPr>
          <w:p>
            <w:pPr>
              <w:jc w:val="right"/>
              <w:ind w:right="74"/>
              <w:spacing w:after="0"/>
              <w:rPr>
                <w:sz w:val="20"/>
                <w:szCs w:val="20"/>
                <w:color w:val="auto"/>
              </w:rPr>
            </w:pPr>
            <w:r>
              <w:rPr>
                <w:rFonts w:ascii="Arial" w:cs="Arial" w:eastAsia="Arial" w:hAnsi="Arial"/>
                <w:sz w:val="17"/>
                <w:szCs w:val="17"/>
                <w:color w:val="auto"/>
              </w:rPr>
              <w:t>54</w:t>
            </w: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4"/>
        </w:trPr>
        <w:tc>
          <w:tcPr>
            <w:tcW w:w="368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4" w:name="page55"/>
    <w:bookmarkEnd w:id="54"/>
    <w:p>
      <w:pPr>
        <w:ind w:left="620"/>
        <w:spacing w:after="0"/>
        <w:rPr>
          <w:sz w:val="20"/>
          <w:szCs w:val="20"/>
          <w:color w:val="auto"/>
        </w:rPr>
      </w:pPr>
      <w:r>
        <w:rPr>
          <w:rFonts w:ascii="Arial" w:cs="Arial" w:eastAsia="Arial" w:hAnsi="Arial"/>
          <w:sz w:val="17"/>
          <w:szCs w:val="17"/>
          <w:b w:val="1"/>
          <w:bCs w:val="1"/>
          <w:i w:val="1"/>
          <w:iCs w:val="1"/>
          <w:color w:val="auto"/>
        </w:rPr>
        <w:t>Credit Rating of Fixed-Maturity Securities</w:t>
      </w:r>
    </w:p>
    <w:p>
      <w:pPr>
        <w:spacing w:after="0" w:line="243"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table below summarizes the credit quality of our available-for-sale fixed-maturity securities as of September 30, 2015 and December 31, 2014 as rated by Standard &amp; Poor’s (or, if unavailable from Standard &amp; Poor’s, then Moody’s or Fitch):</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September 30, 2015</w:t>
            </w:r>
          </w:p>
        </w:tc>
        <w:tc>
          <w:tcPr>
            <w:tcW w:w="80" w:type="dxa"/>
            <w:vAlign w:val="bottom"/>
          </w:tcPr>
          <w:p>
            <w:pPr>
              <w:spacing w:after="0"/>
              <w:rPr>
                <w:sz w:val="14"/>
                <w:szCs w:val="14"/>
                <w:color w:val="auto"/>
              </w:rPr>
            </w:pPr>
          </w:p>
        </w:tc>
        <w:tc>
          <w:tcPr>
            <w:tcW w:w="25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20"/>
        </w:trPr>
        <w:tc>
          <w:tcPr>
            <w:tcW w:w="45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Fair Market</w:t>
            </w: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3"/>
              </w:rPr>
              <w:t>Percentage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 Market</w:t>
            </w: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0"/>
              </w:rPr>
              <w:t>Percentage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Fair Market</w:t>
            </w:r>
          </w:p>
        </w:tc>
        <w:tc>
          <w:tcPr>
            <w:tcW w:w="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Fair Market</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Value</w:t>
            </w:r>
          </w:p>
        </w:tc>
        <w:tc>
          <w:tcPr>
            <w:tcW w:w="1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80" w:type="dxa"/>
            <w:vAlign w:val="bottom"/>
          </w:tcPr>
          <w:p>
            <w:pPr>
              <w:spacing w:after="0"/>
              <w:rPr>
                <w:sz w:val="17"/>
                <w:szCs w:val="17"/>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412"/>
        </w:trPr>
        <w:tc>
          <w:tcPr>
            <w:tcW w:w="4500" w:type="dxa"/>
            <w:vAlign w:val="bottom"/>
          </w:tcPr>
          <w:p>
            <w:pPr>
              <w:ind w:left="40"/>
              <w:spacing w:after="0"/>
              <w:rPr>
                <w:sz w:val="20"/>
                <w:szCs w:val="20"/>
                <w:color w:val="auto"/>
              </w:rPr>
            </w:pPr>
            <w:r>
              <w:rPr>
                <w:rFonts w:ascii="Arial" w:cs="Arial" w:eastAsia="Arial" w:hAnsi="Arial"/>
                <w:sz w:val="17"/>
                <w:szCs w:val="17"/>
                <w:b w:val="1"/>
                <w:bCs w:val="1"/>
                <w:color w:val="auto"/>
              </w:rPr>
              <w:t>Rating</w:t>
            </w:r>
          </w:p>
        </w:tc>
        <w:tc>
          <w:tcPr>
            <w:tcW w:w="15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6"/>
        </w:trPr>
        <w:tc>
          <w:tcPr>
            <w:tcW w:w="450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municipal bonds</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AAA</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2,512,479</w:t>
            </w:r>
          </w:p>
        </w:tc>
        <w:tc>
          <w:tcPr>
            <w:tcW w:w="200" w:type="dxa"/>
            <w:vAlign w:val="bottom"/>
          </w:tcPr>
          <w:p>
            <w:pPr>
              <w:spacing w:after="0"/>
              <w:rPr>
                <w:sz w:val="17"/>
                <w:szCs w:val="17"/>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2,779,539</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AA</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9,975,808</w:t>
            </w:r>
          </w:p>
        </w:tc>
        <w:tc>
          <w:tcPr>
            <w:tcW w:w="20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16.1%</w:t>
            </w: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9,826,545</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A</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14,081,390</w:t>
            </w:r>
          </w:p>
        </w:tc>
        <w:tc>
          <w:tcPr>
            <w:tcW w:w="200" w:type="dxa"/>
            <w:vAlign w:val="bottom"/>
          </w:tcPr>
          <w:p>
            <w:pPr>
              <w:spacing w:after="0"/>
              <w:rPr>
                <w:sz w:val="17"/>
                <w:szCs w:val="17"/>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22.7%</w:t>
            </w:r>
          </w:p>
        </w:tc>
        <w:tc>
          <w:tcPr>
            <w:tcW w:w="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13,954,036</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BBB</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30,976,920</w:t>
            </w:r>
          </w:p>
        </w:tc>
        <w:tc>
          <w:tcPr>
            <w:tcW w:w="20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49.8%</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24,560,739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6"/>
        </w:trPr>
        <w:tc>
          <w:tcPr>
            <w:tcW w:w="45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00" w:type="dxa"/>
            <w:vAlign w:val="bottom"/>
          </w:tcPr>
          <w:p>
            <w:pPr>
              <w:ind w:left="360"/>
              <w:spacing w:after="0"/>
              <w:rPr>
                <w:sz w:val="20"/>
                <w:szCs w:val="20"/>
                <w:color w:val="auto"/>
              </w:rPr>
            </w:pPr>
            <w:r>
              <w:rPr>
                <w:rFonts w:ascii="Arial" w:cs="Arial" w:eastAsia="Arial" w:hAnsi="Arial"/>
                <w:sz w:val="17"/>
                <w:szCs w:val="17"/>
                <w:color w:val="auto"/>
              </w:rPr>
              <w:t>Total corporate and municipal bonds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57,546,597</w:t>
            </w:r>
          </w:p>
        </w:tc>
        <w:tc>
          <w:tcPr>
            <w:tcW w:w="2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92.6%</w:t>
            </w: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51,120,859</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40"/>
              <w:spacing w:after="0"/>
              <w:rPr>
                <w:sz w:val="20"/>
                <w:szCs w:val="20"/>
                <w:color w:val="auto"/>
              </w:rPr>
            </w:pPr>
            <w:r>
              <w:rPr>
                <w:rFonts w:ascii="Arial" w:cs="Arial" w:eastAsia="Arial" w:hAnsi="Arial"/>
                <w:sz w:val="17"/>
                <w:szCs w:val="17"/>
                <w:color w:val="auto"/>
              </w:rPr>
              <w:t>Residential mortgage backed securities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CCC</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437,661</w:t>
            </w:r>
          </w:p>
        </w:tc>
        <w:tc>
          <w:tcPr>
            <w:tcW w:w="20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0.7%</w:t>
            </w: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color w:val="auto"/>
              </w:rPr>
              <w:t>CC</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342,148</w:t>
            </w:r>
          </w:p>
        </w:tc>
        <w:tc>
          <w:tcPr>
            <w:tcW w:w="200" w:type="dxa"/>
            <w:vAlign w:val="bottom"/>
          </w:tcPr>
          <w:p>
            <w:pPr>
              <w:spacing w:after="0"/>
              <w:rPr>
                <w:sz w:val="17"/>
                <w:szCs w:val="17"/>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0.6%</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3,768,903</w:t>
            </w:r>
          </w:p>
        </w:tc>
        <w:tc>
          <w:tcPr>
            <w:tcW w:w="20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6.1%</w:t>
            </w: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6"/>
        </w:trPr>
        <w:tc>
          <w:tcPr>
            <w:tcW w:w="45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00" w:type="dxa"/>
            <w:vAlign w:val="bottom"/>
          </w:tcPr>
          <w:p>
            <w:pPr>
              <w:ind w:left="360"/>
              <w:spacing w:after="0"/>
              <w:rPr>
                <w:sz w:val="20"/>
                <w:szCs w:val="20"/>
                <w:color w:val="auto"/>
              </w:rPr>
            </w:pPr>
            <w:r>
              <w:rPr>
                <w:rFonts w:ascii="Arial" w:cs="Arial" w:eastAsia="Arial" w:hAnsi="Arial"/>
                <w:sz w:val="17"/>
                <w:szCs w:val="17"/>
                <w:color w:val="auto"/>
              </w:rPr>
              <w:t>Total residential mortgage backed securities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4,548,712</w:t>
            </w:r>
          </w:p>
        </w:tc>
        <w:tc>
          <w:tcPr>
            <w:tcW w:w="2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7.4%</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200"/>
              <w:spacing w:after="0"/>
              <w:rPr>
                <w:sz w:val="20"/>
                <w:szCs w:val="20"/>
                <w:color w:val="auto"/>
              </w:rPr>
            </w:pPr>
            <w:r>
              <w:rPr>
                <w:rFonts w:ascii="Arial" w:cs="Arial" w:eastAsia="Arial" w:hAnsi="Arial"/>
                <w:sz w:val="17"/>
                <w:szCs w:val="17"/>
                <w:b w:val="1"/>
                <w:bCs w:val="1"/>
                <w:color w:val="auto"/>
              </w:rPr>
              <w:t>Total</w:t>
            </w:r>
          </w:p>
        </w:tc>
        <w:tc>
          <w:tcPr>
            <w:tcW w:w="15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62,095,309</w:t>
            </w:r>
          </w:p>
        </w:tc>
        <w:tc>
          <w:tcPr>
            <w:tcW w:w="200" w:type="dxa"/>
            <w:vAlign w:val="bottom"/>
          </w:tcPr>
          <w:p>
            <w:pPr>
              <w:spacing w:after="0"/>
              <w:rPr>
                <w:sz w:val="17"/>
                <w:szCs w:val="17"/>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51,120,859</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10140" w:type="dxa"/>
            <w:vAlign w:val="bottom"/>
            <w:gridSpan w:val="11"/>
          </w:tcPr>
          <w:p>
            <w:pPr>
              <w:ind w:left="620"/>
              <w:spacing w:after="0"/>
              <w:rPr>
                <w:sz w:val="20"/>
                <w:szCs w:val="20"/>
                <w:color w:val="auto"/>
              </w:rPr>
            </w:pPr>
            <w:r>
              <w:rPr>
                <w:rFonts w:ascii="Arial" w:cs="Arial" w:eastAsia="Arial" w:hAnsi="Arial"/>
                <w:sz w:val="17"/>
                <w:szCs w:val="17"/>
                <w:color w:val="auto"/>
                <w:w w:val="95"/>
              </w:rPr>
              <w:t>The table below summarizes the average yield by type of fixed-maturity security as of September 30, 2015 and December 31, 2014:</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September 30,</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0"/>
        </w:trPr>
        <w:tc>
          <w:tcPr>
            <w:tcW w:w="450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500" w:type="dxa"/>
            <w:vAlign w:val="bottom"/>
          </w:tcPr>
          <w:p>
            <w:pPr>
              <w:ind w:left="40"/>
              <w:spacing w:after="0" w:line="194" w:lineRule="exact"/>
              <w:rPr>
                <w:sz w:val="20"/>
                <w:szCs w:val="20"/>
                <w:color w:val="auto"/>
              </w:rPr>
            </w:pPr>
            <w:r>
              <w:rPr>
                <w:rFonts w:ascii="Arial" w:cs="Arial" w:eastAsia="Arial" w:hAnsi="Arial"/>
                <w:sz w:val="17"/>
                <w:szCs w:val="17"/>
                <w:color w:val="auto"/>
              </w:rPr>
              <w:t>U.S. Treasury securities and</w:t>
            </w: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500" w:type="dxa"/>
            <w:vAlign w:val="bottom"/>
          </w:tcPr>
          <w:p>
            <w:pPr>
              <w:ind w:left="40"/>
              <w:spacing w:after="0"/>
              <w:rPr>
                <w:sz w:val="20"/>
                <w:szCs w:val="20"/>
                <w:color w:val="auto"/>
              </w:rPr>
            </w:pPr>
            <w:r>
              <w:rPr>
                <w:rFonts w:ascii="Arial" w:cs="Arial" w:eastAsia="Arial" w:hAnsi="Arial"/>
                <w:sz w:val="17"/>
                <w:szCs w:val="17"/>
                <w:color w:val="auto"/>
              </w:rPr>
              <w:t>obligations of U.S. government</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corporations and agencies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06"/>
        </w:trPr>
        <w:tc>
          <w:tcPr>
            <w:tcW w:w="4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3.72%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0" w:type="dxa"/>
            <w:vAlign w:val="bottom"/>
          </w:tcPr>
          <w:p>
            <w:pPr>
              <w:spacing w:after="0"/>
              <w:rPr>
                <w:sz w:val="1"/>
                <w:szCs w:val="1"/>
                <w:color w:val="auto"/>
              </w:rPr>
            </w:pPr>
          </w:p>
        </w:tc>
      </w:tr>
      <w:tr>
        <w:trPr>
          <w:trHeight w:val="206"/>
        </w:trPr>
        <w:tc>
          <w:tcPr>
            <w:tcW w:w="4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mortgage backed securities</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4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579"/>
        </w:trPr>
        <w:tc>
          <w:tcPr>
            <w:tcW w:w="4500" w:type="dxa"/>
            <w:vAlign w:val="bottom"/>
          </w:tcPr>
          <w:p>
            <w:pPr>
              <w:spacing w:after="0"/>
              <w:rPr>
                <w:sz w:val="24"/>
                <w:szCs w:val="24"/>
                <w:color w:val="auto"/>
              </w:rPr>
            </w:pPr>
          </w:p>
        </w:tc>
        <w:tc>
          <w:tcPr>
            <w:tcW w:w="1560" w:type="dxa"/>
            <w:vAlign w:val="bottom"/>
          </w:tcPr>
          <w:p>
            <w:pPr>
              <w:jc w:val="right"/>
              <w:ind w:right="174"/>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5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5" w:name="page56"/>
    <w:bookmarkEnd w:id="55"/>
    <w:p>
      <w:pPr>
        <w:ind w:right="60" w:firstLine="620"/>
        <w:spacing w:after="0" w:line="280" w:lineRule="auto"/>
        <w:rPr>
          <w:sz w:val="20"/>
          <w:szCs w:val="20"/>
          <w:color w:val="auto"/>
        </w:rPr>
      </w:pPr>
      <w:r>
        <w:rPr>
          <w:rFonts w:ascii="Arial" w:cs="Arial" w:eastAsia="Arial" w:hAnsi="Arial"/>
          <w:sz w:val="17"/>
          <w:szCs w:val="17"/>
          <w:color w:val="auto"/>
        </w:rPr>
        <w:t>The table below lists the weighted average maturity and effective duration in years on our fixed-maturity securities as of September 30, 2015 and December 31, 2014: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December 31,</w:t>
            </w:r>
          </w:p>
        </w:tc>
      </w:tr>
      <w:tr>
        <w:trPr>
          <w:trHeight w:val="170"/>
        </w:trPr>
        <w:tc>
          <w:tcPr>
            <w:tcW w:w="8800" w:type="dxa"/>
            <w:vAlign w:val="bottom"/>
          </w:tcPr>
          <w:p>
            <w:pPr>
              <w:spacing w:after="0"/>
              <w:rPr>
                <w:sz w:val="14"/>
                <w:szCs w:val="14"/>
                <w:color w:val="auto"/>
              </w:rPr>
            </w:pPr>
          </w:p>
        </w:tc>
        <w:tc>
          <w:tcPr>
            <w:tcW w:w="11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effective maturity</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w:t>
            </w:r>
          </w:p>
        </w:tc>
      </w:tr>
      <w:tr>
        <w:trPr>
          <w:trHeight w:val="206"/>
        </w:trPr>
        <w:tc>
          <w:tcPr>
            <w:tcW w:w="8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final maturity</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w:t>
            </w:r>
          </w:p>
        </w:tc>
      </w:tr>
      <w:tr>
        <w:trPr>
          <w:trHeight w:val="206"/>
        </w:trPr>
        <w:tc>
          <w:tcPr>
            <w:tcW w:w="8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Effective duration</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w:t>
            </w:r>
          </w:p>
        </w:tc>
      </w:tr>
    </w:tbl>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Fair Value Consideration</w:t>
      </w:r>
    </w:p>
    <w:p>
      <w:pPr>
        <w:spacing w:after="0" w:line="243" w:lineRule="exact"/>
        <w:rPr>
          <w:sz w:val="20"/>
          <w:szCs w:val="20"/>
          <w:color w:val="auto"/>
        </w:rPr>
      </w:pPr>
    </w:p>
    <w:p>
      <w:pPr>
        <w:jc w:val="both"/>
        <w:ind w:firstLine="620"/>
        <w:spacing w:after="0" w:line="274" w:lineRule="auto"/>
        <w:rPr>
          <w:sz w:val="20"/>
          <w:szCs w:val="20"/>
          <w:color w:val="auto"/>
        </w:rPr>
      </w:pPr>
      <w:r>
        <w:rPr>
          <w:rFonts w:ascii="Arial" w:cs="Arial" w:eastAsia="Arial" w:hAnsi="Arial"/>
          <w:sz w:val="16"/>
          <w:szCs w:val="16"/>
          <w:color w:val="auto"/>
        </w:rPr>
        <w:t>As disclosed in Note 4 to the Condensed Consolidated Financial Statements, with respect to “Fair Value Measurements,” we define fair value under GAAP guidance as the price that would be received to sell an asset or paid to transfer a liability in a transaction involving identical or comparable assets or liabilities between market participants (an “exit price”). This GAAP guidance establishes a fair value hierarchy that distinguishes between inputs based on market data from independent sources (“observable inputs”) and a reporting entity’s internal assumptions based upon the best information available when external market data is limited or unavailable (“unobservable inputs”). The fair value hierarchy in GAAP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September 30, 2015 and December 31, 2014, 63% and 63%, respectively, of the investment portfolio recorded at fair value was priced based upon quoted market prices.</w:t>
      </w:r>
    </w:p>
    <w:p>
      <w:pPr>
        <w:spacing w:after="0" w:line="200"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As more fully described in Note 3 to our Condensed Consolidated Financial Statements, “Investments—Impairment Review,” we completed a detailed review of all our securities in a continuous loss position as of September 30, 2015 and December 31, 2014, and concluded that the unrealized losses in these asset classes are temporary in nature and the result of a decrease in value due to technical spread widening and broader market sentiment, rather than fundamental collateral deterioration.</w:t>
      </w:r>
    </w:p>
    <w:p>
      <w:pPr>
        <w:spacing w:after="0" w:line="205"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table below summarizes the gross unrealized losses of our fixed-maturity securities available-for-sale and equity securities by length of time the security has continuously been in an unrealized loss position as of September 30, 2015 and 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September 30, 2015</w:t>
            </w: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5"/>
          </w:tcPr>
          <w:p>
            <w:pPr>
              <w:jc w:val="right"/>
              <w:ind w:right="140"/>
              <w:spacing w:after="0" w:line="142" w:lineRule="exact"/>
              <w:rPr>
                <w:sz w:val="20"/>
                <w:szCs w:val="20"/>
                <w:color w:val="auto"/>
              </w:rPr>
            </w:pPr>
            <w:r>
              <w:rPr>
                <w:rFonts w:ascii="Arial" w:cs="Arial" w:eastAsia="Arial" w:hAnsi="Arial"/>
                <w:sz w:val="14"/>
                <w:szCs w:val="14"/>
                <w:b w:val="1"/>
                <w:bCs w:val="1"/>
                <w:color w:val="auto"/>
              </w:rPr>
              <w:t>Less than 12 months</w:t>
            </w:r>
          </w:p>
        </w:tc>
        <w:tc>
          <w:tcPr>
            <w:tcW w:w="9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w w:val="87"/>
              </w:rPr>
              <w:t>12 months or more</w:t>
            </w: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0"/>
                <w:szCs w:val="10"/>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Unrealized</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No. of</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0"/>
              </w:rPr>
              <w:t>Unrealized</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No.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3"/>
              </w:rPr>
              <w:t>Aggregate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Positions</w:t>
            </w: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Positions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Losses</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7"/>
                <w:szCs w:val="17"/>
                <w:color w:val="auto"/>
              </w:rPr>
            </w:pPr>
          </w:p>
        </w:tc>
        <w:tc>
          <w:tcPr>
            <w:tcW w:w="940" w:type="dxa"/>
            <w:vAlign w:val="bottom"/>
          </w:tcPr>
          <w:p>
            <w:pPr>
              <w:jc w:val="right"/>
              <w:ind w:right="279"/>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Losses</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Value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401"/>
        </w:trPr>
        <w:tc>
          <w:tcPr>
            <w:tcW w:w="23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Fixed-Maturity Securities: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00" w:type="dxa"/>
            <w:vAlign w:val="bottom"/>
          </w:tcPr>
          <w:p>
            <w:pPr>
              <w:spacing w:after="0"/>
              <w:rPr>
                <w:sz w:val="20"/>
                <w:szCs w:val="20"/>
                <w:color w:val="auto"/>
              </w:rPr>
            </w:pPr>
            <w:r>
              <w:rPr>
                <w:rFonts w:ascii="Arial" w:cs="Arial" w:eastAsia="Arial" w:hAnsi="Arial"/>
                <w:sz w:val="17"/>
                <w:szCs w:val="17"/>
                <w:color w:val="auto"/>
              </w:rPr>
              <w:t>Political subdivisions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30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852,736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(37,619)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852,736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(37,619)</w:t>
            </w: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8,963,637</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(333,737)</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450,035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(40,438)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9,413,672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(374,175)</w:t>
            </w: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mortgage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tcPr>
          <w:p>
            <w:pPr>
              <w:ind w:left="40"/>
              <w:spacing w:after="0"/>
              <w:rPr>
                <w:sz w:val="20"/>
                <w:szCs w:val="20"/>
                <w:color w:val="auto"/>
              </w:rPr>
            </w:pPr>
            <w:r>
              <w:rPr>
                <w:rFonts w:ascii="Arial" w:cs="Arial" w:eastAsia="Arial" w:hAnsi="Arial"/>
                <w:sz w:val="17"/>
                <w:szCs w:val="17"/>
                <w:color w:val="auto"/>
              </w:rPr>
              <w:t>backed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1,132,899</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(24,051)</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1,132,899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(24,051)</w:t>
            </w: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7"/>
                <w:szCs w:val="17"/>
                <w:color w:val="auto"/>
              </w:rPr>
              <w:t>Total fixed-maturity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securities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0"/>
              </w:rPr>
              <w:t>10,949,272.00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(395,407)</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450,035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(40,438)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11,399,307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(435,845)</w:t>
            </w:r>
          </w:p>
        </w:tc>
        <w:tc>
          <w:tcPr>
            <w:tcW w:w="0" w:type="dxa"/>
            <w:vAlign w:val="bottom"/>
          </w:tcPr>
          <w:p>
            <w:pPr>
              <w:spacing w:after="0"/>
              <w:rPr>
                <w:sz w:val="1"/>
                <w:szCs w:val="1"/>
                <w:color w:val="auto"/>
              </w:rPr>
            </w:pPr>
          </w:p>
        </w:tc>
      </w:tr>
      <w:tr>
        <w:trPr>
          <w:trHeight w:val="206"/>
        </w:trPr>
        <w:tc>
          <w:tcPr>
            <w:tcW w:w="2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Equity Securities: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7"/>
                <w:szCs w:val="17"/>
                <w:color w:val="auto"/>
              </w:rPr>
              <w:t>Preferred stocks</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727,065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(43,971)</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697,517</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(14,598)</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1,424,582</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(58,569)</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Common stocks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3,553,900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(305,834)</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3,553,900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(305,834)</w:t>
            </w:r>
          </w:p>
        </w:tc>
        <w:tc>
          <w:tcPr>
            <w:tcW w:w="0" w:type="dxa"/>
            <w:vAlign w:val="bottom"/>
          </w:tcPr>
          <w:p>
            <w:pPr>
              <w:spacing w:after="0"/>
              <w:rPr>
                <w:sz w:val="1"/>
                <w:szCs w:val="1"/>
                <w:color w:val="auto"/>
              </w:rPr>
            </w:pPr>
          </w:p>
        </w:tc>
      </w:tr>
      <w:tr>
        <w:trPr>
          <w:trHeight w:val="206"/>
        </w:trPr>
        <w:tc>
          <w:tcPr>
            <w:tcW w:w="2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equity securities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4,280,965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(349,805)</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697,517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(14,598)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4,978,482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(364,403)</w:t>
            </w:r>
          </w:p>
        </w:tc>
        <w:tc>
          <w:tcPr>
            <w:tcW w:w="0" w:type="dxa"/>
            <w:vAlign w:val="bottom"/>
          </w:tcPr>
          <w:p>
            <w:pPr>
              <w:spacing w:after="0"/>
              <w:rPr>
                <w:sz w:val="1"/>
                <w:szCs w:val="1"/>
                <w:color w:val="auto"/>
              </w:rPr>
            </w:pPr>
          </w:p>
        </w:tc>
      </w:tr>
      <w:tr>
        <w:trPr>
          <w:trHeight w:val="206"/>
        </w:trPr>
        <w:tc>
          <w:tcPr>
            <w:tcW w:w="2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15,230,237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(745,212)</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0"/>
              </w:rPr>
              <w:t>1,147,552.00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(55,036)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16,377,789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(800,248)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December 31, 2014</w:t>
            </w: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86"/>
              </w:rPr>
              <w:t>Less than 12 months</w:t>
            </w:r>
          </w:p>
        </w:tc>
        <w:tc>
          <w:tcPr>
            <w:tcW w:w="9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w w:val="87"/>
              </w:rPr>
              <w:t>12 months or more</w:t>
            </w: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Unrealized</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No. of</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0"/>
              </w:rPr>
              <w:t>Unrealized</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No.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3"/>
              </w:rPr>
              <w:t>Aggregate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Positions</w:t>
            </w: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Positions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7"/>
                <w:szCs w:val="17"/>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Losses</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Value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401"/>
        </w:trPr>
        <w:tc>
          <w:tcPr>
            <w:tcW w:w="23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Fixed-Maturity Securities: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00" w:type="dxa"/>
            <w:vAlign w:val="bottom"/>
          </w:tcPr>
          <w:p>
            <w:pPr>
              <w:spacing w:after="0"/>
              <w:rPr>
                <w:sz w:val="20"/>
                <w:szCs w:val="20"/>
                <w:color w:val="auto"/>
              </w:rPr>
            </w:pPr>
            <w:r>
              <w:rPr>
                <w:rFonts w:ascii="Arial" w:cs="Arial" w:eastAsia="Arial" w:hAnsi="Arial"/>
                <w:sz w:val="17"/>
                <w:szCs w:val="17"/>
                <w:color w:val="auto"/>
              </w:rPr>
              <w:t>Political subdivisions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30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3,013,648</w:t>
            </w: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(23,813)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126,658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(6,379)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3,140,306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(30,192)</w:t>
            </w: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6,325,579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(118,092)</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714,640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(30,228)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7,040,219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(148,320)</w:t>
            </w:r>
          </w:p>
        </w:tc>
        <w:tc>
          <w:tcPr>
            <w:tcW w:w="0" w:type="dxa"/>
            <w:vAlign w:val="bottom"/>
          </w:tcPr>
          <w:p>
            <w:pPr>
              <w:spacing w:after="0"/>
              <w:rPr>
                <w:sz w:val="1"/>
                <w:szCs w:val="1"/>
                <w:color w:val="auto"/>
              </w:rPr>
            </w:pPr>
          </w:p>
        </w:tc>
      </w:tr>
      <w:tr>
        <w:trPr>
          <w:trHeight w:val="206"/>
        </w:trPr>
        <w:tc>
          <w:tcPr>
            <w:tcW w:w="2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fixed-maturity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tcPr>
          <w:p>
            <w:pPr>
              <w:ind w:left="40"/>
              <w:spacing w:after="0"/>
              <w:rPr>
                <w:sz w:val="20"/>
                <w:szCs w:val="20"/>
                <w:color w:val="auto"/>
              </w:rPr>
            </w:pPr>
            <w:r>
              <w:rPr>
                <w:rFonts w:ascii="Arial" w:cs="Arial" w:eastAsia="Arial" w:hAnsi="Arial"/>
                <w:sz w:val="17"/>
                <w:szCs w:val="17"/>
                <w:color w:val="auto"/>
              </w:rPr>
              <w:t>securities</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w w:val="90"/>
              </w:rPr>
              <w:t>9,339,227.00</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(141,905)</w:t>
            </w:r>
          </w:p>
        </w:tc>
        <w:tc>
          <w:tcPr>
            <w:tcW w:w="900" w:type="dxa"/>
            <w:vAlign w:val="bottom"/>
          </w:tcPr>
          <w:p>
            <w:pPr>
              <w:jc w:val="right"/>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841,298</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(36,607)</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10,180,525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(178,512)</w:t>
            </w: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7"/>
                <w:szCs w:val="17"/>
                <w:b w:val="1"/>
                <w:bCs w:val="1"/>
                <w:color w:val="auto"/>
              </w:rPr>
              <w:t>Equity Securities: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Preferred stocks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656,325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(2,647)</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0"/>
              </w:rPr>
              <w:t>1,448,376.00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(62,886)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2,104,701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(65,533)</w:t>
            </w:r>
          </w:p>
        </w:tc>
        <w:tc>
          <w:tcPr>
            <w:tcW w:w="0" w:type="dxa"/>
            <w:vAlign w:val="bottom"/>
          </w:tcPr>
          <w:p>
            <w:pPr>
              <w:spacing w:after="0"/>
              <w:rPr>
                <w:sz w:val="1"/>
                <w:szCs w:val="1"/>
                <w:color w:val="auto"/>
              </w:rPr>
            </w:pPr>
          </w:p>
        </w:tc>
      </w:tr>
      <w:tr>
        <w:trPr>
          <w:trHeight w:val="212"/>
        </w:trPr>
        <w:tc>
          <w:tcPr>
            <w:tcW w:w="2300" w:type="dxa"/>
            <w:vAlign w:val="bottom"/>
          </w:tcPr>
          <w:p>
            <w:pPr>
              <w:ind w:left="40"/>
              <w:spacing w:after="0"/>
              <w:rPr>
                <w:sz w:val="20"/>
                <w:szCs w:val="20"/>
                <w:color w:val="auto"/>
              </w:rPr>
            </w:pPr>
            <w:r>
              <w:rPr>
                <w:rFonts w:ascii="Arial" w:cs="Arial" w:eastAsia="Arial" w:hAnsi="Arial"/>
                <w:sz w:val="17"/>
                <w:szCs w:val="17"/>
                <w:color w:val="auto"/>
              </w:rPr>
              <w:t>Common stocks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267,000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(2,177)</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267,000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(2,177)</w:t>
            </w: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tcPr>
          <w:p>
            <w:pPr>
              <w:ind w:left="40"/>
              <w:spacing w:after="0"/>
              <w:rPr>
                <w:sz w:val="20"/>
                <w:szCs w:val="20"/>
                <w:color w:val="auto"/>
              </w:rPr>
            </w:pPr>
            <w:r>
              <w:rPr>
                <w:rFonts w:ascii="Arial" w:cs="Arial" w:eastAsia="Arial" w:hAnsi="Arial"/>
                <w:sz w:val="17"/>
                <w:szCs w:val="17"/>
                <w:color w:val="auto"/>
              </w:rPr>
              <w:t>Total equity securities</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656,325</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(2,647)</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1,715,376</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(65,063)</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2,371,701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(67,710)</w:t>
            </w: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7"/>
                <w:szCs w:val="17"/>
                <w:color w:val="auto"/>
              </w:rPr>
              <w:t>Total</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9,995,552</w:t>
            </w:r>
          </w:p>
        </w:tc>
        <w:tc>
          <w:tcPr>
            <w:tcW w:w="2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(144,552)</w:t>
            </w:r>
          </w:p>
        </w:tc>
        <w:tc>
          <w:tcPr>
            <w:tcW w:w="900" w:type="dxa"/>
            <w:vAlign w:val="bottom"/>
          </w:tcPr>
          <w:p>
            <w:pPr>
              <w:jc w:val="right"/>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2,556,674</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(101,670)</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12,552,226</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(246,222)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There were 47 securities at September 30, 2015 that accounted for the gross unrealized loss, none of which were deemed by us to be other than temporarily impaired. There were 35 securities at December 31, 2014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Cash Flows</w:t>
      </w:r>
    </w:p>
    <w:p>
      <w:pPr>
        <w:spacing w:after="0" w:line="24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206"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Through the quarter ended March 31, 2015, the primary sources of cash flow for our holding company operations were in connection with the fee income we received from premium finance. On March 27, 2015, we received $350,000 in connection with the early termination of the agreement that generated placement fees in our premium finance business (see Note 12 to the Condensed Consolidated Financial Statements). We also receive cash dividends from KICO, subject to statutory restrictions. For the nine months ended September 30, 2015, KICO paid dividends of $1,200,000 to us.</w:t>
      </w:r>
    </w:p>
    <w:p>
      <w:pPr>
        <w:spacing w:after="0" w:line="200" w:lineRule="exact"/>
        <w:rPr>
          <w:sz w:val="20"/>
          <w:szCs w:val="20"/>
          <w:color w:val="auto"/>
        </w:rPr>
      </w:pPr>
    </w:p>
    <w:p>
      <w:pPr>
        <w:spacing w:after="0" w:line="237"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have an agreement with a bank for a $600,000 line of credit to be used for general corporate needs. The principal balance is payable on demand, and must be reduced to zero for a minimum of 30 consecutive days during each year of the term of the credit line. There were no borrowings on the credit line during the nine months ended September 30, 2015, and the outstanding principal balance was $-0- as of September 30, 2015.</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the aforementioned is insufficient to cover our holding company cash requirements, we will seek to obtain additional financing.</w:t>
      </w:r>
    </w:p>
    <w:p>
      <w:pPr>
        <w:spacing w:after="0" w:line="24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57" w:name="page58"/>
    <w:bookmarkEnd w:id="57"/>
    <w:p>
      <w:pPr>
        <w:ind w:firstLine="620"/>
        <w:spacing w:after="0" w:line="280" w:lineRule="auto"/>
        <w:rPr>
          <w:sz w:val="20"/>
          <w:szCs w:val="20"/>
          <w:color w:val="auto"/>
        </w:rPr>
      </w:pPr>
      <w:r>
        <w:rPr>
          <w:rFonts w:ascii="Arial" w:cs="Arial" w:eastAsia="Arial" w:hAnsi="Arial"/>
          <w:sz w:val="17"/>
          <w:szCs w:val="17"/>
          <w:color w:val="auto"/>
        </w:rPr>
        <w:t>Cash flow and liquidity are categorized into three sources: (1) operating activities; (2) investing activities; and (3) financing activities, which are shown in the following table:</w:t>
      </w:r>
    </w:p>
    <w:p>
      <w:pPr>
        <w:sectPr>
          <w:pgSz w:w="11900" w:h="16838" w:orient="portrait"/>
          <w:cols w:equalWidth="0" w:num="1">
            <w:col w:w="11420"/>
          </w:cols>
          <w:pgMar w:left="240" w:top="501" w:right="2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551561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15610" cy="16510"/>
                    </a:xfrm>
                    <a:prstGeom prst="rect">
                      <a:avLst/>
                    </a:prstGeom>
                    <a:noFill/>
                  </pic:spPr>
                </pic:pic>
              </a:graphicData>
            </a:graphic>
          </wp:anchor>
        </w:drawing>
      </w:r>
    </w:p>
    <w:p>
      <w:pPr>
        <w:spacing w:after="0" w:line="2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flows provided by (used in):</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color w:val="auto"/>
        </w:rPr>
        <w:t>Operating activities</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Investing activities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435"/>
        <w:spacing w:after="0"/>
        <w:tabs>
          <w:tab w:leader="none" w:pos="1795"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59829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98295" cy="1651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375" w:hanging="375"/>
        <w:spacing w:after="0"/>
        <w:tabs>
          <w:tab w:leader="none" w:pos="3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12,724,166   $   10,313,334</w:t>
      </w:r>
    </w:p>
    <w:p>
      <w:pPr>
        <w:spacing w:after="0" w:line="21" w:lineRule="exact"/>
        <w:rPr>
          <w:rFonts w:ascii="Arial" w:cs="Arial" w:eastAsia="Arial" w:hAnsi="Arial"/>
          <w:sz w:val="17"/>
          <w:szCs w:val="17"/>
          <w:color w:val="auto"/>
        </w:rPr>
      </w:pPr>
    </w:p>
    <w:p>
      <w:pPr>
        <w:ind w:left="315"/>
        <w:spacing w:after="0"/>
        <w:rPr>
          <w:rFonts w:ascii="Arial" w:cs="Arial" w:eastAsia="Arial" w:hAnsi="Arial"/>
          <w:sz w:val="17"/>
          <w:szCs w:val="17"/>
          <w:color w:val="auto"/>
        </w:rPr>
      </w:pPr>
      <w:r>
        <w:rPr>
          <w:rFonts w:ascii="Arial" w:cs="Arial" w:eastAsia="Arial" w:hAnsi="Arial"/>
          <w:sz w:val="17"/>
          <w:szCs w:val="17"/>
          <w:color w:val="auto"/>
        </w:rPr>
        <w:t>(14,576,723)</w:t>
      </w:r>
      <w:r>
        <w:rPr>
          <w:rFonts w:ascii="Arial" w:cs="Arial" w:eastAsia="Arial" w:hAnsi="Arial"/>
          <w:sz w:val="15"/>
          <w:szCs w:val="15"/>
          <w:color w:val="auto"/>
        </w:rPr>
        <w:t>(24,228,173)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-5588635</wp:posOffset>
            </wp:positionH>
            <wp:positionV relativeFrom="paragraph">
              <wp:posOffset>-253365</wp:posOffset>
            </wp:positionV>
            <wp:extent cx="7252970" cy="1308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2970" cy="13081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8085" w:space="720"/>
            <w:col w:w="2615"/>
          </w:cols>
          <w:pgMar w:left="240" w:top="501"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Financing activities</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(1,322,692)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(979,662)</w:t>
            </w:r>
          </w:p>
        </w:tc>
      </w:tr>
      <w:tr>
        <w:trPr>
          <w:trHeight w:val="26"/>
        </w:trPr>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Net decrease in cash and cash equivalents</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(3,175,249)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(14,894,501)</w:t>
            </w:r>
          </w:p>
        </w:tc>
      </w:tr>
      <w:tr>
        <w:trPr>
          <w:trHeight w:val="206"/>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9,906,878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19,922,506</w:t>
            </w:r>
          </w:p>
        </w:tc>
      </w:tr>
      <w:tr>
        <w:trPr>
          <w:trHeight w:val="26"/>
        </w:trPr>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Cash and cash equivalents, end of period</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6,731,629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5,028,005</w:t>
            </w:r>
          </w:p>
        </w:tc>
      </w:tr>
      <w:tr>
        <w:trPr>
          <w:trHeight w:val="20"/>
        </w:trPr>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620"/>
        <w:spacing w:after="0" w:line="318" w:lineRule="auto"/>
        <w:rPr>
          <w:sz w:val="20"/>
          <w:szCs w:val="20"/>
          <w:color w:val="auto"/>
        </w:rPr>
      </w:pPr>
      <w:r>
        <w:rPr>
          <w:rFonts w:ascii="Arial" w:cs="Arial" w:eastAsia="Arial" w:hAnsi="Arial"/>
          <w:sz w:val="15"/>
          <w:szCs w:val="15"/>
          <w:color w:val="auto"/>
        </w:rPr>
        <w:t>Net cash provided by operating activities was $12,724,000 in 2015 as compared to $10,313,000 provided in 2014. The $2,411,000 increase in cash flows provided by operating activities in 2015 was primarily a result of an increase cash arising from net fluctuations in assets and liabilities relating to operating activities of KICO as affected by the growth in its operations which are described above, and an increase in net income (adjusted for non-cash items) of $1,870,000.</w:t>
      </w:r>
    </w:p>
    <w:p>
      <w:pPr>
        <w:spacing w:after="0" w:line="166"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Net cash used in investing activities was $14,577,000 in 2015 compared to $24,228,000 used in 2014. The $9,651,000 decrease in cash used in investing activities is the result of a $17,470,000 decrease in acquisitions of invested assets, offset by a $7,306,000 increase in sales of invested assets.</w:t>
      </w:r>
    </w:p>
    <w:p>
      <w:pPr>
        <w:spacing w:after="0" w:line="167"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Net cash used in financing activities was $1,323,000 in 2015 compared to $980,000 used in 2014. The $343,000 increase in cash used in financing activities is the result of the $204,000 purchase of treasury stock in 2015, compared to $47,000 purchased in 2014, a $152,000 increase in dividends paid due to additional shares outstanding in 2015 and an increase in the dividend rate.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Reinsurance</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Our quota share reinsurance treaties are on a July 1 through June 30 calendar year basis; therefore, for year to date fiscal periods after June 30, two separate treaties will be included in such periods.</w:t>
      </w:r>
    </w:p>
    <w:p>
      <w:pPr>
        <w:spacing w:after="0" w:line="18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Our quota share reinsurance treaty in effect for the nine months ended September 30, 2015 for our personal lines business, which primarily consists of homeowners’ policies, was covered under the July 1, 2014/June 30, 2015 and July 1, 2015/June 30, 2016 treaty years. Our quota share reinsurance treaties in effect for the nine months ended September 30, 2014 for our personal lines business, which primarily consists of homeowners’ policies, was covered under the July 1, 2013/June 30, 2014 and July 1, 2014/June 30, 2015 treaty years. Our quota share reinsurance treaty in effect for the nine months ended September 30, 2014 for our commercial lines business was covered under the July 1, 2013/June 30, 2014 treaty year. We did not renew our expiring commercial lines quota share reinsurance treaty on July 1, 2014.</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type w:val="continuous"/>
        </w:sectPr>
      </w:pPr>
    </w:p>
    <w:bookmarkStart w:id="58" w:name="page59"/>
    <w:bookmarkEnd w:id="58"/>
    <w:p>
      <w:pPr>
        <w:jc w:val="both"/>
        <w:ind w:firstLine="620"/>
        <w:spacing w:after="0" w:line="258" w:lineRule="auto"/>
        <w:rPr>
          <w:sz w:val="20"/>
          <w:szCs w:val="20"/>
          <w:color w:val="auto"/>
        </w:rPr>
      </w:pPr>
      <w:r>
        <w:rPr>
          <w:rFonts w:ascii="Arial" w:cs="Arial" w:eastAsia="Arial" w:hAnsi="Arial"/>
          <w:sz w:val="17"/>
          <w:szCs w:val="17"/>
          <w:color w:val="auto"/>
        </w:rPr>
        <w:t>Our personal lines quota share treaty that covered the July 1, 2013/June 30, 2014 treaty year was a two year treaty that expired on June 30, 2015. Effective July 1, 2014, we had the option to increase the quota share percentage from 75% to a maximum of 85% or decrease the quota share percentage from 75% to a minimum of 55% by giving no less than 30 days advance notice. On May 12, 2014, we notified the personal lines reinsurers of our election to reduce the ceding percentage in the personal lines quota share treaty from 75% to 55% effective July 1, 2014.We entered into new annual treaties with different terms effective July 1, 2015. Our treaties for the July 1, 2013/ June 30, 2014, July 1, 2014/June 30, 2015 and July 1, 2015/June 30, 2016 treaty years provide for the following material terms: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Treaty Year</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July 1, 2015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July 1, 2014</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w w:val="95"/>
              </w:rPr>
              <w:t>July 1, 2013</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5"/>
              </w:rPr>
              <w:t>to</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to</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5"/>
              </w:rPr>
              <w:t>to</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Line of Busines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5"/>
              </w:rPr>
              <w:t>June 30, 2016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June 30, 2015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June 30, 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7160" w:type="dxa"/>
            <w:vAlign w:val="bottom"/>
            <w:gridSpan w:val="5"/>
          </w:tcPr>
          <w:p>
            <w:pPr>
              <w:spacing w:after="0"/>
              <w:rPr>
                <w:sz w:val="20"/>
                <w:szCs w:val="20"/>
                <w:color w:val="auto"/>
              </w:rPr>
            </w:pPr>
            <w:r>
              <w:rPr>
                <w:rFonts w:ascii="Arial" w:cs="Arial" w:eastAsia="Arial" w:hAnsi="Arial"/>
                <w:sz w:val="17"/>
                <w:szCs w:val="17"/>
                <w:color w:val="auto"/>
              </w:rPr>
              <w:t>Personal Lines: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60" w:type="dxa"/>
            <w:vAlign w:val="bottom"/>
            <w:gridSpan w:val="5"/>
          </w:tcPr>
          <w:p>
            <w:pPr>
              <w:spacing w:after="0"/>
              <w:rPr>
                <w:sz w:val="20"/>
                <w:szCs w:val="20"/>
                <w:color w:val="auto"/>
              </w:rPr>
            </w:pPr>
            <w:r>
              <w:rPr>
                <w:rFonts w:ascii="Arial" w:cs="Arial" w:eastAsia="Arial" w:hAnsi="Arial"/>
                <w:sz w:val="17"/>
                <w:szCs w:val="17"/>
                <w:color w:val="auto"/>
              </w:rPr>
              <w:t>Homeowners, dwelling fire and canine legal liability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gridSpan w:val="4"/>
          </w:tcPr>
          <w:p>
            <w:pPr>
              <w:ind w:left="180"/>
              <w:spacing w:after="0"/>
              <w:rPr>
                <w:sz w:val="20"/>
                <w:szCs w:val="20"/>
                <w:color w:val="auto"/>
              </w:rPr>
            </w:pPr>
            <w:r>
              <w:rPr>
                <w:rFonts w:ascii="Arial" w:cs="Arial" w:eastAsia="Arial" w:hAnsi="Arial"/>
                <w:sz w:val="17"/>
                <w:szCs w:val="17"/>
                <w:color w:val="auto"/>
              </w:rPr>
              <w:t>Quota share treaty: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14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Percent ceded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tcPr>
          <w:p>
            <w:pPr>
              <w:ind w:left="340"/>
              <w:spacing w:after="0"/>
              <w:rPr>
                <w:sz w:val="20"/>
                <w:szCs w:val="20"/>
                <w:color w:val="auto"/>
              </w:rPr>
            </w:pPr>
            <w:r>
              <w:rPr>
                <w:rFonts w:ascii="Arial" w:cs="Arial" w:eastAsia="Arial" w:hAnsi="Arial"/>
                <w:sz w:val="17"/>
                <w:szCs w:val="17"/>
                <w:color w:val="auto"/>
              </w:rPr>
              <w:t>Risk retained</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450,000</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360,000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750,000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tcPr>
          <w:p>
            <w:pPr>
              <w:ind w:left="180"/>
              <w:spacing w:after="0"/>
              <w:rPr>
                <w:sz w:val="20"/>
                <w:szCs w:val="20"/>
                <w:color w:val="auto"/>
              </w:rPr>
            </w:pPr>
            <w:r>
              <w:rPr>
                <w:rFonts w:ascii="Arial" w:cs="Arial" w:eastAsia="Arial" w:hAnsi="Arial"/>
                <w:sz w:val="17"/>
                <w:szCs w:val="17"/>
                <w:color w:val="auto"/>
              </w:rPr>
              <w:t>Excess of loss coverage above quota share coverage</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3,750,000</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3,200,000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1,700,000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in excess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in excess of</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750,000</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800,000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Total reinsurance coverage per occurrence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4,050,000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3,640,000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tcPr>
          <w:p>
            <w:pPr>
              <w:ind w:left="180"/>
              <w:spacing w:after="0"/>
              <w:rPr>
                <w:sz w:val="20"/>
                <w:szCs w:val="20"/>
                <w:color w:val="auto"/>
              </w:rPr>
            </w:pPr>
            <w:r>
              <w:rPr>
                <w:rFonts w:ascii="Arial" w:cs="Arial" w:eastAsia="Arial" w:hAnsi="Arial"/>
                <w:sz w:val="17"/>
                <w:szCs w:val="17"/>
                <w:color w:val="auto"/>
              </w:rPr>
              <w:t>Losses per occurrence subject to reinsurance coverage</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4,500,000</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4,000,000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2,900,000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Expiration date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8"/>
              </w:rPr>
              <w:t>June 30, 2016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8"/>
              </w:rPr>
              <w:t>June 30, 2015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0"/>
              </w:rPr>
              <w:t>June 30, 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Personal Umbrella</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tcPr>
          <w:p>
            <w:pPr>
              <w:ind w:left="340"/>
              <w:spacing w:after="0"/>
              <w:rPr>
                <w:sz w:val="20"/>
                <w:szCs w:val="20"/>
                <w:color w:val="auto"/>
              </w:rPr>
            </w:pPr>
            <w:r>
              <w:rPr>
                <w:rFonts w:ascii="Arial" w:cs="Arial" w:eastAsia="Arial" w:hAnsi="Arial"/>
                <w:sz w:val="17"/>
                <w:szCs w:val="17"/>
                <w:color w:val="auto"/>
              </w:rPr>
              <w:t>Quota share treaty: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shd w:val="clear" w:color="auto" w:fill="CCEEFF"/>
          </w:tcPr>
          <w:p>
            <w:pPr>
              <w:ind w:left="500"/>
              <w:spacing w:after="0"/>
              <w:rPr>
                <w:sz w:val="20"/>
                <w:szCs w:val="20"/>
                <w:color w:val="auto"/>
              </w:rPr>
            </w:pPr>
            <w:r>
              <w:rPr>
                <w:rFonts w:ascii="Arial" w:cs="Arial" w:eastAsia="Arial" w:hAnsi="Arial"/>
                <w:sz w:val="17"/>
                <w:szCs w:val="17"/>
                <w:color w:val="auto"/>
              </w:rPr>
              <w:t>Percent ceded - first million dollars of coverage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tcPr>
          <w:p>
            <w:pPr>
              <w:ind w:left="500"/>
              <w:spacing w:after="0"/>
              <w:rPr>
                <w:sz w:val="20"/>
                <w:szCs w:val="20"/>
                <w:color w:val="auto"/>
              </w:rPr>
            </w:pPr>
            <w:r>
              <w:rPr>
                <w:rFonts w:ascii="Arial" w:cs="Arial" w:eastAsia="Arial" w:hAnsi="Arial"/>
                <w:sz w:val="17"/>
                <w:szCs w:val="17"/>
                <w:color w:val="auto"/>
              </w:rPr>
              <w:t>Percent ceded - excess of one million dollars of coverage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shd w:val="clear" w:color="auto" w:fill="CCEEFF"/>
          </w:tcPr>
          <w:p>
            <w:pPr>
              <w:ind w:left="500"/>
              <w:spacing w:after="0"/>
              <w:rPr>
                <w:sz w:val="20"/>
                <w:szCs w:val="20"/>
                <w:color w:val="auto"/>
              </w:rPr>
            </w:pPr>
            <w:r>
              <w:rPr>
                <w:rFonts w:ascii="Arial" w:cs="Arial" w:eastAsia="Arial" w:hAnsi="Arial"/>
                <w:sz w:val="17"/>
                <w:szCs w:val="17"/>
                <w:color w:val="auto"/>
              </w:rPr>
              <w:t>Risk retained</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tcPr>
          <w:p>
            <w:pPr>
              <w:ind w:left="480"/>
              <w:spacing w:after="0"/>
              <w:rPr>
                <w:sz w:val="20"/>
                <w:szCs w:val="20"/>
                <w:color w:val="auto"/>
              </w:rPr>
            </w:pPr>
            <w:r>
              <w:rPr>
                <w:rFonts w:ascii="Arial" w:cs="Arial" w:eastAsia="Arial" w:hAnsi="Arial"/>
                <w:sz w:val="17"/>
                <w:szCs w:val="17"/>
                <w:color w:val="auto"/>
              </w:rPr>
              <w:t>Total reinsurance coverage per occurrence</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2,900,000</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2,900,000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shd w:val="clear" w:color="auto" w:fill="CCEEFF"/>
          </w:tcPr>
          <w:p>
            <w:pPr>
              <w:ind w:left="50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3,000,000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tcPr>
          <w:p>
            <w:pPr>
              <w:ind w:left="180"/>
              <w:spacing w:after="0"/>
              <w:rPr>
                <w:sz w:val="20"/>
                <w:szCs w:val="20"/>
                <w:color w:val="auto"/>
              </w:rPr>
            </w:pPr>
            <w:r>
              <w:rPr>
                <w:rFonts w:ascii="Arial" w:cs="Arial" w:eastAsia="Arial" w:hAnsi="Arial"/>
                <w:sz w:val="17"/>
                <w:szCs w:val="17"/>
                <w:color w:val="auto"/>
              </w:rPr>
              <w:t>Expiration date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June 30, 2016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June 30, 2015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w w:val="90"/>
              </w:rPr>
              <w:t>June 30, 2014</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7140" w:type="dxa"/>
            <w:vAlign w:val="bottom"/>
            <w:gridSpan w:val="4"/>
          </w:tcPr>
          <w:p>
            <w:pPr>
              <w:spacing w:after="0" w:line="167" w:lineRule="exact"/>
              <w:rPr>
                <w:sz w:val="20"/>
                <w:szCs w:val="20"/>
                <w:color w:val="auto"/>
              </w:rPr>
            </w:pPr>
            <w:r>
              <w:rPr>
                <w:rFonts w:ascii="Arial" w:cs="Arial" w:eastAsia="Arial" w:hAnsi="Arial"/>
                <w:sz w:val="17"/>
                <w:szCs w:val="17"/>
                <w:color w:val="auto"/>
              </w:rPr>
              <w:t>Commercial Lines: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General liability commercial policies, except for commercial auto</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tcPr>
          <w:p>
            <w:pPr>
              <w:ind w:left="340"/>
              <w:spacing w:after="0"/>
              <w:rPr>
                <w:sz w:val="20"/>
                <w:szCs w:val="20"/>
                <w:color w:val="auto"/>
              </w:rPr>
            </w:pPr>
            <w:r>
              <w:rPr>
                <w:rFonts w:ascii="Arial" w:cs="Arial" w:eastAsia="Arial" w:hAnsi="Arial"/>
                <w:sz w:val="17"/>
                <w:szCs w:val="17"/>
                <w:color w:val="auto"/>
              </w:rPr>
              <w:t>Quota share treaty: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shd w:val="clear" w:color="auto" w:fill="CCEEFF"/>
          </w:tcPr>
          <w:p>
            <w:pPr>
              <w:ind w:left="500"/>
              <w:spacing w:after="0"/>
              <w:rPr>
                <w:sz w:val="20"/>
                <w:szCs w:val="20"/>
                <w:color w:val="auto"/>
              </w:rPr>
            </w:pPr>
            <w:r>
              <w:rPr>
                <w:rFonts w:ascii="Arial" w:cs="Arial" w:eastAsia="Arial" w:hAnsi="Arial"/>
                <w:sz w:val="17"/>
                <w:szCs w:val="17"/>
                <w:color w:val="auto"/>
              </w:rPr>
              <w:t>Percent ceded (terminated effective July 1, 2014)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None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None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tcPr>
          <w:p>
            <w:pPr>
              <w:ind w:left="500"/>
              <w:spacing w:after="0"/>
              <w:rPr>
                <w:sz w:val="20"/>
                <w:szCs w:val="20"/>
                <w:color w:val="auto"/>
              </w:rPr>
            </w:pPr>
            <w:r>
              <w:rPr>
                <w:rFonts w:ascii="Arial" w:cs="Arial" w:eastAsia="Arial" w:hAnsi="Arial"/>
                <w:sz w:val="17"/>
                <w:szCs w:val="17"/>
                <w:color w:val="auto"/>
              </w:rPr>
              <w:t>Risk retained</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425,000</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shd w:val="clear" w:color="auto" w:fill="CCEEFF"/>
          </w:tcPr>
          <w:p>
            <w:pPr>
              <w:ind w:left="50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None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None</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tcPr>
          <w:p>
            <w:pPr>
              <w:ind w:left="180"/>
              <w:spacing w:after="0"/>
              <w:rPr>
                <w:sz w:val="20"/>
                <w:szCs w:val="20"/>
                <w:color w:val="auto"/>
              </w:rPr>
            </w:pPr>
            <w:r>
              <w:rPr>
                <w:rFonts w:ascii="Arial" w:cs="Arial" w:eastAsia="Arial" w:hAnsi="Arial"/>
                <w:sz w:val="17"/>
                <w:szCs w:val="17"/>
                <w:color w:val="auto"/>
              </w:rPr>
              <w:t>Excess of loss coverage above quota share coverage</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4,075,000</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3,600,000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2,500,000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in excess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in excess of</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425,000</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Total reinsurance coverage per occurrence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4,075,000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tcPr>
          <w:p>
            <w:pPr>
              <w:ind w:left="180"/>
              <w:spacing w:after="0"/>
              <w:rPr>
                <w:sz w:val="20"/>
                <w:szCs w:val="20"/>
                <w:color w:val="auto"/>
              </w:rPr>
            </w:pPr>
            <w:r>
              <w:rPr>
                <w:rFonts w:ascii="Arial" w:cs="Arial" w:eastAsia="Arial" w:hAnsi="Arial"/>
                <w:sz w:val="17"/>
                <w:szCs w:val="17"/>
                <w:color w:val="auto"/>
              </w:rPr>
              <w:t>Losses per occurrence subject to reinsurance coverage</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4,500,000</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4,000,000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2,900,000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7140" w:type="dxa"/>
            <w:vAlign w:val="bottom"/>
            <w:gridSpan w:val="4"/>
          </w:tcPr>
          <w:p>
            <w:pPr>
              <w:spacing w:after="0" w:line="167" w:lineRule="exact"/>
              <w:rPr>
                <w:sz w:val="20"/>
                <w:szCs w:val="20"/>
                <w:color w:val="auto"/>
              </w:rPr>
            </w:pPr>
            <w:r>
              <w:rPr>
                <w:rFonts w:ascii="Arial" w:cs="Arial" w:eastAsia="Arial" w:hAnsi="Arial"/>
                <w:sz w:val="17"/>
                <w:szCs w:val="17"/>
                <w:color w:val="auto"/>
              </w:rPr>
              <w:t>Commercial Auto: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Borders>
              <w:top w:val="single" w:sz="8" w:color="auto"/>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Risk retained</w:t>
            </w:r>
          </w:p>
        </w:tc>
        <w:tc>
          <w:tcPr>
            <w:tcW w:w="584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300,000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tcPr>
          <w:p>
            <w:pPr>
              <w:ind w:left="180"/>
              <w:spacing w:after="0"/>
              <w:rPr>
                <w:sz w:val="20"/>
                <w:szCs w:val="20"/>
                <w:color w:val="auto"/>
              </w:rPr>
            </w:pPr>
            <w:r>
              <w:rPr>
                <w:rFonts w:ascii="Arial" w:cs="Arial" w:eastAsia="Arial" w:hAnsi="Arial"/>
                <w:sz w:val="17"/>
                <w:szCs w:val="17"/>
                <w:color w:val="auto"/>
              </w:rPr>
              <w:t>Excess of loss coverage in excess of risk retained</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1,700,000</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1,700,000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1,700,000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in excess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in excess of</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300,000</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140" w:type="dxa"/>
            <w:vAlign w:val="bottom"/>
            <w:gridSpan w:val="4"/>
            <w:shd w:val="clear" w:color="auto" w:fill="CCEEFF"/>
          </w:tcPr>
          <w:p>
            <w:pPr>
              <w:spacing w:after="0" w:line="167" w:lineRule="exact"/>
              <w:rPr>
                <w:sz w:val="20"/>
                <w:szCs w:val="20"/>
                <w:color w:val="auto"/>
              </w:rPr>
            </w:pPr>
            <w:r>
              <w:rPr>
                <w:rFonts w:ascii="Arial" w:cs="Arial" w:eastAsia="Arial" w:hAnsi="Arial"/>
                <w:sz w:val="17"/>
                <w:szCs w:val="17"/>
                <w:color w:val="auto"/>
              </w:rPr>
              <w:t>Catastrophe Reinsurance:</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60" w:type="dxa"/>
            <w:vAlign w:val="bottom"/>
            <w:tcBorders>
              <w:right w:val="single" w:sz="8" w:color="auto"/>
            </w:tcBorders>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5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tcPr>
          <w:p>
            <w:pPr>
              <w:ind w:left="180"/>
              <w:spacing w:after="0"/>
              <w:rPr>
                <w:sz w:val="20"/>
                <w:szCs w:val="20"/>
                <w:color w:val="auto"/>
              </w:rPr>
            </w:pPr>
            <w:r>
              <w:rPr>
                <w:rFonts w:ascii="Arial" w:cs="Arial" w:eastAsia="Arial" w:hAnsi="Arial"/>
                <w:sz w:val="17"/>
                <w:szCs w:val="17"/>
                <w:color w:val="auto"/>
              </w:rPr>
              <w:t>Initial loss subject to personal lines quota share treaty</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4,000,000</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4,000,000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4,000,000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Risk retained per catastrophe occurrence (1)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2,400,000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tcPr>
          <w:p>
            <w:pPr>
              <w:ind w:left="180"/>
              <w:spacing w:after="0"/>
              <w:rPr>
                <w:sz w:val="20"/>
                <w:szCs w:val="20"/>
                <w:color w:val="auto"/>
              </w:rPr>
            </w:pPr>
            <w:r>
              <w:rPr>
                <w:rFonts w:ascii="Arial" w:cs="Arial" w:eastAsia="Arial" w:hAnsi="Arial"/>
                <w:sz w:val="17"/>
                <w:szCs w:val="17"/>
                <w:color w:val="auto"/>
              </w:rPr>
              <w:t>Catastrophe loss coverage in excess of quota share coverage (2) (3)</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176,000,000.00</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137,000,000.00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86,000,000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Severe winter weather aggregate (3)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300"/>
              <w:spacing w:after="0"/>
              <w:rPr>
                <w:sz w:val="20"/>
                <w:szCs w:val="20"/>
                <w:color w:val="auto"/>
              </w:rPr>
            </w:pPr>
            <w:r>
              <w:rPr>
                <w:rFonts w:ascii="Arial" w:cs="Arial" w:eastAsia="Arial" w:hAnsi="Arial"/>
                <w:sz w:val="17"/>
                <w:szCs w:val="17"/>
                <w:color w:val="auto"/>
                <w:w w:val="88"/>
              </w:rPr>
              <w:t>Yes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w w:val="81"/>
              </w:rPr>
              <w:t>Yes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No</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gridSpan w:val="4"/>
          </w:tcPr>
          <w:p>
            <w:pPr>
              <w:ind w:left="180"/>
              <w:spacing w:after="0"/>
              <w:rPr>
                <w:sz w:val="20"/>
                <w:szCs w:val="20"/>
                <w:color w:val="auto"/>
              </w:rPr>
            </w:pPr>
            <w:r>
              <w:rPr>
                <w:rFonts w:ascii="Arial" w:cs="Arial" w:eastAsia="Arial" w:hAnsi="Arial"/>
                <w:sz w:val="17"/>
                <w:szCs w:val="17"/>
                <w:color w:val="auto"/>
              </w:rPr>
              <w:t>Reinstatement premium protection (4)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Yes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No</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color w:val="auto"/>
              </w:rPr>
              <w:t>No</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40" w:hanging="237"/>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21" w:lineRule="exact"/>
        <w:rPr>
          <w:rFonts w:ascii="Arial" w:cs="Arial" w:eastAsia="Arial" w:hAnsi="Arial"/>
          <w:sz w:val="17"/>
          <w:szCs w:val="17"/>
          <w:color w:val="auto"/>
        </w:rPr>
      </w:pPr>
    </w:p>
    <w:p>
      <w:pPr>
        <w:ind w:left="240" w:right="40" w:hanging="237"/>
        <w:spacing w:after="0" w:line="253" w:lineRule="auto"/>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 Effective July 1, 2015, the duration of a catastrophe occurrence from windstorm, hail, tornado, hurricane and cyclone was extended to 120 consecutive hours from 96 consecutive hours.</w:t>
      </w:r>
    </w:p>
    <w:p>
      <w:pPr>
        <w:ind w:left="240" w:hanging="237"/>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Effective July 1, 2014, our catastrophe treaty also covers losses caused by severe winter weather during any consecutive 28 day period.</w:t>
      </w:r>
    </w:p>
    <w:p>
      <w:pPr>
        <w:spacing w:after="0" w:line="11" w:lineRule="exact"/>
        <w:rPr>
          <w:rFonts w:ascii="Arial" w:cs="Arial" w:eastAsia="Arial" w:hAnsi="Arial"/>
          <w:sz w:val="17"/>
          <w:szCs w:val="17"/>
          <w:color w:val="auto"/>
        </w:rPr>
      </w:pPr>
    </w:p>
    <w:p>
      <w:pPr>
        <w:ind w:left="240" w:hanging="237"/>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Effective July 1, 2015, reinstatement premium protection for $16,000,000 of catastrophe coverage in excess of $4,000,000.</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9" w:name="page60"/>
    <w:bookmarkEnd w:id="59"/>
    <w:p>
      <w:pPr>
        <w:spacing w:after="0"/>
        <w:rPr>
          <w:sz w:val="20"/>
          <w:szCs w:val="20"/>
          <w:color w:val="auto"/>
        </w:rPr>
      </w:pPr>
      <w:r>
        <w:rPr>
          <w:rFonts w:ascii="Arial" w:cs="Arial" w:eastAsia="Arial" w:hAnsi="Arial"/>
          <w:sz w:val="17"/>
          <w:szCs w:val="17"/>
          <w:color w:val="auto"/>
        </w:rPr>
        <w:t>The single maximum risks per occurrence to which we are subject under the new treaties effective July 1, 2015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80" w:type="dxa"/>
            <w:vAlign w:val="bottom"/>
            <w:gridSpan w:val="4"/>
          </w:tcPr>
          <w:p>
            <w:pPr>
              <w:ind w:left="720"/>
              <w:spacing w:after="0"/>
              <w:rPr>
                <w:sz w:val="20"/>
                <w:szCs w:val="20"/>
                <w:color w:val="auto"/>
              </w:rPr>
            </w:pPr>
            <w:r>
              <w:rPr>
                <w:rFonts w:ascii="Arial" w:cs="Arial" w:eastAsia="Arial" w:hAnsi="Arial"/>
                <w:sz w:val="14"/>
                <w:szCs w:val="14"/>
                <w:b w:val="1"/>
                <w:bCs w:val="1"/>
                <w:color w:val="auto"/>
              </w:rPr>
              <w:t>July 1, 2015 - June 30, 2016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220" w:type="dxa"/>
            <w:vAlign w:val="bottom"/>
            <w:vMerge w:val="restart"/>
          </w:tcPr>
          <w:p>
            <w:pPr>
              <w:ind w:left="3900"/>
              <w:spacing w:after="0"/>
              <w:rPr>
                <w:sz w:val="20"/>
                <w:szCs w:val="20"/>
                <w:color w:val="auto"/>
              </w:rPr>
            </w:pPr>
            <w:r>
              <w:rPr>
                <w:rFonts w:ascii="Arial" w:cs="Arial" w:eastAsia="Arial" w:hAnsi="Arial"/>
                <w:sz w:val="14"/>
                <w:szCs w:val="14"/>
                <w:b w:val="1"/>
                <w:bCs w:val="1"/>
                <w:color w:val="auto"/>
              </w:rPr>
              <w:t>Treaty</w:t>
            </w: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Borders>
              <w:top w:val="single" w:sz="8" w:color="auto"/>
              <w:bottom w:val="single" w:sz="8" w:color="auto"/>
            </w:tcBorders>
          </w:tcPr>
          <w:p>
            <w:pPr>
              <w:ind w:left="500"/>
              <w:spacing w:after="0" w:line="142" w:lineRule="exact"/>
              <w:rPr>
                <w:sz w:val="20"/>
                <w:szCs w:val="20"/>
                <w:color w:val="auto"/>
              </w:rPr>
            </w:pPr>
            <w:r>
              <w:rPr>
                <w:rFonts w:ascii="Arial" w:cs="Arial" w:eastAsia="Arial" w:hAnsi="Arial"/>
                <w:sz w:val="14"/>
                <w:szCs w:val="14"/>
                <w:b w:val="1"/>
                <w:bCs w:val="1"/>
                <w:color w:val="auto"/>
              </w:rPr>
              <w:t>Extent of Loss</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Risk Retained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$750,000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Arial" w:cs="Arial" w:eastAsia="Arial" w:hAnsi="Arial"/>
                <w:sz w:val="17"/>
                <w:szCs w:val="17"/>
                <w:color w:val="auto"/>
              </w:rPr>
              <w:t>$750,000 - $4,500,000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Arial" w:cs="Arial" w:eastAsia="Arial" w:hAnsi="Arial"/>
                <w:sz w:val="17"/>
                <w:szCs w:val="17"/>
                <w:color w:val="auto"/>
                <w:w w:val="94"/>
              </w:rPr>
              <w:t>$1,000,000 - $3,000,000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$3,000,000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$425,000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$425,000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Arial" w:cs="Arial" w:eastAsia="Arial" w:hAnsi="Arial"/>
                <w:sz w:val="17"/>
                <w:szCs w:val="17"/>
                <w:color w:val="auto"/>
              </w:rPr>
              <w:t>$425,000 - $4,500,000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Commercial Auto</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$300,000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Arial" w:cs="Arial" w:eastAsia="Arial" w:hAnsi="Arial"/>
                <w:sz w:val="17"/>
                <w:szCs w:val="17"/>
                <w:color w:val="auto"/>
              </w:rPr>
              <w:t>$300,000 - $2,000,000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Catastrophe (2)</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1940" w:type="dxa"/>
            <w:vAlign w:val="bottom"/>
            <w:gridSpan w:val="2"/>
          </w:tcPr>
          <w:p>
            <w:pPr>
              <w:ind w:left="160"/>
              <w:spacing w:after="0" w:line="194" w:lineRule="exact"/>
              <w:rPr>
                <w:sz w:val="20"/>
                <w:szCs w:val="20"/>
                <w:color w:val="auto"/>
              </w:rPr>
            </w:pPr>
            <w:r>
              <w:rPr>
                <w:rFonts w:ascii="Arial" w:cs="Arial" w:eastAsia="Arial" w:hAnsi="Arial"/>
                <w:sz w:val="17"/>
                <w:szCs w:val="17"/>
                <w:color w:val="auto"/>
              </w:rPr>
              <w:t>$4,000,000 -</w:t>
            </w:r>
          </w:p>
        </w:tc>
        <w:tc>
          <w:tcPr>
            <w:tcW w:w="10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None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940" w:type="dxa"/>
            <w:vAlign w:val="bottom"/>
            <w:gridSpan w:val="2"/>
          </w:tcPr>
          <w:p>
            <w:pPr>
              <w:jc w:val="right"/>
              <w:ind w:right="797"/>
              <w:spacing w:after="0"/>
              <w:rPr>
                <w:sz w:val="20"/>
                <w:szCs w:val="20"/>
                <w:color w:val="auto"/>
              </w:rPr>
            </w:pPr>
            <w:r>
              <w:rPr>
                <w:rFonts w:ascii="Arial" w:cs="Arial" w:eastAsia="Arial" w:hAnsi="Arial"/>
                <w:sz w:val="17"/>
                <w:szCs w:val="17"/>
                <w:color w:val="auto"/>
                <w:w w:val="99"/>
              </w:rPr>
              <w:t>$180,000,000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$180,000,000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single maximum risks per occurrence to which we are subject under the treaties that expired on June 30, 2015 and 2014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July 1, 2014 - June 30, 2015</w:t>
            </w:r>
          </w:p>
        </w:tc>
        <w:tc>
          <w:tcPr>
            <w:tcW w:w="3080" w:type="dxa"/>
            <w:vAlign w:val="bottom"/>
            <w:gridSpan w:val="4"/>
          </w:tcPr>
          <w:p>
            <w:pPr>
              <w:ind w:left="720"/>
              <w:spacing w:after="0"/>
              <w:rPr>
                <w:sz w:val="20"/>
                <w:szCs w:val="20"/>
                <w:color w:val="auto"/>
              </w:rPr>
            </w:pPr>
            <w:r>
              <w:rPr>
                <w:rFonts w:ascii="Arial" w:cs="Arial" w:eastAsia="Arial" w:hAnsi="Arial"/>
                <w:sz w:val="14"/>
                <w:szCs w:val="14"/>
                <w:b w:val="1"/>
                <w:bCs w:val="1"/>
                <w:color w:val="auto"/>
              </w:rPr>
              <w:t>July 1, 2013 - June 30, 2014</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502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Treaty</w:t>
            </w: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Borders>
              <w:top w:val="single" w:sz="8" w:color="auto"/>
              <w:bottom w:val="single" w:sz="8" w:color="auto"/>
            </w:tcBorders>
          </w:tcPr>
          <w:p>
            <w:pPr>
              <w:ind w:left="500"/>
              <w:spacing w:after="0" w:line="142" w:lineRule="exact"/>
              <w:rPr>
                <w:sz w:val="20"/>
                <w:szCs w:val="20"/>
                <w:color w:val="auto"/>
              </w:rPr>
            </w:pPr>
            <w:r>
              <w:rPr>
                <w:rFonts w:ascii="Arial" w:cs="Arial" w:eastAsia="Arial" w:hAnsi="Arial"/>
                <w:sz w:val="14"/>
                <w:szCs w:val="14"/>
                <w:b w:val="1"/>
                <w:bCs w:val="1"/>
                <w:color w:val="auto"/>
              </w:rPr>
              <w:t>Extent of Loss</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Risk Retained</w:t>
            </w:r>
          </w:p>
        </w:tc>
        <w:tc>
          <w:tcPr>
            <w:tcW w:w="120" w:type="dxa"/>
            <w:vAlign w:val="bottom"/>
          </w:tcPr>
          <w:p>
            <w:pPr>
              <w:spacing w:after="0"/>
              <w:rPr>
                <w:sz w:val="12"/>
                <w:szCs w:val="12"/>
                <w:color w:val="auto"/>
              </w:rPr>
            </w:pPr>
          </w:p>
        </w:tc>
        <w:tc>
          <w:tcPr>
            <w:tcW w:w="1820" w:type="dxa"/>
            <w:vAlign w:val="bottom"/>
            <w:tcBorders>
              <w:top w:val="single" w:sz="8" w:color="auto"/>
              <w:bottom w:val="single" w:sz="8" w:color="auto"/>
            </w:tcBorders>
          </w:tcPr>
          <w:p>
            <w:pPr>
              <w:ind w:left="520"/>
              <w:spacing w:after="0" w:line="142" w:lineRule="exact"/>
              <w:rPr>
                <w:sz w:val="20"/>
                <w:szCs w:val="20"/>
                <w:color w:val="auto"/>
              </w:rPr>
            </w:pPr>
            <w:r>
              <w:rPr>
                <w:rFonts w:ascii="Arial" w:cs="Arial" w:eastAsia="Arial" w:hAnsi="Arial"/>
                <w:sz w:val="14"/>
                <w:szCs w:val="14"/>
                <w:b w:val="1"/>
                <w:bCs w:val="1"/>
                <w:color w:val="auto"/>
              </w:rPr>
              <w:t>Extent of Loss</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Risk Retained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$800,000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$360,000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$1,200,000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Arial" w:cs="Arial" w:eastAsia="Arial" w:hAnsi="Arial"/>
                <w:sz w:val="17"/>
                <w:szCs w:val="17"/>
                <w:color w:val="auto"/>
              </w:rPr>
              <w:t>$800,000 - $4,000,000</w:t>
            </w: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1820" w:type="dxa"/>
            <w:vAlign w:val="bottom"/>
          </w:tcPr>
          <w:p>
            <w:pPr>
              <w:ind w:left="40"/>
              <w:spacing w:after="0"/>
              <w:rPr>
                <w:sz w:val="20"/>
                <w:szCs w:val="20"/>
                <w:color w:val="auto"/>
              </w:rPr>
            </w:pPr>
            <w:r>
              <w:rPr>
                <w:rFonts w:ascii="Arial" w:cs="Arial" w:eastAsia="Arial" w:hAnsi="Arial"/>
                <w:sz w:val="17"/>
                <w:szCs w:val="17"/>
                <w:color w:val="auto"/>
                <w:w w:val="94"/>
              </w:rPr>
              <w:t>$1,200,000 - $2,900,000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$4,000,000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$2,900,000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Arial" w:cs="Arial" w:eastAsia="Arial" w:hAnsi="Arial"/>
                <w:sz w:val="17"/>
                <w:szCs w:val="17"/>
                <w:color w:val="auto"/>
                <w:w w:val="94"/>
              </w:rPr>
              <w:t>$1,000,000 - $3,000,000</w:t>
            </w: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1820" w:type="dxa"/>
            <w:vAlign w:val="bottom"/>
          </w:tcPr>
          <w:p>
            <w:pPr>
              <w:ind w:left="40"/>
              <w:spacing w:after="0"/>
              <w:rPr>
                <w:sz w:val="20"/>
                <w:szCs w:val="20"/>
                <w:color w:val="auto"/>
              </w:rPr>
            </w:pPr>
            <w:r>
              <w:rPr>
                <w:rFonts w:ascii="Arial" w:cs="Arial" w:eastAsia="Arial" w:hAnsi="Arial"/>
                <w:sz w:val="17"/>
                <w:szCs w:val="17"/>
                <w:color w:val="auto"/>
                <w:w w:val="94"/>
              </w:rPr>
              <w:t>$1,000,000 - $2,000,000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$3,000,000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$400,000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Arial" w:cs="Arial" w:eastAsia="Arial" w:hAnsi="Arial"/>
                <w:sz w:val="17"/>
                <w:szCs w:val="17"/>
                <w:color w:val="auto"/>
              </w:rPr>
              <w:t>$400,000 - $4,000,000</w:t>
            </w: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1820" w:type="dxa"/>
            <w:vAlign w:val="bottom"/>
          </w:tcPr>
          <w:p>
            <w:pPr>
              <w:ind w:left="40"/>
              <w:spacing w:after="0"/>
              <w:rPr>
                <w:sz w:val="20"/>
                <w:szCs w:val="20"/>
                <w:color w:val="auto"/>
              </w:rPr>
            </w:pPr>
            <w:r>
              <w:rPr>
                <w:rFonts w:ascii="Arial" w:cs="Arial" w:eastAsia="Arial" w:hAnsi="Arial"/>
                <w:sz w:val="17"/>
                <w:szCs w:val="17"/>
                <w:color w:val="auto"/>
              </w:rPr>
              <w:t>$400,000 - $2,900,000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$4,000,000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$2,900,000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Commercial Auto</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$300,000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$300,000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$300,000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Arial" w:cs="Arial" w:eastAsia="Arial" w:hAnsi="Arial"/>
                <w:sz w:val="17"/>
                <w:szCs w:val="17"/>
                <w:color w:val="auto"/>
              </w:rPr>
              <w:t>$300,000 - $2,000,000</w:t>
            </w: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1820" w:type="dxa"/>
            <w:vAlign w:val="bottom"/>
          </w:tcPr>
          <w:p>
            <w:pPr>
              <w:ind w:left="40"/>
              <w:spacing w:after="0"/>
              <w:rPr>
                <w:sz w:val="20"/>
                <w:szCs w:val="20"/>
                <w:color w:val="auto"/>
              </w:rPr>
            </w:pPr>
            <w:r>
              <w:rPr>
                <w:rFonts w:ascii="Arial" w:cs="Arial" w:eastAsia="Arial" w:hAnsi="Arial"/>
                <w:sz w:val="17"/>
                <w:szCs w:val="17"/>
                <w:color w:val="auto"/>
              </w:rPr>
              <w:t>$300,000 - $2,000,000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$2,000,000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Catastrophe (2)</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$4,000,000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$1,800,000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940" w:type="dxa"/>
            <w:vAlign w:val="bottom"/>
            <w:gridSpan w:val="2"/>
          </w:tcPr>
          <w:p>
            <w:pPr>
              <w:ind w:left="160"/>
              <w:spacing w:after="0" w:line="194" w:lineRule="exact"/>
              <w:rPr>
                <w:sz w:val="20"/>
                <w:szCs w:val="20"/>
                <w:color w:val="auto"/>
              </w:rPr>
            </w:pPr>
            <w:r>
              <w:rPr>
                <w:rFonts w:ascii="Arial" w:cs="Arial" w:eastAsia="Arial" w:hAnsi="Arial"/>
                <w:sz w:val="17"/>
                <w:szCs w:val="17"/>
                <w:color w:val="auto"/>
              </w:rPr>
              <w:t>$4,000,000 -</w:t>
            </w:r>
          </w:p>
        </w:tc>
        <w:tc>
          <w:tcPr>
            <w:tcW w:w="120" w:type="dxa"/>
            <w:vAlign w:val="bottom"/>
          </w:tcPr>
          <w:p>
            <w:pPr>
              <w:spacing w:after="0"/>
              <w:rPr>
                <w:sz w:val="16"/>
                <w:szCs w:val="16"/>
                <w:color w:val="auto"/>
              </w:rPr>
            </w:pPr>
          </w:p>
        </w:tc>
        <w:tc>
          <w:tcPr>
            <w:tcW w:w="12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None</w:t>
            </w:r>
          </w:p>
        </w:tc>
        <w:tc>
          <w:tcPr>
            <w:tcW w:w="1820" w:type="dxa"/>
            <w:vAlign w:val="bottom"/>
          </w:tcPr>
          <w:p>
            <w:pPr>
              <w:ind w:left="40"/>
              <w:spacing w:after="0" w:line="194" w:lineRule="exact"/>
              <w:rPr>
                <w:sz w:val="20"/>
                <w:szCs w:val="20"/>
                <w:color w:val="auto"/>
              </w:rPr>
            </w:pPr>
            <w:r>
              <w:rPr>
                <w:rFonts w:ascii="Arial" w:cs="Arial" w:eastAsia="Arial" w:hAnsi="Arial"/>
                <w:sz w:val="17"/>
                <w:szCs w:val="17"/>
                <w:color w:val="auto"/>
              </w:rPr>
              <w:t>$4,000,000 -</w:t>
            </w:r>
          </w:p>
        </w:tc>
        <w:tc>
          <w:tcPr>
            <w:tcW w:w="10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None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940" w:type="dxa"/>
            <w:vAlign w:val="bottom"/>
            <w:gridSpan w:val="2"/>
          </w:tcPr>
          <w:p>
            <w:pPr>
              <w:jc w:val="right"/>
              <w:ind w:right="797"/>
              <w:spacing w:after="0"/>
              <w:rPr>
                <w:sz w:val="20"/>
                <w:szCs w:val="20"/>
                <w:color w:val="auto"/>
              </w:rPr>
            </w:pPr>
            <w:r>
              <w:rPr>
                <w:rFonts w:ascii="Arial" w:cs="Arial" w:eastAsia="Arial" w:hAnsi="Arial"/>
                <w:sz w:val="17"/>
                <w:szCs w:val="17"/>
                <w:color w:val="auto"/>
                <w:w w:val="99"/>
              </w:rPr>
              <w:t>$141,000,000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$90,000,000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$141,000,000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$90,000,000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_______________</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80" w:hanging="277"/>
        <w:spacing w:after="0"/>
        <w:tabs>
          <w:tab w:leader="none" w:pos="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243" w:lineRule="exact"/>
        <w:rPr>
          <w:rFonts w:ascii="Arial" w:cs="Arial" w:eastAsia="Arial" w:hAnsi="Arial"/>
          <w:sz w:val="17"/>
          <w:szCs w:val="17"/>
          <w:color w:val="auto"/>
        </w:rPr>
      </w:pPr>
    </w:p>
    <w:p>
      <w:pPr>
        <w:ind w:left="280" w:hanging="277"/>
        <w:spacing w:after="0"/>
        <w:tabs>
          <w:tab w:leader="none" w:pos="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4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That May Affect Future Results and Financial Condition</w:t>
      </w:r>
    </w:p>
    <w:p>
      <w:pPr>
        <w:spacing w:after="0" w:line="24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Based upon the factors set forth under “Factors That May Affect Future Results and Financial Condition” in Item 7 of our Annual Report on Form 10-K for the year ended December 31, 2014,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In addition, such factors, among others, may affect the accuracy of certain forward-looking statements contained in our periodic reports, including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u w:val="single" w:color="auto"/>
          <w:color w:val="auto"/>
        </w:rPr>
        <w:t>Quantitative and Qualitative Disclosures About Market Risk</w:t>
      </w:r>
      <w:r>
        <w:rPr>
          <w:rFonts w:ascii="Arial" w:cs="Arial" w:eastAsia="Arial" w:hAnsi="Arial"/>
          <w:sz w:val="17"/>
          <w:szCs w:val="17"/>
          <w:color w:val="auto"/>
        </w:rPr>
        <w: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u w:val="single" w:color="auto"/>
          <w:color w:val="auto"/>
        </w:rPr>
        <w:t>Controls and Procedures</w:t>
      </w:r>
      <w:r>
        <w:rPr>
          <w:rFonts w:ascii="Arial" w:cs="Arial" w:eastAsia="Arial" w:hAnsi="Arial"/>
          <w:sz w:val="17"/>
          <w:szCs w:val="17"/>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maintain disclosure controls and procedures (as defined in Exchange Act Rule 13a-15(e)) that are designed to assure that information required to be disclosed in our Exchange Act reports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w:t>
      </w:r>
    </w:p>
    <w:p>
      <w:pPr>
        <w:spacing w:after="0" w:line="205"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As required by Exchange Act Rule 13a-15(b), as of the end of the period covered by this Annual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September 30, 2015.</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4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 xml:space="preserve">PART II. </w:t>
      </w:r>
      <w:r>
        <w:rPr>
          <w:rFonts w:ascii="Arial" w:cs="Arial" w:eastAsia="Arial" w:hAnsi="Arial"/>
          <w:sz w:val="17"/>
          <w:szCs w:val="17"/>
          <w:b w:val="1"/>
          <w:bCs w:val="1"/>
          <w:u w:val="single" w:color="auto"/>
          <w:color w:val="auto"/>
        </w:rPr>
        <w:t>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u w:val="single" w:color="auto"/>
          <w:color w:val="auto"/>
        </w:rPr>
        <w:t>Legal Proceedings</w:t>
      </w:r>
      <w:r>
        <w:rPr>
          <w:rFonts w:ascii="Arial" w:cs="Arial" w:eastAsia="Arial" w:hAnsi="Arial"/>
          <w:sz w:val="17"/>
          <w:szCs w:val="17"/>
          <w:color w:val="auto"/>
        </w:rPr>
        <w:t>.</w:t>
      </w:r>
    </w:p>
    <w:p>
      <w:pPr>
        <w:spacing w:after="0" w:line="249" w:lineRule="exact"/>
        <w:rPr>
          <w:sz w:val="20"/>
          <w:szCs w:val="20"/>
          <w:color w:val="auto"/>
        </w:rPr>
      </w:pPr>
    </w:p>
    <w:p>
      <w:pPr>
        <w:jc w:val="center"/>
        <w:ind w:right="9800"/>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u w:val="single" w:color="auto"/>
          <w:color w:val="auto"/>
        </w:rPr>
        <w:t>Risk Factors</w:t>
      </w:r>
      <w:r>
        <w:rPr>
          <w:rFonts w:ascii="Arial" w:cs="Arial" w:eastAsia="Arial" w:hAnsi="Arial"/>
          <w:sz w:val="17"/>
          <w:szCs w:val="17"/>
          <w:color w:val="auto"/>
        </w:rPr>
        <w: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u w:val="single" w:color="auto"/>
          <w:color w:val="auto"/>
        </w:rPr>
        <w:t>Unregistered Sales of Equity Securities and Use of Proceeds</w:t>
      </w:r>
      <w:r>
        <w:rPr>
          <w:rFonts w:ascii="Arial" w:cs="Arial" w:eastAsia="Arial" w:hAnsi="Arial"/>
          <w:sz w:val="17"/>
          <w:szCs w:val="17"/>
          <w:color w:val="auto"/>
        </w:rPr>
        <w:t>.</w:t>
      </w:r>
    </w:p>
    <w:p>
      <w:pPr>
        <w:spacing w:after="0" w:line="249" w:lineRule="exact"/>
        <w:rPr>
          <w:sz w:val="20"/>
          <w:szCs w:val="20"/>
          <w:color w:val="auto"/>
        </w:rPr>
      </w:pPr>
    </w:p>
    <w:p>
      <w:pPr>
        <w:ind w:left="300" w:hanging="297"/>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None</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43" w:lineRule="exact"/>
        <w:rPr>
          <w:rFonts w:ascii="Arial" w:cs="Arial" w:eastAsia="Arial" w:hAnsi="Arial"/>
          <w:sz w:val="17"/>
          <w:szCs w:val="17"/>
          <w:color w:val="auto"/>
        </w:rPr>
      </w:pPr>
    </w:p>
    <w:p>
      <w:pPr>
        <w:ind w:left="320" w:right="120" w:hanging="317"/>
        <w:spacing w:after="0" w:line="280"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following table sets forth certain information with respect to purchases of common stock made by us or any “affiliated purchaser” during the quarter ended September 30, 2015: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w:t>
            </w:r>
          </w:p>
        </w:tc>
        <w:tc>
          <w:tcPr>
            <w:tcW w:w="20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Number of Shares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2"/>
                <w:szCs w:val="12"/>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6"/>
              </w:rPr>
              <w:t>Average</w:t>
            </w: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Shares Purchased</w:t>
            </w:r>
          </w:p>
        </w:tc>
        <w:tc>
          <w:tcPr>
            <w:tcW w:w="200" w:type="dxa"/>
            <w:vAlign w:val="bottom"/>
          </w:tcPr>
          <w:p>
            <w:pPr>
              <w:spacing w:after="0"/>
              <w:rPr>
                <w:sz w:val="12"/>
                <w:szCs w:val="12"/>
                <w:color w:val="auto"/>
              </w:rPr>
            </w:pPr>
          </w:p>
        </w:tc>
        <w:tc>
          <w:tcPr>
            <w:tcW w:w="12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that May Be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as Part of Publicly</w:t>
            </w:r>
          </w:p>
        </w:tc>
        <w:tc>
          <w:tcPr>
            <w:tcW w:w="200" w:type="dxa"/>
            <w:vAlign w:val="bottom"/>
          </w:tcPr>
          <w:p>
            <w:pPr>
              <w:spacing w:after="0"/>
              <w:rPr>
                <w:sz w:val="12"/>
                <w:szCs w:val="12"/>
                <w:color w:val="auto"/>
              </w:rPr>
            </w:pPr>
          </w:p>
        </w:tc>
        <w:tc>
          <w:tcPr>
            <w:tcW w:w="12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Purchased Under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9"/>
              </w:rPr>
              <w:t>Number of Shares</w:t>
            </w:r>
          </w:p>
        </w:tc>
        <w:tc>
          <w:tcPr>
            <w:tcW w:w="200" w:type="dxa"/>
            <w:vAlign w:val="bottom"/>
          </w:tcPr>
          <w:p>
            <w:pPr>
              <w:spacing w:after="0"/>
              <w:rPr>
                <w:sz w:val="12"/>
                <w:szCs w:val="12"/>
                <w:color w:val="auto"/>
              </w:rPr>
            </w:pPr>
          </w:p>
        </w:tc>
        <w:tc>
          <w:tcPr>
            <w:tcW w:w="118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8"/>
              </w:rPr>
              <w:t>Price Paid</w:t>
            </w: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Announced Plans</w:t>
            </w:r>
          </w:p>
        </w:tc>
        <w:tc>
          <w:tcPr>
            <w:tcW w:w="200" w:type="dxa"/>
            <w:vAlign w:val="bottom"/>
          </w:tcPr>
          <w:p>
            <w:pPr>
              <w:spacing w:after="0"/>
              <w:rPr>
                <w:sz w:val="12"/>
                <w:szCs w:val="12"/>
                <w:color w:val="auto"/>
              </w:rPr>
            </w:pPr>
          </w:p>
        </w:tc>
        <w:tc>
          <w:tcPr>
            <w:tcW w:w="12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Purchased</w:t>
            </w:r>
          </w:p>
        </w:tc>
        <w:tc>
          <w:tcPr>
            <w:tcW w:w="2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per 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20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4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7/1/15 – 7/31/15</w:t>
            </w:r>
          </w:p>
        </w:tc>
        <w:tc>
          <w:tcPr>
            <w:tcW w:w="304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20" w:type="dxa"/>
            <w:vAlign w:val="bottom"/>
            <w:gridSpan w:val="5"/>
          </w:tcPr>
          <w:p>
            <w:pPr>
              <w:spacing w:after="0"/>
              <w:rPr>
                <w:sz w:val="20"/>
                <w:szCs w:val="20"/>
                <w:color w:val="auto"/>
              </w:rPr>
            </w:pPr>
            <w:r>
              <w:rPr>
                <w:rFonts w:ascii="Arial" w:cs="Arial" w:eastAsia="Arial" w:hAnsi="Arial"/>
                <w:sz w:val="17"/>
                <w:szCs w:val="17"/>
                <w:color w:val="auto"/>
              </w:rPr>
              <w:t>8/1/15 – 8/31/15</w:t>
            </w:r>
          </w:p>
        </w:tc>
        <w:tc>
          <w:tcPr>
            <w:tcW w:w="3040" w:type="dxa"/>
            <w:vAlign w:val="bottom"/>
            <w:gridSpan w:val="4"/>
          </w:tcPr>
          <w:p>
            <w:pPr>
              <w:jc w:val="right"/>
              <w:ind w:right="120"/>
              <w:spacing w:after="0"/>
              <w:rPr>
                <w:sz w:val="20"/>
                <w:szCs w:val="20"/>
                <w:color w:val="auto"/>
              </w:rPr>
            </w:pPr>
            <w:r>
              <w:rPr>
                <w:rFonts w:ascii="Arial" w:cs="Arial" w:eastAsia="Arial" w:hAnsi="Arial"/>
                <w:sz w:val="17"/>
                <w:szCs w:val="17"/>
                <w:color w:val="auto"/>
              </w:rPr>
              <w:t>1,000</w:t>
            </w:r>
            <w:r>
              <w:rPr>
                <w:rFonts w:ascii="Arial" w:cs="Arial" w:eastAsia="Arial" w:hAnsi="Arial"/>
                <w:sz w:val="12"/>
                <w:szCs w:val="12"/>
                <w:color w:val="auto"/>
              </w:rPr>
              <w:t>(1)</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8.09</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9/1/15 – 9/30/15</w:t>
            </w:r>
          </w:p>
        </w:tc>
        <w:tc>
          <w:tcPr>
            <w:tcW w:w="1620" w:type="dxa"/>
            <w:vAlign w:val="bottom"/>
            <w:gridSpan w:val="2"/>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420" w:type="dxa"/>
            <w:vAlign w:val="bottom"/>
            <w:gridSpan w:val="5"/>
          </w:tcPr>
          <w:p>
            <w:pPr>
              <w:spacing w:after="0" w:line="186" w:lineRule="exact"/>
              <w:rPr>
                <w:sz w:val="20"/>
                <w:szCs w:val="20"/>
                <w:color w:val="auto"/>
              </w:rPr>
            </w:pPr>
            <w:r>
              <w:rPr>
                <w:rFonts w:ascii="Arial" w:cs="Arial" w:eastAsia="Arial" w:hAnsi="Arial"/>
                <w:sz w:val="17"/>
                <w:szCs w:val="17"/>
                <w:color w:val="auto"/>
              </w:rPr>
              <w:t>Total</w:t>
            </w:r>
          </w:p>
        </w:tc>
        <w:tc>
          <w:tcPr>
            <w:tcW w:w="1620" w:type="dxa"/>
            <w:vAlign w:val="bottom"/>
            <w:gridSpan w:val="2"/>
          </w:tcPr>
          <w:p>
            <w:pPr>
              <w:spacing w:after="0"/>
              <w:rPr>
                <w:sz w:val="17"/>
                <w:szCs w:val="17"/>
                <w:color w:val="auto"/>
              </w:rPr>
            </w:pPr>
          </w:p>
        </w:tc>
        <w:tc>
          <w:tcPr>
            <w:tcW w:w="1160" w:type="dxa"/>
            <w:vAlign w:val="bottom"/>
          </w:tcPr>
          <w:p>
            <w:pPr>
              <w:jc w:val="right"/>
              <w:spacing w:after="0" w:line="186" w:lineRule="exact"/>
              <w:rPr>
                <w:sz w:val="20"/>
                <w:szCs w:val="20"/>
                <w:color w:val="auto"/>
              </w:rPr>
            </w:pPr>
            <w:r>
              <w:rPr>
                <w:rFonts w:ascii="Arial" w:cs="Arial" w:eastAsia="Arial" w:hAnsi="Arial"/>
                <w:sz w:val="17"/>
                <w:szCs w:val="17"/>
                <w:color w:val="auto"/>
              </w:rPr>
              <w:t>1,000</w:t>
            </w:r>
          </w:p>
        </w:tc>
        <w:tc>
          <w:tcPr>
            <w:tcW w:w="260" w:type="dxa"/>
            <w:vAlign w:val="bottom"/>
          </w:tcPr>
          <w:p>
            <w:pPr>
              <w:spacing w:after="0"/>
              <w:rPr>
                <w:sz w:val="17"/>
                <w:szCs w:val="17"/>
                <w:color w:val="auto"/>
              </w:rPr>
            </w:pPr>
          </w:p>
        </w:tc>
        <w:tc>
          <w:tcPr>
            <w:tcW w:w="200" w:type="dxa"/>
            <w:vAlign w:val="bottom"/>
          </w:tcPr>
          <w:p>
            <w:pPr>
              <w:jc w:val="right"/>
              <w:ind w:right="14"/>
              <w:spacing w:after="0" w:line="186" w:lineRule="exact"/>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20"/>
              <w:spacing w:after="0" w:line="186" w:lineRule="exact"/>
              <w:rPr>
                <w:sz w:val="20"/>
                <w:szCs w:val="20"/>
                <w:color w:val="auto"/>
              </w:rPr>
            </w:pPr>
            <w:r>
              <w:rPr>
                <w:rFonts w:ascii="Arial" w:cs="Arial" w:eastAsia="Arial" w:hAnsi="Arial"/>
                <w:sz w:val="17"/>
                <w:szCs w:val="17"/>
                <w:color w:val="auto"/>
              </w:rPr>
              <w:t>8.09</w:t>
            </w:r>
          </w:p>
        </w:tc>
        <w:tc>
          <w:tcPr>
            <w:tcW w:w="114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00"/>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40" w:type="dxa"/>
            <w:vAlign w:val="bottom"/>
            <w:gridSpan w:val="6"/>
            <w:vMerge w:val="restart"/>
          </w:tcPr>
          <w:p>
            <w:pPr>
              <w:spacing w:after="0"/>
              <w:rPr>
                <w:sz w:val="20"/>
                <w:szCs w:val="20"/>
                <w:color w:val="auto"/>
              </w:rPr>
            </w:pPr>
            <w:r>
              <w:rPr>
                <w:rFonts w:ascii="Arial" w:cs="Arial" w:eastAsia="Arial" w:hAnsi="Arial"/>
                <w:sz w:val="17"/>
                <w:szCs w:val="17"/>
                <w:color w:val="auto"/>
              </w:rPr>
              <w:t>(1) Shares purchased by “affiliated purchaser”.</w:t>
            </w: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440" w:type="dxa"/>
            <w:vAlign w:val="bottom"/>
            <w:gridSpan w:val="6"/>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440" w:type="dxa"/>
            <w:vAlign w:val="bottom"/>
            <w:gridSpan w:val="6"/>
          </w:tcPr>
          <w:p>
            <w:pPr>
              <w:spacing w:after="0"/>
              <w:rPr>
                <w:sz w:val="20"/>
                <w:szCs w:val="20"/>
                <w:color w:val="auto"/>
              </w:rPr>
            </w:pPr>
            <w:r>
              <w:rPr>
                <w:rFonts w:ascii="Arial" w:cs="Arial" w:eastAsia="Arial" w:hAnsi="Arial"/>
                <w:sz w:val="17"/>
                <w:szCs w:val="17"/>
                <w:b w:val="1"/>
                <w:bCs w:val="1"/>
                <w:color w:val="auto"/>
              </w:rPr>
              <w:t>Item 3. Defaults Upon Senior Securities</w:t>
            </w:r>
            <w:r>
              <w:rPr>
                <w:rFonts w:ascii="Arial" w:cs="Arial" w:eastAsia="Arial" w:hAnsi="Arial"/>
                <w:sz w:val="17"/>
                <w:szCs w:val="17"/>
                <w:color w:val="auto"/>
              </w:rPr>
              <w:t>.</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tcBorders>
              <w:top w:val="single" w:sz="8" w:color="auto"/>
            </w:tcBorders>
            <w:gridSpan w:val="3"/>
          </w:tcPr>
          <w:p>
            <w:pPr>
              <w:ind w:left="60"/>
              <w:spacing w:after="0"/>
              <w:rPr>
                <w:sz w:val="20"/>
                <w:szCs w:val="20"/>
                <w:color w:val="auto"/>
              </w:rPr>
            </w:pPr>
            <w:r>
              <w:rPr>
                <w:rFonts w:ascii="Arial" w:cs="Arial" w:eastAsia="Arial" w:hAnsi="Arial"/>
                <w:sz w:val="17"/>
                <w:szCs w:val="17"/>
                <w:color w:val="auto"/>
              </w:rPr>
              <w:t>None</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440" w:type="dxa"/>
            <w:vAlign w:val="bottom"/>
            <w:gridSpan w:val="6"/>
          </w:tcPr>
          <w:p>
            <w:pPr>
              <w:spacing w:after="0"/>
              <w:rPr>
                <w:sz w:val="20"/>
                <w:szCs w:val="20"/>
                <w:color w:val="auto"/>
              </w:rPr>
            </w:pPr>
            <w:r>
              <w:rPr>
                <w:rFonts w:ascii="Arial" w:cs="Arial" w:eastAsia="Arial" w:hAnsi="Arial"/>
                <w:sz w:val="17"/>
                <w:szCs w:val="17"/>
                <w:b w:val="1"/>
                <w:bCs w:val="1"/>
                <w:color w:val="auto"/>
              </w:rPr>
              <w:t>Item 4. Mine Safety Disclosures</w:t>
            </w:r>
            <w:r>
              <w:rPr>
                <w:rFonts w:ascii="Arial" w:cs="Arial" w:eastAsia="Arial" w:hAnsi="Arial"/>
                <w:sz w:val="17"/>
                <w:szCs w:val="17"/>
                <w:color w:val="auto"/>
              </w:rPr>
              <w:t>.</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Borders>
              <w:top w:val="single" w:sz="8" w:color="auto"/>
            </w:tcBorders>
            <w:gridSpan w:val="2"/>
          </w:tcPr>
          <w:p>
            <w:pPr>
              <w:ind w:left="60"/>
              <w:spacing w:after="0"/>
              <w:rPr>
                <w:sz w:val="20"/>
                <w:szCs w:val="20"/>
                <w:color w:val="auto"/>
              </w:rPr>
            </w:pPr>
            <w:r>
              <w:rPr>
                <w:rFonts w:ascii="Arial" w:cs="Arial" w:eastAsia="Arial" w:hAnsi="Arial"/>
                <w:sz w:val="17"/>
                <w:szCs w:val="17"/>
                <w:color w:val="auto"/>
              </w:rPr>
              <w:t>Not applicable</w:t>
            </w:r>
          </w:p>
        </w:tc>
        <w:tc>
          <w:tcPr>
            <w:tcW w:w="2120" w:type="dxa"/>
            <w:vAlign w:val="bottom"/>
            <w:gridSpan w:val="2"/>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440" w:type="dxa"/>
            <w:vAlign w:val="bottom"/>
            <w:gridSpan w:val="6"/>
          </w:tcPr>
          <w:p>
            <w:pPr>
              <w:spacing w:after="0"/>
              <w:rPr>
                <w:sz w:val="20"/>
                <w:szCs w:val="20"/>
                <w:color w:val="auto"/>
              </w:rPr>
            </w:pPr>
            <w:r>
              <w:rPr>
                <w:rFonts w:ascii="Arial" w:cs="Arial" w:eastAsia="Arial" w:hAnsi="Arial"/>
                <w:sz w:val="17"/>
                <w:szCs w:val="17"/>
                <w:b w:val="1"/>
                <w:bCs w:val="1"/>
                <w:color w:val="auto"/>
              </w:rPr>
              <w:t>Item 5. Other Information</w:t>
            </w:r>
            <w:r>
              <w:rPr>
                <w:rFonts w:ascii="Arial" w:cs="Arial" w:eastAsia="Arial" w:hAnsi="Arial"/>
                <w:sz w:val="17"/>
                <w:szCs w:val="17"/>
                <w:color w:val="auto"/>
              </w:rPr>
              <w:t>.</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None</w:t>
            </w:r>
          </w:p>
        </w:tc>
        <w:tc>
          <w:tcPr>
            <w:tcW w:w="2500" w:type="dxa"/>
            <w:vAlign w:val="bottom"/>
            <w:gridSpan w:val="3"/>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jc w:val="right"/>
              <w:ind w:right="74"/>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62" w:name="page63"/>
    <w:bookmarkEnd w:id="62"/>
    <w:p>
      <w:pPr>
        <w:spacing w:after="0" w:line="199" w:lineRule="auto"/>
        <w:framePr w:w="1300" w:h="153" w:wrap="auto" w:vAnchor="page" w:hAnchor="page" w:x="200" w:y="516"/>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u w:val="single" w:color="auto"/>
          <w:color w:val="auto"/>
        </w:rPr>
        <w:t>Exhibits</w:t>
      </w:r>
      <w:r>
        <w:rPr>
          <w:rFonts w:ascii="Arial" w:cs="Arial" w:eastAsia="Arial" w:hAnsi="Arial"/>
          <w:sz w:val="16"/>
          <w:szCs w:val="16"/>
          <w:color w:val="auto"/>
        </w:rPr>
        <w:t>.</w:t>
      </w:r>
    </w:p>
    <w:tbl>
      <w:tblPr>
        <w:tblLayout w:type="fixed"/>
        <w:tblInd w:w="0" w:type="dxa"/>
        <w:tblCellMar>
          <w:top w:w="0" w:type="dxa"/>
          <w:left w:w="0" w:type="dxa"/>
          <w:bottom w:w="0" w:type="dxa"/>
          <w:right w:w="0" w:type="dxa"/>
        </w:tblCellMar>
      </w:tblPr>
      <w:tr>
        <w:trPr>
          <w:trHeight w:val="170"/>
        </w:trPr>
        <w:tc>
          <w:tcPr>
            <w:tcW w:w="1220" w:type="dxa"/>
            <w:vAlign w:val="bottom"/>
            <w:gridSpan w:val="6"/>
          </w:tcPr>
          <w:p>
            <w:pPr>
              <w:spacing w:after="0"/>
              <w:rPr>
                <w:sz w:val="20"/>
                <w:szCs w:val="20"/>
                <w:color w:val="auto"/>
              </w:rPr>
            </w:pPr>
            <w:r>
              <w:rPr>
                <w:rFonts w:ascii="Arial" w:cs="Arial" w:eastAsia="Arial" w:hAnsi="Arial"/>
                <w:sz w:val="14"/>
                <w:szCs w:val="14"/>
                <w:b w:val="1"/>
                <w:bCs w:val="1"/>
                <w:color w:val="auto"/>
              </w:rPr>
              <w:t>Exhibit No.</w:t>
            </w:r>
          </w:p>
        </w:tc>
        <w:tc>
          <w:tcPr>
            <w:tcW w:w="102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2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3(a)</w:t>
            </w:r>
          </w:p>
        </w:tc>
        <w:tc>
          <w:tcPr>
            <w:tcW w:w="10200" w:type="dxa"/>
            <w:vAlign w:val="bottom"/>
            <w:gridSpan w:val="2"/>
            <w:shd w:val="clear" w:color="auto" w:fill="CCEEFF"/>
          </w:tcPr>
          <w:p>
            <w:pPr>
              <w:ind w:left="100"/>
              <w:spacing w:after="0" w:line="207" w:lineRule="exact"/>
              <w:rPr>
                <w:rFonts w:ascii="Arial" w:cs="Arial" w:eastAsia="Arial" w:hAnsi="Arial"/>
                <w:sz w:val="17"/>
                <w:szCs w:val="17"/>
                <w:color w:val="auto"/>
              </w:rPr>
            </w:pPr>
            <w:r>
              <w:rPr>
                <w:rFonts w:ascii="Arial" w:cs="Arial" w:eastAsia="Arial" w:hAnsi="Arial"/>
                <w:sz w:val="17"/>
                <w:szCs w:val="17"/>
                <w:color w:val="auto"/>
              </w:rPr>
              <w:t>Restated Certificate of Incorporation, as amended</w:t>
            </w:r>
            <w:hyperlink w:anchor="page63">
              <w:r>
                <w:rPr>
                  <w:rFonts w:ascii="Arial" w:cs="Arial" w:eastAsia="Arial" w:hAnsi="Arial"/>
                  <w:sz w:val="23"/>
                  <w:szCs w:val="23"/>
                  <w:u w:val="single" w:color="auto"/>
                  <w:color w:val="0000EE"/>
                  <w:vertAlign w:val="superscript"/>
                </w:rPr>
                <w:t>1</w:t>
              </w:r>
            </w:hyperlink>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2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3(b)</w:t>
            </w:r>
          </w:p>
        </w:tc>
        <w:tc>
          <w:tcPr>
            <w:tcW w:w="10200" w:type="dxa"/>
            <w:vAlign w:val="bottom"/>
            <w:gridSpan w:val="2"/>
            <w:shd w:val="clear" w:color="auto" w:fill="CCEEFF"/>
          </w:tcPr>
          <w:p>
            <w:pPr>
              <w:ind w:left="100"/>
              <w:spacing w:after="0" w:line="207" w:lineRule="exact"/>
              <w:rPr>
                <w:rFonts w:ascii="Arial" w:cs="Arial" w:eastAsia="Arial" w:hAnsi="Arial"/>
                <w:sz w:val="17"/>
                <w:szCs w:val="17"/>
                <w:color w:val="auto"/>
              </w:rPr>
            </w:pPr>
            <w:r>
              <w:rPr>
                <w:rFonts w:ascii="Arial" w:cs="Arial" w:eastAsia="Arial" w:hAnsi="Arial"/>
                <w:sz w:val="17"/>
                <w:szCs w:val="17"/>
                <w:color w:val="auto"/>
              </w:rPr>
              <w:t>By-laws, as amended</w:t>
            </w:r>
            <w:hyperlink w:anchor="page63">
              <w:r>
                <w:rPr>
                  <w:rFonts w:ascii="Arial" w:cs="Arial" w:eastAsia="Arial" w:hAnsi="Arial"/>
                  <w:sz w:val="23"/>
                  <w:szCs w:val="23"/>
                  <w:u w:val="single" w:color="auto"/>
                  <w:color w:val="0000EE"/>
                  <w:vertAlign w:val="superscript"/>
                </w:rPr>
                <w:t>2</w:t>
              </w:r>
            </w:hyperlink>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200" w:type="dxa"/>
            <w:vAlign w:val="bottom"/>
            <w:gridSpan w:val="5"/>
            <w:shd w:val="clear" w:color="auto" w:fill="CCEEFF"/>
          </w:tcPr>
          <w:p>
            <w:pPr>
              <w:spacing w:after="0" w:line="167" w:lineRule="exact"/>
              <w:rPr>
                <w:rFonts w:ascii="Arial" w:cs="Arial" w:eastAsia="Arial" w:hAnsi="Arial"/>
                <w:sz w:val="17"/>
                <w:szCs w:val="17"/>
                <w:color w:val="0000EE"/>
              </w:rPr>
            </w:pPr>
            <w:hyperlink w:anchor="page65">
              <w:r>
                <w:rPr>
                  <w:rFonts w:ascii="Arial" w:cs="Arial" w:eastAsia="Arial" w:hAnsi="Arial"/>
                  <w:sz w:val="17"/>
                  <w:szCs w:val="17"/>
                  <w:color w:val="0000EE"/>
                </w:rPr>
                <w:t>31(a)</w:t>
              </w:r>
            </w:hyperlink>
          </w:p>
        </w:tc>
        <w:tc>
          <w:tcPr>
            <w:tcW w:w="10200" w:type="dxa"/>
            <w:vAlign w:val="bottom"/>
            <w:gridSpan w:val="2"/>
            <w:shd w:val="clear" w:color="auto" w:fill="CCEEFF"/>
          </w:tcPr>
          <w:p>
            <w:pPr>
              <w:ind w:left="100"/>
              <w:spacing w:after="0" w:line="167" w:lineRule="exact"/>
              <w:rPr>
                <w:sz w:val="20"/>
                <w:szCs w:val="20"/>
                <w:color w:val="auto"/>
              </w:rPr>
            </w:pPr>
            <w:r>
              <w:rPr>
                <w:rFonts w:ascii="Arial" w:cs="Arial" w:eastAsia="Arial" w:hAnsi="Arial"/>
                <w:sz w:val="17"/>
                <w:szCs w:val="17"/>
                <w:color w:val="auto"/>
                <w:w w:val="96"/>
              </w:rPr>
              <w:t>Rule 13a-14(a)/15d-14(a) Certification of Principal Executive Officer as adopted pursuant to Section 302 of the Sarbanes-Oxley Act of 2002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200" w:type="dxa"/>
            <w:vAlign w:val="bottom"/>
            <w:gridSpan w:val="5"/>
            <w:shd w:val="clear" w:color="auto" w:fill="CCEEFF"/>
          </w:tcPr>
          <w:p>
            <w:pPr>
              <w:spacing w:after="0" w:line="167" w:lineRule="exact"/>
              <w:rPr>
                <w:rFonts w:ascii="Arial" w:cs="Arial" w:eastAsia="Arial" w:hAnsi="Arial"/>
                <w:sz w:val="17"/>
                <w:szCs w:val="17"/>
                <w:color w:val="0000EE"/>
              </w:rPr>
            </w:pPr>
            <w:hyperlink w:anchor="page66">
              <w:r>
                <w:rPr>
                  <w:rFonts w:ascii="Arial" w:cs="Arial" w:eastAsia="Arial" w:hAnsi="Arial"/>
                  <w:sz w:val="17"/>
                  <w:szCs w:val="17"/>
                  <w:color w:val="0000EE"/>
                </w:rPr>
                <w:t>31(b)</w:t>
              </w:r>
            </w:hyperlink>
          </w:p>
        </w:tc>
        <w:tc>
          <w:tcPr>
            <w:tcW w:w="10200" w:type="dxa"/>
            <w:vAlign w:val="bottom"/>
            <w:gridSpan w:val="2"/>
            <w:shd w:val="clear" w:color="auto" w:fill="CCEEFF"/>
          </w:tcPr>
          <w:p>
            <w:pPr>
              <w:ind w:left="100"/>
              <w:spacing w:after="0" w:line="167" w:lineRule="exact"/>
              <w:rPr>
                <w:sz w:val="20"/>
                <w:szCs w:val="20"/>
                <w:color w:val="auto"/>
              </w:rPr>
            </w:pPr>
            <w:r>
              <w:rPr>
                <w:rFonts w:ascii="Arial" w:cs="Arial" w:eastAsia="Arial" w:hAnsi="Arial"/>
                <w:sz w:val="17"/>
                <w:szCs w:val="17"/>
                <w:color w:val="auto"/>
                <w:w w:val="96"/>
              </w:rPr>
              <w:t>Rule 13a-14(a)/15d-14(a) Certification of Principal Financial Officer as adopted pursuant to Section 302 of the Sarbanes-Oxley Act of 2002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60" w:type="dxa"/>
            <w:vAlign w:val="bottom"/>
            <w:tcBorders>
              <w:bottom w:val="single" w:sz="8" w:color="0000EE"/>
            </w:tcBorders>
            <w:shd w:val="clear" w:color="auto" w:fill="CCEEFF"/>
          </w:tcPr>
          <w:p>
            <w:pPr>
              <w:spacing w:after="0" w:line="167" w:lineRule="exact"/>
              <w:rPr>
                <w:rFonts w:ascii="Arial" w:cs="Arial" w:eastAsia="Arial" w:hAnsi="Arial"/>
                <w:sz w:val="17"/>
                <w:szCs w:val="17"/>
                <w:color w:val="0000EE"/>
                <w:w w:val="73"/>
              </w:rPr>
            </w:pPr>
            <w:hyperlink w:anchor="page67">
              <w:r>
                <w:rPr>
                  <w:rFonts w:ascii="Arial" w:cs="Arial" w:eastAsia="Arial" w:hAnsi="Arial"/>
                  <w:sz w:val="17"/>
                  <w:szCs w:val="17"/>
                  <w:color w:val="0000EE"/>
                  <w:w w:val="73"/>
                </w:rPr>
                <w:t>32</w:t>
              </w:r>
            </w:hyperlink>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200" w:type="dxa"/>
            <w:vAlign w:val="bottom"/>
            <w:tcBorders>
              <w:bottom w:val="single" w:sz="8" w:color="CCEEFF"/>
            </w:tcBorders>
            <w:gridSpan w:val="2"/>
            <w:shd w:val="clear" w:color="auto" w:fill="CCEEFF"/>
          </w:tcPr>
          <w:p>
            <w:pPr>
              <w:ind w:left="100"/>
              <w:spacing w:after="0" w:line="167" w:lineRule="exact"/>
              <w:rPr>
                <w:sz w:val="20"/>
                <w:szCs w:val="20"/>
                <w:color w:val="auto"/>
              </w:rPr>
            </w:pPr>
            <w:r>
              <w:rPr>
                <w:rFonts w:ascii="Arial" w:cs="Arial" w:eastAsia="Arial" w:hAnsi="Arial"/>
                <w:sz w:val="17"/>
                <w:szCs w:val="17"/>
                <w:color w:val="auto"/>
              </w:rPr>
              <w:t>Certification of Chief Executive Officer and Chief Financial Officer Certification of Chief Executive Officer and Chief Financial Officer</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2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101.INS</w:t>
            </w:r>
          </w:p>
        </w:tc>
        <w:tc>
          <w:tcPr>
            <w:tcW w:w="10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2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101.SCH</w:t>
            </w:r>
          </w:p>
        </w:tc>
        <w:tc>
          <w:tcPr>
            <w:tcW w:w="10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101.SCH XBRL Taxonomy Extension Schema.</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2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101.CAL</w:t>
            </w:r>
          </w:p>
        </w:tc>
        <w:tc>
          <w:tcPr>
            <w:tcW w:w="10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101.CAL  XBRL Taxonomy Extension Calculation Linkbase.</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2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101.DEF</w:t>
            </w:r>
          </w:p>
        </w:tc>
        <w:tc>
          <w:tcPr>
            <w:tcW w:w="10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101.DEF  XBRL Taxonomy Extension Definition Linkbase.</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2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101.LAB</w:t>
            </w:r>
          </w:p>
        </w:tc>
        <w:tc>
          <w:tcPr>
            <w:tcW w:w="10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101.LAB  XBRL Taxonomy Extension Label Linkbase.</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2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101.PRE</w:t>
            </w:r>
          </w:p>
        </w:tc>
        <w:tc>
          <w:tcPr>
            <w:tcW w:w="10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101.PRE XBRL Taxonomy Extension Presentation Linkbase.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1 Denotes document filed as an exhibit to our Quarterly Report on Form 10-Q for the period ended March 31, 2014 and incorporated herein by reference.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2 Denotes document filed as an exhibit to our Current Report on Form 8-K for an event dated November 5, 2009 and incorporated herein by reference.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30"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7"/>
          <w:szCs w:val="17"/>
          <w:b w:val="1"/>
          <w:bCs w:val="1"/>
          <w:u w:val="single" w:color="auto"/>
          <w:color w:val="auto"/>
        </w:rPr>
        <w:t>SIGNATURES</w:t>
      </w:r>
    </w:p>
    <w:p>
      <w:pPr>
        <w:spacing w:after="0" w:line="24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0" w:type="dxa"/>
            <w:vAlign w:val="bottom"/>
          </w:tcPr>
          <w:p>
            <w:pPr>
              <w:spacing w:after="0"/>
              <w:rPr>
                <w:sz w:val="19"/>
                <w:szCs w:val="19"/>
                <w:color w:val="auto"/>
              </w:rPr>
            </w:pPr>
          </w:p>
        </w:tc>
        <w:tc>
          <w:tcPr>
            <w:tcW w:w="6260" w:type="dxa"/>
            <w:vAlign w:val="bottom"/>
            <w:gridSpan w:val="2"/>
          </w:tcPr>
          <w:p>
            <w:pPr>
              <w:ind w:left="1920"/>
              <w:spacing w:after="0"/>
              <w:rPr>
                <w:sz w:val="20"/>
                <w:szCs w:val="20"/>
                <w:color w:val="auto"/>
              </w:rPr>
            </w:pPr>
            <w:r>
              <w:rPr>
                <w:rFonts w:ascii="Arial" w:cs="Arial" w:eastAsia="Arial" w:hAnsi="Arial"/>
                <w:sz w:val="17"/>
                <w:szCs w:val="17"/>
                <w:b w:val="1"/>
                <w:bCs w:val="1"/>
                <w:color w:val="auto"/>
              </w:rPr>
              <w:t>KINGSTONE COMPANIES, INC.</w:t>
            </w:r>
          </w:p>
        </w:tc>
      </w:tr>
      <w:tr>
        <w:trPr>
          <w:trHeight w:val="433"/>
        </w:trPr>
        <w:tc>
          <w:tcPr>
            <w:tcW w:w="3800" w:type="dxa"/>
            <w:vAlign w:val="bottom"/>
          </w:tcPr>
          <w:p>
            <w:pPr>
              <w:spacing w:after="0"/>
              <w:rPr>
                <w:sz w:val="20"/>
                <w:szCs w:val="20"/>
                <w:color w:val="auto"/>
              </w:rPr>
            </w:pPr>
            <w:r>
              <w:rPr>
                <w:rFonts w:ascii="Arial" w:cs="Arial" w:eastAsia="Arial" w:hAnsi="Arial"/>
                <w:sz w:val="17"/>
                <w:szCs w:val="17"/>
                <w:color w:val="auto"/>
              </w:rPr>
              <w:t>Dated: November 11, 2015</w:t>
            </w:r>
          </w:p>
        </w:tc>
        <w:tc>
          <w:tcPr>
            <w:tcW w:w="6260" w:type="dxa"/>
            <w:vAlign w:val="bottom"/>
            <w:gridSpan w:val="2"/>
          </w:tcPr>
          <w:p>
            <w:pPr>
              <w:ind w:left="1920"/>
              <w:spacing w:after="0"/>
              <w:rPr>
                <w:sz w:val="20"/>
                <w:szCs w:val="20"/>
                <w:color w:val="auto"/>
              </w:rPr>
            </w:pPr>
            <w:r>
              <w:rPr>
                <w:rFonts w:ascii="Arial" w:cs="Arial" w:eastAsia="Arial" w:hAnsi="Arial"/>
                <w:sz w:val="17"/>
                <w:szCs w:val="17"/>
                <w:color w:val="auto"/>
              </w:rPr>
              <w:t>By: /s/ Barry B. Goldstein</w:t>
            </w:r>
          </w:p>
        </w:tc>
      </w:tr>
      <w:tr>
        <w:trPr>
          <w:trHeight w:val="194"/>
        </w:trPr>
        <w:tc>
          <w:tcPr>
            <w:tcW w:w="38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Barry B. Goldstein</w:t>
            </w:r>
          </w:p>
        </w:tc>
      </w:tr>
      <w:tr>
        <w:trPr>
          <w:trHeight w:val="217"/>
        </w:trPr>
        <w:tc>
          <w:tcPr>
            <w:tcW w:w="38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President</w:t>
            </w:r>
          </w:p>
        </w:tc>
      </w:tr>
      <w:tr>
        <w:trPr>
          <w:trHeight w:val="627"/>
        </w:trPr>
        <w:tc>
          <w:tcPr>
            <w:tcW w:w="3800" w:type="dxa"/>
            <w:vAlign w:val="bottom"/>
          </w:tcPr>
          <w:p>
            <w:pPr>
              <w:spacing w:after="0"/>
              <w:rPr>
                <w:sz w:val="20"/>
                <w:szCs w:val="20"/>
                <w:color w:val="auto"/>
              </w:rPr>
            </w:pPr>
            <w:r>
              <w:rPr>
                <w:rFonts w:ascii="Arial" w:cs="Arial" w:eastAsia="Arial" w:hAnsi="Arial"/>
                <w:sz w:val="17"/>
                <w:szCs w:val="17"/>
                <w:color w:val="auto"/>
              </w:rPr>
              <w:t>Dated: November 11, 2015</w:t>
            </w:r>
          </w:p>
        </w:tc>
        <w:tc>
          <w:tcPr>
            <w:tcW w:w="6260" w:type="dxa"/>
            <w:vAlign w:val="bottom"/>
            <w:gridSpan w:val="2"/>
          </w:tcPr>
          <w:p>
            <w:pPr>
              <w:ind w:left="1920"/>
              <w:spacing w:after="0"/>
              <w:rPr>
                <w:sz w:val="20"/>
                <w:szCs w:val="20"/>
                <w:color w:val="auto"/>
              </w:rPr>
            </w:pPr>
            <w:r>
              <w:rPr>
                <w:rFonts w:ascii="Arial" w:cs="Arial" w:eastAsia="Arial" w:hAnsi="Arial"/>
                <w:sz w:val="17"/>
                <w:szCs w:val="17"/>
                <w:color w:val="auto"/>
              </w:rPr>
              <w:t>By: /s/ Victor Brodsky</w:t>
            </w:r>
          </w:p>
        </w:tc>
      </w:tr>
      <w:tr>
        <w:trPr>
          <w:trHeight w:val="194"/>
        </w:trPr>
        <w:tc>
          <w:tcPr>
            <w:tcW w:w="38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Victor Brodsky</w:t>
            </w:r>
          </w:p>
        </w:tc>
      </w:tr>
      <w:tr>
        <w:trPr>
          <w:trHeight w:val="217"/>
        </w:trPr>
        <w:tc>
          <w:tcPr>
            <w:tcW w:w="38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27329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21"/>
          <w:szCs w:val="21"/>
          <w:b w:val="1"/>
          <w:bCs w:val="1"/>
          <w:color w:val="auto"/>
        </w:rPr>
        <w:t>Exhibit 31(a)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 Barry Goldstein, certify that:</w:t>
      </w:r>
    </w:p>
    <w:p>
      <w:pPr>
        <w:spacing w:after="0" w:line="269" w:lineRule="exact"/>
        <w:rPr>
          <w:sz w:val="20"/>
          <w:szCs w:val="20"/>
          <w:color w:val="auto"/>
        </w:rPr>
      </w:pPr>
    </w:p>
    <w:p>
      <w:pPr>
        <w:ind w:left="340" w:hanging="337"/>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Form 10-Q of Kingstone Companies, Inc.;</w:t>
      </w:r>
    </w:p>
    <w:p>
      <w:pPr>
        <w:spacing w:after="0" w:line="269" w:lineRule="exact"/>
        <w:rPr>
          <w:rFonts w:ascii="Arial" w:cs="Arial" w:eastAsia="Arial" w:hAnsi="Arial"/>
          <w:sz w:val="17"/>
          <w:szCs w:val="17"/>
          <w:color w:val="auto"/>
        </w:rPr>
      </w:pPr>
    </w:p>
    <w:p>
      <w:pPr>
        <w:ind w:right="300" w:firstLine="3"/>
        <w:spacing w:after="0" w:line="312"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Arial" w:cs="Arial" w:eastAsia="Arial" w:hAnsi="Arial"/>
          <w:sz w:val="16"/>
          <w:szCs w:val="16"/>
          <w:color w:val="auto"/>
        </w:rPr>
      </w:pPr>
    </w:p>
    <w:p>
      <w:pPr>
        <w:ind w:right="400" w:firstLine="3"/>
        <w:spacing w:after="0" w:line="280" w:lineRule="auto"/>
        <w:tabs>
          <w:tab w:leader="none" w:pos="3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214" w:lineRule="exact"/>
        <w:rPr>
          <w:rFonts w:ascii="Arial" w:cs="Arial" w:eastAsia="Arial" w:hAnsi="Arial"/>
          <w:sz w:val="17"/>
          <w:szCs w:val="17"/>
          <w:color w:val="auto"/>
        </w:rPr>
      </w:pPr>
    </w:p>
    <w:p>
      <w:pPr>
        <w:ind w:right="40" w:firstLine="3"/>
        <w:spacing w:after="0" w:line="266" w:lineRule="auto"/>
        <w:tabs>
          <w:tab w:leader="none" w:pos="3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201" w:lineRule="exact"/>
        <w:rPr>
          <w:rFonts w:ascii="Arial" w:cs="Arial" w:eastAsia="Arial" w:hAnsi="Arial"/>
          <w:sz w:val="17"/>
          <w:szCs w:val="17"/>
          <w:color w:val="auto"/>
        </w:rPr>
      </w:pPr>
    </w:p>
    <w:p>
      <w:pPr>
        <w:jc w:val="both"/>
        <w:ind w:left="1240" w:hanging="275"/>
        <w:spacing w:after="0" w:line="266" w:lineRule="auto"/>
        <w:tabs>
          <w:tab w:leader="none" w:pos="12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240" w:hanging="284"/>
        <w:spacing w:after="0" w:line="266" w:lineRule="auto"/>
        <w:tabs>
          <w:tab w:leader="none" w:pos="12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240" w:hanging="275"/>
        <w:spacing w:after="0" w:line="349" w:lineRule="auto"/>
        <w:tabs>
          <w:tab w:leader="none" w:pos="124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240" w:hanging="284"/>
        <w:spacing w:after="0" w:line="266" w:lineRule="auto"/>
        <w:tabs>
          <w:tab w:leader="none" w:pos="12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227" w:lineRule="exact"/>
        <w:rPr>
          <w:rFonts w:ascii="Arial" w:cs="Arial" w:eastAsia="Arial" w:hAnsi="Arial"/>
          <w:sz w:val="17"/>
          <w:szCs w:val="17"/>
          <w:color w:val="auto"/>
        </w:rPr>
      </w:pPr>
    </w:p>
    <w:p>
      <w:pPr>
        <w:ind w:right="240" w:firstLine="3"/>
        <w:spacing w:after="0" w:line="349" w:lineRule="auto"/>
        <w:tabs>
          <w:tab w:leader="none" w:pos="335"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43" w:lineRule="exact"/>
        <w:rPr>
          <w:rFonts w:ascii="Arial" w:cs="Arial" w:eastAsia="Arial" w:hAnsi="Arial"/>
          <w:sz w:val="15"/>
          <w:szCs w:val="15"/>
          <w:color w:val="auto"/>
        </w:rPr>
      </w:pPr>
    </w:p>
    <w:p>
      <w:pPr>
        <w:ind w:left="1240" w:hanging="275"/>
        <w:spacing w:after="0" w:line="312" w:lineRule="auto"/>
        <w:tabs>
          <w:tab w:leader="none" w:pos="12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66" w:lineRule="exact"/>
        <w:rPr>
          <w:rFonts w:ascii="Arial" w:cs="Arial" w:eastAsia="Arial" w:hAnsi="Arial"/>
          <w:sz w:val="16"/>
          <w:szCs w:val="16"/>
          <w:color w:val="auto"/>
        </w:rPr>
      </w:pPr>
    </w:p>
    <w:p>
      <w:pPr>
        <w:ind w:left="1240" w:hanging="284"/>
        <w:spacing w:after="0" w:line="280" w:lineRule="auto"/>
        <w:tabs>
          <w:tab w:leader="none" w:pos="12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small business issuer’s internal control over financial reporting.</w:t>
      </w:r>
    </w:p>
    <w:p>
      <w:pPr>
        <w:spacing w:after="0" w:line="396" w:lineRule="exact"/>
        <w:rPr>
          <w:sz w:val="20"/>
          <w:szCs w:val="20"/>
          <w:color w:val="auto"/>
        </w:rPr>
      </w:pPr>
    </w:p>
    <w:p>
      <w:pPr>
        <w:spacing w:after="0"/>
        <w:tabs>
          <w:tab w:leader="none" w:pos="6040" w:val="left"/>
        </w:tabs>
        <w:rPr>
          <w:sz w:val="20"/>
          <w:szCs w:val="20"/>
          <w:color w:val="auto"/>
        </w:rPr>
      </w:pPr>
      <w:r>
        <w:rPr>
          <w:rFonts w:ascii="Arial" w:cs="Arial" w:eastAsia="Arial" w:hAnsi="Arial"/>
          <w:sz w:val="17"/>
          <w:szCs w:val="17"/>
          <w:color w:val="auto"/>
        </w:rPr>
        <w:t>Date: November 11, 2015</w:t>
      </w:r>
      <w:r>
        <w:rPr>
          <w:sz w:val="20"/>
          <w:szCs w:val="20"/>
          <w:color w:val="auto"/>
        </w:rPr>
        <w:tab/>
      </w:r>
      <w:r>
        <w:rPr>
          <w:rFonts w:ascii="Arial" w:cs="Arial" w:eastAsia="Arial" w:hAnsi="Arial"/>
          <w:sz w:val="16"/>
          <w:szCs w:val="16"/>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22860</wp:posOffset>
            </wp:positionV>
            <wp:extent cx="253238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32380" cy="1651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Barry B. Goldstein</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11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21"/>
          <w:szCs w:val="21"/>
          <w:b w:val="1"/>
          <w:bCs w:val="1"/>
          <w:color w:val="auto"/>
        </w:rPr>
        <w:t>Exhibit 31(b)</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 Victor Brodsky, certify that:</w:t>
      </w:r>
    </w:p>
    <w:p>
      <w:pPr>
        <w:spacing w:after="0" w:line="269" w:lineRule="exact"/>
        <w:rPr>
          <w:sz w:val="20"/>
          <w:szCs w:val="20"/>
          <w:color w:val="auto"/>
        </w:rPr>
      </w:pPr>
    </w:p>
    <w:p>
      <w:pPr>
        <w:ind w:left="340" w:hanging="337"/>
        <w:spacing w:after="0"/>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Form 10-Q of Kingstone Companies, Inc.;</w:t>
      </w:r>
    </w:p>
    <w:p>
      <w:pPr>
        <w:spacing w:after="0" w:line="269" w:lineRule="exact"/>
        <w:rPr>
          <w:rFonts w:ascii="Arial" w:cs="Arial" w:eastAsia="Arial" w:hAnsi="Arial"/>
          <w:sz w:val="17"/>
          <w:szCs w:val="17"/>
          <w:color w:val="auto"/>
        </w:rPr>
      </w:pPr>
    </w:p>
    <w:p>
      <w:pPr>
        <w:ind w:right="300" w:firstLine="3"/>
        <w:spacing w:after="0" w:line="312"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Arial" w:cs="Arial" w:eastAsia="Arial" w:hAnsi="Arial"/>
          <w:sz w:val="16"/>
          <w:szCs w:val="16"/>
          <w:color w:val="auto"/>
        </w:rPr>
      </w:pPr>
    </w:p>
    <w:p>
      <w:pPr>
        <w:ind w:right="400" w:firstLine="3"/>
        <w:spacing w:after="0" w:line="280" w:lineRule="auto"/>
        <w:tabs>
          <w:tab w:leader="none" w:pos="3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214" w:lineRule="exact"/>
        <w:rPr>
          <w:rFonts w:ascii="Arial" w:cs="Arial" w:eastAsia="Arial" w:hAnsi="Arial"/>
          <w:sz w:val="17"/>
          <w:szCs w:val="17"/>
          <w:color w:val="auto"/>
        </w:rPr>
      </w:pPr>
    </w:p>
    <w:p>
      <w:pPr>
        <w:ind w:right="40" w:firstLine="3"/>
        <w:spacing w:after="0" w:line="266" w:lineRule="auto"/>
        <w:tabs>
          <w:tab w:leader="none" w:pos="3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201" w:lineRule="exact"/>
        <w:rPr>
          <w:rFonts w:ascii="Arial" w:cs="Arial" w:eastAsia="Arial" w:hAnsi="Arial"/>
          <w:sz w:val="17"/>
          <w:szCs w:val="17"/>
          <w:color w:val="auto"/>
        </w:rPr>
      </w:pPr>
    </w:p>
    <w:p>
      <w:pPr>
        <w:jc w:val="both"/>
        <w:ind w:left="1240" w:hanging="275"/>
        <w:spacing w:after="0" w:line="266" w:lineRule="auto"/>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240" w:hanging="284"/>
        <w:spacing w:after="0" w:line="266" w:lineRule="auto"/>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240" w:hanging="275"/>
        <w:spacing w:after="0" w:line="349" w:lineRule="auto"/>
        <w:tabs>
          <w:tab w:leader="none" w:pos="124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240" w:hanging="284"/>
        <w:spacing w:after="0" w:line="266" w:lineRule="auto"/>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227" w:lineRule="exact"/>
        <w:rPr>
          <w:rFonts w:ascii="Arial" w:cs="Arial" w:eastAsia="Arial" w:hAnsi="Arial"/>
          <w:sz w:val="17"/>
          <w:szCs w:val="17"/>
          <w:color w:val="auto"/>
        </w:rPr>
      </w:pPr>
    </w:p>
    <w:p>
      <w:pPr>
        <w:ind w:right="240" w:firstLine="3"/>
        <w:spacing w:after="0" w:line="349" w:lineRule="auto"/>
        <w:tabs>
          <w:tab w:leader="none" w:pos="335"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43" w:lineRule="exact"/>
        <w:rPr>
          <w:rFonts w:ascii="Arial" w:cs="Arial" w:eastAsia="Arial" w:hAnsi="Arial"/>
          <w:sz w:val="15"/>
          <w:szCs w:val="15"/>
          <w:color w:val="auto"/>
        </w:rPr>
      </w:pPr>
    </w:p>
    <w:p>
      <w:pPr>
        <w:ind w:left="1240" w:hanging="275"/>
        <w:spacing w:after="0" w:line="312" w:lineRule="auto"/>
        <w:tabs>
          <w:tab w:leader="none" w:pos="12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66" w:lineRule="exact"/>
        <w:rPr>
          <w:rFonts w:ascii="Arial" w:cs="Arial" w:eastAsia="Arial" w:hAnsi="Arial"/>
          <w:sz w:val="16"/>
          <w:szCs w:val="16"/>
          <w:color w:val="auto"/>
        </w:rPr>
      </w:pPr>
    </w:p>
    <w:p>
      <w:pPr>
        <w:ind w:left="1240" w:hanging="284"/>
        <w:spacing w:after="0" w:line="280" w:lineRule="auto"/>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small business issuer’s internal control over financial reporting.</w:t>
      </w:r>
    </w:p>
    <w:p>
      <w:pPr>
        <w:spacing w:after="0" w:line="396" w:lineRule="exact"/>
        <w:rPr>
          <w:sz w:val="20"/>
          <w:szCs w:val="20"/>
          <w:color w:val="auto"/>
        </w:rPr>
      </w:pPr>
    </w:p>
    <w:p>
      <w:pPr>
        <w:spacing w:after="0"/>
        <w:tabs>
          <w:tab w:leader="none" w:pos="6040" w:val="left"/>
        </w:tabs>
        <w:rPr>
          <w:sz w:val="20"/>
          <w:szCs w:val="20"/>
          <w:color w:val="auto"/>
        </w:rPr>
      </w:pPr>
      <w:r>
        <w:rPr>
          <w:rFonts w:ascii="Arial" w:cs="Arial" w:eastAsia="Arial" w:hAnsi="Arial"/>
          <w:sz w:val="17"/>
          <w:szCs w:val="17"/>
          <w:color w:val="auto"/>
        </w:rPr>
        <w:t>Date: November 11, 2015</w:t>
      </w:r>
      <w:r>
        <w:rPr>
          <w:sz w:val="20"/>
          <w:szCs w:val="20"/>
          <w:color w:val="auto"/>
        </w:rPr>
        <w:tab/>
      </w:r>
      <w:r>
        <w:rPr>
          <w:rFonts w:ascii="Arial" w:cs="Arial" w:eastAsia="Arial" w:hAnsi="Arial"/>
          <w:sz w:val="16"/>
          <w:szCs w:val="16"/>
          <w:color w:val="auto"/>
        </w:rPr>
        <w:t>/s/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22860</wp:posOffset>
            </wp:positionV>
            <wp:extent cx="253238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32380" cy="1651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Victor Brodsky</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11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7"/>
          <w:szCs w:val="17"/>
          <w:b w:val="1"/>
          <w:bCs w:val="1"/>
          <w:color w:val="auto"/>
        </w:rPr>
        <w:t>Exhibit 32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undersigned hereby certify, pursuant to, and as required by, 18 U.S.C. Section 1350, as adopted pursuant to Section 906 of the Sarbanes-Oxley Act of 2002, that the Quarterly Report of Kingstone Companies, Inc. (the “Company”) on Form 10-Q for the period ended September 30, 2015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p>
      <w:pPr>
        <w:spacing w:after="0"/>
        <w:tabs>
          <w:tab w:leader="none" w:pos="6040" w:val="left"/>
        </w:tabs>
        <w:rPr>
          <w:sz w:val="20"/>
          <w:szCs w:val="20"/>
          <w:color w:val="auto"/>
        </w:rPr>
      </w:pPr>
      <w:r>
        <w:rPr>
          <w:rFonts w:ascii="Arial" w:cs="Arial" w:eastAsia="Arial" w:hAnsi="Arial"/>
          <w:sz w:val="17"/>
          <w:szCs w:val="17"/>
          <w:color w:val="auto"/>
        </w:rPr>
        <w:t>Date: November 11, 2015</w:t>
      </w:r>
      <w:r>
        <w:rPr>
          <w:sz w:val="20"/>
          <w:szCs w:val="20"/>
          <w:color w:val="auto"/>
        </w:rPr>
        <w:tab/>
      </w:r>
      <w:r>
        <w:rPr>
          <w:rFonts w:ascii="Arial" w:cs="Arial" w:eastAsia="Arial" w:hAnsi="Arial"/>
          <w:sz w:val="16"/>
          <w:szCs w:val="16"/>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22860</wp:posOffset>
            </wp:positionV>
            <wp:extent cx="253238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32380" cy="1651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Barry B. Goldstein</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6040" w:val="left"/>
        </w:tabs>
        <w:rPr>
          <w:sz w:val="20"/>
          <w:szCs w:val="20"/>
          <w:color w:val="auto"/>
        </w:rPr>
      </w:pPr>
      <w:r>
        <w:rPr>
          <w:rFonts w:ascii="Arial" w:cs="Arial" w:eastAsia="Arial" w:hAnsi="Arial"/>
          <w:sz w:val="17"/>
          <w:szCs w:val="17"/>
          <w:color w:val="auto"/>
        </w:rPr>
        <w:t>Date: November 11, 2015</w:t>
      </w:r>
      <w:r>
        <w:rPr>
          <w:sz w:val="20"/>
          <w:szCs w:val="20"/>
          <w:color w:val="auto"/>
        </w:rPr>
        <w:tab/>
      </w:r>
      <w:r>
        <w:rPr>
          <w:rFonts w:ascii="Arial" w:cs="Arial" w:eastAsia="Arial" w:hAnsi="Arial"/>
          <w:sz w:val="16"/>
          <w:szCs w:val="16"/>
          <w:color w:val="auto"/>
        </w:rPr>
        <w:t>/s/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22860</wp:posOffset>
            </wp:positionV>
            <wp:extent cx="253238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32380" cy="1651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Victor Brodsky</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upperLetter"/>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2020-01-25T06:14:47Z</dcterms:created>
  <dcterms:modified xsi:type="dcterms:W3CDTF">2020-01-25T06:14:47Z</dcterms:modified>
</cp:coreProperties>
</file>