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Minlei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KINGSTONE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WOOD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KINGSTONE COMPANIES, INC.</w:t>
              </w:r>
            </w:hyperlink>
            <w:r>
              <w:rPr/>
              <w:t xml:space="preserve"> [ </w:t>
            </w:r>
            <w:r>
              <w:rPr>
                <w:rFonts w:ascii="Times;serif" w:hAnsi="Times;serif"/>
                <w:color w:val="0000FF"/>
                <w:sz w:val="24"/>
                <w:shd w:fill="FFFFFF" w:val="clear"/>
              </w:rPr>
              <w:t>KINS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Actuary and Senior 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41,917</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2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7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withheld from vested stock grant to pay the associated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12,727 shares received pursuant to unvested restricted stock grants. Such shares vest to the extent of 6,520 shares on March 3, 2027, 3,333 shares on June 18, 2027 and 2,874 shares on March 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and becomes exercisable on January 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Minlei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472" TargetMode="External"/><Relationship Id="rId5" Type="http://schemas.openxmlformats.org/officeDocument/2006/relationships/hyperlink" Target="http://www.sec.gov/cgi-bin/browse-edgar?action=getcompany&amp;CIK=00000339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3412</Characters>
  <CharactersWithSpaces>3980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