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940" w:right="2200" w:hanging="3925"/>
        <w:spacing w:after="0" w:line="261"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86" w:lineRule="exact"/>
        <w:rPr>
          <w:sz w:val="24"/>
          <w:szCs w:val="24"/>
          <w:color w:val="auto"/>
        </w:rPr>
      </w:pPr>
    </w:p>
    <w:p>
      <w:pPr>
        <w:ind w:left="3680" w:right="2180" w:hanging="3665"/>
        <w:spacing w:after="0" w:line="275" w:lineRule="auto"/>
        <w:tabs>
          <w:tab w:leader="none" w:pos="31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0-1665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KINGSTONE COMPANIES,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652" w:right="239" w:bottom="1440" w:gutter="0" w:footer="0" w:header="0"/>
        </w:sect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36-2476480</w:t>
      </w:r>
    </w:p>
    <w:p>
      <w:pPr>
        <w:spacing w:after="0" w:line="21"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000" w:space="720"/>
            <w:col w:w="3700"/>
          </w:cols>
          <w:pgMar w:left="240" w:top="652"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 NY 12401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(845) 802-7900</w:t>
      </w:r>
    </w:p>
    <w:p>
      <w:pPr>
        <w:sectPr>
          <w:pgSz w:w="11900" w:h="16838" w:orient="portrait"/>
          <w:cols w:equalWidth="0" w:num="1">
            <w:col w:w="11420"/>
          </w:cols>
          <w:pgMar w:left="240" w:top="652" w:right="239" w:bottom="1440" w:gutter="0" w:footer="0" w:header="0"/>
          <w:type w:val="continuous"/>
        </w:sect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spacing w:after="0" w:line="1" w:lineRule="exact"/>
              <w:rPr>
                <w:sz w:val="18"/>
                <w:szCs w:val="18"/>
                <w:color w:val="auto"/>
              </w:rPr>
            </w:pPr>
          </w:p>
        </w:tc>
        <w:tc>
          <w:tcPr>
            <w:tcW w:w="346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680" w:type="dxa"/>
            <w:vAlign w:val="bottom"/>
          </w:tcPr>
          <w:p>
            <w:pPr>
              <w:spacing w:after="0" w:line="1" w:lineRule="exact"/>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400"/>
              <w:spacing w:after="0" w:line="207" w:lineRule="exact"/>
              <w:rPr>
                <w:sz w:val="20"/>
                <w:szCs w:val="20"/>
                <w:color w:val="auto"/>
              </w:rPr>
            </w:pPr>
            <w:r>
              <w:rPr>
                <w:rFonts w:ascii="Arial" w:cs="Arial" w:eastAsia="Arial" w:hAnsi="Arial"/>
                <w:sz w:val="18"/>
                <w:szCs w:val="18"/>
                <w:color w:val="auto"/>
              </w:rPr>
              <w:t>(Do not check if a smaller reporting company)</w:t>
            </w:r>
          </w:p>
        </w:tc>
        <w:tc>
          <w:tcPr>
            <w:tcW w:w="346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346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spacing w:after="0" w:line="1" w:lineRule="exact"/>
              <w:rPr>
                <w:sz w:val="23"/>
                <w:szCs w:val="23"/>
                <w:color w:val="auto"/>
              </w:rPr>
            </w:pPr>
          </w:p>
        </w:tc>
      </w:tr>
    </w:tbl>
    <w:p>
      <w:pPr>
        <w:spacing w:after="0" w:line="217" w:lineRule="exact"/>
        <w:rPr>
          <w:sz w:val="24"/>
          <w:szCs w:val="24"/>
          <w:color w:val="auto"/>
        </w:rPr>
      </w:pPr>
    </w:p>
    <w:p>
      <w:pPr>
        <w:jc w:val="both"/>
        <w:ind w:right="420"/>
        <w:spacing w:after="0" w:line="22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May 11, 2017 there were 10,623,593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1 —</w:t>
            </w:r>
          </w:p>
        </w:tc>
        <w:tc>
          <w:tcPr>
            <w:tcW w:w="934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Balance Sheets at March 31, 2017 (Unaudited) and December 31, 2016</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w w:val="94"/>
              </w:rPr>
              <w:t>Condensed Consolidated Statements of Income and Comprehensive Income for the three months ended March 31, 2017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(Unaudited) and 2016 (Unaudited)</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Condensed Consolidated Statement of Stockholders’ Equity for the three months ended March 31, 2017 (Unaudited)</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w w:val="96"/>
              </w:rPr>
              <w:t>Condensed Consolidated Statements of Cash Flows for the three months ended March 31, 2017 (Unaudited) and 2016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(Unaudited)</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Condensed Consolidated Financial Statements (Unaudited)</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2 —</w:t>
            </w:r>
          </w:p>
        </w:tc>
        <w:tc>
          <w:tcPr>
            <w:tcW w:w="9340" w:type="dxa"/>
            <w:vAlign w:val="bottom"/>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 —</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4 —</w:t>
            </w:r>
          </w:p>
        </w:tc>
        <w:tc>
          <w:tcPr>
            <w:tcW w:w="9340" w:type="dxa"/>
            <w:vAlign w:val="bottom"/>
          </w:tcPr>
          <w:p>
            <w:pPr>
              <w:ind w:left="220"/>
              <w:spacing w:after="0"/>
              <w:rPr>
                <w:sz w:val="20"/>
                <w:szCs w:val="20"/>
                <w:color w:val="auto"/>
              </w:rPr>
            </w:pPr>
            <w:r>
              <w:rPr>
                <w:rFonts w:ascii="Arial" w:cs="Arial" w:eastAsia="Arial" w:hAnsi="Arial"/>
                <w:sz w:val="18"/>
                <w:szCs w:val="18"/>
                <w:color w:val="auto"/>
              </w:rPr>
              <w:t>Controls and Procedures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8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 —</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Proceedings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1A —</w:t>
            </w:r>
          </w:p>
        </w:tc>
        <w:tc>
          <w:tcPr>
            <w:tcW w:w="9340" w:type="dxa"/>
            <w:vAlign w:val="bottom"/>
          </w:tcPr>
          <w:p>
            <w:pPr>
              <w:ind w:left="220"/>
              <w:spacing w:after="0"/>
              <w:rPr>
                <w:sz w:val="20"/>
                <w:szCs w:val="20"/>
                <w:color w:val="auto"/>
              </w:rPr>
            </w:pPr>
            <w:r>
              <w:rPr>
                <w:rFonts w:ascii="Arial" w:cs="Arial" w:eastAsia="Arial" w:hAnsi="Arial"/>
                <w:sz w:val="18"/>
                <w:szCs w:val="18"/>
                <w:color w:val="auto"/>
              </w:rPr>
              <w:t>Risk Factors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2 —</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3 —</w:t>
            </w:r>
          </w:p>
        </w:tc>
        <w:tc>
          <w:tcPr>
            <w:tcW w:w="9340" w:type="dxa"/>
            <w:vAlign w:val="bottom"/>
          </w:tcPr>
          <w:p>
            <w:pPr>
              <w:ind w:left="220"/>
              <w:spacing w:after="0"/>
              <w:rPr>
                <w:sz w:val="20"/>
                <w:szCs w:val="20"/>
                <w:color w:val="auto"/>
              </w:rPr>
            </w:pPr>
            <w:r>
              <w:rPr>
                <w:rFonts w:ascii="Arial" w:cs="Arial" w:eastAsia="Arial" w:hAnsi="Arial"/>
                <w:sz w:val="18"/>
                <w:szCs w:val="18"/>
                <w:color w:val="auto"/>
              </w:rPr>
              <w:t>Defaults Upon Senior Securities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4 —</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 Safety Disclosures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Arial" w:cs="Arial" w:eastAsia="Arial" w:hAnsi="Arial"/>
                <w:sz w:val="18"/>
                <w:szCs w:val="18"/>
                <w:color w:val="auto"/>
              </w:rPr>
              <w:t>Item 5 —</w:t>
            </w:r>
          </w:p>
        </w:tc>
        <w:tc>
          <w:tcPr>
            <w:tcW w:w="9340" w:type="dxa"/>
            <w:vAlign w:val="bottom"/>
          </w:tcPr>
          <w:p>
            <w:pPr>
              <w:ind w:left="220"/>
              <w:spacing w:after="0"/>
              <w:rPr>
                <w:sz w:val="20"/>
                <w:szCs w:val="20"/>
                <w:color w:val="auto"/>
              </w:rPr>
            </w:pPr>
            <w:r>
              <w:rPr>
                <w:rFonts w:ascii="Arial" w:cs="Arial" w:eastAsia="Arial" w:hAnsi="Arial"/>
                <w:sz w:val="18"/>
                <w:szCs w:val="18"/>
                <w:color w:val="auto"/>
              </w:rPr>
              <w:t>Other Information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6 —</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3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101.INS XBRL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101.SCH XBRL Taxonomy Extension Schema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101.CAL XBRL Taxonomy Extension Calculation Linkbase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101.DEF XBRL Taxonomy Extension Definition Linkbase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101.LAB XBRL Taxonomy Extension Label Linkbase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2016 under “Factors That May Affect Future Results and Financial Condition.”</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5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9" w:lineRule="exact"/>
        <w:rPr>
          <w:sz w:val="20"/>
          <w:szCs w:val="20"/>
          <w:color w:val="auto"/>
        </w:rPr>
      </w:pPr>
    </w:p>
    <w:p>
      <w:pPr>
        <w:ind w:left="9060"/>
        <w:spacing w:after="0"/>
        <w:tabs>
          <w:tab w:leader="none" w:pos="10300" w:val="left"/>
        </w:tabs>
        <w:rPr>
          <w:sz w:val="20"/>
          <w:szCs w:val="20"/>
          <w:color w:val="auto"/>
        </w:rPr>
      </w:pPr>
      <w:r>
        <w:rPr>
          <w:rFonts w:ascii="Arial" w:cs="Arial" w:eastAsia="Arial" w:hAnsi="Arial"/>
          <w:sz w:val="15"/>
          <w:szCs w:val="15"/>
          <w:b w:val="1"/>
          <w:bCs w:val="1"/>
          <w:color w:val="auto"/>
        </w:rPr>
        <w:t>March 31,</w:t>
      </w:r>
      <w:r>
        <w:rPr>
          <w:sz w:val="20"/>
          <w:szCs w:val="20"/>
          <w:color w:val="auto"/>
        </w:rPr>
        <w:tab/>
      </w:r>
      <w:r>
        <w:rPr>
          <w:rFonts w:ascii="Arial" w:cs="Arial" w:eastAsia="Arial" w:hAnsi="Arial"/>
          <w:sz w:val="13"/>
          <w:szCs w:val="13"/>
          <w:b w:val="1"/>
          <w:bCs w:val="1"/>
          <w:color w:val="auto"/>
        </w:rPr>
        <w:t>December 31,</w:t>
      </w:r>
    </w:p>
    <w:p>
      <w:pPr>
        <w:spacing w:after="0" w:line="44"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w:t>
      </w:r>
      <w:r>
        <w:rPr>
          <w:rFonts w:ascii="Arial" w:cs="Arial" w:eastAsia="Arial" w:hAnsi="Arial"/>
          <w:sz w:val="18"/>
          <w:szCs w:val="18"/>
          <w:color w:val="auto"/>
        </w:rPr>
        <w:t>s</w:t>
      </w:r>
    </w:p>
    <w:p>
      <w:pPr>
        <w:spacing w:after="0" w:line="21" w:lineRule="exact"/>
        <w:rPr>
          <w:sz w:val="20"/>
          <w:szCs w:val="20"/>
          <w:color w:val="auto"/>
        </w:rPr>
      </w:pPr>
    </w:p>
    <w:p>
      <w:pPr>
        <w:jc w:val="center"/>
        <w:ind w:right="2360"/>
        <w:spacing w:after="0"/>
        <w:rPr>
          <w:sz w:val="20"/>
          <w:szCs w:val="20"/>
          <w:color w:val="auto"/>
        </w:rPr>
      </w:pPr>
      <w:r>
        <w:rPr>
          <w:rFonts w:ascii="Arial" w:cs="Arial" w:eastAsia="Arial" w:hAnsi="Arial"/>
          <w:sz w:val="16"/>
          <w:szCs w:val="16"/>
          <w:color w:val="auto"/>
        </w:rPr>
        <w:t>Fixed-maturity securities, held-to-maturity, at amortized cost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jc w:val="center"/>
        <w:ind w:right="2360"/>
        <w:spacing w:after="0"/>
        <w:rPr>
          <w:sz w:val="20"/>
          <w:szCs w:val="20"/>
          <w:color w:val="auto"/>
        </w:rPr>
      </w:pPr>
      <w:r>
        <w:rPr>
          <w:rFonts w:ascii="Arial" w:cs="Arial" w:eastAsia="Arial" w:hAnsi="Arial"/>
          <w:sz w:val="16"/>
          <w:szCs w:val="16"/>
          <w:color w:val="auto"/>
        </w:rPr>
        <w:t>$5,159,351 at March 31, 2017 and $5,298,119 at December 31, 2016)</w:t>
      </w:r>
    </w:p>
    <w:p>
      <w:pPr>
        <w:spacing w:after="0" w:line="32" w:lineRule="exact"/>
        <w:rPr>
          <w:sz w:val="20"/>
          <w:szCs w:val="20"/>
          <w:color w:val="auto"/>
        </w:rPr>
      </w:pPr>
    </w:p>
    <w:p>
      <w:pPr>
        <w:jc w:val="right"/>
        <w:ind w:left="260" w:right="2520"/>
        <w:spacing w:after="0" w:line="281" w:lineRule="auto"/>
        <w:rPr>
          <w:sz w:val="20"/>
          <w:szCs w:val="20"/>
          <w:color w:val="auto"/>
        </w:rPr>
      </w:pPr>
      <w:r>
        <w:rPr>
          <w:rFonts w:ascii="Arial" w:cs="Arial" w:eastAsia="Arial" w:hAnsi="Arial"/>
          <w:sz w:val="16"/>
          <w:szCs w:val="16"/>
          <w:color w:val="auto"/>
        </w:rPr>
        <w:t>Fixed-maturity securities, available-for-sale, at fair value (amortized cost of $100,554,236 at March 31, 2017 and $80,596,628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right="3020" w:hanging="161"/>
        <w:spacing w:after="0" w:line="295" w:lineRule="auto"/>
        <w:rPr>
          <w:sz w:val="20"/>
          <w:szCs w:val="20"/>
          <w:color w:val="auto"/>
        </w:rPr>
      </w:pPr>
      <w:r>
        <w:rPr>
          <w:rFonts w:ascii="Arial" w:cs="Arial" w:eastAsia="Arial" w:hAnsi="Arial"/>
          <w:sz w:val="16"/>
          <w:szCs w:val="16"/>
          <w:color w:val="auto"/>
        </w:rPr>
        <w:t>Equity securities, available-for-sale, at fair value (cost of $9,545,785 at March 31, 2017 and $9,709,385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Reinsurance receivables,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assets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w:t>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4,895,443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5,094,902</w:t>
      </w:r>
    </w:p>
    <w:p>
      <w:pPr>
        <w:spacing w:after="0" w:line="225"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5"/>
          <w:szCs w:val="15"/>
          <w:color w:val="auto"/>
        </w:rPr>
        <w:t>100,687,355</w:t>
      </w:r>
      <w:r>
        <w:rPr>
          <w:sz w:val="20"/>
          <w:szCs w:val="20"/>
          <w:color w:val="auto"/>
        </w:rPr>
        <w:tab/>
      </w:r>
      <w:r>
        <w:rPr>
          <w:rFonts w:ascii="Arial" w:cs="Arial" w:eastAsia="Arial" w:hAnsi="Arial"/>
          <w:sz w:val="15"/>
          <w:szCs w:val="15"/>
          <w:color w:val="auto"/>
        </w:rPr>
        <w:t>80,428,828</w:t>
      </w:r>
    </w:p>
    <w:p>
      <w:pPr>
        <w:spacing w:after="0" w:line="260" w:lineRule="exact"/>
        <w:rPr>
          <w:sz w:val="20"/>
          <w:szCs w:val="20"/>
          <w:color w:val="auto"/>
        </w:rPr>
      </w:pPr>
    </w:p>
    <w:p>
      <w:pPr>
        <w:jc w:val="both"/>
        <w:ind w:left="300"/>
        <w:spacing w:after="0"/>
        <w:tabs>
          <w:tab w:leader="none" w:pos="1740" w:val="left"/>
        </w:tabs>
        <w:rPr>
          <w:sz w:val="20"/>
          <w:szCs w:val="20"/>
          <w:color w:val="auto"/>
        </w:rPr>
      </w:pPr>
      <w:r>
        <w:rPr>
          <w:rFonts w:ascii="Arial" w:cs="Arial" w:eastAsia="Arial" w:hAnsi="Arial"/>
          <w:sz w:val="18"/>
          <w:szCs w:val="18"/>
          <w:color w:val="auto"/>
        </w:rPr>
        <w:t>10,102,495</w:t>
      </w:r>
      <w:r>
        <w:rPr>
          <w:sz w:val="20"/>
          <w:szCs w:val="20"/>
          <w:color w:val="auto"/>
        </w:rPr>
        <w:tab/>
      </w:r>
      <w:r>
        <w:rPr>
          <w:rFonts w:ascii="Arial" w:cs="Arial" w:eastAsia="Arial" w:hAnsi="Arial"/>
          <w:sz w:val="18"/>
          <w:szCs w:val="18"/>
          <w:color w:val="auto"/>
        </w:rPr>
        <w:t>9,987,686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5"/>
          <w:szCs w:val="15"/>
          <w:color w:val="auto"/>
        </w:rPr>
        <w:t>115,685,293</w:t>
      </w:r>
      <w:r>
        <w:rPr>
          <w:sz w:val="20"/>
          <w:szCs w:val="20"/>
          <w:color w:val="auto"/>
        </w:rPr>
        <w:tab/>
      </w:r>
      <w:r>
        <w:rPr>
          <w:rFonts w:ascii="Arial" w:cs="Arial" w:eastAsia="Arial" w:hAnsi="Arial"/>
          <w:sz w:val="15"/>
          <w:szCs w:val="15"/>
          <w:color w:val="auto"/>
        </w:rPr>
        <w:t>95,511,416</w:t>
      </w:r>
    </w:p>
    <w:p>
      <w:pPr>
        <w:spacing w:after="0" w:line="50"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23,235,655</w:t>
      </w:r>
      <w:r>
        <w:rPr>
          <w:sz w:val="20"/>
          <w:szCs w:val="20"/>
          <w:color w:val="auto"/>
        </w:rPr>
        <w:tab/>
      </w:r>
      <w:r>
        <w:rPr>
          <w:rFonts w:ascii="Arial" w:cs="Arial" w:eastAsia="Arial" w:hAnsi="Arial"/>
          <w:sz w:val="18"/>
          <w:szCs w:val="18"/>
          <w:color w:val="auto"/>
        </w:rPr>
        <w:t>12,044,520</w:t>
      </w:r>
    </w:p>
    <w:p>
      <w:pPr>
        <w:spacing w:after="0" w:line="9"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11,728,443</w:t>
      </w:r>
      <w:r>
        <w:rPr>
          <w:sz w:val="20"/>
          <w:szCs w:val="20"/>
          <w:color w:val="auto"/>
        </w:rPr>
        <w:tab/>
      </w:r>
      <w:r>
        <w:rPr>
          <w:rFonts w:ascii="Arial" w:cs="Arial" w:eastAsia="Arial" w:hAnsi="Arial"/>
          <w:sz w:val="18"/>
          <w:szCs w:val="18"/>
          <w:color w:val="auto"/>
        </w:rPr>
        <w:t>11,649,398</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33,502,642</w:t>
      </w:r>
      <w:r>
        <w:rPr>
          <w:sz w:val="20"/>
          <w:szCs w:val="20"/>
          <w:color w:val="auto"/>
        </w:rPr>
        <w:tab/>
      </w:r>
      <w:r>
        <w:rPr>
          <w:rFonts w:ascii="Arial" w:cs="Arial" w:eastAsia="Arial" w:hAnsi="Arial"/>
          <w:sz w:val="18"/>
          <w:szCs w:val="18"/>
          <w:color w:val="auto"/>
        </w:rPr>
        <w:t>32,197,765</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12,467,976</w:t>
      </w:r>
      <w:r>
        <w:rPr>
          <w:sz w:val="20"/>
          <w:szCs w:val="20"/>
          <w:color w:val="auto"/>
        </w:rPr>
        <w:tab/>
      </w:r>
      <w:r>
        <w:rPr>
          <w:rFonts w:ascii="Arial" w:cs="Arial" w:eastAsia="Arial" w:hAnsi="Arial"/>
          <w:sz w:val="18"/>
          <w:szCs w:val="18"/>
          <w:color w:val="auto"/>
        </w:rPr>
        <w:t>12,239,781</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1,265,000</w:t>
      </w:r>
      <w:r>
        <w:rPr>
          <w:sz w:val="20"/>
          <w:szCs w:val="20"/>
          <w:color w:val="auto"/>
        </w:rPr>
        <w:tab/>
      </w:r>
      <w:r>
        <w:rPr>
          <w:rFonts w:ascii="Arial" w:cs="Arial" w:eastAsia="Arial" w:hAnsi="Arial"/>
          <w:sz w:val="18"/>
          <w:szCs w:val="18"/>
          <w:color w:val="auto"/>
        </w:rPr>
        <w:t>1,350,000</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3,375,436</w:t>
      </w:r>
      <w:r>
        <w:rPr>
          <w:sz w:val="20"/>
          <w:szCs w:val="20"/>
          <w:color w:val="auto"/>
        </w:rPr>
        <w:tab/>
      </w:r>
      <w:r>
        <w:rPr>
          <w:rFonts w:ascii="Arial" w:cs="Arial" w:eastAsia="Arial" w:hAnsi="Arial"/>
          <w:sz w:val="18"/>
          <w:szCs w:val="18"/>
          <w:color w:val="auto"/>
        </w:rPr>
        <w:t>3,011,373</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1,430,646</w:t>
      </w:r>
      <w:r>
        <w:rPr>
          <w:sz w:val="20"/>
          <w:szCs w:val="20"/>
          <w:color w:val="auto"/>
        </w:rPr>
        <w:tab/>
      </w:r>
      <w:r>
        <w:rPr>
          <w:rFonts w:ascii="Arial" w:cs="Arial" w:eastAsia="Arial" w:hAnsi="Arial"/>
          <w:sz w:val="18"/>
          <w:szCs w:val="18"/>
          <w:color w:val="auto"/>
        </w:rPr>
        <w:t>1,442,209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202,691,091</w:t>
      </w:r>
      <w:r>
        <w:rPr>
          <w:sz w:val="20"/>
          <w:szCs w:val="20"/>
          <w:color w:val="auto"/>
        </w:rPr>
        <w:tab/>
      </w:r>
      <w:r>
        <w:rPr>
          <w:rFonts w:ascii="Arial" w:cs="Arial" w:eastAsia="Arial" w:hAnsi="Arial"/>
          <w:sz w:val="16"/>
          <w:szCs w:val="16"/>
          <w:color w:val="auto"/>
        </w:rPr>
        <w:t>$  169,446,462</w:t>
      </w:r>
    </w:p>
    <w:p>
      <w:pPr>
        <w:spacing w:after="0" w:line="200" w:lineRule="exact"/>
        <w:rPr>
          <w:sz w:val="20"/>
          <w:szCs w:val="20"/>
          <w:color w:val="auto"/>
        </w:rPr>
      </w:pPr>
    </w:p>
    <w:p>
      <w:pPr>
        <w:sectPr>
          <w:pgSz w:w="11900" w:h="16838" w:orient="portrait"/>
          <w:cols w:equalWidth="0" w:num="2">
            <w:col w:w="8100" w:space="720"/>
            <w:col w:w="2600"/>
          </w:cols>
          <w:pgMar w:left="240" w:top="584" w:right="2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w:t>
            </w:r>
            <w:r>
              <w:rPr>
                <w:rFonts w:ascii="Arial" w:cs="Arial" w:eastAsia="Arial" w:hAnsi="Arial"/>
                <w:sz w:val="18"/>
                <w:szCs w:val="18"/>
                <w:color w:val="auto"/>
              </w:rPr>
              <w: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Loss and loss adjustment expense reserves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44,611,586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41,736,719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premiums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55,322,298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54,994,375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Advance premiums</w:t>
            </w: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1,965,456</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1,421,560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Reinsurance balances payable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2,108,447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2,146,017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ceding commission revenue</w:t>
            </w: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6,772,857</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6,851,841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3,212,865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5,448,448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202,751</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396,425</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166,949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w:t>
            </w:r>
            <w:r>
              <w:rPr>
                <w:rFonts w:ascii="Arial" w:cs="Arial" w:eastAsia="Arial" w:hAnsi="Arial"/>
                <w:sz w:val="18"/>
                <w:szCs w:val="18"/>
                <w:color w:val="auto"/>
              </w:rPr>
              <w: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1"/>
              </w:rPr>
              <w:t>114,592,685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112,765,909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 $.01 par value; authorized 2,500,000 shares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Common stock, $.01 par value; authorized 20,000,000 shares; issued 11,596,947 shares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at March 31, 2017 and 8,896,335 at December 31, 2016; outstanding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60"/>
              <w:spacing w:after="0"/>
              <w:rPr>
                <w:sz w:val="20"/>
                <w:szCs w:val="20"/>
                <w:color w:val="auto"/>
              </w:rPr>
            </w:pPr>
            <w:r>
              <w:rPr>
                <w:rFonts w:ascii="Arial" w:cs="Arial" w:eastAsia="Arial" w:hAnsi="Arial"/>
                <w:sz w:val="18"/>
                <w:szCs w:val="18"/>
                <w:color w:val="auto"/>
              </w:rPr>
              <w:t>10,622,478 shares at March 31, 2017 and 7,921,866 shares at December 31, 2016</w:t>
            </w: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115,969</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in excess of par</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68,152,149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37,950,401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455,287</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72,931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21,370,463</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20,563,720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90,093,868</w:t>
            </w:r>
          </w:p>
        </w:tc>
        <w:tc>
          <w:tcPr>
            <w:tcW w:w="2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58,676,015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Treasury stock, at cost, 974,469 shares at March 31, 2017 and December 31, 2016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(1,995,462)</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88,098,406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56,680,553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1"/>
              </w:rPr>
              <w:t>202,691,091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169,446,462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 w:name="page5"/>
    <w:bookmarkEnd w:id="4"/>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and Comprehensive Income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16,369,748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14,531,675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Ceding commission revenue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3,184,452</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2,770,337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857,800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Net realized (losses) gains on sales of investments</w:t>
            </w:r>
          </w:p>
        </w:tc>
        <w:tc>
          <w:tcPr>
            <w:tcW w:w="3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(54,506)</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80,436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289,700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249,347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20,647,194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18,444,852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8,292,996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9,483,855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4,888,978</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4,270,066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4,212,417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3,346,441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755,804</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329,239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318,698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283,828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18,468,893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17,713,429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Income from operations before taxes</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2,178,301</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731,423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707,721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190,391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1,470,580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541,032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change in unrealized gains on available-for-sale-securities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524,822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losses (gains)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included in 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54,506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579,328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1,403,628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(196,972)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382,356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926,394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1,852,936</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1,467,426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0.15</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9,663,751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7,322,385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9,848,494</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7,360,564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0.0625</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0.0625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2"/>
          </w:tcPr>
          <w:p>
            <w:pPr>
              <w:jc w:val="right"/>
              <w:ind w:right="86"/>
              <w:spacing w:after="0"/>
              <w:rPr>
                <w:sz w:val="20"/>
                <w:szCs w:val="20"/>
                <w:color w:val="auto"/>
              </w:rPr>
            </w:pPr>
            <w:r>
              <w:rPr>
                <w:rFonts w:ascii="Arial" w:cs="Arial" w:eastAsia="Arial" w:hAnsi="Arial"/>
                <w:sz w:val="15"/>
                <w:szCs w:val="15"/>
                <w:b w:val="1"/>
                <w:bCs w:val="1"/>
                <w:color w:val="auto"/>
                <w:w w:val="97"/>
              </w:rPr>
              <w:t>Accumulated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46"/>
              <w:spacing w:after="0" w:line="162" w:lineRule="exact"/>
              <w:rPr>
                <w:sz w:val="20"/>
                <w:szCs w:val="20"/>
                <w:color w:val="auto"/>
              </w:rPr>
            </w:pPr>
            <w:r>
              <w:rPr>
                <w:rFonts w:ascii="Arial" w:cs="Arial" w:eastAsia="Arial" w:hAnsi="Arial"/>
                <w:sz w:val="15"/>
                <w:szCs w:val="15"/>
                <w:b w:val="1"/>
                <w:bCs w:val="1"/>
                <w:color w:val="auto"/>
                <w:w w:val="91"/>
              </w:rPr>
              <w:t>Capital</w:t>
            </w:r>
          </w:p>
        </w:tc>
        <w:tc>
          <w:tcPr>
            <w:tcW w:w="200" w:type="dxa"/>
            <w:vAlign w:val="bottom"/>
          </w:tcPr>
          <w:p>
            <w:pPr>
              <w:spacing w:after="0"/>
              <w:rPr>
                <w:sz w:val="14"/>
                <w:szCs w:val="14"/>
                <w:color w:val="auto"/>
              </w:rPr>
            </w:pP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5"/>
                <w:szCs w:val="15"/>
                <w:b w:val="1"/>
                <w:bCs w:val="1"/>
                <w:color w:val="auto"/>
              </w:rPr>
              <w:t>Preferred Stock</w:t>
            </w: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40" w:type="dxa"/>
            <w:vAlign w:val="bottom"/>
          </w:tcPr>
          <w:p>
            <w:pPr>
              <w:jc w:val="center"/>
              <w:ind w:right="146"/>
              <w:spacing w:after="0"/>
              <w:rPr>
                <w:sz w:val="20"/>
                <w:szCs w:val="20"/>
                <w:color w:val="auto"/>
              </w:rPr>
            </w:pPr>
            <w:r>
              <w:rPr>
                <w:rFonts w:ascii="Arial" w:cs="Arial" w:eastAsia="Arial" w:hAnsi="Arial"/>
                <w:sz w:val="15"/>
                <w:szCs w:val="15"/>
                <w:b w:val="1"/>
                <w:bCs w:val="1"/>
                <w:color w:val="auto"/>
                <w:w w:val="83"/>
              </w:rPr>
              <w:t>in Excess</w:t>
            </w: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Comprehensive</w:t>
            </w:r>
          </w:p>
        </w:tc>
        <w:tc>
          <w:tcPr>
            <w:tcW w:w="100" w:type="dxa"/>
            <w:vAlign w:val="bottom"/>
          </w:tcPr>
          <w:p>
            <w:pPr>
              <w:spacing w:after="0"/>
              <w:rPr>
                <w:sz w:val="15"/>
                <w:szCs w:val="15"/>
                <w:color w:val="auto"/>
              </w:rPr>
            </w:pPr>
          </w:p>
        </w:tc>
        <w:tc>
          <w:tcPr>
            <w:tcW w:w="820" w:type="dxa"/>
            <w:vAlign w:val="bottom"/>
          </w:tcPr>
          <w:p>
            <w:pPr>
              <w:jc w:val="right"/>
              <w:ind w:right="126"/>
              <w:spacing w:after="0"/>
              <w:rPr>
                <w:sz w:val="20"/>
                <w:szCs w:val="20"/>
                <w:color w:val="auto"/>
              </w:rPr>
            </w:pPr>
            <w:r>
              <w:rPr>
                <w:rFonts w:ascii="Arial" w:cs="Arial" w:eastAsia="Arial" w:hAnsi="Arial"/>
                <w:sz w:val="15"/>
                <w:szCs w:val="15"/>
                <w:b w:val="1"/>
                <w:bCs w:val="1"/>
                <w:color w:val="auto"/>
                <w:w w:val="94"/>
              </w:rPr>
              <w:t>Retained</w:t>
            </w:r>
          </w:p>
        </w:tc>
        <w:tc>
          <w:tcPr>
            <w:tcW w:w="206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5"/>
                <w:szCs w:val="15"/>
                <w:b w:val="1"/>
                <w:bCs w:val="1"/>
                <w:color w:val="auto"/>
              </w:rPr>
              <w:t>Treasury Stock</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auto"/>
            </w:tcBorders>
          </w:tcPr>
          <w:p>
            <w:pPr>
              <w:ind w:left="320"/>
              <w:spacing w:after="0" w:line="162" w:lineRule="exact"/>
              <w:rPr>
                <w:sz w:val="20"/>
                <w:szCs w:val="20"/>
                <w:color w:val="auto"/>
              </w:rPr>
            </w:pPr>
            <w:r>
              <w:rPr>
                <w:rFonts w:ascii="Arial" w:cs="Arial" w:eastAsia="Arial" w:hAnsi="Arial"/>
                <w:sz w:val="15"/>
                <w:szCs w:val="15"/>
                <w:b w:val="1"/>
                <w:bCs w:val="1"/>
                <w:color w:val="auto"/>
                <w:w w:val="91"/>
              </w:rPr>
              <w:t>Shares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b w:val="1"/>
                <w:bCs w:val="1"/>
                <w:color w:val="auto"/>
                <w:w w:val="95"/>
              </w:rPr>
              <w:t>Amount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6"/>
              <w:spacing w:after="0" w:line="162" w:lineRule="exact"/>
              <w:rPr>
                <w:sz w:val="20"/>
                <w:szCs w:val="20"/>
                <w:color w:val="auto"/>
              </w:rPr>
            </w:pPr>
            <w:r>
              <w:rPr>
                <w:rFonts w:ascii="Arial" w:cs="Arial" w:eastAsia="Arial" w:hAnsi="Arial"/>
                <w:sz w:val="15"/>
                <w:szCs w:val="15"/>
                <w:b w:val="1"/>
                <w:bCs w:val="1"/>
                <w:color w:val="auto"/>
                <w:w w:val="89"/>
              </w:rPr>
              <w:t>of Par</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6"/>
              <w:spacing w:after="0" w:line="162" w:lineRule="exact"/>
              <w:rPr>
                <w:sz w:val="20"/>
                <w:szCs w:val="20"/>
                <w:color w:val="auto"/>
              </w:rPr>
            </w:pPr>
            <w:r>
              <w:rPr>
                <w:rFonts w:ascii="Arial" w:cs="Arial" w:eastAsia="Arial" w:hAnsi="Arial"/>
                <w:sz w:val="15"/>
                <w:szCs w:val="15"/>
                <w:b w:val="1"/>
                <w:bCs w:val="1"/>
                <w:color w:val="auto"/>
                <w:w w:val="98"/>
              </w:rPr>
              <w:t>Income</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b w:val="1"/>
                <w:bCs w:val="1"/>
                <w:color w:val="auto"/>
                <w:w w:val="93"/>
              </w:rPr>
              <w:t>Earnings</w:t>
            </w:r>
          </w:p>
        </w:tc>
        <w:tc>
          <w:tcPr>
            <w:tcW w:w="102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b w:val="1"/>
                <w:bCs w:val="1"/>
                <w:color w:val="auto"/>
                <w:w w:val="98"/>
              </w:rPr>
              <w:t>Amount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6"/>
              <w:spacing w:after="0" w:line="162" w:lineRule="exact"/>
              <w:rPr>
                <w:sz w:val="20"/>
                <w:szCs w:val="20"/>
                <w:color w:val="auto"/>
              </w:rPr>
            </w:pPr>
            <w:r>
              <w:rPr>
                <w:rFonts w:ascii="Arial" w:cs="Arial" w:eastAsia="Arial" w:hAnsi="Arial"/>
                <w:sz w:val="15"/>
                <w:szCs w:val="15"/>
                <w:b w:val="1"/>
                <w:bCs w:val="1"/>
                <w:color w:val="auto"/>
              </w:rPr>
              <w:t>Total</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 January</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1, 2017</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586"/>
              <w:spacing w:after="0" w:line="17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8,896,335</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88,963</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6"/>
              <w:spacing w:after="0" w:line="172" w:lineRule="exact"/>
              <w:rPr>
                <w:sz w:val="20"/>
                <w:szCs w:val="20"/>
                <w:color w:val="auto"/>
              </w:rPr>
            </w:pPr>
            <w:r>
              <w:rPr>
                <w:rFonts w:ascii="Arial" w:cs="Arial" w:eastAsia="Arial" w:hAnsi="Arial"/>
                <w:sz w:val="15"/>
                <w:szCs w:val="15"/>
                <w:color w:val="auto"/>
                <w:w w:val="90"/>
              </w:rPr>
              <w:t>37,950,401</w:t>
            </w:r>
          </w:p>
        </w:tc>
        <w:tc>
          <w:tcPr>
            <w:tcW w:w="2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72,931</w:t>
            </w:r>
          </w:p>
        </w:tc>
        <w:tc>
          <w:tcPr>
            <w:tcW w:w="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20,563,720</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974,469</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96"/>
              </w:rPr>
              <w:t>(1,995,462)</w:t>
            </w:r>
          </w:p>
        </w:tc>
        <w:tc>
          <w:tcPr>
            <w:tcW w:w="2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56,680,553</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Proceeds from</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1960" w:type="dxa"/>
            <w:vAlign w:val="bottom"/>
            <w:gridSpan w:val="3"/>
          </w:tcPr>
          <w:p>
            <w:pPr>
              <w:spacing w:after="0" w:line="162" w:lineRule="exact"/>
              <w:rPr>
                <w:sz w:val="20"/>
                <w:szCs w:val="20"/>
                <w:color w:val="auto"/>
              </w:rPr>
            </w:pPr>
            <w:r>
              <w:rPr>
                <w:rFonts w:ascii="Arial" w:cs="Arial" w:eastAsia="Arial" w:hAnsi="Arial"/>
                <w:sz w:val="15"/>
                <w:szCs w:val="15"/>
                <w:color w:val="auto"/>
              </w:rPr>
              <w:t>public offering, net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offering costs of</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$2,173,000</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2,692,500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26,925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
              <w:spacing w:after="0" w:line="172" w:lineRule="exact"/>
              <w:rPr>
                <w:sz w:val="20"/>
                <w:szCs w:val="20"/>
                <w:color w:val="auto"/>
              </w:rPr>
            </w:pPr>
            <w:r>
              <w:rPr>
                <w:rFonts w:ascii="Arial" w:cs="Arial" w:eastAsia="Arial" w:hAnsi="Arial"/>
                <w:sz w:val="15"/>
                <w:szCs w:val="15"/>
                <w:color w:val="auto"/>
                <w:w w:val="90"/>
              </w:rPr>
              <w:t>30,109,774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30,136,699</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Stock-based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compensation</w:t>
            </w:r>
          </w:p>
        </w:tc>
        <w:tc>
          <w:tcPr>
            <w:tcW w:w="2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tcPr>
          <w:p>
            <w:pPr>
              <w:spacing w:after="0"/>
              <w:rPr>
                <w:sz w:val="14"/>
                <w:szCs w:val="14"/>
                <w:color w:val="auto"/>
              </w:rPr>
            </w:pPr>
          </w:p>
        </w:tc>
        <w:tc>
          <w:tcPr>
            <w:tcW w:w="260" w:type="dxa"/>
            <w:vAlign w:val="bottom"/>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6"/>
              <w:spacing w:after="0" w:line="172" w:lineRule="exact"/>
              <w:rPr>
                <w:sz w:val="20"/>
                <w:szCs w:val="20"/>
                <w:color w:val="auto"/>
              </w:rPr>
            </w:pPr>
            <w:r>
              <w:rPr>
                <w:rFonts w:ascii="Arial" w:cs="Arial" w:eastAsia="Arial" w:hAnsi="Arial"/>
                <w:sz w:val="15"/>
                <w:szCs w:val="15"/>
                <w:color w:val="auto"/>
              </w:rPr>
              <w:t>59,055</w:t>
            </w:r>
          </w:p>
        </w:tc>
        <w:tc>
          <w:tcPr>
            <w:tcW w:w="200" w:type="dxa"/>
            <w:vAlign w:val="bottom"/>
          </w:tcPr>
          <w:p>
            <w:pPr>
              <w:spacing w:after="0"/>
              <w:rPr>
                <w:sz w:val="14"/>
                <w:szCs w:val="14"/>
                <w:color w:val="auto"/>
              </w:rPr>
            </w:pPr>
          </w:p>
        </w:tc>
        <w:tc>
          <w:tcPr>
            <w:tcW w:w="9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59,055</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Vesting of</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restricted stock</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awards</w:t>
            </w: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2,946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line="172" w:lineRule="exact"/>
              <w:rPr>
                <w:sz w:val="20"/>
                <w:szCs w:val="20"/>
                <w:color w:val="auto"/>
              </w:rPr>
            </w:pPr>
            <w:r>
              <w:rPr>
                <w:rFonts w:ascii="Arial" w:cs="Arial" w:eastAsia="Arial" w:hAnsi="Arial"/>
                <w:sz w:val="15"/>
                <w:szCs w:val="15"/>
                <w:color w:val="auto"/>
              </w:rPr>
              <w:t>(29)</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Exercise of stock</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options</w:t>
            </w:r>
          </w:p>
        </w:tc>
        <w:tc>
          <w:tcPr>
            <w:tcW w:w="2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tcPr>
          <w:p>
            <w:pPr>
              <w:spacing w:after="0"/>
              <w:rPr>
                <w:sz w:val="14"/>
                <w:szCs w:val="14"/>
                <w:color w:val="auto"/>
              </w:rPr>
            </w:pPr>
          </w:p>
        </w:tc>
        <w:tc>
          <w:tcPr>
            <w:tcW w:w="260" w:type="dxa"/>
            <w:vAlign w:val="bottom"/>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72" w:lineRule="exact"/>
              <w:rPr>
                <w:sz w:val="20"/>
                <w:szCs w:val="20"/>
                <w:color w:val="auto"/>
              </w:rPr>
            </w:pPr>
            <w:r>
              <w:rPr>
                <w:rFonts w:ascii="Arial" w:cs="Arial" w:eastAsia="Arial" w:hAnsi="Arial"/>
                <w:sz w:val="15"/>
                <w:szCs w:val="15"/>
                <w:color w:val="auto"/>
              </w:rPr>
              <w:t>5,166</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52</w:t>
            </w:r>
          </w:p>
        </w:tc>
        <w:tc>
          <w:tcPr>
            <w:tcW w:w="220" w:type="dxa"/>
            <w:vAlign w:val="bottom"/>
          </w:tcPr>
          <w:p>
            <w:pPr>
              <w:spacing w:after="0"/>
              <w:rPr>
                <w:sz w:val="14"/>
                <w:szCs w:val="14"/>
                <w:color w:val="auto"/>
              </w:rPr>
            </w:pPr>
          </w:p>
        </w:tc>
        <w:tc>
          <w:tcPr>
            <w:tcW w:w="840" w:type="dxa"/>
            <w:vAlign w:val="bottom"/>
          </w:tcPr>
          <w:p>
            <w:pPr>
              <w:jc w:val="right"/>
              <w:ind w:right="66"/>
              <w:spacing w:after="0" w:line="172" w:lineRule="exact"/>
              <w:rPr>
                <w:sz w:val="20"/>
                <w:szCs w:val="20"/>
                <w:color w:val="auto"/>
              </w:rPr>
            </w:pPr>
            <w:r>
              <w:rPr>
                <w:rFonts w:ascii="Arial" w:cs="Arial" w:eastAsia="Arial" w:hAnsi="Arial"/>
                <w:sz w:val="15"/>
                <w:szCs w:val="15"/>
                <w:color w:val="auto"/>
              </w:rPr>
              <w:t>32,948</w:t>
            </w:r>
          </w:p>
        </w:tc>
        <w:tc>
          <w:tcPr>
            <w:tcW w:w="200" w:type="dxa"/>
            <w:vAlign w:val="bottom"/>
          </w:tcPr>
          <w:p>
            <w:pPr>
              <w:spacing w:after="0"/>
              <w:rPr>
                <w:sz w:val="14"/>
                <w:szCs w:val="14"/>
                <w:color w:val="auto"/>
              </w:rPr>
            </w:pPr>
          </w:p>
        </w:tc>
        <w:tc>
          <w:tcPr>
            <w:tcW w:w="9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33,000</w:t>
            </w: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Dividends</w:t>
            </w:r>
          </w:p>
        </w:tc>
        <w:tc>
          <w:tcPr>
            <w:tcW w:w="2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(663,837)</w:t>
            </w:r>
          </w:p>
        </w:tc>
        <w:tc>
          <w:tcPr>
            <w:tcW w:w="10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(663,837)</w:t>
            </w: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line="162" w:lineRule="exact"/>
              <w:rPr>
                <w:sz w:val="20"/>
                <w:szCs w:val="20"/>
                <w:color w:val="auto"/>
              </w:rPr>
            </w:pPr>
            <w:r>
              <w:rPr>
                <w:rFonts w:ascii="Arial" w:cs="Arial" w:eastAsia="Arial" w:hAnsi="Arial"/>
                <w:sz w:val="15"/>
                <w:szCs w:val="15"/>
                <w:color w:val="auto"/>
              </w:rPr>
              <w:t>Net income</w:t>
            </w:r>
          </w:p>
        </w:tc>
        <w:tc>
          <w:tcPr>
            <w:tcW w:w="2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spacing w:after="0"/>
              <w:rPr>
                <w:sz w:val="14"/>
                <w:szCs w:val="14"/>
                <w:color w:val="auto"/>
              </w:rPr>
            </w:pPr>
          </w:p>
        </w:tc>
        <w:tc>
          <w:tcPr>
            <w:tcW w:w="26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1,470,580</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1,470,580</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Change in</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unrealized gains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on available-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for-sale securities,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8"/>
        </w:trPr>
        <w:tc>
          <w:tcPr>
            <w:tcW w:w="1160" w:type="dxa"/>
            <w:vAlign w:val="bottom"/>
            <w:gridSpan w:val="2"/>
          </w:tcPr>
          <w:p>
            <w:pPr>
              <w:spacing w:after="0" w:line="172" w:lineRule="exact"/>
              <w:rPr>
                <w:sz w:val="20"/>
                <w:szCs w:val="20"/>
                <w:color w:val="auto"/>
              </w:rPr>
            </w:pPr>
            <w:r>
              <w:rPr>
                <w:rFonts w:ascii="Arial" w:cs="Arial" w:eastAsia="Arial" w:hAnsi="Arial"/>
                <w:sz w:val="15"/>
                <w:szCs w:val="15"/>
                <w:color w:val="auto"/>
              </w:rPr>
              <w:t>net of tax</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6"/>
              <w:spacing w:after="0" w:line="17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6"/>
              <w:spacing w:after="0" w:line="172" w:lineRule="exact"/>
              <w:rPr>
                <w:sz w:val="20"/>
                <w:szCs w:val="20"/>
                <w:color w:val="auto"/>
              </w:rPr>
            </w:pPr>
            <w:r>
              <w:rPr>
                <w:rFonts w:ascii="Arial" w:cs="Arial" w:eastAsia="Arial" w:hAnsi="Arial"/>
                <w:sz w:val="15"/>
                <w:szCs w:val="15"/>
                <w:color w:val="auto"/>
              </w:rPr>
              <w:t>382,356</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382,356</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 March</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31, 2017</w:t>
            </w: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586"/>
              <w:spacing w:after="0" w:line="172"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106"/>
              <w:spacing w:after="0" w:line="17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11,596,947</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115,969</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66"/>
              <w:spacing w:after="0" w:line="172" w:lineRule="exact"/>
              <w:rPr>
                <w:sz w:val="20"/>
                <w:szCs w:val="20"/>
                <w:color w:val="auto"/>
              </w:rPr>
            </w:pPr>
            <w:r>
              <w:rPr>
                <w:rFonts w:ascii="Arial" w:cs="Arial" w:eastAsia="Arial" w:hAnsi="Arial"/>
                <w:sz w:val="15"/>
                <w:szCs w:val="15"/>
                <w:color w:val="auto"/>
                <w:w w:val="90"/>
              </w:rPr>
              <w:t>68,152,149</w:t>
            </w:r>
          </w:p>
        </w:tc>
        <w:tc>
          <w:tcPr>
            <w:tcW w:w="2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455,287</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21,370,463</w:t>
            </w:r>
          </w:p>
        </w:tc>
        <w:tc>
          <w:tcPr>
            <w:tcW w:w="10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974,469</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96"/>
              </w:rPr>
              <w:t>(1,995,462)</w:t>
            </w:r>
          </w:p>
        </w:tc>
        <w:tc>
          <w:tcPr>
            <w:tcW w:w="2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88,098,406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1,470,580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losses (gains) on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54,506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318,698</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283,828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bond premium,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124,054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59,055</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32,504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 receivable,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(79,045)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Reinsurance receivables, net</w:t>
            </w: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(1,304,877)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(228,195)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11,563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Loss and loss adjustment expense reserves</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2,874,867</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6,154,265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327,923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Advance premiums</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543,896</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532,486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balances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(37,570)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1,536,971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Deferred ceding commission revenue</w:t>
            </w: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(78,984)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(2,032,832)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2,056,143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2,672,714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(22,811,402)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(15,890,742)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 - equity securities available-for-sale</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Redemption - fixed-maturity securities held-to-maturity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2,706,202</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6,401,092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 - equity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132,091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1,161,501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Acquisition of fixed assets</w:t>
            </w: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(597,761)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250,448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w:t>
            </w:r>
            <w:r>
              <w:rPr>
                <w:rFonts w:ascii="Arial" w:cs="Arial" w:eastAsia="Arial" w:hAnsi="Arial"/>
                <w:sz w:val="18"/>
                <w:szCs w:val="18"/>
                <w:color w:val="auto"/>
              </w:rPr>
              <w: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(20,370,870)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(10,091,378)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30,136,699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33,000</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(663,837)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(used in) financing activitie</w:t>
            </w:r>
            <w:r>
              <w:rPr>
                <w:rFonts w:ascii="Arial" w:cs="Arial" w:eastAsia="Arial" w:hAnsi="Arial"/>
                <w:sz w:val="18"/>
                <w:szCs w:val="18"/>
                <w:color w:val="auto"/>
              </w:rPr>
              <w: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29,505,862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11,191,135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12,044,520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13,551,372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23,235,655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5,579,224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however, KICO writes substantially all of its business in New York.</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condensed financial statements should be read in conjunction with the consolidated financial statements as of and for the year ended December 31, 2016 and notes thereto included in the Company’s Annual Report on Form 10-K filed with the SEC on March 16, 2017.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ended March 31, 2017 may not be indicative of the results that may be expected for the year ending December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2015, the Financial Accounting Standards Board (“FASB”) issued Accounting Standards Update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that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became effective for annual periods beginning after December 15, 2015, and interim periods beginning after December 15, 2016, and has been applied retrospectively. The new guidance affected disclosures only and had no impact on the Company’s results of operations or financial position.</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the Company has adopted the provisions of ASU 2016-09 – Compensation - Stock Compensation (Topic 718): Improvements to Employee Share-Based Payment Accounting, which requires recognition of all income tax effects from share-based payments arising on or after January 1, 2017 (the Company’s adoption date) in income tax expense. As a result, the Company realized windfall tax benefits in the interim period of adoption of approximately $5,000, which was recognized as a discrete period income tax benefit as required by this ASU. This benefit resulted in lowering the Company’s effective tax rate for the interim period by 0.1%.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FASB issued ASU 2014-09 – Revenue from Contracts with Customers (Topic 606).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FASB issued ASU 2016-02 – Leases (Topic 842).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In August 2016, FASB issued ASU 2016-15 - Statement of Cash Flows (Topic 230): Classification of Certain Cash Receipts and Cash Payments. The revised ASU provides accounting guidance for eight specific cash flow issues. FASB issued the standard to clarify areas where GAAP has been either unclear or lacking in specific guidance. ASU 2016-15 will be effective for the Company for interim and annual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2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amortized cost and fair value of investments in available-for-sale fixed-maturity securities and equity securities as of March 31, 2017 and December 31, 2016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7"/>
                <w:szCs w:val="17"/>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87"/>
              </w:rPr>
              <w:t>Gross</w:t>
            </w: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5"/>
                <w:szCs w:val="15"/>
                <w:b w:val="1"/>
                <w:bCs w:val="1"/>
                <w:color w:val="auto"/>
              </w:rPr>
              <w:t>Gross Unrealized Losses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233"/>
        </w:trPr>
        <w:tc>
          <w:tcPr>
            <w:tcW w:w="3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1080" w:type="dxa"/>
            <w:vAlign w:val="bottom"/>
          </w:tcPr>
          <w:p>
            <w:pPr>
              <w:jc w:val="center"/>
              <w:ind w:right="156"/>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20"/>
                <w:szCs w:val="20"/>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20"/>
                <w:szCs w:val="20"/>
                <w:color w:val="auto"/>
              </w:rPr>
            </w:pPr>
          </w:p>
        </w:tc>
        <w:tc>
          <w:tcPr>
            <w:tcW w:w="1140" w:type="dxa"/>
            <w:vAlign w:val="bottom"/>
          </w:tcPr>
          <w:p>
            <w:pPr>
              <w:jc w:val="right"/>
              <w:ind w:right="217"/>
              <w:spacing w:after="0"/>
              <w:rPr>
                <w:sz w:val="20"/>
                <w:szCs w:val="20"/>
                <w:color w:val="auto"/>
              </w:rPr>
            </w:pPr>
            <w:r>
              <w:rPr>
                <w:rFonts w:ascii="Arial" w:cs="Arial" w:eastAsia="Arial" w:hAnsi="Arial"/>
                <w:sz w:val="15"/>
                <w:szCs w:val="15"/>
                <w:b w:val="1"/>
                <w:bCs w:val="1"/>
                <w:color w:val="auto"/>
                <w:w w:val="90"/>
              </w:rPr>
              <w:t>Less than 12</w:t>
            </w: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5"/>
                <w:szCs w:val="15"/>
                <w:b w:val="1"/>
                <w:bCs w:val="1"/>
                <w:color w:val="auto"/>
                <w:w w:val="92"/>
              </w:rPr>
              <w:t>More than 12</w:t>
            </w:r>
          </w:p>
        </w:tc>
        <w:tc>
          <w:tcPr>
            <w:tcW w:w="280" w:type="dxa"/>
            <w:vAlign w:val="bottom"/>
          </w:tcPr>
          <w:p>
            <w:pPr>
              <w:spacing w:after="0"/>
              <w:rPr>
                <w:sz w:val="20"/>
                <w:szCs w:val="20"/>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20"/>
                <w:szCs w:val="20"/>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7"/>
              </w:rPr>
              <w:t>Gains/</w:t>
            </w:r>
          </w:p>
        </w:tc>
        <w:tc>
          <w:tcPr>
            <w:tcW w:w="0" w:type="dxa"/>
            <w:vAlign w:val="bottom"/>
          </w:tcPr>
          <w:p>
            <w:pPr>
              <w:spacing w:after="0"/>
              <w:rPr>
                <w:sz w:val="1"/>
                <w:szCs w:val="1"/>
                <w:color w:val="auto"/>
              </w:rPr>
            </w:pPr>
          </w:p>
        </w:tc>
      </w:tr>
      <w:tr>
        <w:trPr>
          <w:trHeight w:val="206"/>
        </w:trPr>
        <w:tc>
          <w:tcPr>
            <w:tcW w:w="3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16"/>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Months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Months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7,582,088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214,232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(18,806)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7,758,804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176,716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70,449,109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781,970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(556,753)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70,666,956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217,847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asset 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22,523,039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72,990</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(308,073)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22,261,595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(261,444)</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1"/>
              </w:rPr>
              <w:t>100,554,236</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1,069,192</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(883,632)</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1"/>
              </w:rPr>
              <w:t>100,687,355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133,119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5,986,588</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63,123</w:t>
            </w:r>
          </w:p>
        </w:tc>
        <w:tc>
          <w:tcPr>
            <w:tcW w:w="1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(120,639)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(75,322)</w:t>
            </w:r>
          </w:p>
        </w:tc>
        <w:tc>
          <w:tcPr>
            <w:tcW w:w="2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5,853,750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(132,838)</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3,559,197</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756,966</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4,248,745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689,548</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9,545,785</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820,089</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(120,639)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10,102,495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556,710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1"/>
              </w:rPr>
              <w:t>110,100,021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1,889,281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(1,004,271)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1"/>
              </w:rPr>
              <w:t>110,789,850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689,829</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2016</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7"/>
                <w:szCs w:val="17"/>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87"/>
              </w:rPr>
              <w:t>Gross</w:t>
            </w: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233"/>
        </w:trPr>
        <w:tc>
          <w:tcPr>
            <w:tcW w:w="3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1080" w:type="dxa"/>
            <w:vAlign w:val="bottom"/>
          </w:tcPr>
          <w:p>
            <w:pPr>
              <w:jc w:val="center"/>
              <w:ind w:right="156"/>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20"/>
                <w:szCs w:val="20"/>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20"/>
                <w:szCs w:val="20"/>
                <w:color w:val="auto"/>
              </w:rPr>
            </w:pPr>
          </w:p>
        </w:tc>
        <w:tc>
          <w:tcPr>
            <w:tcW w:w="1140" w:type="dxa"/>
            <w:vAlign w:val="bottom"/>
          </w:tcPr>
          <w:p>
            <w:pPr>
              <w:jc w:val="right"/>
              <w:ind w:right="217"/>
              <w:spacing w:after="0"/>
              <w:rPr>
                <w:sz w:val="20"/>
                <w:szCs w:val="20"/>
                <w:color w:val="auto"/>
              </w:rPr>
            </w:pPr>
            <w:r>
              <w:rPr>
                <w:rFonts w:ascii="Arial" w:cs="Arial" w:eastAsia="Arial" w:hAnsi="Arial"/>
                <w:sz w:val="15"/>
                <w:szCs w:val="15"/>
                <w:b w:val="1"/>
                <w:bCs w:val="1"/>
                <w:color w:val="auto"/>
                <w:w w:val="90"/>
              </w:rPr>
              <w:t>Less than 12</w:t>
            </w: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5"/>
                <w:szCs w:val="15"/>
                <w:b w:val="1"/>
                <w:bCs w:val="1"/>
                <w:color w:val="auto"/>
                <w:w w:val="92"/>
              </w:rPr>
              <w:t>More than 12</w:t>
            </w:r>
          </w:p>
        </w:tc>
        <w:tc>
          <w:tcPr>
            <w:tcW w:w="320" w:type="dxa"/>
            <w:vAlign w:val="bottom"/>
          </w:tcPr>
          <w:p>
            <w:pPr>
              <w:spacing w:after="0"/>
              <w:rPr>
                <w:sz w:val="20"/>
                <w:szCs w:val="20"/>
                <w:color w:val="auto"/>
              </w:rPr>
            </w:pPr>
          </w:p>
        </w:tc>
        <w:tc>
          <w:tcPr>
            <w:tcW w:w="1040" w:type="dxa"/>
            <w:vAlign w:val="bottom"/>
          </w:tcPr>
          <w:p>
            <w:pPr>
              <w:jc w:val="right"/>
              <w:ind w:right="455"/>
              <w:spacing w:after="0"/>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20"/>
                <w:szCs w:val="20"/>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7"/>
              </w:rPr>
              <w:t>Gains/</w:t>
            </w:r>
          </w:p>
        </w:tc>
        <w:tc>
          <w:tcPr>
            <w:tcW w:w="0" w:type="dxa"/>
            <w:vAlign w:val="bottom"/>
          </w:tcPr>
          <w:p>
            <w:pPr>
              <w:spacing w:after="0"/>
              <w:rPr>
                <w:sz w:val="1"/>
                <w:szCs w:val="1"/>
                <w:color w:val="auto"/>
              </w:rPr>
            </w:pPr>
          </w:p>
        </w:tc>
      </w:tr>
      <w:tr>
        <w:trPr>
          <w:trHeight w:val="206"/>
        </w:trPr>
        <w:tc>
          <w:tcPr>
            <w:tcW w:w="3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16"/>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Months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8,053,449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199,028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(46,589)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8,205,888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152,439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53,728,395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600,519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(638,113)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53,685,189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18,814,784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70,682</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(309,273)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7"/>
              </w:rPr>
              <w:t>18,537,751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(277,033)</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80,596,628</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870,229</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(993,975)</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80,428,828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5,986,588</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10,317</w:t>
            </w:r>
          </w:p>
        </w:tc>
        <w:tc>
          <w:tcPr>
            <w:tcW w:w="1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(241,333)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(70,571)</w:t>
            </w: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5,685,001</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(301,587)</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3,722,797</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691,324</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(13,968)</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(97,468)</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4,302,685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579,888</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9,709,385</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701,641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(255,301)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(168,039)</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9,987,686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278,301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90,306,013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1,571,870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(1,249,276)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(212,093)</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7"/>
              </w:rPr>
              <w:t>90,416,514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110,501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summary of the amortized cost and fair value of the Company’s investments in available-for-sale fixed-maturity securities by contractual maturity as of March 31, 2017 and December 31, 2016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2016</w:t>
            </w:r>
          </w:p>
        </w:tc>
      </w:tr>
      <w:tr>
        <w:trPr>
          <w:trHeight w:val="203"/>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r>
      <w:tr>
        <w:trPr>
          <w:trHeight w:val="216"/>
        </w:trPr>
        <w:tc>
          <w:tcPr>
            <w:tcW w:w="5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Less than one year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1,094,841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1,106,433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1,752,501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1,765,795</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31,745,373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32,254,008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29,541,568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29,913,308</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Five to ten years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42,572,660</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42,468,839</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30,487,775</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30,211,974</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More than 10 years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2,618,323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2,596,480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22,523,039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22,261,595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18,814,784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18,537,751</w:t>
            </w: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1"/>
              </w:rPr>
              <w:t>100,554,236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1"/>
              </w:rPr>
              <w:t>100,687,355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80,596,628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80,428,828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amortized cost and fair value of investments in held-to-maturity fixed-maturity securities as of March 31, 2017 and December 31, 2016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tcPr>
          <w:p>
            <w:pPr>
              <w:ind w:left="860"/>
              <w:spacing w:after="0"/>
              <w:rPr>
                <w:sz w:val="20"/>
                <w:szCs w:val="20"/>
                <w:color w:val="auto"/>
              </w:rPr>
            </w:pPr>
            <w:r>
              <w:rPr>
                <w:rFonts w:ascii="Arial" w:cs="Arial" w:eastAsia="Arial" w:hAnsi="Arial"/>
                <w:sz w:val="15"/>
                <w:szCs w:val="15"/>
                <w:b w:val="1"/>
                <w:bCs w:val="1"/>
                <w:color w:val="auto"/>
              </w:rPr>
              <w:t>March 31, 2017</w:t>
            </w:r>
          </w:p>
        </w:tc>
        <w:tc>
          <w:tcPr>
            <w:tcW w:w="1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331"/>
        </w:trPr>
        <w:tc>
          <w:tcPr>
            <w:tcW w:w="3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87"/>
              </w:rPr>
              <w:t>Cost or</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7"/>
              </w:rPr>
              <w:t>Gross</w:t>
            </w:r>
          </w:p>
        </w:tc>
        <w:tc>
          <w:tcPr>
            <w:tcW w:w="2740" w:type="dxa"/>
            <w:vAlign w:val="bottom"/>
            <w:tcBorders>
              <w:bottom w:val="single" w:sz="8" w:color="auto"/>
            </w:tcBorders>
            <w:gridSpan w:val="2"/>
          </w:tcPr>
          <w:p>
            <w:pPr>
              <w:ind w:left="620"/>
              <w:spacing w:after="0"/>
              <w:rPr>
                <w:sz w:val="20"/>
                <w:szCs w:val="20"/>
                <w:color w:val="auto"/>
              </w:rPr>
            </w:pPr>
            <w:r>
              <w:rPr>
                <w:rFonts w:ascii="Arial" w:cs="Arial" w:eastAsia="Arial" w:hAnsi="Arial"/>
                <w:sz w:val="15"/>
                <w:szCs w:val="15"/>
                <w:b w:val="1"/>
                <w:bCs w:val="1"/>
                <w:color w:val="auto"/>
              </w:rPr>
              <w:t>Gross Unrealized Losses</w:t>
            </w:r>
          </w:p>
        </w:tc>
        <w:tc>
          <w:tcPr>
            <w:tcW w:w="1300" w:type="dxa"/>
            <w:vAlign w:val="bottom"/>
          </w:tcPr>
          <w:p>
            <w:pPr>
              <w:spacing w:after="0"/>
              <w:rPr>
                <w:sz w:val="24"/>
                <w:szCs w:val="24"/>
                <w:color w:val="auto"/>
              </w:rPr>
            </w:pPr>
          </w:p>
        </w:tc>
        <w:tc>
          <w:tcPr>
            <w:tcW w:w="1420" w:type="dxa"/>
            <w:vAlign w:val="bottom"/>
          </w:tcPr>
          <w:p>
            <w:pPr>
              <w:jc w:val="center"/>
              <w:ind w:left="6"/>
              <w:spacing w:after="0"/>
              <w:rPr>
                <w:sz w:val="20"/>
                <w:szCs w:val="20"/>
                <w:color w:val="auto"/>
              </w:rPr>
            </w:pPr>
            <w:r>
              <w:rPr>
                <w:rFonts w:ascii="Arial" w:cs="Arial" w:eastAsia="Arial" w:hAnsi="Arial"/>
                <w:sz w:val="15"/>
                <w:szCs w:val="15"/>
                <w:b w:val="1"/>
                <w:bCs w:val="1"/>
                <w:color w:val="auto"/>
                <w:w w:val="90"/>
              </w:rPr>
              <w:t>Net</w:t>
            </w:r>
          </w:p>
        </w:tc>
      </w:tr>
      <w:tr>
        <w:trPr>
          <w:trHeight w:val="149"/>
        </w:trPr>
        <w:tc>
          <w:tcPr>
            <w:tcW w:w="3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Unrealized</w:t>
            </w: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1300" w:type="dxa"/>
            <w:vAlign w:val="bottom"/>
          </w:tcPr>
          <w:p>
            <w:pPr>
              <w:jc w:val="center"/>
              <w:ind w:left="6"/>
              <w:spacing w:after="0" w:line="149" w:lineRule="exact"/>
              <w:rPr>
                <w:sz w:val="20"/>
                <w:szCs w:val="20"/>
                <w:color w:val="auto"/>
              </w:rPr>
            </w:pPr>
            <w:r>
              <w:rPr>
                <w:rFonts w:ascii="Arial" w:cs="Arial" w:eastAsia="Arial" w:hAnsi="Arial"/>
                <w:sz w:val="15"/>
                <w:szCs w:val="15"/>
                <w:b w:val="1"/>
                <w:bCs w:val="1"/>
                <w:color w:val="auto"/>
                <w:w w:val="94"/>
              </w:rPr>
              <w:t>Fair</w:t>
            </w:r>
          </w:p>
        </w:tc>
        <w:tc>
          <w:tcPr>
            <w:tcW w:w="142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89"/>
              </w:rPr>
              <w:t>Unrealized</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Gains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Months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Months</w:t>
            </w:r>
          </w:p>
        </w:tc>
        <w:tc>
          <w:tcPr>
            <w:tcW w:w="1300" w:type="dxa"/>
            <w:vAlign w:val="bottom"/>
            <w:tcBorders>
              <w:bottom w:val="single" w:sz="8" w:color="auto"/>
            </w:tcBorders>
          </w:tcPr>
          <w:p>
            <w:pPr>
              <w:jc w:val="center"/>
              <w:ind w:left="26"/>
              <w:spacing w:after="0"/>
              <w:rPr>
                <w:sz w:val="20"/>
                <w:szCs w:val="20"/>
                <w:color w:val="auto"/>
              </w:rPr>
            </w:pPr>
            <w:r>
              <w:rPr>
                <w:rFonts w:ascii="Arial" w:cs="Arial" w:eastAsia="Arial" w:hAnsi="Arial"/>
                <w:sz w:val="15"/>
                <w:szCs w:val="15"/>
                <w:b w:val="1"/>
                <w:bCs w:val="1"/>
                <w:color w:val="auto"/>
                <w:w w:val="89"/>
              </w:rPr>
              <w:t>Value</w:t>
            </w:r>
          </w:p>
        </w:tc>
        <w:tc>
          <w:tcPr>
            <w:tcW w:w="1420" w:type="dxa"/>
            <w:vAlign w:val="bottom"/>
            <w:tcBorders>
              <w:bottom w:val="single" w:sz="8" w:color="auto"/>
            </w:tcBorders>
          </w:tcPr>
          <w:p>
            <w:pPr>
              <w:jc w:val="center"/>
              <w:ind w:left="26"/>
              <w:spacing w:after="0"/>
              <w:rPr>
                <w:sz w:val="20"/>
                <w:szCs w:val="20"/>
                <w:color w:val="auto"/>
              </w:rPr>
            </w:pPr>
            <w:r>
              <w:rPr>
                <w:rFonts w:ascii="Arial" w:cs="Arial" w:eastAsia="Arial" w:hAnsi="Arial"/>
                <w:sz w:val="15"/>
                <w:szCs w:val="15"/>
                <w:b w:val="1"/>
                <w:bCs w:val="1"/>
                <w:color w:val="auto"/>
                <w:w w:val="86"/>
              </w:rPr>
              <w:t>Gains</w:t>
            </w:r>
          </w:p>
        </w:tc>
      </w:tr>
      <w:tr>
        <w:trPr>
          <w:trHeight w:val="216"/>
        </w:trPr>
        <w:tc>
          <w:tcPr>
            <w:tcW w:w="3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606,436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147,603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754,039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147,603</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1,149,119</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38,236</w:t>
            </w:r>
          </w:p>
        </w:tc>
        <w:tc>
          <w:tcPr>
            <w:tcW w:w="26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1,185,487</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36,368</w:t>
            </w: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3,139,888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98,656</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(7,065)</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3,219,825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79,937</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4,895,443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284,495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(8,933)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5,159,351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263,908</w:t>
            </w:r>
          </w:p>
        </w:tc>
      </w:tr>
      <w:tr>
        <w:trPr>
          <w:trHeight w:val="406"/>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0"/>
              </w:rPr>
              <w:t>Net</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right"/>
              <w:ind w:right="217"/>
              <w:spacing w:after="0" w:line="149" w:lineRule="exact"/>
              <w:rPr>
                <w:sz w:val="20"/>
                <w:szCs w:val="20"/>
                <w:color w:val="auto"/>
              </w:rPr>
            </w:pPr>
            <w:r>
              <w:rPr>
                <w:rFonts w:ascii="Arial" w:cs="Arial" w:eastAsia="Arial" w:hAnsi="Arial"/>
                <w:sz w:val="15"/>
                <w:szCs w:val="15"/>
                <w:b w:val="1"/>
                <w:bCs w:val="1"/>
                <w:color w:val="auto"/>
                <w:w w:val="90"/>
              </w:rPr>
              <w:t>Less than 12</w:t>
            </w:r>
          </w:p>
        </w:tc>
        <w:tc>
          <w:tcPr>
            <w:tcW w:w="220" w:type="dxa"/>
            <w:vAlign w:val="bottom"/>
          </w:tcPr>
          <w:p>
            <w:pPr>
              <w:spacing w:after="0"/>
              <w:rPr>
                <w:sz w:val="12"/>
                <w:szCs w:val="12"/>
                <w:color w:val="auto"/>
              </w:rPr>
            </w:pPr>
          </w:p>
        </w:tc>
        <w:tc>
          <w:tcPr>
            <w:tcW w:w="1120" w:type="dxa"/>
            <w:vAlign w:val="bottom"/>
          </w:tcPr>
          <w:p>
            <w:pPr>
              <w:jc w:val="right"/>
              <w:ind w:right="155"/>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000" w:type="dxa"/>
            <w:vAlign w:val="bottom"/>
          </w:tcPr>
          <w:p>
            <w:pPr>
              <w:jc w:val="right"/>
              <w:ind w:right="455"/>
              <w:spacing w:after="0" w:line="149" w:lineRule="exact"/>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5"/>
                <w:szCs w:val="15"/>
                <w:b w:val="1"/>
                <w:bCs w:val="1"/>
                <w:color w:val="auto"/>
                <w:w w:val="89"/>
              </w:rPr>
              <w:t>Unrealized</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Months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Months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6"/>
              </w:rPr>
              <w:t>Gains</w:t>
            </w: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606,427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147,612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754,039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147,612</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1,349,916</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37,321</w:t>
            </w:r>
          </w:p>
        </w:tc>
        <w:tc>
          <w:tcPr>
            <w:tcW w:w="260" w:type="dxa"/>
            <w:vAlign w:val="bottom"/>
          </w:tcPr>
          <w:p>
            <w:pPr>
              <w:spacing w:after="0"/>
              <w:rPr>
                <w:sz w:val="18"/>
                <w:szCs w:val="18"/>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1,387,237</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37,321</w:t>
            </w: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3,138,559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72,784</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3,156,843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18,284</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5,094,902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257,717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5,298,119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203,217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5"/>
                <w:szCs w:val="15"/>
                <w:b w:val="1"/>
                <w:bCs w:val="1"/>
                <w:color w:val="auto"/>
                <w:w w:val="88"/>
              </w:rPr>
              <w:t>December 31, 2016</w:t>
            </w:r>
          </w:p>
        </w:tc>
      </w:tr>
      <w:tr>
        <w:trPr>
          <w:trHeight w:val="149"/>
        </w:trPr>
        <w:tc>
          <w:tcPr>
            <w:tcW w:w="1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Arial" w:cs="Arial" w:eastAsia="Arial" w:hAnsi="Arial"/>
                <w:sz w:val="15"/>
                <w:szCs w:val="15"/>
                <w:b w:val="1"/>
                <w:bCs w:val="1"/>
                <w:color w:val="auto"/>
                <w:w w:val="92"/>
              </w:rPr>
              <w:t>Amortized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2"/>
        </w:trPr>
        <w:tc>
          <w:tcPr>
            <w:tcW w:w="60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7"/>
              <w:spacing w:after="0"/>
              <w:rPr>
                <w:sz w:val="20"/>
                <w:szCs w:val="20"/>
                <w:color w:val="auto"/>
              </w:rPr>
            </w:pPr>
            <w:r>
              <w:rPr>
                <w:rFonts w:ascii="Arial" w:cs="Arial" w:eastAsia="Arial" w:hAnsi="Arial"/>
                <w:sz w:val="15"/>
                <w:szCs w:val="15"/>
                <w:b w:val="1"/>
                <w:bCs w:val="1"/>
                <w:color w:val="auto"/>
                <w:w w:val="89"/>
              </w:rPr>
              <w:t>Cost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w w:val="91"/>
              </w:rPr>
              <w:t>Fair Value</w:t>
            </w:r>
          </w:p>
        </w:tc>
      </w:tr>
      <w:tr>
        <w:trPr>
          <w:trHeight w:val="216"/>
        </w:trPr>
        <w:tc>
          <w:tcPr>
            <w:tcW w:w="13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Less than one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641,068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642,455</w:t>
            </w:r>
          </w:p>
        </w:tc>
      </w:tr>
      <w:tr>
        <w:trPr>
          <w:trHeight w:val="216"/>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Five to ten years</w:t>
            </w:r>
          </w:p>
        </w:tc>
        <w:tc>
          <w:tcPr>
            <w:tcW w:w="1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3,639,007</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3,764,244</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3,838,475</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3,901,625</w:t>
            </w:r>
          </w:p>
        </w:tc>
      </w:tr>
      <w:tr>
        <w:trPr>
          <w:trHeight w:val="223"/>
        </w:trPr>
        <w:tc>
          <w:tcPr>
            <w:tcW w:w="5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606,436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606,427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r>
      <w:tr>
        <w:trPr>
          <w:trHeight w:val="216"/>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4,895,443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5,159,351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5,094,902</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5,298,119</w:t>
            </w:r>
          </w:p>
        </w:tc>
      </w:tr>
      <w:tr>
        <w:trPr>
          <w:trHeight w:val="21"/>
        </w:trPr>
        <w:tc>
          <w:tcPr>
            <w:tcW w:w="13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2"/>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Investment Income</w:t>
            </w:r>
          </w:p>
        </w:tc>
        <w:tc>
          <w:tcPr>
            <w:tcW w:w="47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8"/>
        </w:trPr>
        <w:tc>
          <w:tcPr>
            <w:tcW w:w="6080" w:type="dxa"/>
            <w:vAlign w:val="bottom"/>
            <w:gridSpan w:val="3"/>
          </w:tcPr>
          <w:p>
            <w:pPr>
              <w:spacing w:after="0"/>
              <w:rPr>
                <w:sz w:val="20"/>
                <w:szCs w:val="20"/>
                <w:color w:val="auto"/>
              </w:rPr>
            </w:pPr>
            <w:r>
              <w:rPr>
                <w:rFonts w:ascii="Arial" w:cs="Arial" w:eastAsia="Arial" w:hAnsi="Arial"/>
                <w:sz w:val="18"/>
                <w:szCs w:val="18"/>
                <w:color w:val="auto"/>
                <w:w w:val="88"/>
              </w:rPr>
              <w:t>Major categories of the Company’s net investment income are summarized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1"/>
        </w:trPr>
        <w:tc>
          <w:tcPr>
            <w:tcW w:w="1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3"/>
          </w:tcPr>
          <w:p>
            <w:pPr>
              <w:jc w:val="center"/>
              <w:ind w:right="174"/>
              <w:spacing w:after="0"/>
              <w:rPr>
                <w:sz w:val="20"/>
                <w:szCs w:val="20"/>
                <w:color w:val="auto"/>
              </w:rPr>
            </w:pPr>
            <w:r>
              <w:rPr>
                <w:rFonts w:ascii="Arial" w:cs="Arial" w:eastAsia="Arial" w:hAnsi="Arial"/>
                <w:sz w:val="15"/>
                <w:szCs w:val="15"/>
                <w:b w:val="1"/>
                <w:bCs w:val="1"/>
                <w:color w:val="auto"/>
                <w:w w:val="88"/>
              </w:rPr>
              <w:t>Three months ended</w:t>
            </w:r>
          </w:p>
        </w:tc>
      </w:tr>
      <w:tr>
        <w:trPr>
          <w:trHeight w:val="206"/>
        </w:trPr>
        <w:tc>
          <w:tcPr>
            <w:tcW w:w="13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677"/>
              <w:spacing w:after="0"/>
              <w:rPr>
                <w:sz w:val="20"/>
                <w:szCs w:val="20"/>
                <w:color w:val="auto"/>
              </w:rPr>
            </w:pPr>
            <w:r>
              <w:rPr>
                <w:rFonts w:ascii="Arial" w:cs="Arial" w:eastAsia="Arial" w:hAnsi="Arial"/>
                <w:sz w:val="15"/>
                <w:szCs w:val="15"/>
                <w:b w:val="1"/>
                <w:bCs w:val="1"/>
                <w:color w:val="auto"/>
                <w:w w:val="95"/>
              </w:rPr>
              <w:t>March 31,</w:t>
            </w:r>
          </w:p>
        </w:tc>
        <w:tc>
          <w:tcPr>
            <w:tcW w:w="1020" w:type="dxa"/>
            <w:vAlign w:val="bottom"/>
            <w:tcBorders>
              <w:bottom w:val="single" w:sz="8" w:color="auto"/>
            </w:tcBorders>
          </w:tcPr>
          <w:p>
            <w:pPr>
              <w:spacing w:after="0"/>
              <w:rPr>
                <w:sz w:val="17"/>
                <w:szCs w:val="17"/>
                <w:color w:val="auto"/>
              </w:rPr>
            </w:pPr>
          </w:p>
        </w:tc>
      </w:tr>
      <w:tr>
        <w:trPr>
          <w:trHeight w:val="223"/>
        </w:trPr>
        <w:tc>
          <w:tcPr>
            <w:tcW w:w="13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5"/>
                <w:szCs w:val="15"/>
                <w:b w:val="1"/>
                <w:bCs w:val="1"/>
                <w:color w:val="auto"/>
                <w:w w:val="89"/>
              </w:rPr>
              <w:t>2017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2016</w:t>
            </w:r>
          </w:p>
        </w:tc>
      </w:tr>
      <w:tr>
        <w:trPr>
          <w:trHeight w:val="216"/>
        </w:trPr>
        <w:tc>
          <w:tcPr>
            <w:tcW w:w="13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Fixed-maturity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745,453</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664,476</w:t>
            </w:r>
          </w:p>
        </w:tc>
      </w:tr>
      <w:tr>
        <w:trPr>
          <w:trHeight w:val="216"/>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136,485</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175,951</w:t>
            </w:r>
          </w:p>
        </w:tc>
      </w:tr>
      <w:tr>
        <w:trPr>
          <w:trHeight w:val="223"/>
        </w:trPr>
        <w:tc>
          <w:tcPr>
            <w:tcW w:w="60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6,169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6,446</w:t>
            </w:r>
          </w:p>
        </w:tc>
      </w:tr>
      <w:tr>
        <w:trPr>
          <w:trHeight w:val="216"/>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888,107</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846,873</w:t>
            </w:r>
          </w:p>
        </w:tc>
      </w:tr>
      <w:tr>
        <w:trPr>
          <w:trHeight w:val="216"/>
        </w:trPr>
        <w:tc>
          <w:tcPr>
            <w:tcW w:w="60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Investment expenses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30,307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33,816</w:t>
            </w:r>
          </w:p>
        </w:tc>
      </w:tr>
      <w:tr>
        <w:trPr>
          <w:trHeight w:val="257"/>
        </w:trPr>
        <w:tc>
          <w:tcPr>
            <w:tcW w:w="60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857,800</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813,057</w:t>
            </w:r>
          </w:p>
        </w:tc>
      </w:tr>
    </w:tbl>
    <w:p>
      <w:pPr>
        <w:spacing w:after="0" w:line="23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Proceeds from the redemption of fixed-maturity securities held-to-maturity were $200,000 and $-0- for the three months ended March 31, 2017 and 2016, respectively.</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Proceeds from the sale and maturity of fixed-maturity securities available-for-sale were $2,706,202 and $6,401,092 for the three months ended March 31, 2017 and 2016,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available-for-sale were $132,091 and $1,161,501 for the three months ended March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Company’s net realized gains (losses) on investments are summarized as follows:</w:t>
      </w:r>
    </w:p>
    <w:p>
      <w:pPr>
        <w:spacing w:after="0" w:line="274"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jc w:val="both"/>
        <w:ind w:left="9240"/>
        <w:spacing w:after="0"/>
        <w:tabs>
          <w:tab w:leader="none" w:pos="105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Fixed-maturity securities: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realized gains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realized losses (1)</w:t>
      </w: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13,123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106,417</w:t>
            </w:r>
          </w:p>
        </w:tc>
      </w:tr>
      <w:tr>
        <w:trPr>
          <w:trHeight w:val="231"/>
        </w:trPr>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(36,120)</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(105,543)</w:t>
            </w:r>
          </w:p>
        </w:tc>
      </w:tr>
      <w:tr>
        <w:trPr>
          <w:trHeight w:val="223"/>
        </w:trPr>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(22,997)</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874</w:t>
            </w:r>
          </w:p>
        </w:tc>
      </w:tr>
      <w:tr>
        <w:trPr>
          <w:trHeight w:val="646"/>
        </w:trPr>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82,688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-855980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-563880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-272415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980" w:space="720"/>
            <w:col w:w="272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realized losses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(31,509)</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23"/>
        </w:trPr>
        <w:tc>
          <w:tcPr>
            <w:tcW w:w="87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(31,509)</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79,562</w:t>
            </w:r>
          </w:p>
        </w:tc>
      </w:tr>
      <w:tr>
        <w:trPr>
          <w:trHeight w:val="216"/>
        </w:trPr>
        <w:tc>
          <w:tcPr>
            <w:tcW w:w="8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realized (losses) gains</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(54,506)</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80,436</w:t>
            </w:r>
          </w:p>
        </w:tc>
      </w:tr>
      <w:tr>
        <w:trPr>
          <w:trHeight w:val="21"/>
        </w:trPr>
        <w:tc>
          <w:tcPr>
            <w:tcW w:w="8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firstLine="364"/>
        <w:spacing w:after="0" w:line="51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Gross realized losses for the three months ended March 31, 2017 include $747 of loss from the redemption of fixed-maturity securities held-to-maturity. </w:t>
      </w:r>
      <w:r>
        <w:rPr>
          <w:rFonts w:ascii="Arial" w:cs="Arial" w:eastAsia="Arial" w:hAnsi="Arial"/>
          <w:sz w:val="18"/>
          <w:szCs w:val="18"/>
          <w:u w:val="single" w:color="auto"/>
          <w:color w:val="auto"/>
        </w:rPr>
        <w:t>Impairment Review</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March 31, 2017 and December 31, 2016, there were 93 and 85 securities, respectively, that accounted for the gross unrealized loss. As of March 31, 2017, the Company’s held-to-maturity debt securities included an investment in one bond issued by the Commonwealth of Puerto Rico (“PR”). In July 2016, PR defaulted on its interest payment to bondholders. Due to the credit deterioration of PR, the Company recorded a credit loss component of OTTI on this investment as of June 30, 2016. As of December 31, 2016, the full amount of the write-down was recognized as a credit component of OTTI in the amount of $69,911. The Company determined that none of the other unrealized losses were deemed to be OTTI for its portfolio of fixed-maturity investments and equity securities for the three months ended March 31, 2017 and 2016.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color w:val="auto"/>
        </w:rPr>
        <w:t>The Company held securities with unrealized losses representing declines that were considered temporary at March 31, 2017 and December 31, 2016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5"/>
                <w:szCs w:val="15"/>
                <w:b w:val="1"/>
                <w:bCs w:val="1"/>
                <w:color w:val="auto"/>
              </w:rPr>
              <w:t>March 31, 2017</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1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75"/>
              <w:spacing w:after="0" w:line="162" w:lineRule="exact"/>
              <w:rPr>
                <w:sz w:val="20"/>
                <w:szCs w:val="20"/>
                <w:color w:val="auto"/>
              </w:rPr>
            </w:pPr>
            <w:r>
              <w:rPr>
                <w:rFonts w:ascii="Arial" w:cs="Arial" w:eastAsia="Arial" w:hAnsi="Arial"/>
                <w:sz w:val="15"/>
                <w:szCs w:val="15"/>
                <w:b w:val="1"/>
                <w:bCs w:val="1"/>
                <w:color w:val="auto"/>
              </w:rPr>
              <w:t>Less than 12 months</w:t>
            </w: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5"/>
              <w:spacing w:after="0" w:line="162" w:lineRule="exact"/>
              <w:rPr>
                <w:sz w:val="20"/>
                <w:szCs w:val="20"/>
                <w:color w:val="auto"/>
              </w:rPr>
            </w:pPr>
            <w:r>
              <w:rPr>
                <w:rFonts w:ascii="Arial" w:cs="Arial" w:eastAsia="Arial" w:hAnsi="Arial"/>
                <w:sz w:val="15"/>
                <w:szCs w:val="15"/>
                <w:b w:val="1"/>
                <w:bCs w:val="1"/>
                <w:color w:val="auto"/>
                <w:w w:val="88"/>
              </w:rPr>
              <w:t>12 months or more</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80" w:type="dxa"/>
            <w:vAlign w:val="bottom"/>
          </w:tcPr>
          <w:p>
            <w:pPr>
              <w:spacing w:after="0"/>
              <w:rPr>
                <w:sz w:val="12"/>
                <w:szCs w:val="12"/>
                <w:color w:val="auto"/>
              </w:rPr>
            </w:pPr>
          </w:p>
        </w:tc>
        <w:tc>
          <w:tcPr>
            <w:tcW w:w="1140" w:type="dxa"/>
            <w:vAlign w:val="bottom"/>
          </w:tcPr>
          <w:p>
            <w:pPr>
              <w:jc w:val="center"/>
              <w:ind w:right="257"/>
              <w:spacing w:after="0" w:line="149" w:lineRule="exact"/>
              <w:rPr>
                <w:sz w:val="20"/>
                <w:szCs w:val="20"/>
                <w:color w:val="auto"/>
              </w:rPr>
            </w:pPr>
            <w:r>
              <w:rPr>
                <w:rFonts w:ascii="Arial" w:cs="Arial" w:eastAsia="Arial" w:hAnsi="Arial"/>
                <w:sz w:val="15"/>
                <w:szCs w:val="15"/>
                <w:b w:val="1"/>
                <w:bCs w:val="1"/>
                <w:color w:val="auto"/>
                <w:w w:val="86"/>
              </w:rPr>
              <w:t>Aggregate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6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16"/>
              <w:spacing w:after="0" w:line="162" w:lineRule="exact"/>
              <w:rPr>
                <w:sz w:val="20"/>
                <w:szCs w:val="20"/>
                <w:color w:val="auto"/>
              </w:rPr>
            </w:pPr>
            <w:r>
              <w:rPr>
                <w:rFonts w:ascii="Arial" w:cs="Arial" w:eastAsia="Arial" w:hAnsi="Arial"/>
                <w:sz w:val="15"/>
                <w:szCs w:val="15"/>
                <w:b w:val="1"/>
                <w:bCs w:val="1"/>
                <w:color w:val="auto"/>
                <w:w w:val="82"/>
              </w:rPr>
              <w:t>Positions</w:t>
            </w:r>
          </w:p>
        </w:tc>
        <w:tc>
          <w:tcPr>
            <w:tcW w:w="300" w:type="dxa"/>
            <w:vAlign w:val="bottom"/>
          </w:tcPr>
          <w:p>
            <w:pPr>
              <w:spacing w:after="0"/>
              <w:rPr>
                <w:sz w:val="14"/>
                <w:szCs w:val="14"/>
                <w:color w:val="auto"/>
              </w:rPr>
            </w:pPr>
          </w:p>
        </w:tc>
        <w:tc>
          <w:tcPr>
            <w:tcW w:w="7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75"/>
              <w:spacing w:after="0" w:line="162" w:lineRule="exact"/>
              <w:rPr>
                <w:sz w:val="20"/>
                <w:szCs w:val="20"/>
                <w:color w:val="auto"/>
              </w:rPr>
            </w:pPr>
            <w:r>
              <w:rPr>
                <w:rFonts w:ascii="Arial" w:cs="Arial" w:eastAsia="Arial" w:hAnsi="Arial"/>
                <w:sz w:val="15"/>
                <w:szCs w:val="15"/>
                <w:b w:val="1"/>
                <w:bCs w:val="1"/>
                <w:color w:val="auto"/>
                <w:w w:val="89"/>
              </w:rPr>
              <w:t>Unrealized</w:t>
            </w:r>
          </w:p>
        </w:tc>
        <w:tc>
          <w:tcPr>
            <w:tcW w:w="980" w:type="dxa"/>
            <w:vAlign w:val="bottom"/>
          </w:tcPr>
          <w:p>
            <w:pPr>
              <w:jc w:val="center"/>
              <w:ind w:right="76"/>
              <w:spacing w:after="0" w:line="162" w:lineRule="exact"/>
              <w:rPr>
                <w:sz w:val="20"/>
                <w:szCs w:val="20"/>
                <w:color w:val="auto"/>
              </w:rPr>
            </w:pPr>
            <w:r>
              <w:rPr>
                <w:rFonts w:ascii="Arial" w:cs="Arial" w:eastAsia="Arial" w:hAnsi="Arial"/>
                <w:sz w:val="15"/>
                <w:szCs w:val="15"/>
                <w:b w:val="1"/>
                <w:bCs w:val="1"/>
                <w:color w:val="auto"/>
                <w:w w:val="85"/>
              </w:rPr>
              <w:t>Positions</w:t>
            </w:r>
          </w:p>
        </w:tc>
        <w:tc>
          <w:tcPr>
            <w:tcW w:w="280" w:type="dxa"/>
            <w:vAlign w:val="bottom"/>
          </w:tcPr>
          <w:p>
            <w:pPr>
              <w:spacing w:after="0"/>
              <w:rPr>
                <w:sz w:val="14"/>
                <w:szCs w:val="14"/>
                <w:color w:val="auto"/>
              </w:rPr>
            </w:pPr>
          </w:p>
        </w:tc>
        <w:tc>
          <w:tcPr>
            <w:tcW w:w="1140" w:type="dxa"/>
            <w:vAlign w:val="bottom"/>
          </w:tcPr>
          <w:p>
            <w:pPr>
              <w:jc w:val="center"/>
              <w:ind w:right="257"/>
              <w:spacing w:after="0" w:line="162" w:lineRule="exact"/>
              <w:rPr>
                <w:sz w:val="20"/>
                <w:szCs w:val="20"/>
                <w:color w:val="auto"/>
              </w:rPr>
            </w:pPr>
            <w:r>
              <w:rPr>
                <w:rFonts w:ascii="Arial" w:cs="Arial" w:eastAsia="Arial" w:hAnsi="Arial"/>
                <w:sz w:val="15"/>
                <w:szCs w:val="15"/>
                <w:b w:val="1"/>
                <w:bCs w:val="1"/>
                <w:color w:val="auto"/>
              </w:rPr>
              <w:t>Fair</w:t>
            </w:r>
          </w:p>
        </w:tc>
        <w:tc>
          <w:tcPr>
            <w:tcW w:w="14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5"/>
              <w:spacing w:after="0"/>
              <w:rPr>
                <w:sz w:val="20"/>
                <w:szCs w:val="20"/>
                <w:color w:val="auto"/>
              </w:rPr>
            </w:pPr>
            <w:r>
              <w:rPr>
                <w:rFonts w:ascii="Arial" w:cs="Arial" w:eastAsia="Arial" w:hAnsi="Arial"/>
                <w:sz w:val="15"/>
                <w:szCs w:val="15"/>
                <w:b w:val="1"/>
                <w:bCs w:val="1"/>
                <w:color w:val="auto"/>
                <w:w w:val="77"/>
              </w:rPr>
              <w:t>Losses</w:t>
            </w: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5"/>
                <w:szCs w:val="15"/>
                <w:b w:val="1"/>
                <w:bCs w:val="1"/>
                <w:color w:val="auto"/>
                <w:w w:val="89"/>
              </w:rPr>
              <w:t>Value</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2"/>
        </w:trPr>
        <w:tc>
          <w:tcPr>
            <w:tcW w:w="184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Fixed-Maturity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w w:val="99"/>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759,346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(18,8064)</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(18,710)</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1,072,672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26,857,516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(556,753)</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238,393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(7,370)</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9"/>
              </w:rPr>
              <w:t>27,095,909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(564,123)</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and other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1840" w:type="dxa"/>
            <w:vAlign w:val="bottom"/>
          </w:tcPr>
          <w:p>
            <w:pPr>
              <w:ind w:left="60"/>
              <w:spacing w:after="0"/>
              <w:rPr>
                <w:sz w:val="20"/>
                <w:szCs w:val="20"/>
                <w:color w:val="auto"/>
              </w:rPr>
            </w:pPr>
            <w:r>
              <w:rPr>
                <w:rFonts w:ascii="Arial" w:cs="Arial" w:eastAsia="Arial" w:hAnsi="Arial"/>
                <w:sz w:val="18"/>
                <w:szCs w:val="18"/>
                <w:color w:val="auto"/>
                <w:w w:val="94"/>
              </w:rPr>
              <w:t>asset backed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18,537,897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(308,073)</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477,494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(26,361)</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9"/>
              </w:rPr>
              <w:t>19,015,391</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(334,434)</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46,154,759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(883,632)</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1,029,213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(52,441)</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47,183,972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(936,073)</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3,376,750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(120,639)</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(75,322)</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4,032,750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(195,961)</w:t>
            </w: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(67,418)</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291,000</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(67,418)</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3,376,750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(120,639)</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(142,740)</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4,323,750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49,531,509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3"/>
              </w:rPr>
              <w:t>(1,004,271)</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1,976,213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(195,181)</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51,507,722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(1,199,452)</w:t>
            </w:r>
          </w:p>
        </w:tc>
      </w:tr>
      <w:tr>
        <w:trPr>
          <w:trHeight w:val="892"/>
        </w:trPr>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13</w:t>
            </w: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0"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2016</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1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75"/>
              <w:spacing w:after="0" w:line="162" w:lineRule="exact"/>
              <w:rPr>
                <w:sz w:val="20"/>
                <w:szCs w:val="20"/>
                <w:color w:val="auto"/>
              </w:rPr>
            </w:pPr>
            <w:r>
              <w:rPr>
                <w:rFonts w:ascii="Arial" w:cs="Arial" w:eastAsia="Arial" w:hAnsi="Arial"/>
                <w:sz w:val="15"/>
                <w:szCs w:val="15"/>
                <w:b w:val="1"/>
                <w:bCs w:val="1"/>
                <w:color w:val="auto"/>
              </w:rPr>
              <w:t>Less than 12 months</w:t>
            </w: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5"/>
              <w:spacing w:after="0" w:line="162" w:lineRule="exact"/>
              <w:rPr>
                <w:sz w:val="20"/>
                <w:szCs w:val="20"/>
                <w:color w:val="auto"/>
              </w:rPr>
            </w:pPr>
            <w:r>
              <w:rPr>
                <w:rFonts w:ascii="Arial" w:cs="Arial" w:eastAsia="Arial" w:hAnsi="Arial"/>
                <w:sz w:val="15"/>
                <w:szCs w:val="15"/>
                <w:b w:val="1"/>
                <w:bCs w:val="1"/>
                <w:color w:val="auto"/>
                <w:w w:val="88"/>
              </w:rPr>
              <w:t>12 months or more</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80" w:type="dxa"/>
            <w:vAlign w:val="bottom"/>
          </w:tcPr>
          <w:p>
            <w:pPr>
              <w:spacing w:after="0"/>
              <w:rPr>
                <w:sz w:val="12"/>
                <w:szCs w:val="12"/>
                <w:color w:val="auto"/>
              </w:rPr>
            </w:pPr>
          </w:p>
        </w:tc>
        <w:tc>
          <w:tcPr>
            <w:tcW w:w="1140" w:type="dxa"/>
            <w:vAlign w:val="bottom"/>
          </w:tcPr>
          <w:p>
            <w:pPr>
              <w:jc w:val="center"/>
              <w:ind w:right="257"/>
              <w:spacing w:after="0" w:line="149" w:lineRule="exact"/>
              <w:rPr>
                <w:sz w:val="20"/>
                <w:szCs w:val="20"/>
                <w:color w:val="auto"/>
              </w:rPr>
            </w:pPr>
            <w:r>
              <w:rPr>
                <w:rFonts w:ascii="Arial" w:cs="Arial" w:eastAsia="Arial" w:hAnsi="Arial"/>
                <w:sz w:val="15"/>
                <w:szCs w:val="15"/>
                <w:b w:val="1"/>
                <w:bCs w:val="1"/>
                <w:color w:val="auto"/>
                <w:w w:val="86"/>
              </w:rPr>
              <w:t>Aggregate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6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16"/>
              <w:spacing w:after="0" w:line="162" w:lineRule="exact"/>
              <w:rPr>
                <w:sz w:val="20"/>
                <w:szCs w:val="20"/>
                <w:color w:val="auto"/>
              </w:rPr>
            </w:pPr>
            <w:r>
              <w:rPr>
                <w:rFonts w:ascii="Arial" w:cs="Arial" w:eastAsia="Arial" w:hAnsi="Arial"/>
                <w:sz w:val="15"/>
                <w:szCs w:val="15"/>
                <w:b w:val="1"/>
                <w:bCs w:val="1"/>
                <w:color w:val="auto"/>
                <w:w w:val="82"/>
              </w:rPr>
              <w:t>Positions</w:t>
            </w:r>
          </w:p>
        </w:tc>
        <w:tc>
          <w:tcPr>
            <w:tcW w:w="300" w:type="dxa"/>
            <w:vAlign w:val="bottom"/>
          </w:tcPr>
          <w:p>
            <w:pPr>
              <w:spacing w:after="0"/>
              <w:rPr>
                <w:sz w:val="14"/>
                <w:szCs w:val="14"/>
                <w:color w:val="auto"/>
              </w:rPr>
            </w:pPr>
          </w:p>
        </w:tc>
        <w:tc>
          <w:tcPr>
            <w:tcW w:w="7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75"/>
              <w:spacing w:after="0" w:line="162" w:lineRule="exact"/>
              <w:rPr>
                <w:sz w:val="20"/>
                <w:szCs w:val="20"/>
                <w:color w:val="auto"/>
              </w:rPr>
            </w:pPr>
            <w:r>
              <w:rPr>
                <w:rFonts w:ascii="Arial" w:cs="Arial" w:eastAsia="Arial" w:hAnsi="Arial"/>
                <w:sz w:val="15"/>
                <w:szCs w:val="15"/>
                <w:b w:val="1"/>
                <w:bCs w:val="1"/>
                <w:color w:val="auto"/>
                <w:w w:val="89"/>
              </w:rPr>
              <w:t>Unrealized</w:t>
            </w:r>
          </w:p>
        </w:tc>
        <w:tc>
          <w:tcPr>
            <w:tcW w:w="980" w:type="dxa"/>
            <w:vAlign w:val="bottom"/>
          </w:tcPr>
          <w:p>
            <w:pPr>
              <w:jc w:val="center"/>
              <w:ind w:right="76"/>
              <w:spacing w:after="0" w:line="162" w:lineRule="exact"/>
              <w:rPr>
                <w:sz w:val="20"/>
                <w:szCs w:val="20"/>
                <w:color w:val="auto"/>
              </w:rPr>
            </w:pPr>
            <w:r>
              <w:rPr>
                <w:rFonts w:ascii="Arial" w:cs="Arial" w:eastAsia="Arial" w:hAnsi="Arial"/>
                <w:sz w:val="15"/>
                <w:szCs w:val="15"/>
                <w:b w:val="1"/>
                <w:bCs w:val="1"/>
                <w:color w:val="auto"/>
                <w:w w:val="85"/>
              </w:rPr>
              <w:t>Positions</w:t>
            </w:r>
          </w:p>
        </w:tc>
        <w:tc>
          <w:tcPr>
            <w:tcW w:w="280" w:type="dxa"/>
            <w:vAlign w:val="bottom"/>
          </w:tcPr>
          <w:p>
            <w:pPr>
              <w:spacing w:after="0"/>
              <w:rPr>
                <w:sz w:val="14"/>
                <w:szCs w:val="14"/>
                <w:color w:val="auto"/>
              </w:rPr>
            </w:pPr>
          </w:p>
        </w:tc>
        <w:tc>
          <w:tcPr>
            <w:tcW w:w="1140" w:type="dxa"/>
            <w:vAlign w:val="bottom"/>
          </w:tcPr>
          <w:p>
            <w:pPr>
              <w:jc w:val="center"/>
              <w:ind w:right="257"/>
              <w:spacing w:after="0" w:line="162" w:lineRule="exact"/>
              <w:rPr>
                <w:sz w:val="20"/>
                <w:szCs w:val="20"/>
                <w:color w:val="auto"/>
              </w:rPr>
            </w:pPr>
            <w:r>
              <w:rPr>
                <w:rFonts w:ascii="Arial" w:cs="Arial" w:eastAsia="Arial" w:hAnsi="Arial"/>
                <w:sz w:val="15"/>
                <w:szCs w:val="15"/>
                <w:b w:val="1"/>
                <w:bCs w:val="1"/>
                <w:color w:val="auto"/>
              </w:rPr>
              <w:t>Fair</w:t>
            </w:r>
          </w:p>
        </w:tc>
        <w:tc>
          <w:tcPr>
            <w:tcW w:w="14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5"/>
              <w:spacing w:after="0"/>
              <w:rPr>
                <w:sz w:val="20"/>
                <w:szCs w:val="20"/>
                <w:color w:val="auto"/>
              </w:rPr>
            </w:pPr>
            <w:r>
              <w:rPr>
                <w:rFonts w:ascii="Arial" w:cs="Arial" w:eastAsia="Arial" w:hAnsi="Arial"/>
                <w:sz w:val="15"/>
                <w:szCs w:val="15"/>
                <w:b w:val="1"/>
                <w:bCs w:val="1"/>
                <w:color w:val="auto"/>
                <w:w w:val="77"/>
              </w:rPr>
              <w:t>Losses</w:t>
            </w: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5"/>
                <w:szCs w:val="15"/>
                <w:b w:val="1"/>
                <w:bCs w:val="1"/>
                <w:color w:val="auto"/>
                <w:w w:val="89"/>
              </w:rPr>
              <w:t>Value</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2"/>
        </w:trPr>
        <w:tc>
          <w:tcPr>
            <w:tcW w:w="184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Fixed-Maturity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w w:val="99"/>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1,067,574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(46,589)</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1,067,574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19,859,293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(638,113)</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(5,612)</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9"/>
              </w:rPr>
              <w:t>20,099,263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(643,725)</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184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15,918,090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(309,273)</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(38,442)</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9"/>
              </w:rPr>
              <w:t>16,593,406</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(347,715)</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36,844,957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(993,975)</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(44,054)</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37,760,243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(1,038,029)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3,759,850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(241,333)</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660,750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(70,571)</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4,420,600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(311,904)</w:t>
            </w: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288,075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(13,968)</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424,550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(97,468)</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712,625</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(111,436)</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4,047,925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(255,301)</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1,085,300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(168,039)</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5,133,225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(423,340)</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40,892,882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3"/>
              </w:rPr>
              <w:t>(1,249,276)</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2,000,586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(212,093)</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42,893,468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(1,461,369)</w:t>
            </w:r>
          </w:p>
        </w:tc>
      </w:tr>
      <w:tr>
        <w:trPr>
          <w:trHeight w:val="892"/>
        </w:trPr>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14</w:t>
            </w: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8"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2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investments are allocated among pricing input levels at March 31, 2017 and December 31, 2016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5"/>
                <w:szCs w:val="15"/>
                <w:b w:val="1"/>
                <w:bCs w:val="1"/>
                <w:color w:val="auto"/>
              </w:rPr>
              <w:t>March 31, 2017</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9"/>
        </w:trPr>
        <w:tc>
          <w:tcPr>
            <w:tcW w:w="5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7,758,804</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7,758,804</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65,841,558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4,825,398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70,666,956</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22,261,595</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22,261,595</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fixed maturities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65,841,558</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w w:val="97"/>
              </w:rPr>
              <w:t>34,845,797</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100,687,355</w:t>
            </w: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10,102,495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10,102,495</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75,944,053</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34,845,797</w:t>
            </w:r>
          </w:p>
        </w:tc>
        <w:tc>
          <w:tcPr>
            <w:tcW w:w="10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110,789,850</w:t>
            </w: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9"/>
        </w:trPr>
        <w:tc>
          <w:tcPr>
            <w:tcW w:w="5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5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8,205,888</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8,205,888</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48,356,317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5,328,872</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53,685,189</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18,537,751</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18,537,751</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fixed maturities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48,356,317</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w w:val="97"/>
              </w:rPr>
              <w:t>32,072,511</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80,428,828</w:t>
            </w: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9,987,686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9,987,686</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58,344,003</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32,072,511</w:t>
            </w:r>
          </w:p>
        </w:tc>
        <w:tc>
          <w:tcPr>
            <w:tcW w:w="10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90,416,514</w:t>
            </w: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its fair value disclosures for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Equity securities and fixed income securities available-for-sale: </w:t>
      </w:r>
      <w:r>
        <w:rPr>
          <w:rFonts w:ascii="Arial" w:cs="Arial" w:eastAsia="Arial" w:hAnsi="Arial"/>
          <w:sz w:val="16"/>
          <w:szCs w:val="16"/>
          <w:color w:val="auto"/>
        </w:rPr>
        <w:t>Fair value is based on quoted market prices from a recognized pricing service.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8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Premiums receivable and reinsurance receivables: </w:t>
      </w:r>
      <w:r>
        <w:rPr>
          <w:rFonts w:ascii="Arial" w:cs="Arial" w:eastAsia="Arial" w:hAnsi="Arial"/>
          <w:sz w:val="18"/>
          <w:szCs w:val="18"/>
          <w:color w:val="auto"/>
        </w:rPr>
        <w:t>The carrying values reported in the accompanying condensed consolidated balance sheets for these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approximate their fair values due to the short-term nature of the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fair value of the land and building included in property and equipment, which is used in the Company’s operations, approximates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fair value was based on an appraisal prepared using the sales comparison approach and income approach, and accordingly the real estate is a Level 3 asset under the fair value hierarchy.</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Reinsurance balances payable: </w:t>
      </w:r>
      <w:r>
        <w:rPr>
          <w:rFonts w:ascii="Arial" w:cs="Arial" w:eastAsia="Arial" w:hAnsi="Arial"/>
          <w:sz w:val="18"/>
          <w:szCs w:val="18"/>
          <w:color w:val="auto"/>
        </w:rPr>
        <w:t>The carrying value reported in the condensed consolidated balance sheets for these financial instruments approximates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as of March 31, 2017 and December 31, 2016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2017</w:t>
            </w: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13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Fixed-maturity securities held-to-maturity</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4,895,443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5,159,351</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5,094,902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5,298,119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23,235,655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23,235,655</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12,044,520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12,044,520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Premiums receivable</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11,728,443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11,728,443</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11,649,398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11,649,398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Reinsurance receivables</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33,502,642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33,502,642</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32,197,765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32,197,765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Real estate, net of accumulated depreciation</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1,715,486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1,925,000</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1,659,405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Reinsurance balances payable</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2,108,447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2,108,447</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2,146,017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2,146,017</w:t>
            </w:r>
          </w:p>
        </w:tc>
        <w:tc>
          <w:tcPr>
            <w:tcW w:w="0" w:type="dxa"/>
            <w:vAlign w:val="bottom"/>
          </w:tcPr>
          <w:p>
            <w:pPr>
              <w:spacing w:after="0"/>
              <w:rPr>
                <w:sz w:val="1"/>
                <w:szCs w:val="1"/>
                <w:color w:val="auto"/>
              </w:rPr>
            </w:pPr>
          </w:p>
        </w:tc>
      </w:tr>
      <w:tr>
        <w:trPr>
          <w:trHeight w:val="457"/>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96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96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Assumed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Premiums written</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26,125,467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4,428</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(9,395,590)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16,734,305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Change in unearned premiums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(330,903)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2,981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(36,635)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earned</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7"/>
              </w:rPr>
              <w:t>25,794,564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7,409</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(9,432,225)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16,369,748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Premiums written</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23,043,325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5,078</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(8,386,528)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14,661,875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Change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(126,428)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3,571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(7,343)</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7"/>
              </w:rPr>
              <w:t>22,916,897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8,649</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(8,393,871)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14,531,675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March 31, 2017 and December 31, 2016 was approximately $1,965,000 and $1,422,000,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loss adjustment expense (“LAE”) reserves: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613"/>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8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100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2016</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w w:val="99"/>
              </w:rPr>
              <w:t>41,736,719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39,876,500</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4"/>
              </w:rPr>
              <w:t>(15,776,880)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(16,706,364)</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Net balance,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25,959,839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3"/>
              </w:rPr>
              <w:t>23,170,136</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8,297,582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9,903,094</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(4,586)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(419,239)</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8,292,996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9,483,855</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Paid related to:</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2,269,894</w:t>
            </w:r>
          </w:p>
        </w:tc>
        <w:tc>
          <w:tcPr>
            <w:tcW w:w="3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3,006,210</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4,090,766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3,421,820</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Total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6,360,660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6,428,030</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balance at end of period</w:t>
            </w:r>
          </w:p>
        </w:tc>
        <w:tc>
          <w:tcPr>
            <w:tcW w:w="30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w w:val="99"/>
              </w:rPr>
              <w:t>27,892,175</w:t>
            </w:r>
          </w:p>
        </w:tc>
        <w:tc>
          <w:tcPr>
            <w:tcW w:w="3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26,225,961</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16,719,411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19,804,804</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44,611,586</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3"/>
              </w:rPr>
              <w:t>46,030,765</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Incurred losses and LAE are net of reinsurance recoveries under reinsurance contracts of $4,233,804 and $4,313,667 for the three months ended March 31, 2017 and 2016, respectively.</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three months ended March 31, 2017 and 2016 was $(4,586) favorable and $(419,239) favorable, respectively. The Company’s management continually monitors claims activity to assess the appropriateness of carried case and incurred but not reported (“IBNR”) reserves, giving consideration to Company and industry trends.</w:t>
      </w:r>
    </w:p>
    <w:p>
      <w:pPr>
        <w:spacing w:after="0" w:line="224"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81" w:lineRule="exact"/>
        <w:rPr>
          <w:sz w:val="20"/>
          <w:szCs w:val="20"/>
          <w:color w:val="auto"/>
        </w:rPr>
      </w:pPr>
    </w:p>
    <w:p>
      <w:pPr>
        <w:ind w:left="660" w:right="560"/>
        <w:spacing w:after="0" w:line="268"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213" w:lineRule="exact"/>
        <w:rPr>
          <w:sz w:val="20"/>
          <w:szCs w:val="20"/>
          <w:color w:val="auto"/>
        </w:rPr>
      </w:pPr>
    </w:p>
    <w:p>
      <w:pPr>
        <w:ind w:left="660" w:right="480"/>
        <w:spacing w:after="0" w:line="268"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left="660" w:right="32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94" w:lineRule="exact"/>
        <w:rPr>
          <w:sz w:val="20"/>
          <w:szCs w:val="20"/>
          <w:color w:val="auto"/>
        </w:rPr>
      </w:pPr>
    </w:p>
    <w:p>
      <w:pPr>
        <w:ind w:left="660" w:right="4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2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2014 and prior is limited although there remains the possibility of adverse development on reported claims (‘case development’ IBNR).</w:t>
      </w:r>
    </w:p>
    <w:p>
      <w:pPr>
        <w:spacing w:after="0" w:line="221"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following is information about incurred and paid claims development as of March 31, 2017, net of reinsurance, as well as the cumulative reported claims by accident year and total IBNR reserves as of March 31, 2017 included in the net incurred loss and allocated expense amounts. The historical information regarding incurred and paid claims development for the years ended December 31, 2008 to December 31, 2015 is presented as supplementary unaudited information.</w:t>
      </w:r>
    </w:p>
    <w:p>
      <w:pPr>
        <w:spacing w:after="0" w:line="16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tbl>
      <w:tblPr>
        <w:tblLayout w:type="fixed"/>
        <w:tblInd w:w="0" w:type="dxa"/>
        <w:tblCellMar>
          <w:top w:w="0" w:type="dxa"/>
          <w:left w:w="0" w:type="dxa"/>
          <w:bottom w:w="0" w:type="dxa"/>
          <w:right w:w="0" w:type="dxa"/>
        </w:tblCellMar>
      </w:tblPr>
      <w:tr>
        <w:trPr>
          <w:trHeight w:val="160"/>
        </w:trPr>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3"/>
          </w:tcPr>
          <w:p>
            <w:pPr>
              <w:jc w:val="center"/>
              <w:ind w:right="280"/>
              <w:spacing w:after="0" w:line="160" w:lineRule="exact"/>
              <w:rPr>
                <w:sz w:val="20"/>
                <w:szCs w:val="20"/>
                <w:color w:val="auto"/>
              </w:rPr>
            </w:pPr>
            <w:r>
              <w:rPr>
                <w:rFonts w:ascii="Arial" w:cs="Arial" w:eastAsia="Arial" w:hAnsi="Arial"/>
                <w:sz w:val="15"/>
                <w:szCs w:val="15"/>
                <w:b w:val="1"/>
                <w:bCs w:val="1"/>
                <w:color w:val="auto"/>
                <w:w w:val="90"/>
              </w:rPr>
              <w:t>As of</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60" w:type="dxa"/>
            <w:vAlign w:val="bottom"/>
            <w:gridSpan w:val="11"/>
          </w:tcPr>
          <w:p>
            <w:pPr>
              <w:jc w:val="right"/>
              <w:spacing w:after="0"/>
              <w:rPr>
                <w:sz w:val="20"/>
                <w:szCs w:val="20"/>
                <w:color w:val="auto"/>
              </w:rPr>
            </w:pPr>
            <w:r>
              <w:rPr>
                <w:rFonts w:ascii="Arial" w:cs="Arial" w:eastAsia="Arial" w:hAnsi="Arial"/>
                <w:sz w:val="15"/>
                <w:szCs w:val="15"/>
                <w:b w:val="1"/>
                <w:bCs w:val="1"/>
                <w:color w:val="auto"/>
                <w:w w:val="89"/>
              </w:rPr>
              <w:t>Incurred Claims and Allocated Claim Adjustment Expenses, Net of Reinsurance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1"/>
              </w:rPr>
              <w:t>March 31, 2017</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1"/>
              </w:rPr>
              <w:t>Cumulative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3"/>
              </w:rPr>
              <w:t>Number of</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Reported</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120"/>
              <w:spacing w:after="0" w:line="162" w:lineRule="exact"/>
              <w:rPr>
                <w:sz w:val="20"/>
                <w:szCs w:val="20"/>
                <w:color w:val="auto"/>
              </w:rPr>
            </w:pPr>
            <w:r>
              <w:rPr>
                <w:rFonts w:ascii="Arial" w:cs="Arial" w:eastAsia="Arial" w:hAnsi="Arial"/>
                <w:sz w:val="15"/>
                <w:szCs w:val="15"/>
                <w:b w:val="1"/>
                <w:bCs w:val="1"/>
                <w:color w:val="auto"/>
              </w:rPr>
              <w:t>Three Months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Claims by</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Ended March</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8"/>
              </w:rPr>
              <w:t>Accident</w:t>
            </w:r>
          </w:p>
        </w:tc>
        <w:tc>
          <w:tcPr>
            <w:tcW w:w="0" w:type="dxa"/>
            <w:vAlign w:val="bottom"/>
          </w:tcPr>
          <w:p>
            <w:pPr>
              <w:spacing w:after="0"/>
              <w:rPr>
                <w:sz w:val="1"/>
                <w:szCs w:val="1"/>
                <w:color w:val="auto"/>
              </w:rPr>
            </w:pPr>
          </w:p>
        </w:tc>
      </w:tr>
      <w:tr>
        <w:trPr>
          <w:trHeight w:val="182"/>
        </w:trPr>
        <w:tc>
          <w:tcPr>
            <w:tcW w:w="5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Accident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134"/>
              <w:spacing w:after="0"/>
              <w:rPr>
                <w:sz w:val="20"/>
                <w:szCs w:val="20"/>
                <w:color w:val="auto"/>
              </w:rPr>
            </w:pPr>
            <w:r>
              <w:rPr>
                <w:rFonts w:ascii="Arial" w:cs="Arial" w:eastAsia="Arial" w:hAnsi="Arial"/>
                <w:sz w:val="15"/>
                <w:szCs w:val="15"/>
                <w:b w:val="1"/>
                <w:bCs w:val="1"/>
                <w:color w:val="auto"/>
                <w:w w:val="89"/>
              </w:rPr>
              <w:t>For the Years Ended December 31,</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94"/>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5"/>
                <w:szCs w:val="15"/>
                <w:b w:val="1"/>
                <w:bCs w:val="1"/>
                <w:color w:val="auto"/>
              </w:rPr>
              <w:t>IBNR</w:t>
            </w: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Year</w:t>
            </w: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Year</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w w:val="95"/>
              </w:rPr>
              <w:t>2009</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2010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2011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2013</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2015</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5"/>
                <w:szCs w:val="15"/>
                <w:b w:val="1"/>
                <w:bCs w:val="1"/>
                <w:color w:val="auto"/>
              </w:rPr>
              <w:t>2016</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5"/>
                <w:szCs w:val="15"/>
                <w:b w:val="1"/>
                <w:bCs w:val="1"/>
                <w:color w:val="auto"/>
                <w:w w:val="97"/>
              </w:rPr>
              <w:t>(Unaudited 2008 - 2015)</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4,254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4,287</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4,384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4,609</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4,616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4,667</w:t>
            </w:r>
          </w:p>
        </w:tc>
        <w:tc>
          <w:tcPr>
            <w:tcW w:w="3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4,669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5,598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6,429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6,853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7,603</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7,678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9,440</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9,198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9,066</w:t>
            </w:r>
          </w:p>
        </w:tc>
        <w:tc>
          <w:tcPr>
            <w:tcW w:w="3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9,127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9,539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10,382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10,653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10,728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9,745</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9,424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9,621</w:t>
            </w:r>
          </w:p>
        </w:tc>
        <w:tc>
          <w:tcPr>
            <w:tcW w:w="3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9,513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14,260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14,359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22,340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21,994</w:t>
            </w:r>
          </w:p>
        </w:tc>
        <w:tc>
          <w:tcPr>
            <w:tcW w:w="3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21,675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2,048</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26,153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7,718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3,174</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w w:val="97"/>
              </w:rPr>
              <w:t>Total</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114,736</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8"/>
          </w:tcPr>
          <w:p>
            <w:pPr>
              <w:ind w:left="20"/>
              <w:spacing w:after="0"/>
              <w:rPr>
                <w:sz w:val="20"/>
                <w:szCs w:val="20"/>
                <w:color w:val="auto"/>
              </w:rPr>
            </w:pPr>
            <w:r>
              <w:rPr>
                <w:rFonts w:ascii="Arial" w:cs="Arial" w:eastAsia="Arial" w:hAnsi="Arial"/>
                <w:sz w:val="15"/>
                <w:szCs w:val="15"/>
                <w:b w:val="1"/>
                <w:bCs w:val="1"/>
                <w:color w:val="auto"/>
                <w:w w:val="89"/>
              </w:rPr>
              <w:t>Cumulative Paid Claims and Allocated Claim Adjustment Expenses, Net of Reinsurance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35"/>
              <w:spacing w:after="0" w:line="149" w:lineRule="exact"/>
              <w:rPr>
                <w:sz w:val="20"/>
                <w:szCs w:val="20"/>
                <w:color w:val="auto"/>
              </w:rPr>
            </w:pPr>
            <w:r>
              <w:rPr>
                <w:rFonts w:ascii="Arial" w:cs="Arial" w:eastAsia="Arial" w:hAnsi="Arial"/>
                <w:sz w:val="15"/>
                <w:szCs w:val="15"/>
                <w:b w:val="1"/>
                <w:bCs w:val="1"/>
                <w:color w:val="auto"/>
                <w:w w:val="92"/>
              </w:rPr>
              <w:t>Three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115"/>
              <w:spacing w:after="0" w:line="162" w:lineRule="exact"/>
              <w:rPr>
                <w:sz w:val="20"/>
                <w:szCs w:val="20"/>
                <w:color w:val="auto"/>
              </w:rPr>
            </w:pPr>
            <w:r>
              <w:rPr>
                <w:rFonts w:ascii="Arial" w:cs="Arial" w:eastAsia="Arial" w:hAnsi="Arial"/>
                <w:sz w:val="15"/>
                <w:szCs w:val="15"/>
                <w:b w:val="1"/>
                <w:bCs w:val="1"/>
                <w:color w:val="auto"/>
                <w:w w:val="89"/>
              </w:rPr>
              <w:t>Months</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115"/>
              <w:spacing w:after="0" w:line="162" w:lineRule="exact"/>
              <w:rPr>
                <w:sz w:val="20"/>
                <w:szCs w:val="20"/>
                <w:color w:val="auto"/>
              </w:rPr>
            </w:pPr>
            <w:r>
              <w:rPr>
                <w:rFonts w:ascii="Arial" w:cs="Arial" w:eastAsia="Arial" w:hAnsi="Arial"/>
                <w:sz w:val="15"/>
                <w:szCs w:val="15"/>
                <w:b w:val="1"/>
                <w:bCs w:val="1"/>
                <w:color w:val="auto"/>
                <w:w w:val="87"/>
              </w:rPr>
              <w:t>Ended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Accident</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5"/>
                <w:szCs w:val="15"/>
                <w:b w:val="1"/>
                <w:bCs w:val="1"/>
                <w:color w:val="auto"/>
              </w:rPr>
              <w:t>For the Years Ended December 31,</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March 31,</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Year</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w w:val="95"/>
              </w:rPr>
              <w:t>2008</w:t>
            </w: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2009</w:t>
            </w: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2010</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2011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2012</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2013</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2014</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5"/>
                <w:szCs w:val="15"/>
                <w:b w:val="1"/>
                <w:bCs w:val="1"/>
                <w:color w:val="auto"/>
              </w:rPr>
              <w:t>2016</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89"/>
              </w:rPr>
              <w:t>2017</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gridSpan w:val="3"/>
            <w:shd w:val="clear" w:color="auto" w:fill="CCEEFF"/>
          </w:tcPr>
          <w:p>
            <w:pPr>
              <w:jc w:val="right"/>
              <w:ind w:right="54"/>
              <w:spacing w:after="0" w:line="162" w:lineRule="exact"/>
              <w:rPr>
                <w:sz w:val="20"/>
                <w:szCs w:val="20"/>
                <w:color w:val="auto"/>
              </w:rPr>
            </w:pPr>
            <w:r>
              <w:rPr>
                <w:rFonts w:ascii="Arial" w:cs="Arial" w:eastAsia="Arial" w:hAnsi="Arial"/>
                <w:sz w:val="15"/>
                <w:szCs w:val="15"/>
                <w:b w:val="1"/>
                <w:bCs w:val="1"/>
                <w:color w:val="auto"/>
                <w:w w:val="97"/>
              </w:rPr>
              <w:t>(Unaudited 2008 - 2015)</w:t>
            </w:r>
          </w:p>
        </w:tc>
        <w:tc>
          <w:tcPr>
            <w:tcW w:w="9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w w:val="95"/>
              </w:rPr>
              <w:t>(Unaudited)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3,346</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3,730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4,029</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4,028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4,031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2,298</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3,068</w:t>
            </w:r>
          </w:p>
        </w:tc>
        <w:tc>
          <w:tcPr>
            <w:tcW w:w="900" w:type="dxa"/>
            <w:vAlign w:val="bottom"/>
          </w:tcPr>
          <w:p>
            <w:pPr>
              <w:jc w:val="right"/>
              <w:spacing w:after="0"/>
              <w:rPr>
                <w:sz w:val="20"/>
                <w:szCs w:val="20"/>
                <w:color w:val="auto"/>
              </w:rPr>
            </w:pPr>
            <w:r>
              <w:rPr>
                <w:rFonts w:ascii="Arial" w:cs="Arial" w:eastAsia="Arial" w:hAnsi="Arial"/>
                <w:sz w:val="18"/>
                <w:szCs w:val="18"/>
                <w:color w:val="auto"/>
              </w:rPr>
              <w:t>3,607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3,920</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4,134</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4,362</w:t>
            </w:r>
          </w:p>
        </w:tc>
        <w:tc>
          <w:tcPr>
            <w:tcW w:w="900" w:type="dxa"/>
            <w:vAlign w:val="bottom"/>
          </w:tcPr>
          <w:p>
            <w:pPr>
              <w:jc w:val="right"/>
              <w:spacing w:after="0"/>
              <w:rPr>
                <w:sz w:val="20"/>
                <w:szCs w:val="20"/>
                <w:color w:val="auto"/>
              </w:rPr>
            </w:pPr>
            <w:r>
              <w:rPr>
                <w:rFonts w:ascii="Arial" w:cs="Arial" w:eastAsia="Arial" w:hAnsi="Arial"/>
                <w:sz w:val="18"/>
                <w:szCs w:val="18"/>
                <w:color w:val="auto"/>
              </w:rPr>
              <w:t>4,424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4,470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5,602</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6,742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5,117</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6,228</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7,170</w:t>
            </w:r>
          </w:p>
        </w:tc>
        <w:tc>
          <w:tcPr>
            <w:tcW w:w="900" w:type="dxa"/>
            <w:vAlign w:val="bottom"/>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8,554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5,770</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3,405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5,303</w:t>
            </w:r>
          </w:p>
        </w:tc>
        <w:tc>
          <w:tcPr>
            <w:tcW w:w="900" w:type="dxa"/>
            <w:vAlign w:val="bottom"/>
          </w:tcPr>
          <w:p>
            <w:pPr>
              <w:jc w:val="right"/>
              <w:spacing w:after="0"/>
              <w:rPr>
                <w:sz w:val="20"/>
                <w:szCs w:val="20"/>
                <w:color w:val="auto"/>
              </w:rPr>
            </w:pPr>
            <w:r>
              <w:rPr>
                <w:rFonts w:ascii="Arial" w:cs="Arial" w:eastAsia="Arial" w:hAnsi="Arial"/>
                <w:sz w:val="18"/>
                <w:szCs w:val="18"/>
                <w:color w:val="auto"/>
              </w:rPr>
              <w:t>6,633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7,743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10,905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16,809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17,814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2,114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88,658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gridSpan w:val="8"/>
          </w:tcPr>
          <w:p>
            <w:pPr>
              <w:spacing w:after="0"/>
              <w:rPr>
                <w:sz w:val="18"/>
                <w:szCs w:val="18"/>
                <w:color w:val="auto"/>
              </w:rPr>
            </w:pPr>
          </w:p>
        </w:tc>
        <w:tc>
          <w:tcPr>
            <w:tcW w:w="900" w:type="dxa"/>
            <w:vAlign w:val="bottom"/>
            <w:tcBorders>
              <w:top w:val="single" w:sz="8" w:color="CCEEFF"/>
            </w:tcBorders>
            <w:gridSpan w:val="3"/>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320" w:type="dxa"/>
            <w:vAlign w:val="bottom"/>
            <w:gridSpan w:val="12"/>
            <w:shd w:val="clear" w:color="auto" w:fill="CCEEFF"/>
          </w:tcPr>
          <w:p>
            <w:pPr>
              <w:jc w:val="right"/>
              <w:ind w:right="60"/>
              <w:spacing w:after="0"/>
              <w:rPr>
                <w:sz w:val="20"/>
                <w:szCs w:val="20"/>
                <w:color w:val="auto"/>
              </w:rPr>
            </w:pPr>
            <w:r>
              <w:rPr>
                <w:rFonts w:ascii="Arial" w:cs="Arial" w:eastAsia="Arial" w:hAnsi="Arial"/>
                <w:sz w:val="18"/>
                <w:szCs w:val="18"/>
                <w:color w:val="auto"/>
                <w:w w:val="88"/>
              </w:rPr>
              <w:t>Net liability for unpaid claim and allocated claim adjustment expenses for the accident years presented</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26,079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80" w:type="dxa"/>
            <w:vAlign w:val="bottom"/>
            <w:gridSpan w:val="7"/>
          </w:tcPr>
          <w:p>
            <w:pPr>
              <w:jc w:val="right"/>
              <w:spacing w:after="0"/>
              <w:rPr>
                <w:sz w:val="20"/>
                <w:szCs w:val="20"/>
                <w:color w:val="auto"/>
              </w:rPr>
            </w:pPr>
            <w:r>
              <w:rPr>
                <w:rFonts w:ascii="Arial" w:cs="Arial" w:eastAsia="Arial" w:hAnsi="Arial"/>
                <w:sz w:val="18"/>
                <w:szCs w:val="18"/>
                <w:color w:val="auto"/>
                <w:w w:val="94"/>
              </w:rPr>
              <w:t>All outstanding liabilities before 2008, net of reinsurance</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80" w:type="dxa"/>
            <w:vAlign w:val="bottom"/>
            <w:gridSpan w:val="11"/>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Liabilities for claims and allocted claim adjustment expenses, net of reinsurance</w:t>
            </w:r>
          </w:p>
        </w:tc>
        <w:tc>
          <w:tcPr>
            <w:tcW w:w="1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26,713</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2"/>
        </w:trPr>
        <w:tc>
          <w:tcPr>
            <w:tcW w:w="5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jc w:val="right"/>
              <w:ind w:right="114"/>
              <w:spacing w:after="0"/>
              <w:rPr>
                <w:sz w:val="20"/>
                <w:szCs w:val="20"/>
                <w:color w:val="auto"/>
              </w:rPr>
            </w:pPr>
            <w:r>
              <w:rPr>
                <w:rFonts w:ascii="Arial" w:cs="Arial" w:eastAsia="Arial" w:hAnsi="Arial"/>
                <w:sz w:val="18"/>
                <w:szCs w:val="18"/>
                <w:color w:val="auto"/>
              </w:rPr>
              <w:t>20</w:t>
            </w:r>
          </w:p>
        </w:tc>
        <w:tc>
          <w:tcPr>
            <w:tcW w:w="9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84" w:right="1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reconciliation of the net incurred and paid claims development tables to the loss and LAE reserves in the consolidated balance sheet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35"/>
              <w:spacing w:after="0"/>
              <w:rPr>
                <w:sz w:val="20"/>
                <w:szCs w:val="20"/>
                <w:color w:val="auto"/>
              </w:rPr>
            </w:pPr>
            <w:r>
              <w:rPr>
                <w:rFonts w:ascii="Arial" w:cs="Arial" w:eastAsia="Arial" w:hAnsi="Arial"/>
                <w:sz w:val="15"/>
                <w:szCs w:val="15"/>
                <w:b w:val="1"/>
                <w:bCs w:val="1"/>
                <w:color w:val="auto"/>
              </w:rPr>
              <w:t>As of</w:t>
            </w:r>
          </w:p>
        </w:tc>
      </w:tr>
      <w:tr>
        <w:trPr>
          <w:trHeight w:val="182"/>
        </w:trPr>
        <w:tc>
          <w:tcPr>
            <w:tcW w:w="100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136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5"/>
                <w:szCs w:val="15"/>
                <w:b w:val="1"/>
                <w:bCs w:val="1"/>
                <w:color w:val="auto"/>
              </w:rPr>
              <w:t>March 31, 2017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claims and claim adjustment expenses, net of reinsurance</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26,713</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reinsurance recoverable on unpaid claims</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16,719</w:t>
            </w: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claims adjustment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1,180</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44,612</w:t>
            </w: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Auto Line of Business</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expired on or after May 1, 2015. The Company had -0- and 34 commercial auto policies in force as of March 31,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5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21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Company’s quota share reinsurance treaties in effect for the three months ended March 31, 2017 for its personal lines business, which primarily consists of homeowners’ policies, were covered under the July 1, 2016/June 30, 2017 treaty year (“2016/2017 Treaty”). The Company’s quota share reinsurance treaties in effect for the three months ended March 31, 2016 were covered under the July 1, 2015/June 30, 2016 treaty year (“2015/2016 Treaty”).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2015/2016 Treaty and 2016/2017 Treaty provide for the following material terms: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1113"/>
              <w:spacing w:after="0"/>
              <w:rPr>
                <w:sz w:val="20"/>
                <w:szCs w:val="20"/>
                <w:color w:val="auto"/>
              </w:rPr>
            </w:pPr>
            <w:r>
              <w:rPr>
                <w:rFonts w:ascii="Arial" w:cs="Arial" w:eastAsia="Arial" w:hAnsi="Arial"/>
                <w:sz w:val="15"/>
                <w:szCs w:val="15"/>
                <w:b w:val="1"/>
                <w:bCs w:val="1"/>
                <w:color w:val="auto"/>
              </w:rPr>
              <w:t>Treaty Year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254"/>
              <w:spacing w:after="0"/>
              <w:rPr>
                <w:sz w:val="20"/>
                <w:szCs w:val="20"/>
                <w:color w:val="auto"/>
              </w:rPr>
            </w:pPr>
            <w:r>
              <w:rPr>
                <w:rFonts w:ascii="Arial" w:cs="Arial" w:eastAsia="Arial" w:hAnsi="Arial"/>
                <w:sz w:val="15"/>
                <w:szCs w:val="15"/>
                <w:b w:val="1"/>
                <w:bCs w:val="1"/>
                <w:color w:val="auto"/>
                <w:w w:val="87"/>
              </w:rPr>
              <w:t>July 1, 2016</w:t>
            </w:r>
          </w:p>
        </w:tc>
        <w:tc>
          <w:tcPr>
            <w:tcW w:w="200" w:type="dxa"/>
            <w:vAlign w:val="bottom"/>
          </w:tcPr>
          <w:p>
            <w:pPr>
              <w:spacing w:after="0"/>
              <w:rPr>
                <w:sz w:val="20"/>
                <w:szCs w:val="20"/>
                <w:color w:val="auto"/>
              </w:rPr>
            </w:pPr>
          </w:p>
        </w:tc>
        <w:tc>
          <w:tcPr>
            <w:tcW w:w="1320" w:type="dxa"/>
            <w:vAlign w:val="bottom"/>
          </w:tcPr>
          <w:p>
            <w:pPr>
              <w:jc w:val="center"/>
              <w:ind w:right="193"/>
              <w:spacing w:after="0"/>
              <w:rPr>
                <w:sz w:val="20"/>
                <w:szCs w:val="20"/>
                <w:color w:val="auto"/>
              </w:rPr>
            </w:pPr>
            <w:r>
              <w:rPr>
                <w:rFonts w:ascii="Arial" w:cs="Arial" w:eastAsia="Arial" w:hAnsi="Arial"/>
                <w:sz w:val="15"/>
                <w:szCs w:val="15"/>
                <w:b w:val="1"/>
                <w:bCs w:val="1"/>
                <w:color w:val="auto"/>
                <w:w w:val="90"/>
              </w:rPr>
              <w:t>July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254"/>
              <w:spacing w:after="0"/>
              <w:rPr>
                <w:sz w:val="20"/>
                <w:szCs w:val="20"/>
                <w:color w:val="auto"/>
              </w:rPr>
            </w:pPr>
            <w:r>
              <w:rPr>
                <w:rFonts w:ascii="Arial" w:cs="Arial" w:eastAsia="Arial" w:hAnsi="Arial"/>
                <w:sz w:val="15"/>
                <w:szCs w:val="15"/>
                <w:b w:val="1"/>
                <w:bCs w:val="1"/>
                <w:color w:val="auto"/>
                <w:w w:val="98"/>
              </w:rPr>
              <w:t>to</w:t>
            </w:r>
          </w:p>
        </w:tc>
        <w:tc>
          <w:tcPr>
            <w:tcW w:w="200" w:type="dxa"/>
            <w:vAlign w:val="bottom"/>
          </w:tcPr>
          <w:p>
            <w:pPr>
              <w:spacing w:after="0"/>
              <w:rPr>
                <w:sz w:val="18"/>
                <w:szCs w:val="18"/>
                <w:color w:val="auto"/>
              </w:rPr>
            </w:pPr>
          </w:p>
        </w:tc>
        <w:tc>
          <w:tcPr>
            <w:tcW w:w="1320" w:type="dxa"/>
            <w:vAlign w:val="bottom"/>
          </w:tcPr>
          <w:p>
            <w:pPr>
              <w:jc w:val="center"/>
              <w:ind w:right="193"/>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Line of Busines</w:t>
            </w:r>
          </w:p>
        </w:tc>
        <w:tc>
          <w:tcPr>
            <w:tcW w:w="2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54"/>
              <w:spacing w:after="0"/>
              <w:rPr>
                <w:sz w:val="20"/>
                <w:szCs w:val="20"/>
                <w:color w:val="auto"/>
              </w:rPr>
            </w:pPr>
            <w:r>
              <w:rPr>
                <w:rFonts w:ascii="Arial" w:cs="Arial" w:eastAsia="Arial" w:hAnsi="Arial"/>
                <w:sz w:val="15"/>
                <w:szCs w:val="15"/>
                <w:b w:val="1"/>
                <w:bCs w:val="1"/>
                <w:color w:val="auto"/>
                <w:w w:val="88"/>
              </w:rPr>
              <w:t>June 30, 2017</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5"/>
                <w:szCs w:val="15"/>
                <w:b w:val="1"/>
                <w:bCs w:val="1"/>
                <w:color w:val="auto"/>
                <w:w w:val="88"/>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Personal Lines:</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Homeowners, dwelling fire and canine legal liability</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833,333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3,666,667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833,333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54"/>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Personal Umbrella</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4,900,000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254"/>
              <w:spacing w:after="0"/>
              <w:rPr>
                <w:sz w:val="20"/>
                <w:szCs w:val="20"/>
                <w:color w:val="auto"/>
              </w:rPr>
            </w:pPr>
            <w:r>
              <w:rPr>
                <w:rFonts w:ascii="Arial" w:cs="Arial" w:eastAsia="Arial" w:hAnsi="Arial"/>
                <w:sz w:val="18"/>
                <w:szCs w:val="18"/>
                <w:color w:val="auto"/>
                <w:w w:val="85"/>
              </w:rPr>
              <w:t>June 30, 2017</w:t>
            </w:r>
          </w:p>
        </w:tc>
        <w:tc>
          <w:tcPr>
            <w:tcW w:w="20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Commercial Lines:</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General liability commercial policies, except for commercial auto</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(terminated effective July 1, 2014)</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4,000,000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in exess of</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0"/>
              <w:spacing w:after="0"/>
              <w:rPr>
                <w:sz w:val="20"/>
                <w:szCs w:val="20"/>
                <w:color w:val="auto"/>
              </w:rPr>
            </w:pPr>
            <w:r>
              <w:rPr>
                <w:rFonts w:ascii="Arial" w:cs="Arial" w:eastAsia="Arial" w:hAnsi="Arial"/>
                <w:sz w:val="18"/>
                <w:szCs w:val="18"/>
                <w:color w:val="auto"/>
              </w:rPr>
              <w:t>Losses per occurrence subject to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0"/>
              <w:spacing w:after="0"/>
              <w:rPr>
                <w:sz w:val="20"/>
                <w:szCs w:val="20"/>
                <w:color w:val="auto"/>
              </w:rPr>
            </w:pPr>
            <w:r>
              <w:rPr>
                <w:rFonts w:ascii="Arial" w:cs="Arial" w:eastAsia="Arial" w:hAnsi="Arial"/>
                <w:sz w:val="18"/>
                <w:szCs w:val="18"/>
                <w:color w:val="auto"/>
              </w:rPr>
              <w:t>Commercial Umbrella</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4,900,000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54"/>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Commercial Auto:</w:t>
            </w:r>
          </w:p>
        </w:tc>
        <w:tc>
          <w:tcPr>
            <w:tcW w:w="2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Risk retained</w:t>
            </w:r>
          </w:p>
        </w:tc>
        <w:tc>
          <w:tcPr>
            <w:tcW w:w="4120" w:type="dxa"/>
            <w:vAlign w:val="bottom"/>
            <w:tcBorders>
              <w:top w:val="single" w:sz="8" w:color="CCEEFF"/>
            </w:tcBorders>
            <w:gridSpan w:val="3"/>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in excess of risk retained</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Catastrophe Reinsurance:</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Risk retained per catastrophe occurrence (1)</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3,000,000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4"/>
              </w:rPr>
              <w:t>Catastrophe loss coverage in excess of quota share coverage (2) (3)</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247,000,000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Severe winter weather aggregate (3)</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654"/>
              <w:spacing w:after="0"/>
              <w:rPr>
                <w:sz w:val="20"/>
                <w:szCs w:val="20"/>
                <w:color w:val="auto"/>
              </w:rPr>
            </w:pPr>
            <w:r>
              <w:rPr>
                <w:rFonts w:ascii="Arial" w:cs="Arial" w:eastAsia="Arial" w:hAnsi="Arial"/>
                <w:sz w:val="18"/>
                <w:szCs w:val="18"/>
                <w:color w:val="auto"/>
              </w:rPr>
              <w:t>No</w:t>
            </w:r>
          </w:p>
        </w:tc>
        <w:tc>
          <w:tcPr>
            <w:tcW w:w="20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Reinstatement premium protection (4)</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83"/>
              </w:rPr>
              <w:t>Yes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53"/>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2352"/>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9" w:right="239" w:bottom="1440" w:gutter="0" w:footer="0" w:header="0"/>
        </w:sectPr>
      </w:pPr>
    </w:p>
    <w:bookmarkStart w:id="24" w:name="page25"/>
    <w:bookmarkEnd w:id="24"/>
    <w:p>
      <w:pPr>
        <w:ind w:left="340" w:hanging="256"/>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340" w:right="20" w:hanging="256"/>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256"/>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July 1, 2015 through June 30, 2016, catastrophe treaty also covered losses caused by severe winter weather during any consecutive 28 day period.</w:t>
      </w:r>
    </w:p>
    <w:p>
      <w:pPr>
        <w:spacing w:after="0" w:line="32" w:lineRule="exact"/>
        <w:rPr>
          <w:rFonts w:ascii="Arial" w:cs="Arial" w:eastAsia="Arial" w:hAnsi="Arial"/>
          <w:sz w:val="16"/>
          <w:szCs w:val="16"/>
          <w:color w:val="auto"/>
        </w:rPr>
      </w:pPr>
    </w:p>
    <w:p>
      <w:pPr>
        <w:ind w:left="340" w:hanging="256"/>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the Company is subject under the new treaties effective July 1, 2016 and under the treaties that expired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2016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40" w:type="dxa"/>
            <w:vAlign w:val="bottom"/>
            <w:vMerge w:val="restart"/>
          </w:tcPr>
          <w:p>
            <w:pPr>
              <w:ind w:left="760"/>
              <w:spacing w:after="0"/>
              <w:rPr>
                <w:sz w:val="20"/>
                <w:szCs w:val="20"/>
                <w:color w:val="auto"/>
              </w:rPr>
            </w:pPr>
            <w:r>
              <w:rPr>
                <w:rFonts w:ascii="Arial" w:cs="Arial" w:eastAsia="Arial" w:hAnsi="Arial"/>
                <w:sz w:val="15"/>
                <w:szCs w:val="15"/>
                <w:b w:val="1"/>
                <w:bCs w:val="1"/>
                <w:color w:val="auto"/>
              </w:rPr>
              <w:t>Treaty</w:t>
            </w:r>
          </w:p>
        </w:tc>
        <w:tc>
          <w:tcPr>
            <w:tcW w:w="340" w:type="dxa"/>
            <w:vAlign w:val="bottom"/>
            <w:vMerge w:val="restart"/>
          </w:tcPr>
          <w:p>
            <w:pPr>
              <w:spacing w:after="0"/>
              <w:rPr>
                <w:sz w:val="15"/>
                <w:szCs w:val="15"/>
                <w:color w:val="auto"/>
              </w:rPr>
            </w:pPr>
          </w:p>
        </w:tc>
        <w:tc>
          <w:tcPr>
            <w:tcW w:w="332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9"/>
              </w:rPr>
              <w:t>July 1, 2016 - June 30, 2017</w:t>
            </w:r>
          </w:p>
        </w:tc>
        <w:tc>
          <w:tcPr>
            <w:tcW w:w="1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tcBorders>
              <w:bottom w:val="single" w:sz="8" w:color="auto"/>
            </w:tcBorders>
            <w:gridSpan w:val="2"/>
          </w:tcPr>
          <w:p>
            <w:pPr>
              <w:ind w:left="1280"/>
              <w:spacing w:after="0"/>
              <w:rPr>
                <w:sz w:val="20"/>
                <w:szCs w:val="20"/>
                <w:color w:val="auto"/>
              </w:rPr>
            </w:pPr>
            <w:r>
              <w:rPr>
                <w:rFonts w:ascii="Arial" w:cs="Arial" w:eastAsia="Arial" w:hAnsi="Arial"/>
                <w:sz w:val="15"/>
                <w:szCs w:val="15"/>
                <w:b w:val="1"/>
                <w:bCs w:val="1"/>
                <w:color w:val="auto"/>
                <w:w w:val="90"/>
              </w:rPr>
              <w:t>July 1, 2015 - June 30, 2016</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60" w:type="dxa"/>
            <w:vAlign w:val="bottom"/>
            <w:tcBorders>
              <w:bottom w:val="single" w:sz="8" w:color="auto"/>
            </w:tcBorders>
          </w:tcPr>
          <w:p>
            <w:pPr>
              <w:ind w:left="1000"/>
              <w:spacing w:after="0" w:line="162" w:lineRule="exact"/>
              <w:rPr>
                <w:sz w:val="20"/>
                <w:szCs w:val="20"/>
                <w:color w:val="auto"/>
              </w:rPr>
            </w:pPr>
            <w:r>
              <w:rPr>
                <w:rFonts w:ascii="Arial" w:cs="Arial" w:eastAsia="Arial" w:hAnsi="Arial"/>
                <w:sz w:val="15"/>
                <w:szCs w:val="15"/>
                <w:b w:val="1"/>
                <w:bCs w:val="1"/>
                <w:color w:val="auto"/>
              </w:rPr>
              <w:t>Extent of Loss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Risk Retained</w:t>
            </w: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980"/>
              <w:spacing w:after="0" w:line="162" w:lineRule="exact"/>
              <w:rPr>
                <w:sz w:val="20"/>
                <w:szCs w:val="20"/>
                <w:color w:val="auto"/>
              </w:rPr>
            </w:pPr>
            <w:r>
              <w:rPr>
                <w:rFonts w:ascii="Arial" w:cs="Arial" w:eastAsia="Arial" w:hAnsi="Arial"/>
                <w:sz w:val="15"/>
                <w:szCs w:val="15"/>
                <w:b w:val="1"/>
                <w:bCs w:val="1"/>
                <w:color w:val="auto"/>
              </w:rPr>
              <w:t>Extent of Loss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79"/>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Initial $833,333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$750,000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$833,333 - $4,500,000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$750,000 - $4,500,000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$1,000,000 - $3,000,000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$3,000,000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Initial $500,000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$425,000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$500,000 - $4,500,000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$425,000 - $4,500,000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Umbrella</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Catastrophe (2)</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Initial $5,000,000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$5,000,000 - $252,000,000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None</w:t>
            </w:r>
          </w:p>
        </w:tc>
        <w:tc>
          <w:tcPr>
            <w:tcW w:w="2840" w:type="dxa"/>
            <w:vAlign w:val="bottom"/>
          </w:tcPr>
          <w:p>
            <w:pPr>
              <w:ind w:left="40"/>
              <w:spacing w:after="0"/>
              <w:rPr>
                <w:sz w:val="20"/>
                <w:szCs w:val="20"/>
                <w:color w:val="auto"/>
              </w:rPr>
            </w:pPr>
            <w:r>
              <w:rPr>
                <w:rFonts w:ascii="Arial" w:cs="Arial" w:eastAsia="Arial" w:hAnsi="Arial"/>
                <w:sz w:val="16"/>
                <w:szCs w:val="16"/>
                <w:color w:val="auto"/>
              </w:rPr>
              <w:t>$4,000,000 - $180,000,000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Over $252,000,000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$180,000,000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________________</w:t>
            </w: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80" w:hanging="29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left="980" w:hanging="29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March 2017, the Company bound its personal lines quota share reinsurance treaty effective July 1, 2017. The treaty provides for a reduction in the quota share ceding rate to 20%, from the current 40% in the expiring treaty, and the provisional ceding commission rate increases to 52.5%, from the current 52.0% in the expiring treaty. The new treaty covers a two year period from July 1, 2017 through June 30, 2019 (“2017/2019 Treaty”). The Company shall have the option under broad circumstances to reduce the quota share ceding rate or terminate the 2017/2019 Treaty effective July 1, 2018 by giving advance notice to the two reinsurers who participate in the quota share reinsurance treaty. The two reinsurers who participate in the quota share reinsurance treaty shall have the option under limited circumstances to reduce the quota share ceding rate or terminate the 2017/2019 Treaty effective July 1, 2018 by giving advance notice to the Company.</w:t>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estimated ultimate treaty year loss ratios (“Loss Ratio(s)”) for treaties in effect for the three months ended March 31, 2017 are attributable to contracts for the 2016/2017 Treaty. The Company’s Loss Ratios for treaties in effect for the three months ended March 31, 2016 are attributable to contracts for the 2015/2016 Treaty.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three months ended March 31, 2017</w:t>
      </w:r>
    </w:p>
    <w:p>
      <w:pPr>
        <w:spacing w:after="0" w:line="252"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Under the 2016/2017 Treaty, the Company is receiving a higher upfront fixed provisional rate in exchange for a less favorable sliding scale contingent rate. Under this arrangement, the Company earns more provisional ceding commissions, while contingent ceding commissions are reduced due to the less favorable sliding scale rate. The Company’s Loss Ratios for the period July 1, 2016 through March 31, 2017 (attributable to the 2016/2017 Treaty) were consistent with the contractual Loss Ratio at which the provisional ceding commissions are earned and therefore no contingent commission was recorded.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three months ended March 31, 2016</w:t>
      </w:r>
    </w:p>
    <w:p>
      <w:pPr>
        <w:spacing w:after="0" w:line="252" w:lineRule="exact"/>
        <w:rPr>
          <w:sz w:val="20"/>
          <w:szCs w:val="20"/>
          <w:color w:val="auto"/>
        </w:rPr>
      </w:pPr>
    </w:p>
    <w:p>
      <w:pPr>
        <w:ind w:left="660" w:right="100"/>
        <w:spacing w:after="0" w:line="318" w:lineRule="auto"/>
        <w:rPr>
          <w:sz w:val="20"/>
          <w:szCs w:val="20"/>
          <w:color w:val="auto"/>
        </w:rPr>
      </w:pPr>
      <w:r>
        <w:rPr>
          <w:rFonts w:ascii="Arial" w:cs="Arial" w:eastAsia="Arial" w:hAnsi="Arial"/>
          <w:sz w:val="15"/>
          <w:szCs w:val="15"/>
          <w:color w:val="auto"/>
        </w:rPr>
        <w:t>Under the 2015/2016 Treaty, the Company is receiving a higher upfront fixed provisional rate in exchange for a less favorable sliding scale contingent rate. Under this arrangement, the Company earns more provisional ceding commissions, while contingent ceding commissions are reduced due to the less favorable sliding scale rate. The Company’s Loss Ratio for the period July 1, 2015 through March 31, 2016, which is attributable to the 2015/2016 Treaty, was higher than the contractual Loss Ratio at which provisional ceding commissions are earned. Accordingly, for the three month period ended March 31, 2016, the Company’s contingent ceding commission earned was reduced as a result of the estimated Loss Ratio for the 2015/2016 Treaty.</w:t>
      </w:r>
    </w:p>
    <w:p>
      <w:pPr>
        <w:spacing w:after="0" w:line="18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 addition to the treaties that were in effect for the three months ended March 31, 2017 and 2016, the Loss Ratios from prior years’ treaties are subject to change as loss reserves from those periods increase or decrease, resulting in an increase or decrease in the commission rate and contingent ceding commissions earned.</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Ceding commission revenue consists of the following:</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Provisional ceding commissions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Contingent ceding commissions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1905</wp:posOffset>
            </wp:positionV>
            <wp:extent cx="17322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1905</wp:posOffset>
            </wp:positionV>
            <wp:extent cx="1732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18" w:lineRule="exact"/>
        <w:rPr>
          <w:sz w:val="20"/>
          <w:szCs w:val="20"/>
          <w:color w:val="auto"/>
        </w:rPr>
      </w:pPr>
    </w:p>
    <w:p>
      <w:pPr>
        <w:jc w:val="both"/>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3,343,769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3,099,614</w:t>
      </w:r>
    </w:p>
    <w:p>
      <w:pPr>
        <w:spacing w:after="0" w:line="15" w:lineRule="exact"/>
        <w:rPr>
          <w:sz w:val="20"/>
          <w:szCs w:val="20"/>
          <w:color w:val="auto"/>
        </w:rPr>
      </w:pPr>
    </w:p>
    <w:p>
      <w:pPr>
        <w:jc w:val="both"/>
        <w:ind w:left="480"/>
        <w:spacing w:after="0"/>
        <w:tabs>
          <w:tab w:leader="none" w:pos="1820" w:val="left"/>
        </w:tabs>
        <w:rPr>
          <w:sz w:val="20"/>
          <w:szCs w:val="20"/>
          <w:color w:val="auto"/>
        </w:rPr>
      </w:pPr>
      <w:r>
        <w:rPr>
          <w:rFonts w:ascii="Arial" w:cs="Arial" w:eastAsia="Arial" w:hAnsi="Arial"/>
          <w:sz w:val="18"/>
          <w:szCs w:val="18"/>
          <w:color w:val="auto"/>
        </w:rPr>
        <w:t>(159,317)</w:t>
      </w:r>
      <w:r>
        <w:rPr>
          <w:sz w:val="20"/>
          <w:szCs w:val="20"/>
          <w:color w:val="auto"/>
        </w:rPr>
        <w:tab/>
      </w:r>
      <w:r>
        <w:rPr>
          <w:rFonts w:ascii="Arial" w:cs="Arial" w:eastAsia="Arial" w:hAnsi="Arial"/>
          <w:sz w:val="18"/>
          <w:szCs w:val="18"/>
          <w:color w:val="auto"/>
        </w:rPr>
        <w:t>(329,277)</w:t>
      </w:r>
    </w:p>
    <w:p>
      <w:pPr>
        <w:spacing w:after="0" w:line="30" w:lineRule="exact"/>
        <w:rPr>
          <w:sz w:val="20"/>
          <w:szCs w:val="20"/>
          <w:color w:val="auto"/>
        </w:rPr>
      </w:pPr>
    </w:p>
    <w:p>
      <w:pPr>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3,184,452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2,770,337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36830</wp:posOffset>
            </wp:positionV>
            <wp:extent cx="1732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90" w:right="239" w:bottom="1440" w:gutter="0" w:footer="0" w:header="0"/>
          <w:type w:val="continuous"/>
        </w:sectPr>
      </w:pPr>
    </w:p>
    <w:p>
      <w:pPr>
        <w:spacing w:after="0" w:line="7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March 31, 2017 and December 31, 2016, net contingent ceding commissions payable to reinsurers under all treaties was approximately $1,051,000 and $773,000,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2017, the Company closed on an underwritten public offering of 2,500,000 shares of its Common Stock. On February 14, 2017,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closed on the underwriters’ purchase option for an additional 192,500 shares of its Common Stock. The public offering price for the 2,692,500 shares sold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$12.00 per share. The aggregate net proceeds to the Company was approximately $30,137,000, after deducting underwriting discounts and commissions and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in the aggregate amount of $2,173,000.</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2017, the Company used $23,000,000 of the net proceeds of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Dividends declared and paid on Common Stock were $663,837 and $457,603 for the three months ended March 31, 2017 and 2016, respectively. The Company’s Board of Directors approved a quarterly dividend on May 10, 2017 of $.08 per share payable in cash on June 15, 2017 to stockholders of record as of May 31, 2017 (see Note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Pursuant to the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of the Board determines the expiration date with respect to non-statutory stock options and the vesting provisions for restricted stock granted under the 2014 Plan and 2005 Plan.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The results of operations for the three months ended March 31, 2017 and 2016 include stock-based stock option compensation expense totaling approximately $16,000 and $32,000, respectively. Stock-based compensation expense related to stock options is net of estimated forfeitures of 17% for each of the three months ended March 31, 2017 and 2016. Such amounts have been included in the condensed consolidated statements of income and comprehensive income within other operating expenses.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Stock-based compensation expense for the three months ended March 31, 2017 and 2016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three months ended March 31, 2017. The weighted average estimated fair value of stock options granted during the three months ended March 31, 2016 was $1.97 per share. The fair value of stock options at the grant date was estimated using the Black-Scholes option-pricing model. The following weighted average assumptions were used for grants during the following periods:</w:t>
      </w:r>
    </w:p>
    <w:p>
      <w:pPr>
        <w:spacing w:after="0" w:line="223" w:lineRule="exact"/>
        <w:rPr>
          <w:sz w:val="20"/>
          <w:szCs w:val="20"/>
          <w:color w:val="auto"/>
        </w:rPr>
      </w:pPr>
    </w:p>
    <w:p>
      <w:pPr>
        <w:ind w:left="9420"/>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2017</w:t>
            </w:r>
          </w:p>
        </w:tc>
        <w:tc>
          <w:tcPr>
            <w:tcW w:w="54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40" w:type="dxa"/>
            <w:vAlign w:val="bottom"/>
          </w:tcPr>
          <w:p>
            <w:pPr>
              <w:ind w:left="8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ind w:left="8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3.25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 summary of stock option activity under the Company’s 2014 Plan and 2005 Plan for the three months ended March 31, 2017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ind w:right="1"/>
              <w:spacing w:after="0" w:line="162" w:lineRule="exact"/>
              <w:rPr>
                <w:sz w:val="20"/>
                <w:szCs w:val="20"/>
                <w:color w:val="auto"/>
              </w:rPr>
            </w:pPr>
            <w:r>
              <w:rPr>
                <w:rFonts w:ascii="Arial" w:cs="Arial" w:eastAsia="Arial" w:hAnsi="Arial"/>
                <w:sz w:val="15"/>
                <w:szCs w:val="15"/>
                <w:b w:val="1"/>
                <w:bCs w:val="1"/>
                <w:color w:val="auto"/>
                <w:w w:val="87"/>
              </w:rPr>
              <w:t>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74"/>
              <w:spacing w:after="0" w:line="162" w:lineRule="exact"/>
              <w:rPr>
                <w:sz w:val="20"/>
                <w:szCs w:val="20"/>
                <w:color w:val="auto"/>
              </w:rPr>
            </w:pPr>
            <w:r>
              <w:rPr>
                <w:rFonts w:ascii="Arial" w:cs="Arial" w:eastAsia="Arial" w:hAnsi="Arial"/>
                <w:sz w:val="15"/>
                <w:szCs w:val="15"/>
                <w:b w:val="1"/>
                <w:bCs w:val="1"/>
                <w:color w:val="auto"/>
                <w:w w:val="97"/>
              </w:rPr>
              <w:t>Weighted</w:t>
            </w:r>
          </w:p>
        </w:tc>
        <w:tc>
          <w:tcPr>
            <w:tcW w:w="128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91"/>
              </w:rPr>
              <w:t>Remaining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Number of</w:t>
            </w:r>
          </w:p>
        </w:tc>
        <w:tc>
          <w:tcPr>
            <w:tcW w:w="146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Average Exercise</w:t>
            </w:r>
          </w:p>
        </w:tc>
        <w:tc>
          <w:tcPr>
            <w:tcW w:w="1280" w:type="dxa"/>
            <w:vAlign w:val="bottom"/>
          </w:tcPr>
          <w:p>
            <w:pPr>
              <w:jc w:val="center"/>
              <w:ind w:right="1"/>
              <w:spacing w:after="0" w:line="162" w:lineRule="exact"/>
              <w:rPr>
                <w:sz w:val="20"/>
                <w:szCs w:val="20"/>
                <w:color w:val="auto"/>
              </w:rPr>
            </w:pPr>
            <w:r>
              <w:rPr>
                <w:rFonts w:ascii="Arial" w:cs="Arial" w:eastAsia="Arial" w:hAnsi="Arial"/>
                <w:sz w:val="15"/>
                <w:szCs w:val="15"/>
                <w:b w:val="1"/>
                <w:bCs w:val="1"/>
                <w:color w:val="auto"/>
                <w:w w:val="91"/>
              </w:rPr>
              <w:t>Contractual</w:t>
            </w:r>
          </w:p>
        </w:tc>
        <w:tc>
          <w:tcPr>
            <w:tcW w:w="300" w:type="dxa"/>
            <w:vAlign w:val="bottom"/>
          </w:tcPr>
          <w:p>
            <w:pPr>
              <w:spacing w:after="0"/>
              <w:rPr>
                <w:sz w:val="14"/>
                <w:szCs w:val="14"/>
                <w:color w:val="auto"/>
              </w:rPr>
            </w:pPr>
          </w:p>
        </w:tc>
        <w:tc>
          <w:tcPr>
            <w:tcW w:w="1060" w:type="dxa"/>
            <w:vAlign w:val="bottom"/>
          </w:tcPr>
          <w:p>
            <w:pPr>
              <w:jc w:val="right"/>
              <w:ind w:right="254"/>
              <w:spacing w:after="0" w:line="162"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Shares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Price per Share</w:t>
            </w: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92"/>
              </w:rPr>
              <w:t>Term</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Outstanding at January 1, 2017</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362,750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6.62</w:t>
            </w:r>
          </w:p>
        </w:tc>
        <w:tc>
          <w:tcPr>
            <w:tcW w:w="1280" w:type="dxa"/>
            <w:vAlign w:val="bottom"/>
          </w:tcPr>
          <w:p>
            <w:pPr>
              <w:jc w:val="right"/>
              <w:ind w:right="61"/>
              <w:spacing w:after="0"/>
              <w:rPr>
                <w:sz w:val="20"/>
                <w:szCs w:val="20"/>
                <w:color w:val="auto"/>
              </w:rPr>
            </w:pPr>
            <w:r>
              <w:rPr>
                <w:rFonts w:ascii="Arial" w:cs="Arial" w:eastAsia="Arial" w:hAnsi="Arial"/>
                <w:sz w:val="18"/>
                <w:szCs w:val="18"/>
                <w:color w:val="auto"/>
              </w:rPr>
              <w:t>2.61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2,586,748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6.53</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March 31, 2017</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357,500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6.62</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3,335,360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and Exercisable at March 31, 2017</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271,250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6.43</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2.23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2,581,023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of options outstanding and options exercisable at March 31, 2017 is calculated as the difference between the exercise price of the underlying options and the market price of the Company’s Common Stock for the options that had exercise prices that were lower than the $15.95 closing price of the Company’s Common Stock on March 31, 2017.</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$33,000 from the exercise of options for the purchase of 5,000 shares of Common Stock during the three months ended March 31, 2017. The remaining 250 options exercised during the three months ended March 31, 2017 were Net Exercises, resulting in the issuance of 166 shares of Common Stock. No options were exercised during the three months ended March 31, 2016.</w:t>
      </w:r>
    </w:p>
    <w:p>
      <w:pPr>
        <w:spacing w:after="0" w:line="10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2017, the fair value of unamortized compensation cost related to unvested stock option awards was approximately $28,000. Unamortized compensation cost as of March 31, 2017 is expected to be recognized over a remaining weighted-average vesting period of 0.70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578,500 shares reserved for grants under the 2014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Equity Compensation</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2017, the Company granted a total of 8,000 shares of restricted Common Stock under the 2014 Plan to its four non-employee directors. In January 2016, the Company granted a total of 6,000 shares of restricted Common Stock under the 2014 Plan to its three then non-employee directors. In March 2016, the Company granted 1,500 shares of restricted Common Stock under the 2014 Plan to a newly elected non-employee director. One-third of the shares granted will vest on each of the three annual anniversaries following the grant date.</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February 2017, the Company granted a total of 16,000 shares of restricted Common Stock under the 2014 Plan to two executive officers. The shares granted will vest on a monthly basis over the three year period following the grant date.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860"/>
        <w:spacing w:after="0" w:line="332" w:lineRule="auto"/>
        <w:rPr>
          <w:sz w:val="20"/>
          <w:szCs w:val="20"/>
          <w:color w:val="auto"/>
        </w:rPr>
      </w:pPr>
      <w:r>
        <w:rPr>
          <w:rFonts w:ascii="Arial" w:cs="Arial" w:eastAsia="Arial" w:hAnsi="Arial"/>
          <w:sz w:val="16"/>
          <w:szCs w:val="16"/>
          <w:color w:val="auto"/>
        </w:rPr>
        <w:t>The fair value of the shares will be determined on each of the vesting dates. For the three months ended March 31, 2017, stock-based compensation of approximately $43,000 for these grants is included in the condensed consolidated statements of income and comprehensive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22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March 31,</w:t>
            </w:r>
          </w:p>
        </w:tc>
        <w:tc>
          <w:tcPr>
            <w:tcW w:w="3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5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Arial" w:cs="Arial" w:eastAsia="Arial" w:hAnsi="Arial"/>
                <w:sz w:val="18"/>
                <w:szCs w:val="18"/>
                <w:color w:val="auto"/>
              </w:rPr>
              <w:t>Deferred tax asset:</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448,437</w:t>
            </w:r>
          </w:p>
        </w:tc>
        <w:tc>
          <w:tcPr>
            <w:tcW w:w="3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417,349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2,902,155</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2,877,365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2,302,771</w:t>
            </w:r>
          </w:p>
        </w:tc>
        <w:tc>
          <w:tcPr>
            <w:tcW w:w="3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2,329,626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166,025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188,675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5,932,148</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5,944,641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KICO (2)</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1,169,000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Deferred acquisition costs</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4,239,112</w:t>
            </w:r>
          </w:p>
        </w:tc>
        <w:tc>
          <w:tcPr>
            <w:tcW w:w="3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4,161,526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430,100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250,206</w:t>
            </w:r>
          </w:p>
        </w:tc>
        <w:tc>
          <w:tcPr>
            <w:tcW w:w="3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265,671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appreciation of securities - available for sale</w:t>
            </w:r>
          </w:p>
        </w:tc>
        <w:tc>
          <w:tcPr>
            <w:tcW w:w="4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240,155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56,393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6,328,573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6,111,590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Arial" w:cs="Arial" w:eastAsia="Arial" w:hAnsi="Arial"/>
                <w:sz w:val="18"/>
                <w:szCs w:val="18"/>
                <w:color w:val="auto"/>
              </w:rPr>
              <w:t>Net deferred income tax liability</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(396,425)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w:t>
            </w: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8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740" w:type="dxa"/>
            <w:vAlign w:val="bottom"/>
            <w:gridSpan w:val="3"/>
          </w:tcPr>
          <w:p>
            <w:pPr>
              <w:ind w:left="680"/>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516"/>
              <w:spacing w:after="0"/>
              <w:rPr>
                <w:sz w:val="20"/>
                <w:szCs w:val="20"/>
                <w:color w:val="auto"/>
              </w:rPr>
            </w:pPr>
            <w:r>
              <w:rPr>
                <w:rFonts w:ascii="Arial" w:cs="Arial" w:eastAsia="Arial" w:hAnsi="Arial"/>
                <w:sz w:val="15"/>
                <w:szCs w:val="15"/>
                <w:b w:val="1"/>
                <w:bCs w:val="1"/>
                <w:color w:val="auto"/>
              </w:rPr>
              <w:t>March 31,</w:t>
            </w:r>
          </w:p>
        </w:tc>
        <w:tc>
          <w:tcPr>
            <w:tcW w:w="380" w:type="dxa"/>
            <w:vAlign w:val="bottom"/>
          </w:tcPr>
          <w:p>
            <w:pPr>
              <w:spacing w:after="0"/>
              <w:rPr>
                <w:sz w:val="24"/>
                <w:szCs w:val="24"/>
                <w:color w:val="auto"/>
              </w:rPr>
            </w:pPr>
          </w:p>
        </w:tc>
        <w:tc>
          <w:tcPr>
            <w:tcW w:w="1880" w:type="dxa"/>
            <w:vAlign w:val="bottom"/>
            <w:gridSpan w:val="4"/>
          </w:tcPr>
          <w:p>
            <w:pPr>
              <w:jc w:val="right"/>
              <w:ind w:right="900"/>
              <w:spacing w:after="0"/>
              <w:rPr>
                <w:sz w:val="20"/>
                <w:szCs w:val="20"/>
                <w:color w:val="auto"/>
              </w:rPr>
            </w:pPr>
            <w:r>
              <w:rPr>
                <w:rFonts w:ascii="Arial" w:cs="Arial" w:eastAsia="Arial" w:hAnsi="Arial"/>
                <w:sz w:val="15"/>
                <w:szCs w:val="15"/>
                <w:b w:val="1"/>
                <w:bCs w:val="1"/>
                <w:color w:val="auto"/>
                <w:w w:val="98"/>
              </w:rPr>
              <w:t>December 31,</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60" w:type="dxa"/>
            <w:vAlign w:val="bottom"/>
          </w:tcPr>
          <w:p>
            <w:pPr>
              <w:ind w:left="2540"/>
              <w:spacing w:after="0"/>
              <w:rPr>
                <w:sz w:val="20"/>
                <w:szCs w:val="20"/>
                <w:color w:val="auto"/>
              </w:rPr>
            </w:pPr>
            <w:r>
              <w:rPr>
                <w:rFonts w:ascii="Arial" w:cs="Arial" w:eastAsia="Arial" w:hAnsi="Arial"/>
                <w:sz w:val="15"/>
                <w:szCs w:val="15"/>
                <w:b w:val="1"/>
                <w:bCs w:val="1"/>
                <w:color w:val="auto"/>
              </w:rPr>
              <w:t>Type of NOL</w:t>
            </w:r>
          </w:p>
        </w:tc>
        <w:tc>
          <w:tcPr>
            <w:tcW w:w="460" w:type="dxa"/>
            <w:vAlign w:val="bottom"/>
          </w:tcPr>
          <w:p>
            <w:pPr>
              <w:spacing w:after="0"/>
              <w:rPr>
                <w:sz w:val="15"/>
                <w:szCs w:val="15"/>
                <w:color w:val="auto"/>
              </w:rPr>
            </w:pPr>
          </w:p>
        </w:tc>
        <w:tc>
          <w:tcPr>
            <w:tcW w:w="1420" w:type="dxa"/>
            <w:vAlign w:val="bottom"/>
          </w:tcPr>
          <w:p>
            <w:pPr>
              <w:jc w:val="right"/>
              <w:ind w:right="696"/>
              <w:spacing w:after="0"/>
              <w:rPr>
                <w:sz w:val="20"/>
                <w:szCs w:val="20"/>
                <w:color w:val="auto"/>
              </w:rPr>
            </w:pPr>
            <w:r>
              <w:rPr>
                <w:rFonts w:ascii="Arial" w:cs="Arial" w:eastAsia="Arial" w:hAnsi="Arial"/>
                <w:sz w:val="15"/>
                <w:szCs w:val="15"/>
                <w:b w:val="1"/>
                <w:bCs w:val="1"/>
                <w:color w:val="auto"/>
              </w:rPr>
              <w:t>2017</w:t>
            </w:r>
          </w:p>
        </w:tc>
        <w:tc>
          <w:tcPr>
            <w:tcW w:w="3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2016</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tcPr>
          <w:p>
            <w:pPr>
              <w:ind w:left="160"/>
              <w:spacing w:after="0"/>
              <w:rPr>
                <w:sz w:val="20"/>
                <w:szCs w:val="20"/>
                <w:color w:val="auto"/>
              </w:rPr>
            </w:pPr>
            <w:r>
              <w:rPr>
                <w:rFonts w:ascii="Arial" w:cs="Arial" w:eastAsia="Arial" w:hAnsi="Arial"/>
                <w:sz w:val="15"/>
                <w:szCs w:val="15"/>
                <w:b w:val="1"/>
                <w:bCs w:val="1"/>
                <w:color w:val="auto"/>
              </w:rPr>
              <w:t>Expiration</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State only (A)</w:t>
            </w:r>
          </w:p>
        </w:tc>
        <w:tc>
          <w:tcPr>
            <w:tcW w:w="4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698,350</w:t>
            </w:r>
          </w:p>
        </w:tc>
        <w:tc>
          <w:tcPr>
            <w:tcW w:w="3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655,719</w:t>
            </w: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December 31, 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(592,390)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(534,293)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 only, net of valuation allowance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105,960</w:t>
            </w:r>
          </w:p>
        </w:tc>
        <w:tc>
          <w:tcPr>
            <w:tcW w:w="3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121,426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color w:val="auto"/>
              </w:rPr>
              <w:t>Amount subject to Annual Limitation, federal only (B)</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6,800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8"/>
                <w:szCs w:val="18"/>
                <w:color w:val="auto"/>
              </w:rPr>
              <w:t>10,200</w:t>
            </w:r>
          </w:p>
        </w:tc>
        <w:tc>
          <w:tcPr>
            <w:tcW w:w="4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December 31,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 from net operating loss carryovers</w:t>
            </w:r>
          </w:p>
        </w:tc>
        <w:tc>
          <w:tcPr>
            <w:tcW w:w="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112,760</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131,626</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8"/>
        <w:spacing w:after="0" w:line="294" w:lineRule="auto"/>
        <w:tabs>
          <w:tab w:leader="none" w:pos="290" w:val="left"/>
        </w:tabs>
        <w:numPr>
          <w:ilvl w:val="0"/>
          <w:numId w:val="6"/>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March 31, 2017 and December 31, 2016 was approximately $10,744,000 and $10,088,000,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2037.</w:t>
      </w:r>
    </w:p>
    <w:p>
      <w:pPr>
        <w:spacing w:after="0" w:line="196" w:lineRule="exact"/>
        <w:rPr>
          <w:rFonts w:ascii="Arial" w:cs="Arial" w:eastAsia="Arial" w:hAnsi="Arial"/>
          <w:sz w:val="16"/>
          <w:szCs w:val="16"/>
          <w:color w:val="auto"/>
        </w:rPr>
      </w:pPr>
    </w:p>
    <w:p>
      <w:pPr>
        <w:jc w:val="both"/>
        <w:ind w:firstLine="8"/>
        <w:spacing w:after="0" w:line="259" w:lineRule="auto"/>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an NOL of $20,000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221" w:lineRule="exact"/>
        <w:rPr>
          <w:rFonts w:ascii="Arial" w:cs="Arial" w:eastAsia="Arial" w:hAnsi="Arial"/>
          <w:sz w:val="18"/>
          <w:szCs w:val="18"/>
          <w:color w:val="auto"/>
        </w:rPr>
      </w:pPr>
    </w:p>
    <w:p>
      <w:pPr>
        <w:ind w:left="980" w:hanging="292"/>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both"/>
        <w:spacing w:after="0" w:line="289"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99"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2017 and 2016. If any had been recognized these would have been reported in income tax expense.</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2013 through December 31, 2016 remain subject to examination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computation of diluted earnings per common share excludes outstanding options in periods where the exercise of such options would be anti-dilutive. For the three months ended March 31, 2017 and 2016, the inclusion of -0- and 54,327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gridSpan w:val="2"/>
          </w:tcPr>
          <w:p>
            <w:pPr>
              <w:jc w:val="right"/>
              <w:ind w:right="616"/>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8700" w:type="dxa"/>
            <w:vAlign w:val="bottom"/>
          </w:tcPr>
          <w:p>
            <w:pPr>
              <w:spacing w:after="0"/>
              <w:rPr>
                <w:sz w:val="17"/>
                <w:szCs w:val="17"/>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1800" w:type="dxa"/>
            <w:vAlign w:val="bottom"/>
            <w:tcBorders>
              <w:bottom w:val="single" w:sz="8" w:color="auto"/>
            </w:tcBorders>
          </w:tcPr>
          <w:p>
            <w:pPr>
              <w:jc w:val="right"/>
              <w:ind w:right="879"/>
              <w:spacing w:after="0"/>
              <w:rPr>
                <w:sz w:val="20"/>
                <w:szCs w:val="20"/>
                <w:color w:val="auto"/>
              </w:rPr>
            </w:pPr>
            <w:r>
              <w:rPr>
                <w:rFonts w:ascii="Arial" w:cs="Arial" w:eastAsia="Arial" w:hAnsi="Arial"/>
                <w:sz w:val="15"/>
                <w:szCs w:val="15"/>
                <w:b w:val="1"/>
                <w:bCs w:val="1"/>
                <w:color w:val="auto"/>
              </w:rPr>
              <w:t>2017</w:t>
            </w: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2016</w:t>
            </w:r>
          </w:p>
        </w:tc>
      </w:tr>
      <w:tr>
        <w:trPr>
          <w:trHeight w:val="216"/>
        </w:trPr>
        <w:tc>
          <w:tcPr>
            <w:tcW w:w="8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800" w:type="dxa"/>
            <w:vAlign w:val="bottom"/>
          </w:tcPr>
          <w:p>
            <w:pPr>
              <w:jc w:val="right"/>
              <w:ind w:right="499"/>
              <w:spacing w:after="0"/>
              <w:rPr>
                <w:sz w:val="20"/>
                <w:szCs w:val="20"/>
                <w:color w:val="auto"/>
              </w:rPr>
            </w:pPr>
            <w:r>
              <w:rPr>
                <w:rFonts w:ascii="Arial" w:cs="Arial" w:eastAsia="Arial" w:hAnsi="Arial"/>
                <w:sz w:val="18"/>
                <w:szCs w:val="18"/>
                <w:color w:val="auto"/>
              </w:rPr>
              <w:t>9,663,751</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w w:val="94"/>
              </w:rPr>
              <w:t>7,322,385</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 of dilutive securities, common share equivalents</w:t>
            </w:r>
          </w:p>
        </w:tc>
        <w:tc>
          <w:tcPr>
            <w:tcW w:w="18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184,743</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38,179</w:t>
            </w:r>
          </w:p>
        </w:tc>
      </w:tr>
      <w:tr>
        <w:trPr>
          <w:trHeight w:val="216"/>
        </w:trPr>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used for computing diluted earnings per share</w:t>
            </w: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9,848,494</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4"/>
              </w:rPr>
              <w:t>7,360,564</w:t>
            </w:r>
          </w:p>
        </w:tc>
      </w:tr>
      <w:tr>
        <w:trPr>
          <w:trHeight w:val="21"/>
        </w:trPr>
        <w:tc>
          <w:tcPr>
            <w:tcW w:w="8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5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52"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will be recognized on a straight-line basis over the lease term. At March 31, 2017, cumulative rent expense exceeded cumulative rent payments by $86,494. This difference is recorded as deferred rent and is included in accounts payable, accrued expenses and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As of March 31, 2017, aggregate future minimum rental commitments under the Company’s modified lease agreement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40" w:type="dxa"/>
            <w:vAlign w:val="bottom"/>
          </w:tcPr>
          <w:p>
            <w:pPr>
              <w:ind w:left="280"/>
              <w:spacing w:after="0"/>
              <w:rPr>
                <w:sz w:val="20"/>
                <w:szCs w:val="20"/>
                <w:color w:val="auto"/>
              </w:rPr>
            </w:pPr>
            <w:r>
              <w:rPr>
                <w:rFonts w:ascii="Arial" w:cs="Arial" w:eastAsia="Arial" w:hAnsi="Arial"/>
                <w:sz w:val="15"/>
                <w:szCs w:val="15"/>
                <w:b w:val="1"/>
                <w:bCs w:val="1"/>
                <w:color w:val="auto"/>
              </w:rPr>
              <w:t>For the Year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040" w:type="dxa"/>
            <w:vAlign w:val="bottom"/>
          </w:tcPr>
          <w:p>
            <w:pPr>
              <w:ind w:left="440"/>
              <w:spacing w:after="0" w:line="162" w:lineRule="exact"/>
              <w:rPr>
                <w:sz w:val="20"/>
                <w:szCs w:val="20"/>
                <w:color w:val="auto"/>
              </w:rPr>
            </w:pPr>
            <w:r>
              <w:rPr>
                <w:rFonts w:ascii="Arial" w:cs="Arial" w:eastAsia="Arial" w:hAnsi="Arial"/>
                <w:sz w:val="15"/>
                <w:szCs w:val="15"/>
                <w:b w:val="1"/>
                <w:bCs w:val="1"/>
                <w:color w:val="auto"/>
              </w:rPr>
              <w:t>Ending</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00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Total</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2017 (nine months)</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119,939</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164,117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169,861</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175,806</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181,959</w:t>
            </w:r>
          </w:p>
        </w:tc>
      </w:tr>
      <w:tr>
        <w:trPr>
          <w:trHeight w:val="223"/>
        </w:trPr>
        <w:tc>
          <w:tcPr>
            <w:tcW w:w="2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432,392</w:t>
            </w: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1,244,074</w:t>
            </w: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Rent expense for the three months ended March 31, 2017 and 2016 amounted to $41,342 and $26,126, respectively, and is included in the condensed consolidated statements of income and comprehensive income within other underwriting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evaluated events that occurred subsequent to March 31, 2017 through the date these condensed consolidated financial statements were issued for matters that required disclosure or adjustment in these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May 10, 2017, the Company’s Board of Directors approved a quarterly dividend of $.08 per share payable in cash on June 15, 2017 to stockholders of record as of the close of business on May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5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March 2017, the Company bound a new personal lines quota share reinsurance treaty with different terms effective July 1, 2017. See Note 6, Property and Casualty Insurance Activity – Reinsurance.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spacing w:after="0"/>
        <w:tabs>
          <w:tab w:leader="none" w:pos="1600" w:val="left"/>
        </w:tabs>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offer property and casualty insurance products to individuals and small businesses in New York State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 In October 2016, a homeowners rate, rule, and form filing was approved for use by the State of New Jersey. We began writing business in New Jersey on May 4, 2017.</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November 2016, we commenced a plan of action to upgrade KICO’s A. M. Best rating. In April 2017, A.M. Best upgraded the Financial Strength Rating (FSR) of KICO to A- (Excellent) from B++ (Good). We believe that an A.M. Best rating of A- will open new opportunities of growth for KICO. The plan called for us to raise capital with the intent to contribute a portion of the proceeds to KICO and to reduce KICO’s reliance on quota share reinsurance. 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was approximately $30,137,000. On March 1, 2017, we used $23,000,000 of the net proceeds of the offering to contribute capital to KICO, to support its ratings upgrade plan and additional growth. The remainder of the net proceeds will be used for general corporate purposes. In March 2017, KICO bound its personal lines quota share treaty effective July 1, 2017, reducing the quota share rate to 20% from the current 40%.</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2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Product Lines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3-4 family dwelling package, cooperative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condominium, renters, equipment breakdown and service line endorsements, and personal umbrella policies.</w:t>
      </w:r>
    </w:p>
    <w:p>
      <w:pPr>
        <w:spacing w:after="0" w:line="213" w:lineRule="exact"/>
        <w:rPr>
          <w:sz w:val="20"/>
          <w:szCs w:val="20"/>
          <w:color w:val="auto"/>
        </w:rPr>
      </w:pPr>
    </w:p>
    <w:p>
      <w:pPr>
        <w:jc w:val="both"/>
        <w:ind w:firstLine="692"/>
        <w:spacing w:after="0" w:line="298" w:lineRule="auto"/>
        <w:rPr>
          <w:sz w:val="20"/>
          <w:szCs w:val="20"/>
          <w:color w:val="auto"/>
        </w:rPr>
      </w:pPr>
      <w:r>
        <w:rPr>
          <w:rFonts w:ascii="Arial" w:cs="Arial" w:eastAsia="Arial" w:hAnsi="Arial"/>
          <w:sz w:val="16"/>
          <w:szCs w:val="16"/>
          <w:b w:val="1"/>
          <w:bCs w:val="1"/>
          <w:i w:val="1"/>
          <w:iCs w:val="1"/>
          <w:color w:val="auto"/>
        </w:rPr>
        <w:t xml:space="preserve">Commercial liability: </w:t>
      </w:r>
      <w:r>
        <w:rPr>
          <w:rFonts w:ascii="Arial" w:cs="Arial" w:eastAsia="Arial" w:hAnsi="Arial"/>
          <w:sz w:val="16"/>
          <w:szCs w:val="16"/>
          <w:color w:val="auto"/>
        </w:rPr>
        <w:t>We offer businessowners policies, which consist primarily of small business retail, service, and office risks without a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In the fourth quarter of 2016, we began offering commercial umbrella policies written above our supporting commercial lines policies.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Commercial automobile: </w:t>
      </w:r>
      <w:r>
        <w:rPr>
          <w:rFonts w:ascii="Arial" w:cs="Arial" w:eastAsia="Arial" w:hAnsi="Arial"/>
          <w:sz w:val="18"/>
          <w:szCs w:val="18"/>
          <w:color w:val="auto"/>
        </w:rPr>
        <w:t>Until April 2016, we provided liability and physical damage coverage for light commercial vehicles. Due to the poor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this line, effective October 1, 2014, we decided to no longer accept new commercial auto policies. In February 2015, we decided to no longer offer renewals to our existing commercial auto policies beginning with those that expired on or after May 1, 2015. As of April 30, 2016 we had no commercial auto policies in force. We have 28 open claims remaining as of April 30, 2017.</w:t>
      </w:r>
    </w:p>
    <w:p>
      <w:pPr>
        <w:spacing w:after="0" w:line="2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also have a small participation in mandatory state joint underwriting associations.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underwriting expense ratio: </w:t>
      </w:r>
      <w:r>
        <w:rPr>
          <w:rFonts w:ascii="Arial" w:cs="Arial" w:eastAsia="Arial" w:hAnsi="Arial"/>
          <w:sz w:val="18"/>
          <w:szCs w:val="18"/>
          <w:color w:val="auto"/>
        </w:rPr>
        <w:t>The net underwriting expense ratio is a measure of an insurance company’s operational efficiency in administering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2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condensed consolidated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201" w:lineRule="exact"/>
        <w:rPr>
          <w:sz w:val="20"/>
          <w:szCs w:val="20"/>
          <w:color w:val="auto"/>
        </w:rPr>
      </w:pPr>
    </w:p>
    <w:p>
      <w:pPr>
        <w:jc w:val="both"/>
        <w:ind w:firstLine="692"/>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1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5"/>
                <w:szCs w:val="15"/>
                <w:b w:val="1"/>
                <w:bCs w:val="1"/>
                <w:color w:val="auto"/>
                <w:w w:val="92"/>
              </w:rPr>
              <w:t>Three months ended March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line="162"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line="162" w:lineRule="exact"/>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33"/>
              <w:spacing w:after="0" w:line="162"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Direct written premiums</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26,125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23,043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3,082</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 written premiums</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26,129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23,048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3,081</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 written premiums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540"/>
              <w:spacing w:after="0"/>
              <w:rPr>
                <w:sz w:val="20"/>
                <w:szCs w:val="20"/>
                <w:color w:val="auto"/>
              </w:rPr>
            </w:pPr>
            <w:r>
              <w:rPr>
                <w:rFonts w:ascii="Arial" w:cs="Arial" w:eastAsia="Arial" w:hAnsi="Arial"/>
                <w:sz w:val="18"/>
                <w:szCs w:val="18"/>
                <w:color w:val="auto"/>
              </w:rPr>
              <w:t>Ceded to quota share treaties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6,542</w:t>
            </w:r>
          </w:p>
        </w:tc>
        <w:tc>
          <w:tcPr>
            <w:tcW w:w="2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5,823</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719</w:t>
            </w: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Ceded to excess of loss treaties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540"/>
              <w:spacing w:after="0"/>
              <w:rPr>
                <w:sz w:val="20"/>
                <w:szCs w:val="20"/>
                <w:color w:val="auto"/>
              </w:rPr>
            </w:pPr>
            <w:r>
              <w:rPr>
                <w:rFonts w:ascii="Arial" w:cs="Arial" w:eastAsia="Arial" w:hAnsi="Arial"/>
                <w:sz w:val="18"/>
                <w:szCs w:val="18"/>
                <w:color w:val="auto"/>
              </w:rPr>
              <w:t>Total ceded to catastrophe treaties</w:t>
            </w: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2,542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2,244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298</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ceded written premiums</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9,395</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8,386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16,734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14,662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2,072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540"/>
              <w:spacing w:after="0"/>
              <w:rPr>
                <w:sz w:val="20"/>
                <w:szCs w:val="20"/>
                <w:color w:val="auto"/>
              </w:rPr>
            </w:pPr>
            <w:r>
              <w:rPr>
                <w:rFonts w:ascii="Arial" w:cs="Arial" w:eastAsia="Arial" w:hAnsi="Arial"/>
                <w:sz w:val="18"/>
                <w:szCs w:val="18"/>
                <w:color w:val="auto"/>
              </w:rPr>
              <w:t>Direct and assumed</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1360" w:type="dxa"/>
            <w:vAlign w:val="bottom"/>
          </w:tcPr>
          <w:p>
            <w:pPr>
              <w:jc w:val="right"/>
              <w:spacing w:after="0"/>
              <w:rPr>
                <w:sz w:val="20"/>
                <w:szCs w:val="20"/>
                <w:color w:val="auto"/>
              </w:rPr>
            </w:pPr>
            <w:r>
              <w:rPr>
                <w:rFonts w:ascii="Arial" w:cs="Arial" w:eastAsia="Arial" w:hAnsi="Arial"/>
                <w:sz w:val="18"/>
                <w:szCs w:val="18"/>
                <w:color w:val="auto"/>
              </w:rPr>
              <w:t>166.7%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Ceded to quota share treaties</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Change in net unearned premiums</w:t>
            </w: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360" w:type="dxa"/>
            <w:vAlign w:val="bottom"/>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Direct and assumed</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25,802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22,926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540"/>
              <w:spacing w:after="0"/>
              <w:rPr>
                <w:sz w:val="20"/>
                <w:szCs w:val="20"/>
                <w:color w:val="auto"/>
              </w:rPr>
            </w:pPr>
            <w:r>
              <w:rPr>
                <w:rFonts w:ascii="Arial" w:cs="Arial" w:eastAsia="Arial" w:hAnsi="Arial"/>
                <w:sz w:val="18"/>
                <w:szCs w:val="18"/>
                <w:color w:val="auto"/>
              </w:rPr>
              <w:t>Ceded to quota share treaties</w:t>
            </w: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(9,432)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16,370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14,532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1,838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3,184</w:t>
            </w:r>
          </w:p>
        </w:tc>
        <w:tc>
          <w:tcPr>
            <w:tcW w:w="2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2,770</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414</w:t>
            </w: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Net realized (loss) gain on investments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360" w:type="dxa"/>
            <w:vAlign w:val="bottom"/>
          </w:tcPr>
          <w:p>
            <w:pPr>
              <w:jc w:val="right"/>
              <w:spacing w:after="0"/>
              <w:rPr>
                <w:sz w:val="20"/>
                <w:szCs w:val="20"/>
                <w:color w:val="auto"/>
              </w:rPr>
            </w:pPr>
            <w:r>
              <w:rPr>
                <w:rFonts w:ascii="Arial" w:cs="Arial" w:eastAsia="Arial" w:hAnsi="Arial"/>
                <w:sz w:val="18"/>
                <w:szCs w:val="18"/>
                <w:color w:val="auto"/>
              </w:rPr>
              <w:t>(168.8)%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249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20,647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18,444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2,203</w:t>
            </w: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4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84" w:right="17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5"/>
                <w:szCs w:val="15"/>
                <w:b w:val="1"/>
                <w:bCs w:val="1"/>
                <w:color w:val="auto"/>
                <w:w w:val="92"/>
              </w:rPr>
              <w:t>Three months ended March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53"/>
              <w:spacing w:after="0" w:line="162" w:lineRule="exact"/>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4"/>
                <w:szCs w:val="14"/>
                <w:color w:val="auto"/>
              </w:rPr>
            </w:pPr>
          </w:p>
        </w:tc>
        <w:tc>
          <w:tcPr>
            <w:tcW w:w="1080" w:type="dxa"/>
            <w:vAlign w:val="bottom"/>
          </w:tcPr>
          <w:p>
            <w:pPr>
              <w:jc w:val="right"/>
              <w:ind w:right="454"/>
              <w:spacing w:after="0" w:line="162" w:lineRule="exact"/>
              <w:rPr>
                <w:sz w:val="20"/>
                <w:szCs w:val="20"/>
                <w:color w:val="auto"/>
              </w:rPr>
            </w:pPr>
            <w:r>
              <w:rPr>
                <w:rFonts w:ascii="Arial" w:cs="Arial" w:eastAsia="Arial" w:hAnsi="Arial"/>
                <w:sz w:val="15"/>
                <w:szCs w:val="15"/>
                <w:b w:val="1"/>
                <w:bCs w:val="1"/>
                <w:color w:val="auto"/>
              </w:rPr>
              <w:t>2016</w:t>
            </w:r>
          </w:p>
        </w:tc>
        <w:tc>
          <w:tcPr>
            <w:tcW w:w="320" w:type="dxa"/>
            <w:vAlign w:val="bottom"/>
          </w:tcPr>
          <w:p>
            <w:pPr>
              <w:spacing w:after="0"/>
              <w:rPr>
                <w:sz w:val="14"/>
                <w:szCs w:val="14"/>
                <w:color w:val="auto"/>
              </w:rPr>
            </w:pPr>
          </w:p>
        </w:tc>
        <w:tc>
          <w:tcPr>
            <w:tcW w:w="1040" w:type="dxa"/>
            <w:vAlign w:val="bottom"/>
          </w:tcPr>
          <w:p>
            <w:pPr>
              <w:jc w:val="right"/>
              <w:ind w:right="353"/>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Pr>
          <w:p>
            <w:pPr>
              <w:jc w:val="right"/>
              <w:ind w:right="333"/>
              <w:spacing w:after="0" w:line="162"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20,647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18,444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2,203</w:t>
            </w: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and loss adjustment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Direct and assumed: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12,527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11,460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2,337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direct and assumed loss and loss adjustment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12,527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13,797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Ceded loss and loss adjustment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4,234</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3,378</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856</w:t>
            </w:r>
          </w:p>
        </w:tc>
        <w:tc>
          <w:tcPr>
            <w:tcW w:w="136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935</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Total ceded loss and loss adjustment expenses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4,234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4,313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8,082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1,402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8,293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9,484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 expense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4,889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4,270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underwriting expenses</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4,212</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3,346</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866</w:t>
            </w: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284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w:t>
            </w: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18,469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17,713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756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before taxes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2,178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Provision for income tax</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708</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518</w:t>
            </w:r>
          </w:p>
        </w:tc>
        <w:tc>
          <w:tcPr>
            <w:tcW w:w="1360" w:type="dxa"/>
            <w:vAlign w:val="bottom"/>
          </w:tcPr>
          <w:p>
            <w:pPr>
              <w:jc w:val="right"/>
              <w:spacing w:after="0"/>
              <w:rPr>
                <w:sz w:val="20"/>
                <w:szCs w:val="20"/>
                <w:color w:val="auto"/>
              </w:rPr>
            </w:pPr>
            <w:r>
              <w:rPr>
                <w:rFonts w:ascii="Arial" w:cs="Arial" w:eastAsia="Arial" w:hAnsi="Arial"/>
                <w:sz w:val="18"/>
                <w:szCs w:val="18"/>
                <w:color w:val="auto"/>
              </w:rPr>
              <w:t>272.6%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541</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60" w:firstLine="8"/>
        <w:spacing w:after="0" w:line="255"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March 31, 2016,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5"/>
                <w:szCs w:val="15"/>
                <w:b w:val="1"/>
                <w:bCs w:val="1"/>
                <w:color w:val="auto"/>
                <w:w w:val="96"/>
              </w:rPr>
              <w:t>Three months ended March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right"/>
              <w:ind w:right="58"/>
              <w:spacing w:after="0" w:line="149" w:lineRule="exact"/>
              <w:rPr>
                <w:sz w:val="20"/>
                <w:szCs w:val="20"/>
                <w:color w:val="auto"/>
              </w:rPr>
            </w:pPr>
            <w:r>
              <w:rPr>
                <w:rFonts w:ascii="Arial" w:cs="Arial" w:eastAsia="Arial" w:hAnsi="Arial"/>
                <w:sz w:val="15"/>
                <w:szCs w:val="15"/>
                <w:b w:val="1"/>
                <w:bCs w:val="1"/>
                <w:color w:val="auto"/>
                <w:w w:val="92"/>
              </w:rPr>
              <w:t>Percentage Point</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6840" w:type="dxa"/>
            <w:vAlign w:val="bottom"/>
            <w:gridSpan w:val="2"/>
          </w:tcPr>
          <w:p>
            <w:pPr>
              <w:ind w:left="6500"/>
              <w:spacing w:after="0"/>
              <w:rPr>
                <w:sz w:val="20"/>
                <w:szCs w:val="20"/>
                <w:color w:val="auto"/>
              </w:rPr>
            </w:pPr>
            <w:r>
              <w:rPr>
                <w:rFonts w:ascii="Arial" w:cs="Arial" w:eastAsia="Arial" w:hAnsi="Arial"/>
                <w:sz w:val="15"/>
                <w:szCs w:val="15"/>
                <w:b w:val="1"/>
                <w:bCs w:val="1"/>
                <w:color w:val="auto"/>
                <w:w w:val="95"/>
              </w:rPr>
              <w:t>2017</w:t>
            </w:r>
          </w:p>
        </w:tc>
        <w:tc>
          <w:tcPr>
            <w:tcW w:w="680" w:type="dxa"/>
            <w:vAlign w:val="bottom"/>
          </w:tcPr>
          <w:p>
            <w:pPr>
              <w:spacing w:after="0"/>
              <w:rPr>
                <w:sz w:val="15"/>
                <w:szCs w:val="15"/>
                <w:color w:val="auto"/>
              </w:rPr>
            </w:pPr>
          </w:p>
        </w:tc>
        <w:tc>
          <w:tcPr>
            <w:tcW w:w="1240" w:type="dxa"/>
            <w:vAlign w:val="bottom"/>
          </w:tcPr>
          <w:p>
            <w:pPr>
              <w:jc w:val="right"/>
              <w:ind w:right="518"/>
              <w:spacing w:after="0"/>
              <w:rPr>
                <w:sz w:val="20"/>
                <w:szCs w:val="20"/>
                <w:color w:val="auto"/>
              </w:rPr>
            </w:pPr>
            <w:r>
              <w:rPr>
                <w:rFonts w:ascii="Arial" w:cs="Arial" w:eastAsia="Arial" w:hAnsi="Arial"/>
                <w:sz w:val="15"/>
                <w:szCs w:val="15"/>
                <w:b w:val="1"/>
                <w:bCs w:val="1"/>
                <w:color w:val="auto"/>
              </w:rPr>
              <w:t>2016</w:t>
            </w:r>
          </w:p>
        </w:tc>
        <w:tc>
          <w:tcPr>
            <w:tcW w:w="1300" w:type="dxa"/>
            <w:vAlign w:val="bottom"/>
          </w:tcPr>
          <w:p>
            <w:pPr>
              <w:jc w:val="right"/>
              <w:ind w:right="358"/>
              <w:spacing w:after="0"/>
              <w:rPr>
                <w:sz w:val="20"/>
                <w:szCs w:val="20"/>
                <w:color w:val="auto"/>
              </w:rPr>
            </w:pPr>
            <w:r>
              <w:rPr>
                <w:rFonts w:ascii="Arial" w:cs="Arial" w:eastAsia="Arial" w:hAnsi="Arial"/>
                <w:sz w:val="15"/>
                <w:szCs w:val="15"/>
                <w:b w:val="1"/>
                <w:bCs w:val="1"/>
                <w:color w:val="auto"/>
              </w:rPr>
              <w:t>Change</w:t>
            </w:r>
          </w:p>
        </w:tc>
        <w:tc>
          <w:tcPr>
            <w:tcW w:w="1420" w:type="dxa"/>
            <w:vAlign w:val="bottom"/>
            <w:gridSpan w:val="2"/>
          </w:tcPr>
          <w:p>
            <w:pPr>
              <w:ind w:left="200"/>
              <w:spacing w:after="0"/>
              <w:rPr>
                <w:sz w:val="20"/>
                <w:szCs w:val="20"/>
                <w:color w:val="auto"/>
              </w:rPr>
            </w:pPr>
            <w:r>
              <w:rPr>
                <w:rFonts w:ascii="Arial" w:cs="Arial" w:eastAsia="Arial" w:hAnsi="Arial"/>
                <w:sz w:val="15"/>
                <w:szCs w:val="15"/>
                <w:b w:val="1"/>
                <w:bCs w:val="1"/>
                <w:color w:val="auto"/>
              </w:rPr>
              <w:t>Percent Change</w:t>
            </w:r>
          </w:p>
        </w:tc>
      </w:tr>
      <w:tr>
        <w:trPr>
          <w:trHeight w:val="216"/>
        </w:trPr>
        <w:tc>
          <w:tcPr>
            <w:tcW w:w="59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40" w:type="dxa"/>
            <w:vAlign w:val="bottom"/>
            <w:gridSpan w:val="2"/>
          </w:tcPr>
          <w:p>
            <w:pPr>
              <w:ind w:left="60"/>
              <w:spacing w:after="0"/>
              <w:rPr>
                <w:sz w:val="20"/>
                <w:szCs w:val="20"/>
                <w:color w:val="auto"/>
              </w:rPr>
            </w:pPr>
            <w:r>
              <w:rPr>
                <w:rFonts w:ascii="Arial" w:cs="Arial" w:eastAsia="Arial" w:hAnsi="Arial"/>
                <w:sz w:val="18"/>
                <w:szCs w:val="18"/>
                <w:b w:val="1"/>
                <w:bCs w:val="1"/>
                <w:color w:val="auto"/>
              </w:rPr>
              <w:t>Key ratios:</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50.7%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34.5%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2.9</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8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85.2%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2"/>
                <w:szCs w:val="2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52" w:lineRule="exact"/>
        <w:rPr>
          <w:sz w:val="20"/>
          <w:szCs w:val="20"/>
          <w:color w:val="auto"/>
        </w:rPr>
      </w:pPr>
    </w:p>
    <w:p>
      <w:pPr>
        <w:jc w:val="both"/>
        <w:ind w:right="60" w:firstLine="692"/>
        <w:spacing w:after="0" w:line="256" w:lineRule="auto"/>
        <w:rPr>
          <w:sz w:val="20"/>
          <w:szCs w:val="20"/>
          <w:color w:val="auto"/>
        </w:rPr>
      </w:pPr>
      <w:r>
        <w:rPr>
          <w:rFonts w:ascii="Arial" w:cs="Arial" w:eastAsia="Arial" w:hAnsi="Arial"/>
          <w:sz w:val="18"/>
          <w:szCs w:val="18"/>
          <w:color w:val="auto"/>
        </w:rPr>
        <w:t>Direct written premiums during the three months ended March 31, 2017 (“2017”) were $26,125,000 compared to $23,043,000 during the three months ended March 31, 2016 (“2016”). The increase of $3,082,000, or 13.4%, was primarily due to an increase in policies in-force during 2017 as compared to 2016, and writing policies with higher premiums. We wrote more new policies as a result of continued demand for our products in the markets that we serve. Policies in-force increased by 10.8% as of March 31, 2017 compared to March 31, 2016.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5" w:right="1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52" w:lineRule="exact"/>
        <w:rPr>
          <w:sz w:val="20"/>
          <w:szCs w:val="20"/>
          <w:color w:val="auto"/>
        </w:rPr>
      </w:pPr>
    </w:p>
    <w:p>
      <w:pPr>
        <w:jc w:val="both"/>
        <w:ind w:firstLine="706"/>
        <w:spacing w:after="0" w:line="255" w:lineRule="auto"/>
        <w:rPr>
          <w:sz w:val="20"/>
          <w:szCs w:val="20"/>
          <w:color w:val="auto"/>
        </w:rPr>
      </w:pPr>
      <w:r>
        <w:rPr>
          <w:rFonts w:ascii="Arial" w:cs="Arial" w:eastAsia="Arial" w:hAnsi="Arial"/>
          <w:sz w:val="18"/>
          <w:szCs w:val="18"/>
          <w:color w:val="auto"/>
        </w:rPr>
        <w:t>Net written premiums increased $2,072,000, or 14.1%, to $16,734,000 in 2017 from $14,662,000 in 2016. Net written premiums include direct and assumed premiums, less the amount of written premiums ceded under our reinsurance treaties (quota share, excess of loss, and catastrophe). Our personal lines business is currently subject to a 40% quota share treaty. A reduction to the quota share percentage or elimination of a quota share treaty will reduce our ceded written premiums, which will result in a corresponding increase to our net written premiums. In March 2017, we bound a new personal lines quota share treaty effective July 1, 2017, reducing the quota share rate to 20%.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treaty</w:t>
      </w:r>
    </w:p>
    <w:p>
      <w:pPr>
        <w:spacing w:after="0" w:line="25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An increase in written premiums will also increase the premiums ceded under our excess of loss treaties, which incrementally reduces our net written premiums. In 2017, our ceded excess of loss reinsurance premiums decreased by $8,000 over the comparable ceded premiums for 2016. The decrease was due to more favorable rates in 2017, partially offset by an increase in premiums subject to excess of loss reinsurance.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2017, our catastrophe reinsurance premiums increased by $298,000 over the comparable ceded premiums for 2016.</w:t>
      </w:r>
    </w:p>
    <w:p>
      <w:pPr>
        <w:spacing w:after="0" w:line="2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“gross” basis that expired on June 30, 2015.</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$1,838,000, or 12.6%, to $16,370,000 in 2017 from $14,532,000 in 2016. As premiums written earn ratably over a twelve month period, net premiums earned in 2017 increased due to the higher net written premiums generated for the twelve months ended March 31, 2017 compared to the twelve months ended 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2017 and 2016. This table should be referred to in conjunction with the discussion for ceding commission revenue that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20" w:type="dxa"/>
            <w:vAlign w:val="bottom"/>
            <w:gridSpan w:val="2"/>
          </w:tcPr>
          <w:p>
            <w:pPr>
              <w:ind w:left="700"/>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4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720" w:type="dxa"/>
            <w:vAlign w:val="bottom"/>
            <w:tcBorders>
              <w:bottom w:val="single" w:sz="8" w:color="auto"/>
            </w:tcBorders>
            <w:gridSpan w:val="2"/>
          </w:tcPr>
          <w:p>
            <w:pPr>
              <w:ind w:left="1040"/>
              <w:spacing w:after="0"/>
              <w:rPr>
                <w:sz w:val="20"/>
                <w:szCs w:val="20"/>
                <w:color w:val="auto"/>
              </w:rPr>
            </w:pPr>
            <w:r>
              <w:rPr>
                <w:rFonts w:ascii="Arial" w:cs="Arial" w:eastAsia="Arial" w:hAnsi="Arial"/>
                <w:sz w:val="15"/>
                <w:szCs w:val="15"/>
                <w:b w:val="1"/>
                <w:bCs w:val="1"/>
                <w:color w:val="auto"/>
              </w:rPr>
              <w:t>March 31,</w:t>
            </w:r>
          </w:p>
        </w:tc>
      </w:tr>
      <w:tr>
        <w:trPr>
          <w:trHeight w:val="223"/>
        </w:trPr>
        <w:tc>
          <w:tcPr>
            <w:tcW w:w="4980" w:type="dxa"/>
            <w:vAlign w:val="bottom"/>
          </w:tcPr>
          <w:p>
            <w:pPr>
              <w:spacing w:after="0"/>
              <w:rPr>
                <w:sz w:val="19"/>
                <w:szCs w:val="19"/>
                <w:color w:val="auto"/>
              </w:rPr>
            </w:pPr>
          </w:p>
        </w:tc>
        <w:tc>
          <w:tcPr>
            <w:tcW w:w="5220" w:type="dxa"/>
            <w:vAlign w:val="bottom"/>
            <w:gridSpan w:val="2"/>
          </w:tcPr>
          <w:p>
            <w:pPr>
              <w:jc w:val="right"/>
              <w:ind w:right="606"/>
              <w:spacing w:after="0"/>
              <w:rPr>
                <w:sz w:val="20"/>
                <w:szCs w:val="20"/>
                <w:color w:val="auto"/>
              </w:rPr>
            </w:pPr>
            <w:r>
              <w:rPr>
                <w:rFonts w:ascii="Arial" w:cs="Arial" w:eastAsia="Arial" w:hAnsi="Arial"/>
                <w:sz w:val="15"/>
                <w:szCs w:val="15"/>
                <w:b w:val="1"/>
                <w:bCs w:val="1"/>
                <w:color w:val="auto"/>
              </w:rPr>
              <w:t>2017</w:t>
            </w:r>
          </w:p>
        </w:tc>
        <w:tc>
          <w:tcPr>
            <w:tcW w:w="1220" w:type="dxa"/>
            <w:vAlign w:val="bottom"/>
          </w:tcPr>
          <w:p>
            <w:pPr>
              <w:jc w:val="right"/>
              <w:ind w:right="462"/>
              <w:spacing w:after="0"/>
              <w:rPr>
                <w:sz w:val="20"/>
                <w:szCs w:val="20"/>
                <w:color w:val="auto"/>
              </w:rPr>
            </w:pPr>
            <w:r>
              <w:rPr>
                <w:rFonts w:ascii="Arial" w:cs="Arial" w:eastAsia="Arial" w:hAnsi="Arial"/>
                <w:sz w:val="15"/>
                <w:szCs w:val="15"/>
                <w:b w:val="1"/>
                <w:bCs w:val="1"/>
                <w:color w:val="auto"/>
              </w:rPr>
              <w:t>2016</w:t>
            </w:r>
          </w:p>
        </w:tc>
      </w:tr>
      <w:tr>
        <w:trPr>
          <w:trHeight w:val="149"/>
        </w:trPr>
        <w:tc>
          <w:tcPr>
            <w:tcW w:w="49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tcBorders>
              <w:top w:val="single" w:sz="8" w:color="auto"/>
            </w:tcBorders>
          </w:tcPr>
          <w:p>
            <w:pPr>
              <w:jc w:val="right"/>
              <w:ind w:right="366"/>
              <w:spacing w:after="0" w:line="149" w:lineRule="exact"/>
              <w:rPr>
                <w:sz w:val="20"/>
                <w:szCs w:val="20"/>
                <w:color w:val="auto"/>
              </w:rPr>
            </w:pPr>
            <w:r>
              <w:rPr>
                <w:rFonts w:ascii="Arial" w:cs="Arial" w:eastAsia="Arial" w:hAnsi="Arial"/>
                <w:sz w:val="15"/>
                <w:szCs w:val="15"/>
                <w:b w:val="1"/>
                <w:bCs w:val="1"/>
                <w:color w:val="auto"/>
              </w:rPr>
              <w:t>("2016/2017</w:t>
            </w:r>
          </w:p>
        </w:tc>
        <w:tc>
          <w:tcPr>
            <w:tcW w:w="1220" w:type="dxa"/>
            <w:vAlign w:val="bottom"/>
            <w:tcBorders>
              <w:top w:val="single" w:sz="8" w:color="auto"/>
            </w:tcBorders>
          </w:tcPr>
          <w:p>
            <w:pPr>
              <w:jc w:val="right"/>
              <w:ind w:right="222"/>
              <w:spacing w:after="0" w:line="149" w:lineRule="exact"/>
              <w:rPr>
                <w:sz w:val="20"/>
                <w:szCs w:val="20"/>
                <w:color w:val="auto"/>
              </w:rPr>
            </w:pPr>
            <w:r>
              <w:rPr>
                <w:rFonts w:ascii="Arial" w:cs="Arial" w:eastAsia="Arial" w:hAnsi="Arial"/>
                <w:sz w:val="15"/>
                <w:szCs w:val="15"/>
                <w:b w:val="1"/>
                <w:bCs w:val="1"/>
                <w:color w:val="auto"/>
              </w:rPr>
              <w:t>("2015/2016</w:t>
            </w:r>
          </w:p>
        </w:tc>
      </w:tr>
      <w:tr>
        <w:trPr>
          <w:trHeight w:val="192"/>
        </w:trPr>
        <w:tc>
          <w:tcPr>
            <w:tcW w:w="4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5"/>
                <w:szCs w:val="15"/>
                <w:b w:val="1"/>
                <w:bCs w:val="1"/>
                <w:color w:val="auto"/>
              </w:rPr>
              <w:t>Treaty")</w:t>
            </w:r>
          </w:p>
        </w:tc>
        <w:tc>
          <w:tcPr>
            <w:tcW w:w="1220" w:type="dxa"/>
            <w:vAlign w:val="bottom"/>
          </w:tcPr>
          <w:p>
            <w:pPr>
              <w:jc w:val="right"/>
              <w:ind w:right="322"/>
              <w:spacing w:after="0"/>
              <w:rPr>
                <w:sz w:val="20"/>
                <w:szCs w:val="20"/>
                <w:color w:val="auto"/>
              </w:rPr>
            </w:pPr>
            <w:r>
              <w:rPr>
                <w:rFonts w:ascii="Arial" w:cs="Arial" w:eastAsia="Arial" w:hAnsi="Arial"/>
                <w:sz w:val="15"/>
                <w:szCs w:val="15"/>
                <w:b w:val="1"/>
                <w:bCs w:val="1"/>
                <w:color w:val="auto"/>
              </w:rPr>
              <w:t>Treaty")</w:t>
            </w:r>
          </w:p>
        </w:tc>
      </w:tr>
      <w:tr>
        <w:trPr>
          <w:trHeight w:val="199"/>
        </w:trPr>
        <w:tc>
          <w:tcPr>
            <w:tcW w:w="4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8"/>
              </w:rPr>
              <w:t>Provisional ceding commission rate on quota share treaty</w:t>
            </w:r>
          </w:p>
        </w:tc>
        <w:tc>
          <w:tcPr>
            <w:tcW w:w="3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2"/>
        </w:trPr>
        <w:tc>
          <w:tcPr>
            <w:tcW w:w="4980" w:type="dxa"/>
            <w:vAlign w:val="bottom"/>
          </w:tcPr>
          <w:p>
            <w:pPr>
              <w:ind w:left="60"/>
              <w:spacing w:after="0"/>
              <w:rPr>
                <w:sz w:val="20"/>
                <w:szCs w:val="20"/>
                <w:color w:val="auto"/>
              </w:rPr>
            </w:pPr>
            <w:r>
              <w:rPr>
                <w:rFonts w:ascii="Arial" w:cs="Arial" w:eastAsia="Arial" w:hAnsi="Arial"/>
                <w:sz w:val="18"/>
                <w:szCs w:val="18"/>
                <w:color w:val="auto"/>
              </w:rPr>
              <w:t>Personal lines</w:t>
            </w:r>
          </w:p>
        </w:tc>
        <w:tc>
          <w:tcPr>
            <w:tcW w:w="5220" w:type="dxa"/>
            <w:vAlign w:val="bottom"/>
            <w:gridSpan w:val="2"/>
          </w:tcPr>
          <w:p>
            <w:pPr>
              <w:ind w:left="4760"/>
              <w:spacing w:after="0"/>
              <w:rPr>
                <w:sz w:val="20"/>
                <w:szCs w:val="20"/>
                <w:color w:val="auto"/>
              </w:rPr>
            </w:pPr>
            <w:r>
              <w:rPr>
                <w:rFonts w:ascii="Arial" w:cs="Arial" w:eastAsia="Arial" w:hAnsi="Arial"/>
                <w:sz w:val="18"/>
                <w:szCs w:val="18"/>
                <w:color w:val="auto"/>
              </w:rPr>
              <w:t>52%</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892"/>
        </w:trPr>
        <w:tc>
          <w:tcPr>
            <w:tcW w:w="49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817"/>
              <w:spacing w:after="0"/>
              <w:rPr>
                <w:sz w:val="20"/>
                <w:szCs w:val="20"/>
                <w:color w:val="auto"/>
              </w:rPr>
            </w:pPr>
            <w:r>
              <w:rPr>
                <w:rFonts w:ascii="Arial" w:cs="Arial" w:eastAsia="Arial" w:hAnsi="Arial"/>
                <w:sz w:val="18"/>
                <w:szCs w:val="18"/>
                <w:color w:val="auto"/>
              </w:rPr>
              <w:t>38</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0"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table summarizes the changes in the components of ceding commission revenue (in thousands)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5"/>
                <w:szCs w:val="15"/>
                <w:b w:val="1"/>
                <w:bCs w:val="1"/>
                <w:color w:val="auto"/>
                <w:w w:val="92"/>
              </w:rPr>
              <w:t>Three months ended March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6"/>
              <w:spacing w:after="0" w:line="162"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8"/>
              <w:spacing w:after="0" w:line="162" w:lineRule="exact"/>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36"/>
              <w:spacing w:after="0" w:line="162"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Provisional ceding commissions earned</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3,343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3,099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244</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Contingent ceding commissions earned</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(329)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ceding commission revenue</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3,184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2,770</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414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Ceding commission revenue was $3,184,000 in 2017 compared to $2,770,000 in 2016. The increase of $414,000, or 14.9%, was due to an increase in provisional ceding commissions earned and a reduction in negative contingent ceding commissions earned.</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52"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We receive a provisional ceding commission based on ceded written premiums. In 2017 our provisional ceding rate was 52% effective July 1, 2016 under the 2016/2017 Treaty. In 2016 our provisional ceding rate was 55% effective July 1, 2015 under the 2015/2016 Treaty. The $244,000 increase in provisional ceding commissions earned is due to an increase in personal lines direct written premiums subject to the quota share, partially offset by the decrease in our provisional ceding commission rate as discussed above.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52"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2017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 under those treaties.</w:t>
      </w:r>
    </w:p>
    <w:p>
      <w:pPr>
        <w:spacing w:after="0" w:line="197"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6"/>
          <w:szCs w:val="16"/>
          <w:color w:val="auto"/>
        </w:rPr>
        <w:t>The 2016/2017 Treaty and 2015/2016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our “net” treaty structure, catastrophe losses in excess of the $5,000,000 retention will fall outside of the quota share treaty and such losses will not have an impact on contingent ceding commissions, as was the case under previous “gross” treaties. The “net” structure eliminates the adverse impact that catastrophe losses can have on contingent ceding commissions. See “Reinsurance” below for changes to our personal lines quota share treaty to take effect on July 1,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52"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6"/>
          <w:szCs w:val="16"/>
          <w:color w:val="auto"/>
        </w:rPr>
        <w:t>Net investment income was $858,000 in 2017 compared to $813,000 in 2016. The increase of $45,000, or 5.5%, was due to an increase in average invested assets in 2017, partially offset by a decrease in average yield. The average investment yield on invested assets was 3.77% as of March 31, 2017 compared to 4.51% as of March 31, 2016. The pre-tax equivalent investment yield on invested assets was 4.03% and 4.80% as of March 31, 2017 and 2016, respectively. The decrease in the average investment yield and the pre-tax equivalent investment yield is due to a shift toward: (1) shorter duration investments, which inherently have a lower yield, and (2) higher rated securities. A reduction in interest rates resulted in an increase to unrealized gains on our portfolio, which in turn reduced the average investment yield and the pre-tax equivalent investment yield.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90" w:right="179" w:bottom="1440" w:gutter="0" w:footer="0" w:header="0"/>
        </w:sectPr>
      </w:pPr>
    </w:p>
    <w:bookmarkStart w:id="41" w:name="page42"/>
    <w:bookmarkEnd w:id="41"/>
    <w:p>
      <w:pPr>
        <w:jc w:val="both"/>
        <w:ind w:firstLine="648"/>
        <w:spacing w:after="0" w:line="291" w:lineRule="auto"/>
        <w:rPr>
          <w:sz w:val="20"/>
          <w:szCs w:val="20"/>
          <w:color w:val="auto"/>
        </w:rPr>
      </w:pPr>
      <w:r>
        <w:rPr>
          <w:rFonts w:ascii="Arial" w:cs="Arial" w:eastAsia="Arial" w:hAnsi="Arial"/>
          <w:sz w:val="16"/>
          <w:szCs w:val="16"/>
          <w:color w:val="auto"/>
        </w:rPr>
        <w:t>Cash and invested assets was $138,921,000 as of March 31, 2017, compared to $93,976,000 as of March 31, 2016. The $44,945,000 increase in cash and invested assets resulted primarily from the net proceeds of $30,137,000 that we received in January and February of 2017 from our public offering, net proceeds of $4,808,000 that we received in April 2016 from a private placement and increased operating cash flows for the period after March 31, 2016. The net proceeds of the public offering was invested in cash equivalents until we received approval from the New York State Department of Financial Services to contribute $23,000,000 to KICO. The contribution of $23,000,000 to KICO on March 1, 2017, and subsequent investments from the proceeds was too late in the quarter to have a material effect on our investment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52"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Other income was $290,000 in 2017 compared to $249,000 in 2016. The increase of $41,000, or 16.5%, was primarily due to an increase in installment and finance fees earned in our insurance underwriting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loss and LAE was $8,293,000 in 2017 compared to $9,484,000 in 2016. The net loss ratio was 50.7% in 2017 compared to 65.3% in 2016, a decrease of 14.6 percentage points.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165735</wp:posOffset>
            </wp:positionV>
            <wp:extent cx="4596765" cy="4279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96765"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During 2017, the net loss ratio decreased compared to 2016 due to a combination of several factors. First, due to a relatively mild winter season, there was a reduction in the impact of severe winter weather. We record a catastrophe impact for this component if losses incurred from winter weather claims exceed those expected in an average winter. Since 2017 exhibited milder than average winter weather, we did not record a catastrophe impact from severe winter weather. This compares to the 9.7 point impact in 2016, or a decrease of 9.7 points. We recorded no impact from prior year loss development in 2017 compared to 2.9 points of favorable prior year development in 2016, or a decrease in the favorable impact of 2.9 points year-over-year. In addition, the core loss ratio excluding the impact of severe winter weather and prior year development decreased to 50.7% in 2017 from 58.5% in 2016, or a decrease of 7.8 points. The decrease in the core net loss ratio is driven by declines in personal lines frequency and a reduced impact from large fire claims. See table below under “Additional Financial Information” summarizing net loss ratios by line of business.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Commercial Auto Line of Business</w:t>
      </w:r>
    </w:p>
    <w:p>
      <w:pPr>
        <w:spacing w:after="0" w:line="252"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3" w:name="page44"/>
    <w:bookmarkEnd w:id="43"/>
    <w:p>
      <w:pPr>
        <w:jc w:val="both"/>
        <w:ind w:firstLine="692"/>
        <w:spacing w:after="0" w:line="268" w:lineRule="auto"/>
        <w:rPr>
          <w:sz w:val="20"/>
          <w:szCs w:val="20"/>
          <w:color w:val="auto"/>
        </w:rPr>
      </w:pPr>
      <w:r>
        <w:rPr>
          <w:rFonts w:ascii="Arial" w:cs="Arial" w:eastAsia="Arial" w:hAnsi="Arial"/>
          <w:sz w:val="18"/>
          <w:szCs w:val="18"/>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vMerge w:val="restart"/>
          </w:tcPr>
          <w:p>
            <w:pPr>
              <w:ind w:left="1040"/>
              <w:spacing w:after="0"/>
              <w:rPr>
                <w:sz w:val="20"/>
                <w:szCs w:val="20"/>
                <w:color w:val="auto"/>
              </w:rPr>
            </w:pPr>
            <w:r>
              <w:rPr>
                <w:rFonts w:ascii="Arial" w:cs="Arial" w:eastAsia="Arial" w:hAnsi="Arial"/>
                <w:sz w:val="15"/>
                <w:szCs w:val="15"/>
                <w:b w:val="1"/>
                <w:bCs w:val="1"/>
                <w:color w:val="auto"/>
              </w:rPr>
              <w:t>Commercial Auto</w:t>
            </w: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8"/>
              </w:rPr>
              <w:t>Commercial Auto as a</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Total Loss and LAE</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auto"/>
            </w:tcBorders>
          </w:tcPr>
          <w:p>
            <w:pPr>
              <w:ind w:left="1780"/>
              <w:spacing w:after="0"/>
              <w:rPr>
                <w:sz w:val="20"/>
                <w:szCs w:val="20"/>
                <w:color w:val="auto"/>
              </w:rPr>
            </w:pPr>
            <w:r>
              <w:rPr>
                <w:rFonts w:ascii="Arial" w:cs="Arial" w:eastAsia="Arial" w:hAnsi="Arial"/>
                <w:sz w:val="15"/>
                <w:szCs w:val="15"/>
                <w:b w:val="1"/>
                <w:bCs w:val="1"/>
                <w:color w:val="auto"/>
              </w:rPr>
              <w:t>As of</w:t>
            </w:r>
          </w:p>
        </w:tc>
        <w:tc>
          <w:tcPr>
            <w:tcW w:w="140" w:type="dxa"/>
            <w:vAlign w:val="bottom"/>
          </w:tcPr>
          <w:p>
            <w:pPr>
              <w:spacing w:after="0"/>
              <w:rPr>
                <w:sz w:val="15"/>
                <w:szCs w:val="15"/>
                <w:color w:val="auto"/>
              </w:rPr>
            </w:pP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0"/>
              </w:rPr>
              <w:t>Number of Open Claims Loss and LAE Reserves</w:t>
            </w:r>
          </w:p>
        </w:tc>
        <w:tc>
          <w:tcPr>
            <w:tcW w:w="160" w:type="dxa"/>
            <w:vAlign w:val="bottom"/>
          </w:tcPr>
          <w:p>
            <w:pPr>
              <w:spacing w:after="0"/>
              <w:rPr>
                <w:sz w:val="15"/>
                <w:szCs w:val="15"/>
                <w:color w:val="auto"/>
              </w:rPr>
            </w:pPr>
          </w:p>
        </w:tc>
        <w:tc>
          <w:tcPr>
            <w:tcW w:w="23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w w:val="98"/>
              </w:rPr>
              <w:t>Total Loss and LAE Reserves</w:t>
            </w:r>
          </w:p>
        </w:tc>
        <w:tc>
          <w:tcPr>
            <w:tcW w:w="14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Reserves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(in thousands except number of open claims and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December 31, 2013</w:t>
            </w:r>
          </w:p>
        </w:tc>
        <w:tc>
          <w:tcPr>
            <w:tcW w:w="15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170</w:t>
            </w:r>
          </w:p>
        </w:tc>
        <w:tc>
          <w:tcPr>
            <w:tcW w:w="20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$9,185</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$34,503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4580" w:type="dxa"/>
            <w:vAlign w:val="bottom"/>
            <w:gridSpan w:val="2"/>
          </w:tcPr>
          <w:p>
            <w:pPr>
              <w:jc w:val="right"/>
              <w:ind w:right="612"/>
              <w:spacing w:after="0"/>
              <w:rPr>
                <w:sz w:val="20"/>
                <w:szCs w:val="20"/>
                <w:color w:val="auto"/>
              </w:rPr>
            </w:pPr>
            <w:r>
              <w:rPr>
                <w:rFonts w:ascii="Arial" w:cs="Arial" w:eastAsia="Arial" w:hAnsi="Arial"/>
                <w:sz w:val="18"/>
                <w:szCs w:val="18"/>
                <w:color w:val="auto"/>
              </w:rPr>
              <w:t>December 31, 2014</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114</w:t>
            </w:r>
          </w:p>
        </w:tc>
        <w:tc>
          <w:tcPr>
            <w:tcW w:w="2040" w:type="dxa"/>
            <w:vAlign w:val="bottom"/>
          </w:tcPr>
          <w:p>
            <w:pPr>
              <w:jc w:val="right"/>
              <w:ind w:right="872"/>
              <w:spacing w:after="0"/>
              <w:rPr>
                <w:sz w:val="20"/>
                <w:szCs w:val="20"/>
                <w:color w:val="auto"/>
              </w:rPr>
            </w:pPr>
            <w:r>
              <w:rPr>
                <w:rFonts w:ascii="Arial" w:cs="Arial" w:eastAsia="Arial" w:hAnsi="Arial"/>
                <w:sz w:val="18"/>
                <w:szCs w:val="18"/>
                <w:color w:val="auto"/>
              </w:rPr>
              <w:t>$8,126</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$39,613</w:t>
            </w: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5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December 31, 2015</w:t>
            </w:r>
          </w:p>
        </w:tc>
        <w:tc>
          <w:tcPr>
            <w:tcW w:w="15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68</w:t>
            </w:r>
          </w:p>
        </w:tc>
        <w:tc>
          <w:tcPr>
            <w:tcW w:w="20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$4,971</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$39,877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50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1080" w:type="dxa"/>
            <w:vAlign w:val="bottom"/>
          </w:tcPr>
          <w:p>
            <w:pPr>
              <w:jc w:val="right"/>
              <w:ind w:right="612"/>
              <w:spacing w:after="0"/>
              <w:rPr>
                <w:sz w:val="20"/>
                <w:szCs w:val="20"/>
                <w:color w:val="auto"/>
              </w:rPr>
            </w:pPr>
            <w:r>
              <w:rPr>
                <w:rFonts w:ascii="Arial" w:cs="Arial" w:eastAsia="Arial" w:hAnsi="Arial"/>
                <w:sz w:val="18"/>
                <w:szCs w:val="18"/>
                <w:color w:val="auto"/>
                <w:w w:val="89"/>
              </w:rPr>
              <w:t>2016</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34</w:t>
            </w:r>
          </w:p>
        </w:tc>
        <w:tc>
          <w:tcPr>
            <w:tcW w:w="2040" w:type="dxa"/>
            <w:vAlign w:val="bottom"/>
          </w:tcPr>
          <w:p>
            <w:pPr>
              <w:jc w:val="right"/>
              <w:ind w:right="872"/>
              <w:spacing w:after="0"/>
              <w:rPr>
                <w:sz w:val="20"/>
                <w:szCs w:val="20"/>
                <w:color w:val="auto"/>
              </w:rPr>
            </w:pPr>
            <w:r>
              <w:rPr>
                <w:rFonts w:ascii="Arial" w:cs="Arial" w:eastAsia="Arial" w:hAnsi="Arial"/>
                <w:sz w:val="18"/>
                <w:szCs w:val="18"/>
                <w:color w:val="auto"/>
              </w:rPr>
              <w:t>$2,434</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$41,737</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w:t>
            </w:r>
          </w:p>
        </w:tc>
        <w:tc>
          <w:tcPr>
            <w:tcW w:w="1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89"/>
              </w:rPr>
              <w:t>2017</w:t>
            </w:r>
          </w:p>
        </w:tc>
        <w:tc>
          <w:tcPr>
            <w:tcW w:w="15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w:t>
            </w:r>
          </w:p>
        </w:tc>
        <w:tc>
          <w:tcPr>
            <w:tcW w:w="20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$2,053</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$44,612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35" w:lineRule="exact"/>
        <w:rPr>
          <w:sz w:val="20"/>
          <w:szCs w:val="20"/>
          <w:color w:val="auto"/>
        </w:rPr>
      </w:pPr>
    </w:p>
    <w:p>
      <w:pPr>
        <w:jc w:val="both"/>
        <w:ind w:firstLine="692"/>
        <w:spacing w:after="0" w:line="256" w:lineRule="auto"/>
        <w:rPr>
          <w:sz w:val="20"/>
          <w:szCs w:val="20"/>
          <w:color w:val="auto"/>
        </w:rPr>
      </w:pPr>
      <w:r>
        <w:rPr>
          <w:rFonts w:ascii="Arial" w:cs="Arial" w:eastAsia="Arial" w:hAnsi="Arial"/>
          <w:sz w:val="18"/>
          <w:szCs w:val="18"/>
          <w:color w:val="auto"/>
        </w:rPr>
        <w:t>Commercial auto liability loss and LAE reserves account for a rapidly decreasing percentage of our total loss and LAE reserves, and as of March 31, 2017 comprise 4.6%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Commission expense was $4,889,000 in 2017 or 19.0% of direct earned premiums. Commission expense was $4,270,000 in 2016 or 18.6% of direct earned premiums. The increase of $619,000 is due to the increase in direct written premiums in 2017 as compared to 2016. The increase in the percentage of commission expense to direct earned premiums to 19.0% in 2017 from 18.6% in 2016. The higher average commission rate in 2017 is due to growth in premiums written by certain producers, which made them eligible for an increase in commission rates in 2017. In addition, average commission rates increased due to a change in the mix of business to lines of business with higher commission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underwriting expenses were $4,212,000 in 2017 compared to $3,346,000 in 2016. The increase of $866,000, or 25.9%, in other underwriting expenses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$228,000 in 2017 compared to $25,000 in 2016. The increase of $203,000 includes the costs of salaries and employment costs, professional fees, IT and data services.</w:t>
      </w:r>
    </w:p>
    <w:p>
      <w:pPr>
        <w:spacing w:after="0" w:line="2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Salaries and employment costs, excluding Expansion Expenses costs discussed above, were $1,727,000 in 2017 compared to $1,516,000 in 2016. The increase of $211,000, or 13.9%, was slightly above the 12.6% increase in net premiums earned. Our employee bonus plan is aligned with our combined ratio. The lower the combined ratio, the greater the bonus percentage that our employees receive on their annual salaries. The combined ratio decreased by 11.7 percentage points in 2017, resulting in a $94,000 increase in the 2017 accrued bonus. The remaining increase in employment costs was due to hiring of additional staff to service our current level of business and anticipated growth in volume and annual rate increases in salaries.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jc w:val="both"/>
        <w:ind w:right="20" w:firstLine="648"/>
        <w:spacing w:after="0" w:line="306" w:lineRule="auto"/>
        <w:rPr>
          <w:sz w:val="20"/>
          <w:szCs w:val="20"/>
          <w:color w:val="auto"/>
        </w:rPr>
      </w:pPr>
      <w:r>
        <w:rPr>
          <w:rFonts w:ascii="Arial" w:cs="Arial" w:eastAsia="Arial" w:hAnsi="Arial"/>
          <w:sz w:val="16"/>
          <w:szCs w:val="16"/>
          <w:color w:val="auto"/>
        </w:rPr>
        <w:t>Other underwriting expenses as a percentage of net premiums earned was 25.7% in 2017 compared to 23.0% in 2016. The table below provides an analysis of the significant components of the 2.7 percentage point increase. Our net underwriting expense ratio in 2017 was 34.5% compared with 31.6% in 2016. The following table shows the individual components of our net underwriting expense ratio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900" w:type="dxa"/>
            <w:vAlign w:val="bottom"/>
            <w:gridSpan w:val="3"/>
          </w:tcPr>
          <w:p>
            <w:pPr>
              <w:jc w:val="right"/>
              <w:ind w:right="860"/>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6"/>
                <w:szCs w:val="16"/>
                <w:color w:val="auto"/>
              </w:rPr>
            </w:pPr>
          </w:p>
        </w:tc>
      </w:tr>
      <w:tr>
        <w:trPr>
          <w:trHeight w:val="206"/>
        </w:trPr>
        <w:tc>
          <w:tcPr>
            <w:tcW w:w="7320" w:type="dxa"/>
            <w:vAlign w:val="bottom"/>
          </w:tcPr>
          <w:p>
            <w:pPr>
              <w:spacing w:after="0"/>
              <w:rPr>
                <w:sz w:val="17"/>
                <w:szCs w:val="17"/>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54"/>
              <w:spacing w:after="0"/>
              <w:rPr>
                <w:sz w:val="20"/>
                <w:szCs w:val="20"/>
                <w:color w:val="auto"/>
              </w:rPr>
            </w:pPr>
            <w:r>
              <w:rPr>
                <w:rFonts w:ascii="Arial" w:cs="Arial" w:eastAsia="Arial" w:hAnsi="Arial"/>
                <w:sz w:val="15"/>
                <w:szCs w:val="15"/>
                <w:b w:val="1"/>
                <w:bCs w:val="1"/>
                <w:color w:val="auto"/>
              </w:rPr>
              <w:t>Percentage</w:t>
            </w:r>
          </w:p>
        </w:tc>
      </w:tr>
      <w:tr>
        <w:trPr>
          <w:trHeight w:val="223"/>
        </w:trPr>
        <w:tc>
          <w:tcPr>
            <w:tcW w:w="7320" w:type="dxa"/>
            <w:vAlign w:val="bottom"/>
          </w:tcPr>
          <w:p>
            <w:pPr>
              <w:spacing w:after="0"/>
              <w:rPr>
                <w:sz w:val="19"/>
                <w:szCs w:val="19"/>
                <w:color w:val="auto"/>
              </w:rPr>
            </w:pPr>
          </w:p>
        </w:tc>
        <w:tc>
          <w:tcPr>
            <w:tcW w:w="1820" w:type="dxa"/>
            <w:vAlign w:val="bottom"/>
            <w:tcBorders>
              <w:bottom w:val="single" w:sz="8" w:color="auto"/>
            </w:tcBorders>
          </w:tcPr>
          <w:p>
            <w:pPr>
              <w:jc w:val="right"/>
              <w:ind w:right="875"/>
              <w:spacing w:after="0"/>
              <w:rPr>
                <w:sz w:val="20"/>
                <w:szCs w:val="20"/>
                <w:color w:val="auto"/>
              </w:rPr>
            </w:pPr>
            <w:r>
              <w:rPr>
                <w:rFonts w:ascii="Arial" w:cs="Arial" w:eastAsia="Arial" w:hAnsi="Arial"/>
                <w:sz w:val="15"/>
                <w:szCs w:val="15"/>
                <w:b w:val="1"/>
                <w:bCs w:val="1"/>
                <w:color w:val="auto"/>
              </w:rPr>
              <w:t>2017</w:t>
            </w: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w w:val="97"/>
              </w:rPr>
              <w:t>Point Change</w:t>
            </w:r>
          </w:p>
        </w:tc>
      </w:tr>
      <w:tr>
        <w:trPr>
          <w:trHeight w:val="216"/>
        </w:trPr>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820" w:type="dxa"/>
            <w:vAlign w:val="bottom"/>
          </w:tcPr>
          <w:p>
            <w:pPr>
              <w:jc w:val="right"/>
              <w:ind w:right="295"/>
              <w:spacing w:after="0"/>
              <w:rPr>
                <w:sz w:val="20"/>
                <w:szCs w:val="20"/>
                <w:color w:val="auto"/>
              </w:rPr>
            </w:pPr>
            <w:r>
              <w:rPr>
                <w:rFonts w:ascii="Arial" w:cs="Arial" w:eastAsia="Arial" w:hAnsi="Arial"/>
                <w:sz w:val="18"/>
                <w:szCs w:val="18"/>
                <w:color w:val="auto"/>
              </w:rPr>
              <w:t>(20.4)%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0.9</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contingent</w:t>
            </w:r>
          </w:p>
        </w:tc>
        <w:tc>
          <w:tcPr>
            <w:tcW w:w="18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820" w:type="dxa"/>
            <w:vAlign w:val="bottom"/>
          </w:tcPr>
          <w:p>
            <w:pPr>
              <w:jc w:val="right"/>
              <w:ind w:right="435"/>
              <w:spacing w:after="0"/>
              <w:rPr>
                <w:sz w:val="20"/>
                <w:szCs w:val="20"/>
                <w:color w:val="auto"/>
              </w:rPr>
            </w:pPr>
            <w:r>
              <w:rPr>
                <w:rFonts w:ascii="Arial" w:cs="Arial" w:eastAsia="Arial" w:hAnsi="Arial"/>
                <w:sz w:val="18"/>
                <w:szCs w:val="18"/>
                <w:color w:val="auto"/>
              </w:rPr>
              <w:t>(1.6)</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0.1</w:t>
            </w: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Acquistion costs and other underwriting expenses:</w:t>
            </w: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color w:val="auto"/>
              </w:rPr>
              <w:t>Commission expense</w:t>
            </w:r>
          </w:p>
        </w:tc>
        <w:tc>
          <w:tcPr>
            <w:tcW w:w="182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29.8</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0.4</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8.8</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Other underwriting expenses</w:t>
            </w: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Employment costs attributable to core NY business</w:t>
            </w:r>
          </w:p>
        </w:tc>
        <w:tc>
          <w:tcPr>
            <w:tcW w:w="18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Expansion Expenses</w:t>
            </w:r>
          </w:p>
        </w:tc>
        <w:tc>
          <w:tcPr>
            <w:tcW w:w="1820" w:type="dxa"/>
            <w:vAlign w:val="bottom"/>
          </w:tcPr>
          <w:p>
            <w:pPr>
              <w:jc w:val="right"/>
              <w:ind w:right="495"/>
              <w:spacing w:after="0"/>
              <w:rPr>
                <w:sz w:val="20"/>
                <w:szCs w:val="20"/>
                <w:color w:val="auto"/>
              </w:rPr>
            </w:pPr>
            <w:r>
              <w:rPr>
                <w:rFonts w:ascii="Arial" w:cs="Arial" w:eastAsia="Arial" w:hAnsi="Arial"/>
                <w:sz w:val="18"/>
                <w:szCs w:val="18"/>
                <w:color w:val="auto"/>
              </w:rPr>
              <w:t>1.4</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 expenses</w:t>
            </w:r>
          </w:p>
        </w:tc>
        <w:tc>
          <w:tcPr>
            <w:tcW w:w="18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0.5</w:t>
            </w: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Adjustment to state premium tax rate</w:t>
            </w:r>
          </w:p>
        </w:tc>
        <w:tc>
          <w:tcPr>
            <w:tcW w:w="182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0.9</w:t>
            </w:r>
          </w:p>
        </w:tc>
      </w:tr>
      <w:tr>
        <w:trPr>
          <w:trHeight w:val="223"/>
        </w:trPr>
        <w:tc>
          <w:tcPr>
            <w:tcW w:w="7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expenses</w:t>
            </w:r>
          </w:p>
        </w:tc>
        <w:tc>
          <w:tcPr>
            <w:tcW w:w="182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11.8</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Total other underwriting expenses</w:t>
            </w:r>
          </w:p>
        </w:tc>
        <w:tc>
          <w:tcPr>
            <w:tcW w:w="182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25.7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2.7</w:t>
            </w:r>
          </w:p>
        </w:tc>
      </w:tr>
      <w:tr>
        <w:trPr>
          <w:trHeight w:val="216"/>
        </w:trPr>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underwriting expense ratio</w:t>
            </w:r>
          </w:p>
        </w:tc>
        <w:tc>
          <w:tcPr>
            <w:tcW w:w="18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34.5%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2.9</w:t>
            </w:r>
          </w:p>
        </w:tc>
      </w:tr>
      <w:tr>
        <w:trPr>
          <w:trHeight w:val="21"/>
        </w:trPr>
        <w:tc>
          <w:tcPr>
            <w:tcW w:w="7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operating expenses, related to the expenses of our holding company, were $756,000 in 2017 compared to $329,000 in 2016. The increase in 2017 of $427,000, or 129.8%, was primarily due to increases in both executive bonus compensation and equity compensation.</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Depreciation and Amortization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was $319,000 in 2017 compared to $284,000 in 2016. The increase of $35,000, or 12.3%, in depreciation and amortization was primarily due to depreciation on newly purchased assets used to upgrade our systems infrastructure and the Kingston, New York home office building from which we operate.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in 2017 was $708,000, which resulted in an effective tax rate of 32.5%. Income tax expense in 2016 was $190,000, which resulted in an effective tax rate of 26.0%. Income before taxes was $2,178,000 in 2017 compared to $731,000 in 2016. The increase in the effective tax rate by 6.5 percentage points in 2017 is primarily due to a decrease in benefits from various permanent differences.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Net Income</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income was $1,470,000 in 2017 compared to $541,000 in 2016. The increase in net income of $929,000, or 171.7%, was due to the circumstances described above that caused the increase in our net premiums earned, ceding commission revenue, net investment income, other income and a decrease in our net loss ratio, partially offset by increases in net realized losses on investments, other underwriting expenses related to premium growth, other operating expenses, and depreciation and amortization.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jc w:val="right"/>
              <w:ind w:right="333"/>
              <w:spacing w:after="0"/>
              <w:rPr>
                <w:sz w:val="20"/>
                <w:szCs w:val="20"/>
                <w:color w:val="auto"/>
              </w:rPr>
            </w:pPr>
            <w:r>
              <w:rPr>
                <w:rFonts w:ascii="Arial" w:cs="Arial" w:eastAsia="Arial" w:hAnsi="Arial"/>
                <w:sz w:val="15"/>
                <w:szCs w:val="15"/>
                <w:b w:val="1"/>
                <w:bCs w:val="1"/>
                <w:color w:val="auto"/>
                <w:w w:val="96"/>
              </w:rPr>
              <w:t>For the Three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Gross premiums written: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19,461,972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0"/>
              </w:rPr>
              <w:t>17,441,086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3,584,054</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3,128,138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3,026,483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2,431,915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57,386</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47,264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26,129,895</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23,048,403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10,466,368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9,385,438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3,202,565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2,814,905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3,026,483</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2,431,915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38,889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7"/>
              </w:rPr>
              <w:t>16,734,305</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14,661,875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10,690,583</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9,463,896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2,842,580</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2,680,725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2,792,347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2,255,854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44,238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131,200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16,369,748</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14,531,675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5,352,112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7,548,551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1,528,796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965,522</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988,553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(52,074)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Unallocated loss adjustment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498,640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416,324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8,292,996</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9,483,855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Personal lines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2"/>
        </w:trPr>
        <w:tc>
          <w:tcPr>
            <w:tcW w:w="8700" w:type="dxa"/>
            <w:vAlign w:val="bottom"/>
            <w:gridSpan w:val="2"/>
          </w:tcPr>
          <w:p>
            <w:pPr>
              <w:jc w:val="right"/>
              <w:ind w:right="5292"/>
              <w:spacing w:after="0"/>
              <w:rPr>
                <w:sz w:val="20"/>
                <w:szCs w:val="20"/>
                <w:color w:val="auto"/>
              </w:rPr>
            </w:pPr>
            <w:r>
              <w:rPr>
                <w:rFonts w:ascii="Arial" w:cs="Arial" w:eastAsia="Arial" w:hAnsi="Arial"/>
                <w:sz w:val="18"/>
                <w:szCs w:val="18"/>
                <w:color w:val="auto"/>
                <w:w w:val="96"/>
              </w:rPr>
              <w:t>__________________________________</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660" w:hanging="296"/>
        <w:spacing w:after="0" w:line="335" w:lineRule="auto"/>
        <w:tabs>
          <w:tab w:leader="none" w:pos="704"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includes, among other things, premiums and loss and loss adjustment expenses from commercial auto and our participation in a mandatory state joint underwriting association. Effective October 1, 2014 we decided to no longer accept applications for new commercial auto coverage. In February 2015, we decided to no longer offer renewals to our existing commercial auto policies beginning with those that expired on or after May 1, 2015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16,369,748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0"/>
              </w:rPr>
              <w:t>14,531,675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3,184,452</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2,770,337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857,800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realized gain (loss) on investments</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(54,506)</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267,376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248,998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7"/>
              </w:rPr>
              <w:t>20,624,870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18,444,503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8,292,996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9,483,855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4,888,978</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4,270,066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4,212,417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3,346,441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318,698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283,538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17,713,089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17,383,900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2,911,781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1,060,603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955,141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272,438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incom</w:t>
            </w:r>
            <w:r>
              <w:rPr>
                <w:rFonts w:ascii="Arial" w:cs="Arial" w:eastAsia="Arial" w:hAnsi="Arial"/>
                <w:sz w:val="18"/>
                <w:szCs w:val="18"/>
                <w:color w:val="auto"/>
              </w:rPr>
              <w:t>e</w:t>
            </w: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1,956,640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788,165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Key Measures:</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4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Acquisition costs and other</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underwriting expenses</w:t>
            </w: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9,101,395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7,616,507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(3,184,452)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(2,770,337)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4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(267,376)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4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5,649,567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4,597,172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4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16,369,748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14,531,675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vMerge w:val="restart"/>
          </w:tcPr>
          <w:p>
            <w:pPr>
              <w:jc w:val="right"/>
              <w:ind w:right="2812"/>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Arial" w:cs="Arial" w:eastAsia="Arial" w:hAnsi="Arial"/>
                <w:sz w:val="15"/>
                <w:szCs w:val="15"/>
                <w:b w:val="1"/>
                <w:bCs w:val="1"/>
                <w:color w:val="auto"/>
                <w:w w:val="97"/>
              </w:rPr>
              <w:t>Assumed</w:t>
            </w:r>
          </w:p>
        </w:tc>
        <w:tc>
          <w:tcPr>
            <w:tcW w:w="28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Arial" w:cs="Arial" w:eastAsia="Arial" w:hAnsi="Arial"/>
                <w:sz w:val="15"/>
                <w:szCs w:val="15"/>
                <w:b w:val="1"/>
                <w:bCs w:val="1"/>
                <w:color w:val="auto"/>
              </w:rPr>
              <w:t>Ceded</w:t>
            </w:r>
          </w:p>
        </w:tc>
        <w:tc>
          <w:tcPr>
            <w:tcW w:w="26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26,125,467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4,428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(9,395,590)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16,734,305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(330,903)</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2,981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(36,635)</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25,794,564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7,409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(9,432,225)</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16,369,748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12,518,760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8,040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(4,233,804)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8,292,996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12,518,760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8,040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(4,233,804)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8,292,996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2016</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23,043,325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5,078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(8,386,528)</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14,661,875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(126,428)</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3,571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(7,343)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22,916,897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8,649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(8,393,871)</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14,531,675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11,437,764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22,297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(3,378,683)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8,081,378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2,337,461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(934,984)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13,775,225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22,297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(4,313,667)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9,483,855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vMerge w:val="restart"/>
          </w:tcPr>
          <w:p>
            <w:pPr>
              <w:jc w:val="right"/>
              <w:ind w:right="72"/>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74"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jc w:val="both"/>
        <w:ind w:left="9240"/>
        <w:spacing w:after="0"/>
        <w:tabs>
          <w:tab w:leader="none" w:pos="105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premiums earned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and loss adjustment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Acquistion costs and other underwriting expenses: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underwriting expenses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acquistion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Underwriting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Key Measures: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loss ratio excluding the 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Effect of catastrophe loss on net loss ratio (1) (2)</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underwriting expense ratio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catastrophes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Effect of catastrophe loss on net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 ratio (2)</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 excluding the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of catastrophes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catastrophe loss on net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ratio (1) (2)</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Reconciliation of 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costs and other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Less: Ceding commission revenue (1)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420" w:hanging="29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16,369,748   $   14,531,675</w:t>
      </w:r>
    </w:p>
    <w:p>
      <w:pPr>
        <w:spacing w:after="0" w:line="1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3,184,452</w:t>
      </w:r>
      <w:r>
        <w:rPr>
          <w:rFonts w:ascii="Arial" w:cs="Arial" w:eastAsia="Arial" w:hAnsi="Arial"/>
          <w:sz w:val="15"/>
          <w:szCs w:val="15"/>
          <w:color w:val="auto"/>
        </w:rPr>
        <w:t>2,770,337</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267,376</w:t>
      </w:r>
      <w:r>
        <w:rPr>
          <w:rFonts w:ascii="Arial" w:cs="Arial" w:eastAsia="Arial" w:hAnsi="Arial"/>
          <w:sz w:val="15"/>
          <w:szCs w:val="15"/>
          <w:color w:val="auto"/>
        </w:rPr>
        <w:t>248,998</w:t>
      </w:r>
    </w:p>
    <w:p>
      <w:pPr>
        <w:spacing w:after="0" w:line="219" w:lineRule="exact"/>
        <w:rPr>
          <w:sz w:val="20"/>
          <w:szCs w:val="20"/>
          <w:color w:val="auto"/>
        </w:rPr>
      </w:pPr>
    </w:p>
    <w:p>
      <w:pPr>
        <w:ind w:left="520"/>
        <w:spacing w:after="0"/>
        <w:tabs>
          <w:tab w:leader="none" w:pos="1860" w:val="left"/>
        </w:tabs>
        <w:rPr>
          <w:sz w:val="20"/>
          <w:szCs w:val="20"/>
          <w:color w:val="auto"/>
        </w:rPr>
      </w:pPr>
      <w:r>
        <w:rPr>
          <w:rFonts w:ascii="Arial" w:cs="Arial" w:eastAsia="Arial" w:hAnsi="Arial"/>
          <w:sz w:val="18"/>
          <w:szCs w:val="18"/>
          <w:color w:val="auto"/>
        </w:rPr>
        <w:t>8,292,996</w:t>
      </w:r>
      <w:r>
        <w:rPr>
          <w:sz w:val="20"/>
          <w:szCs w:val="20"/>
          <w:color w:val="auto"/>
        </w:rPr>
        <w:tab/>
      </w:r>
      <w:r>
        <w:rPr>
          <w:rFonts w:ascii="Arial" w:cs="Arial" w:eastAsia="Arial" w:hAnsi="Arial"/>
          <w:sz w:val="18"/>
          <w:szCs w:val="18"/>
          <w:color w:val="auto"/>
        </w:rPr>
        <w:t>9,483,855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4,888,978</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4,270,066</w:t>
            </w:r>
          </w:p>
        </w:tc>
      </w:tr>
      <w:tr>
        <w:trPr>
          <w:trHeight w:val="231"/>
        </w:trPr>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4,212,417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3,346,441</w:t>
            </w:r>
          </w:p>
        </w:tc>
      </w:tr>
      <w:tr>
        <w:trPr>
          <w:trHeight w:val="439"/>
        </w:trPr>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9,101,395</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7,616,507</w:t>
            </w:r>
          </w:p>
        </w:tc>
      </w:tr>
      <w:tr>
        <w:trPr>
          <w:trHeight w:val="431"/>
        </w:trPr>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2,427,185</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450,648</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31"/>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646"/>
        </w:trPr>
        <w:tc>
          <w:tcPr>
            <w:tcW w:w="142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441"/>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646"/>
        </w:trPr>
        <w:tc>
          <w:tcPr>
            <w:tcW w:w="142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441"/>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856"/>
        </w:trPr>
        <w:tc>
          <w:tcPr>
            <w:tcW w:w="1420" w:type="dxa"/>
            <w:vAlign w:val="bottom"/>
          </w:tcPr>
          <w:p>
            <w:pPr>
              <w:jc w:val="right"/>
              <w:ind w:right="112"/>
              <w:spacing w:after="0"/>
              <w:rPr>
                <w:sz w:val="20"/>
                <w:szCs w:val="20"/>
                <w:color w:val="auto"/>
              </w:rPr>
            </w:pPr>
            <w:r>
              <w:rPr>
                <w:rFonts w:ascii="Arial" w:cs="Arial" w:eastAsia="Arial" w:hAnsi="Arial"/>
                <w:sz w:val="18"/>
                <w:szCs w:val="18"/>
                <w:color w:val="auto"/>
              </w:rPr>
              <w:t>$    9,101,395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7,616,507</w:t>
            </w:r>
          </w:p>
        </w:tc>
      </w:tr>
      <w:tr>
        <w:trPr>
          <w:trHeight w:val="222"/>
        </w:trPr>
        <w:tc>
          <w:tcPr>
            <w:tcW w:w="1420" w:type="dxa"/>
            <w:vAlign w:val="bottom"/>
          </w:tcPr>
          <w:p>
            <w:pPr>
              <w:jc w:val="right"/>
              <w:ind w:right="52"/>
              <w:spacing w:after="0"/>
              <w:rPr>
                <w:sz w:val="20"/>
                <w:szCs w:val="20"/>
                <w:color w:val="auto"/>
              </w:rPr>
            </w:pPr>
            <w:r>
              <w:rPr>
                <w:rFonts w:ascii="Arial" w:cs="Arial" w:eastAsia="Arial" w:hAnsi="Arial"/>
                <w:sz w:val="18"/>
                <w:szCs w:val="18"/>
                <w:color w:val="auto"/>
              </w:rPr>
              <w:t>(3,184,452)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(2,770,337)</w:t>
            </w:r>
          </w:p>
        </w:tc>
      </w:tr>
    </w:tbl>
    <w:p>
      <w:pPr>
        <w:spacing w:after="0" w:line="11" w:lineRule="exact"/>
        <w:rPr>
          <w:sz w:val="20"/>
          <w:szCs w:val="20"/>
          <w:color w:val="auto"/>
        </w:rPr>
      </w:pPr>
    </w:p>
    <w:p>
      <w:pPr>
        <w:sectPr>
          <w:pgSz w:w="11900" w:h="16838" w:orient="portrait"/>
          <w:cols w:equalWidth="0" w:num="2">
            <w:col w:w="7980" w:space="720"/>
            <w:col w:w="272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(267,376)</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5,649,567</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4,597,172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premium earned</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16,369,748</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14,531,675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244" w:lineRule="exact"/>
        <w:rPr>
          <w:sz w:val="20"/>
          <w:szCs w:val="20"/>
          <w:color w:val="auto"/>
        </w:rPr>
      </w:pPr>
    </w:p>
    <w:p>
      <w:pPr>
        <w:ind w:firstLine="72"/>
        <w:spacing w:after="0" w:line="268"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2017 and 2016, includes the sum of net catastrophe losses and loss adjustment expenses of $-0- and $1,402,477, respectively, resulting from severe winter weather.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50" w:name="page51"/>
    <w:bookmarkEnd w:id="50"/>
    <w:p>
      <w:pPr>
        <w:ind w:right="20" w:firstLine="8"/>
        <w:spacing w:after="0" w:line="268" w:lineRule="auto"/>
        <w:tabs>
          <w:tab w:leader="none" w:pos="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months ended March 31, 2016, the effect of catastrophe loss from severe winter weather on our net combined ratio includes the direct effects of loss and loss adjustment expenses and there were no indirect effects in other underwriting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breakdown of the amortized cost, fair value and unrealized gains and losses by investment type as of March 31, 2017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Available-for-Sale Securities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87"/>
              </w:rPr>
              <w:t>Gross</w:t>
            </w: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5"/>
                <w:szCs w:val="15"/>
                <w:b w:val="1"/>
                <w:bCs w:val="1"/>
                <w:color w:val="auto"/>
              </w:rPr>
              <w:t>Gross Unrealized Losses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220" w:type="dxa"/>
            <w:vAlign w:val="bottom"/>
          </w:tcPr>
          <w:p>
            <w:pPr>
              <w:jc w:val="center"/>
              <w:ind w:right="316"/>
              <w:spacing w:after="0" w:line="149" w:lineRule="exact"/>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80" w:type="dxa"/>
            <w:vAlign w:val="bottom"/>
          </w:tcPr>
          <w:p>
            <w:pPr>
              <w:spacing w:after="0"/>
              <w:rPr>
                <w:sz w:val="12"/>
                <w:szCs w:val="12"/>
                <w:color w:val="auto"/>
              </w:rPr>
            </w:pPr>
          </w:p>
        </w:tc>
        <w:tc>
          <w:tcPr>
            <w:tcW w:w="1260" w:type="dxa"/>
            <w:vAlign w:val="bottom"/>
          </w:tcPr>
          <w:p>
            <w:pPr>
              <w:jc w:val="center"/>
              <w:ind w:right="356"/>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Pr>
          <w:p>
            <w:pPr>
              <w:spacing w:after="0"/>
              <w:rPr>
                <w:sz w:val="15"/>
                <w:szCs w:val="15"/>
                <w:color w:val="auto"/>
              </w:rPr>
            </w:pPr>
          </w:p>
        </w:tc>
        <w:tc>
          <w:tcPr>
            <w:tcW w:w="1140" w:type="dxa"/>
            <w:vAlign w:val="bottom"/>
          </w:tcPr>
          <w:p>
            <w:pPr>
              <w:jc w:val="center"/>
              <w:ind w:right="178"/>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6"/>
              <w:spacing w:after="0"/>
              <w:rPr>
                <w:sz w:val="20"/>
                <w:szCs w:val="20"/>
                <w:color w:val="auto"/>
              </w:rPr>
            </w:pPr>
            <w:r>
              <w:rPr>
                <w:rFonts w:ascii="Arial" w:cs="Arial" w:eastAsia="Arial" w:hAnsi="Arial"/>
                <w:sz w:val="15"/>
                <w:szCs w:val="15"/>
                <w:b w:val="1"/>
                <w:bCs w:val="1"/>
                <w:color w:val="auto"/>
                <w:w w:val="93"/>
              </w:rPr>
              <w:t>Months</w:t>
            </w:r>
          </w:p>
        </w:tc>
        <w:tc>
          <w:tcPr>
            <w:tcW w:w="280" w:type="dxa"/>
            <w:vAlign w:val="bottom"/>
          </w:tcPr>
          <w:p>
            <w:pPr>
              <w:spacing w:after="0"/>
              <w:rPr>
                <w:sz w:val="15"/>
                <w:szCs w:val="15"/>
                <w:color w:val="auto"/>
              </w:rPr>
            </w:pPr>
          </w:p>
        </w:tc>
        <w:tc>
          <w:tcPr>
            <w:tcW w:w="1260" w:type="dxa"/>
            <w:vAlign w:val="bottom"/>
          </w:tcPr>
          <w:p>
            <w:pPr>
              <w:jc w:val="center"/>
              <w:ind w:right="336"/>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7,582,088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214,232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(18,806)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7,758,804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70,449,109</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781,970</w:t>
            </w:r>
          </w:p>
        </w:tc>
        <w:tc>
          <w:tcPr>
            <w:tcW w:w="12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(556,753)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(7,370)</w:t>
            </w:r>
          </w:p>
        </w:tc>
        <w:tc>
          <w:tcPr>
            <w:tcW w:w="280" w:type="dxa"/>
            <w:vAlign w:val="bottom"/>
          </w:tcPr>
          <w:p>
            <w:pPr>
              <w:spacing w:after="0"/>
              <w:rPr>
                <w:sz w:val="18"/>
                <w:szCs w:val="18"/>
                <w:color w:val="auto"/>
              </w:rPr>
            </w:pPr>
          </w:p>
        </w:tc>
        <w:tc>
          <w:tcPr>
            <w:tcW w:w="1260" w:type="dxa"/>
            <w:vAlign w:val="bottom"/>
          </w:tcPr>
          <w:p>
            <w:pPr>
              <w:jc w:val="right"/>
              <w:ind w:right="236"/>
              <w:spacing w:after="0"/>
              <w:rPr>
                <w:sz w:val="20"/>
                <w:szCs w:val="20"/>
                <w:color w:val="auto"/>
              </w:rPr>
            </w:pPr>
            <w:r>
              <w:rPr>
                <w:rFonts w:ascii="Arial" w:cs="Arial" w:eastAsia="Arial" w:hAnsi="Arial"/>
                <w:sz w:val="18"/>
                <w:szCs w:val="18"/>
                <w:color w:val="auto"/>
              </w:rPr>
              <w:t>70,666,956</w:t>
            </w: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and other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asset 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22,523,039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72,990</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(308,073)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22,261,595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w w:val="91"/>
              </w:rPr>
              <w:t>100,554,236</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1,069,192</w:t>
            </w:r>
          </w:p>
        </w:tc>
        <w:tc>
          <w:tcPr>
            <w:tcW w:w="12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(883,632)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(52,441)</w:t>
            </w:r>
          </w:p>
        </w:tc>
        <w:tc>
          <w:tcPr>
            <w:tcW w:w="280" w:type="dxa"/>
            <w:vAlign w:val="bottom"/>
          </w:tcPr>
          <w:p>
            <w:pPr>
              <w:spacing w:after="0"/>
              <w:rPr>
                <w:sz w:val="18"/>
                <w:szCs w:val="18"/>
                <w:color w:val="auto"/>
              </w:rPr>
            </w:pPr>
          </w:p>
        </w:tc>
        <w:tc>
          <w:tcPr>
            <w:tcW w:w="1260" w:type="dxa"/>
            <w:vAlign w:val="bottom"/>
          </w:tcPr>
          <w:p>
            <w:pPr>
              <w:jc w:val="right"/>
              <w:ind w:right="236"/>
              <w:spacing w:after="0"/>
              <w:rPr>
                <w:sz w:val="20"/>
                <w:szCs w:val="20"/>
                <w:color w:val="auto"/>
              </w:rPr>
            </w:pPr>
            <w:r>
              <w:rPr>
                <w:rFonts w:ascii="Arial" w:cs="Arial" w:eastAsia="Arial" w:hAnsi="Arial"/>
                <w:sz w:val="18"/>
                <w:szCs w:val="18"/>
                <w:color w:val="auto"/>
                <w:w w:val="91"/>
              </w:rPr>
              <w:t>100,687,355</w:t>
            </w:r>
          </w:p>
        </w:tc>
        <w:tc>
          <w:tcPr>
            <w:tcW w:w="1180" w:type="dxa"/>
            <w:vAlign w:val="bottom"/>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9,545,785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820,089</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(120,639)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(142,740)</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10,102,495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110,100,021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1,889,281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(1,004,271)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1"/>
              </w:rPr>
              <w:t>110,789,850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87"/>
              </w:rPr>
              <w:t>Gross</w:t>
            </w: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5"/>
                <w:szCs w:val="15"/>
                <w:b w:val="1"/>
                <w:bCs w:val="1"/>
                <w:color w:val="auto"/>
              </w:rPr>
              <w:t>Gross Unrealized Losses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220" w:type="dxa"/>
            <w:vAlign w:val="bottom"/>
          </w:tcPr>
          <w:p>
            <w:pPr>
              <w:jc w:val="center"/>
              <w:ind w:right="316"/>
              <w:spacing w:after="0" w:line="149" w:lineRule="exact"/>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80" w:type="dxa"/>
            <w:vAlign w:val="bottom"/>
          </w:tcPr>
          <w:p>
            <w:pPr>
              <w:spacing w:after="0"/>
              <w:rPr>
                <w:sz w:val="12"/>
                <w:szCs w:val="12"/>
                <w:color w:val="auto"/>
              </w:rPr>
            </w:pPr>
          </w:p>
        </w:tc>
        <w:tc>
          <w:tcPr>
            <w:tcW w:w="1260" w:type="dxa"/>
            <w:vAlign w:val="bottom"/>
          </w:tcPr>
          <w:p>
            <w:pPr>
              <w:jc w:val="center"/>
              <w:ind w:right="356"/>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220" w:type="dxa"/>
            <w:vAlign w:val="bottom"/>
          </w:tcPr>
          <w:p>
            <w:pPr>
              <w:jc w:val="center"/>
              <w:ind w:right="316"/>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Pr>
          <w:p>
            <w:pPr>
              <w:spacing w:after="0"/>
              <w:rPr>
                <w:sz w:val="15"/>
                <w:szCs w:val="15"/>
                <w:color w:val="auto"/>
              </w:rPr>
            </w:pPr>
          </w:p>
        </w:tc>
        <w:tc>
          <w:tcPr>
            <w:tcW w:w="1140" w:type="dxa"/>
            <w:vAlign w:val="bottom"/>
          </w:tcPr>
          <w:p>
            <w:pPr>
              <w:jc w:val="center"/>
              <w:ind w:right="178"/>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6"/>
              <w:spacing w:after="0"/>
              <w:rPr>
                <w:sz w:val="20"/>
                <w:szCs w:val="20"/>
                <w:color w:val="auto"/>
              </w:rPr>
            </w:pPr>
            <w:r>
              <w:rPr>
                <w:rFonts w:ascii="Arial" w:cs="Arial" w:eastAsia="Arial" w:hAnsi="Arial"/>
                <w:sz w:val="15"/>
                <w:szCs w:val="15"/>
                <w:b w:val="1"/>
                <w:bCs w:val="1"/>
                <w:color w:val="auto"/>
                <w:w w:val="93"/>
              </w:rPr>
              <w:t>Months</w:t>
            </w:r>
          </w:p>
        </w:tc>
        <w:tc>
          <w:tcPr>
            <w:tcW w:w="280" w:type="dxa"/>
            <w:vAlign w:val="bottom"/>
          </w:tcPr>
          <w:p>
            <w:pPr>
              <w:spacing w:after="0"/>
              <w:rPr>
                <w:sz w:val="15"/>
                <w:szCs w:val="15"/>
                <w:color w:val="auto"/>
              </w:rPr>
            </w:pPr>
          </w:p>
        </w:tc>
        <w:tc>
          <w:tcPr>
            <w:tcW w:w="1260" w:type="dxa"/>
            <w:vAlign w:val="bottom"/>
          </w:tcPr>
          <w:p>
            <w:pPr>
              <w:jc w:val="center"/>
              <w:ind w:right="336"/>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8,053,449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199,028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(46,589)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8,205,888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53,728,395</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600,519</w:t>
            </w:r>
          </w:p>
        </w:tc>
        <w:tc>
          <w:tcPr>
            <w:tcW w:w="12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(638,113)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(5,612)</w:t>
            </w:r>
          </w:p>
        </w:tc>
        <w:tc>
          <w:tcPr>
            <w:tcW w:w="280" w:type="dxa"/>
            <w:vAlign w:val="bottom"/>
          </w:tcPr>
          <w:p>
            <w:pPr>
              <w:spacing w:after="0"/>
              <w:rPr>
                <w:sz w:val="18"/>
                <w:szCs w:val="18"/>
                <w:color w:val="auto"/>
              </w:rPr>
            </w:pPr>
          </w:p>
        </w:tc>
        <w:tc>
          <w:tcPr>
            <w:tcW w:w="1260" w:type="dxa"/>
            <w:vAlign w:val="bottom"/>
          </w:tcPr>
          <w:p>
            <w:pPr>
              <w:jc w:val="right"/>
              <w:ind w:right="236"/>
              <w:spacing w:after="0"/>
              <w:rPr>
                <w:sz w:val="20"/>
                <w:szCs w:val="20"/>
                <w:color w:val="auto"/>
              </w:rPr>
            </w:pPr>
            <w:r>
              <w:rPr>
                <w:rFonts w:ascii="Arial" w:cs="Arial" w:eastAsia="Arial" w:hAnsi="Arial"/>
                <w:sz w:val="18"/>
                <w:szCs w:val="18"/>
                <w:color w:val="auto"/>
              </w:rPr>
              <w:t>53,685,189</w:t>
            </w: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18,814,784</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70,682</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(309,273)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18,537,751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80,596,628</w:t>
            </w:r>
          </w:p>
        </w:tc>
        <w:tc>
          <w:tcPr>
            <w:tcW w:w="30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870,229</w:t>
            </w:r>
          </w:p>
        </w:tc>
        <w:tc>
          <w:tcPr>
            <w:tcW w:w="12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(993,975)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(44,054)</w:t>
            </w:r>
          </w:p>
        </w:tc>
        <w:tc>
          <w:tcPr>
            <w:tcW w:w="280" w:type="dxa"/>
            <w:vAlign w:val="bottom"/>
          </w:tcPr>
          <w:p>
            <w:pPr>
              <w:spacing w:after="0"/>
              <w:rPr>
                <w:sz w:val="18"/>
                <w:szCs w:val="18"/>
                <w:color w:val="auto"/>
              </w:rPr>
            </w:pPr>
          </w:p>
        </w:tc>
        <w:tc>
          <w:tcPr>
            <w:tcW w:w="1260" w:type="dxa"/>
            <w:vAlign w:val="bottom"/>
          </w:tcPr>
          <w:p>
            <w:pPr>
              <w:jc w:val="right"/>
              <w:ind w:right="236"/>
              <w:spacing w:after="0"/>
              <w:rPr>
                <w:sz w:val="20"/>
                <w:szCs w:val="20"/>
                <w:color w:val="auto"/>
              </w:rPr>
            </w:pPr>
            <w:r>
              <w:rPr>
                <w:rFonts w:ascii="Arial" w:cs="Arial" w:eastAsia="Arial" w:hAnsi="Arial"/>
                <w:sz w:val="18"/>
                <w:szCs w:val="18"/>
                <w:color w:val="auto"/>
              </w:rPr>
              <w:t>80,428,828</w:t>
            </w: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9,709,385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701,641</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(255,301)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(168,039)</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9,987,686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90,306,013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1,571,870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(1,249,276)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(212,093)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90,416,514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90"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818"/>
              <w:spacing w:after="0"/>
              <w:rPr>
                <w:sz w:val="20"/>
                <w:szCs w:val="20"/>
                <w:color w:val="auto"/>
              </w:rPr>
            </w:pPr>
            <w:r>
              <w:rPr>
                <w:rFonts w:ascii="Arial" w:cs="Arial" w:eastAsia="Arial" w:hAnsi="Arial"/>
                <w:sz w:val="15"/>
                <w:szCs w:val="15"/>
                <w:b w:val="1"/>
                <w:bCs w:val="1"/>
                <w:color w:val="auto"/>
              </w:rPr>
              <w:t>March 31, 2017</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8"/>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180" w:type="dxa"/>
            <w:vAlign w:val="bottom"/>
          </w:tcPr>
          <w:p>
            <w:pPr>
              <w:jc w:val="center"/>
              <w:ind w:right="437"/>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Pr>
          <w:p>
            <w:pPr>
              <w:spacing w:after="0"/>
              <w:rPr>
                <w:sz w:val="15"/>
                <w:szCs w:val="15"/>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606,436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1,149,119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38,236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(1,868)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1,185,487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3,139,888</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98,656</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(7,065)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3,219,825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4,895,443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284,495</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(8,933)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5,159,351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5"/>
                <w:szCs w:val="15"/>
                <w:b w:val="1"/>
                <w:bCs w:val="1"/>
                <w:color w:val="auto"/>
              </w:rPr>
              <w:t>December 31, 2016</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20"/>
                <w:szCs w:val="20"/>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2"/>
              </w:rPr>
              <w:t>Unrealized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20"/>
                <w:szCs w:val="20"/>
                <w:color w:val="auto"/>
              </w:rPr>
            </w:pPr>
          </w:p>
        </w:tc>
        <w:tc>
          <w:tcPr>
            <w:tcW w:w="1120" w:type="dxa"/>
            <w:vAlign w:val="bottom"/>
          </w:tcPr>
          <w:p>
            <w:pPr>
              <w:jc w:val="center"/>
              <w:ind w:right="138"/>
              <w:spacing w:after="0"/>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20"/>
                <w:szCs w:val="20"/>
                <w:color w:val="auto"/>
              </w:rPr>
            </w:pPr>
          </w:p>
        </w:tc>
        <w:tc>
          <w:tcPr>
            <w:tcW w:w="1180" w:type="dxa"/>
            <w:vAlign w:val="bottom"/>
          </w:tcPr>
          <w:p>
            <w:pPr>
              <w:jc w:val="center"/>
              <w:ind w:right="437"/>
              <w:spacing w:after="0"/>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7"/>
                <w:szCs w:val="17"/>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7"/>
                <w:szCs w:val="17"/>
                <w:color w:val="auto"/>
              </w:rPr>
            </w:pPr>
          </w:p>
        </w:tc>
        <w:tc>
          <w:tcPr>
            <w:tcW w:w="1120" w:type="dxa"/>
            <w:vAlign w:val="bottom"/>
          </w:tcPr>
          <w:p>
            <w:pPr>
              <w:jc w:val="center"/>
              <w:ind w:right="138"/>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Pr>
          <w:p>
            <w:pPr>
              <w:spacing w:after="0"/>
              <w:rPr>
                <w:sz w:val="17"/>
                <w:szCs w:val="17"/>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606,427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1,349,916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37,321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1,387,237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3,138,559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72,784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3,156,843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5,094,902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257,717</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5,298,119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U.S. Treasury securities included in held-to-maturity securities are held in trust pursuant to the New York State Department of Financial Services’ minimum funds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2016</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Arial" w:cs="Arial" w:eastAsia="Arial" w:hAnsi="Arial"/>
                <w:sz w:val="18"/>
                <w:szCs w:val="18"/>
                <w:color w:val="auto"/>
              </w:rPr>
              <w:t>Less than one year</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641,068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642,455</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Arial" w:cs="Arial" w:eastAsia="Arial" w:hAnsi="Arial"/>
                <w:sz w:val="18"/>
                <w:szCs w:val="18"/>
                <w:color w:val="auto"/>
              </w:rPr>
              <w:t>Five to ten years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3,639,007</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3,764,244</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3,838,475</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3,901,625</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More than 10 years</w:t>
            </w:r>
          </w:p>
        </w:tc>
        <w:tc>
          <w:tcPr>
            <w:tcW w:w="2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606,436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606,427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0" w:type="dxa"/>
            <w:vAlign w:val="bottom"/>
          </w:tcPr>
          <w:p>
            <w:pPr>
              <w:spacing w:after="0"/>
              <w:rPr>
                <w:sz w:val="1"/>
                <w:szCs w:val="1"/>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4,895,443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5,159,351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5,094,902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5,298,119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200" w:type="dxa"/>
            <w:vAlign w:val="bottom"/>
            <w:vMerge w:val="restart"/>
          </w:tcPr>
          <w:p>
            <w:pPr>
              <w:jc w:val="right"/>
              <w:ind w:right="72"/>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March 31, 2017 and December 31, 2016 as rated by Standard &amp; Poor’s (or, if unavailable from Standard &amp; Poor’s, then Moody’s or Fitch):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5"/>
                <w:szCs w:val="15"/>
                <w:b w:val="1"/>
                <w:bCs w:val="1"/>
                <w:color w:val="auto"/>
              </w:rPr>
              <w:t>March 31, 2017</w:t>
            </w: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5"/>
                <w:szCs w:val="15"/>
                <w:b w:val="1"/>
                <w:bCs w:val="1"/>
                <w:color w:val="auto"/>
              </w:rPr>
              <w:t>December 31, 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jc w:val="center"/>
              <w:ind w:right="14"/>
              <w:spacing w:after="0"/>
              <w:rPr>
                <w:sz w:val="20"/>
                <w:szCs w:val="20"/>
                <w:color w:val="auto"/>
              </w:rPr>
            </w:pPr>
            <w:r>
              <w:rPr>
                <w:rFonts w:ascii="Arial" w:cs="Arial" w:eastAsia="Arial" w:hAnsi="Arial"/>
                <w:sz w:val="15"/>
                <w:szCs w:val="15"/>
                <w:b w:val="1"/>
                <w:bCs w:val="1"/>
                <w:color w:val="auto"/>
                <w:w w:val="86"/>
              </w:rPr>
              <w:t>Percentage of</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54"/>
              <w:spacing w:after="0"/>
              <w:rPr>
                <w:sz w:val="20"/>
                <w:szCs w:val="20"/>
                <w:color w:val="auto"/>
              </w:rPr>
            </w:pPr>
            <w:r>
              <w:rPr>
                <w:rFonts w:ascii="Arial" w:cs="Arial" w:eastAsia="Arial" w:hAnsi="Arial"/>
                <w:sz w:val="15"/>
                <w:szCs w:val="15"/>
                <w:b w:val="1"/>
                <w:bCs w:val="1"/>
                <w:color w:val="auto"/>
              </w:rPr>
              <w:t>Fair Market</w:t>
            </w:r>
          </w:p>
        </w:tc>
        <w:tc>
          <w:tcPr>
            <w:tcW w:w="1360" w:type="dxa"/>
            <w:vAlign w:val="bottom"/>
          </w:tcPr>
          <w:p>
            <w:pPr>
              <w:jc w:val="center"/>
              <w:ind w:right="14"/>
              <w:spacing w:after="0"/>
              <w:rPr>
                <w:sz w:val="20"/>
                <w:szCs w:val="20"/>
                <w:color w:val="auto"/>
              </w:rPr>
            </w:pPr>
            <w:r>
              <w:rPr>
                <w:rFonts w:ascii="Arial" w:cs="Arial" w:eastAsia="Arial" w:hAnsi="Arial"/>
                <w:sz w:val="15"/>
                <w:szCs w:val="15"/>
                <w:b w:val="1"/>
                <w:bCs w:val="1"/>
                <w:color w:val="auto"/>
                <w:w w:val="97"/>
              </w:rPr>
              <w:t>Fair Market</w:t>
            </w:r>
          </w:p>
        </w:tc>
        <w:tc>
          <w:tcPr>
            <w:tcW w:w="200" w:type="dxa"/>
            <w:vAlign w:val="bottom"/>
          </w:tcPr>
          <w:p>
            <w:pPr>
              <w:spacing w:after="0"/>
              <w:rPr>
                <w:sz w:val="18"/>
                <w:szCs w:val="18"/>
                <w:color w:val="auto"/>
              </w:rPr>
            </w:pPr>
          </w:p>
        </w:tc>
        <w:tc>
          <w:tcPr>
            <w:tcW w:w="1220" w:type="dxa"/>
            <w:vAlign w:val="bottom"/>
          </w:tcPr>
          <w:p>
            <w:pPr>
              <w:jc w:val="center"/>
              <w:ind w:right="275"/>
              <w:spacing w:after="0"/>
              <w:rPr>
                <w:sz w:val="20"/>
                <w:szCs w:val="20"/>
                <w:color w:val="auto"/>
              </w:rPr>
            </w:pPr>
            <w:r>
              <w:rPr>
                <w:rFonts w:ascii="Arial" w:cs="Arial" w:eastAsia="Arial" w:hAnsi="Arial"/>
                <w:sz w:val="15"/>
                <w:szCs w:val="15"/>
                <w:b w:val="1"/>
                <w:bCs w:val="1"/>
                <w:color w:val="auto"/>
                <w:w w:val="97"/>
              </w:rPr>
              <w:t>Fair Market</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9"/>
              </w:rPr>
              <w:t>Fair Market</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Arial" w:cs="Arial" w:eastAsia="Arial" w:hAnsi="Arial"/>
                <w:sz w:val="15"/>
                <w:szCs w:val="15"/>
                <w:b w:val="1"/>
                <w:bCs w:val="1"/>
                <w:color w:val="auto"/>
              </w:rPr>
              <w:t>Value</w:t>
            </w:r>
          </w:p>
        </w:tc>
        <w:tc>
          <w:tcPr>
            <w:tcW w:w="1360" w:type="dxa"/>
            <w:vAlign w:val="bottom"/>
          </w:tcPr>
          <w:p>
            <w:pPr>
              <w:jc w:val="center"/>
              <w:ind w:right="34"/>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Pr>
          <w:p>
            <w:pPr>
              <w:spacing w:after="0"/>
              <w:rPr>
                <w:sz w:val="17"/>
                <w:szCs w:val="17"/>
                <w:color w:val="auto"/>
              </w:rPr>
            </w:pPr>
          </w:p>
        </w:tc>
        <w:tc>
          <w:tcPr>
            <w:tcW w:w="1220" w:type="dxa"/>
            <w:vAlign w:val="bottom"/>
          </w:tcPr>
          <w:p>
            <w:pPr>
              <w:jc w:val="center"/>
              <w:ind w:right="255"/>
              <w:spacing w:after="0"/>
              <w:rPr>
                <w:sz w:val="20"/>
                <w:szCs w:val="20"/>
                <w:color w:val="auto"/>
              </w:rPr>
            </w:pPr>
            <w:r>
              <w:rPr>
                <w:rFonts w:ascii="Arial" w:cs="Arial" w:eastAsia="Arial" w:hAnsi="Arial"/>
                <w:sz w:val="15"/>
                <w:szCs w:val="15"/>
                <w:b w:val="1"/>
                <w:bCs w:val="1"/>
                <w:color w:val="auto"/>
                <w:w w:val="89"/>
              </w:rPr>
              <w:t>Value</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5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Arial" w:cs="Arial" w:eastAsia="Arial" w:hAnsi="Arial"/>
                <w:sz w:val="18"/>
                <w:szCs w:val="18"/>
                <w:b w:val="1"/>
                <w:bCs w:val="1"/>
                <w:color w:val="auto"/>
              </w:rPr>
              <w:t>Rating</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municipal bonds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AAA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1,569,684</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1,801,106</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7,265,319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7,236,457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16,722,227</w:t>
            </w: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13,944,784</w:t>
            </w: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51,660,891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38,908,731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BB</w:t>
            </w: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1,207,640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municipal bonds</w:t>
            </w: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78,425,761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61,891,078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AAA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2,008,270</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13,589,245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14,143,828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2,654,485</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173,973</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CCC</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488,902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513,369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28,905</w:t>
            </w: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112,136</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3,491,787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3,594,444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80"/>
              <w:spacing w:after="0"/>
              <w:rPr>
                <w:sz w:val="20"/>
                <w:szCs w:val="20"/>
                <w:color w:val="auto"/>
              </w:rPr>
            </w:pPr>
            <w:r>
              <w:rPr>
                <w:rFonts w:ascii="Arial" w:cs="Arial" w:eastAsia="Arial" w:hAnsi="Arial"/>
                <w:sz w:val="18"/>
                <w:szCs w:val="18"/>
                <w:color w:val="auto"/>
                <w:w w:val="97"/>
              </w:rPr>
              <w:t>Total residential mortgage and other asset backed securities</w:t>
            </w: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22,261,594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18,537,750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3"/>
              </w:rPr>
              <w:t>100,687,355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80,428,828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gridSpan w:val="2"/>
          </w:tcPr>
          <w:p>
            <w:pPr>
              <w:spacing w:after="0" w:line="20" w:lineRule="exact"/>
              <w:rPr>
                <w:sz w:val="1"/>
                <w:szCs w:val="1"/>
                <w:color w:val="auto"/>
              </w:rPr>
            </w:pPr>
          </w:p>
        </w:tc>
        <w:tc>
          <w:tcPr>
            <w:tcW w:w="4220" w:type="dxa"/>
            <w:vAlign w:val="bottom"/>
            <w:tcBorders>
              <w:bottom w:val="single" w:sz="8" w:color="auto"/>
            </w:tcBorders>
            <w:gridSpan w:val="5"/>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10180" w:type="dxa"/>
            <w:vAlign w:val="bottom"/>
            <w:gridSpan w:val="7"/>
          </w:tcPr>
          <w:p>
            <w:pPr>
              <w:ind w:left="660"/>
              <w:spacing w:after="0"/>
              <w:rPr>
                <w:sz w:val="20"/>
                <w:szCs w:val="20"/>
                <w:color w:val="auto"/>
              </w:rPr>
            </w:pPr>
            <w:r>
              <w:rPr>
                <w:rFonts w:ascii="Arial" w:cs="Arial" w:eastAsia="Arial" w:hAnsi="Arial"/>
                <w:sz w:val="18"/>
                <w:szCs w:val="18"/>
                <w:color w:val="auto"/>
                <w:w w:val="93"/>
              </w:rPr>
              <w:t>The table below summarizes the average yield by type of fixed-maturity security as of March 31, 2017 and December 31, 2016:</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315"/>
              <w:spacing w:after="0"/>
              <w:rPr>
                <w:sz w:val="20"/>
                <w:szCs w:val="20"/>
                <w:color w:val="auto"/>
              </w:rPr>
            </w:pPr>
            <w:r>
              <w:rPr>
                <w:rFonts w:ascii="Arial" w:cs="Arial" w:eastAsia="Arial" w:hAnsi="Arial"/>
                <w:sz w:val="15"/>
                <w:szCs w:val="15"/>
                <w:b w:val="1"/>
                <w:bCs w:val="1"/>
                <w:color w:val="auto"/>
                <w:w w:val="95"/>
              </w:rPr>
              <w:t>March 31,</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2"/>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15"/>
              <w:spacing w:after="0"/>
              <w:rPr>
                <w:sz w:val="20"/>
                <w:szCs w:val="20"/>
                <w:color w:val="auto"/>
              </w:rPr>
            </w:pPr>
            <w:r>
              <w:rPr>
                <w:rFonts w:ascii="Arial" w:cs="Arial" w:eastAsia="Arial" w:hAnsi="Arial"/>
                <w:sz w:val="15"/>
                <w:szCs w:val="15"/>
                <w:b w:val="1"/>
                <w:bCs w:val="1"/>
                <w:color w:val="auto"/>
                <w:w w:val="89"/>
              </w:rPr>
              <w:t>2017</w:t>
            </w:r>
          </w:p>
        </w:tc>
        <w:tc>
          <w:tcPr>
            <w:tcW w:w="124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89"/>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3.88%</w:t>
            </w:r>
          </w:p>
        </w:tc>
        <w:tc>
          <w:tcPr>
            <w:tcW w:w="124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5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3" w:right="239" w:bottom="1440" w:gutter="0" w:footer="0" w:header="0"/>
        </w:sectPr>
      </w:pPr>
    </w:p>
    <w:bookmarkStart w:id="53" w:name="page54"/>
    <w:bookmarkEnd w:id="53"/>
    <w:p>
      <w:pPr>
        <w:ind w:right="80" w:firstLine="648"/>
        <w:spacing w:after="0" w:line="268" w:lineRule="auto"/>
        <w:rPr>
          <w:sz w:val="20"/>
          <w:szCs w:val="20"/>
          <w:color w:val="auto"/>
        </w:rPr>
      </w:pPr>
      <w:r>
        <w:rPr>
          <w:rFonts w:ascii="Arial" w:cs="Arial" w:eastAsia="Arial" w:hAnsi="Arial"/>
          <w:sz w:val="18"/>
          <w:szCs w:val="18"/>
          <w:color w:val="auto"/>
        </w:rPr>
        <w:t>The table below lists the weighted average maturity and effective duration in years on our fixed-maturity securities as of March 31, 2017 and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00" w:type="dxa"/>
            <w:vAlign w:val="bottom"/>
          </w:tcPr>
          <w:p>
            <w:pPr>
              <w:jc w:val="center"/>
              <w:ind w:left="8958"/>
              <w:spacing w:after="0"/>
              <w:rPr>
                <w:sz w:val="20"/>
                <w:szCs w:val="20"/>
                <w:color w:val="auto"/>
              </w:rPr>
            </w:pPr>
            <w:r>
              <w:rPr>
                <w:rFonts w:ascii="Arial" w:cs="Arial" w:eastAsia="Arial" w:hAnsi="Arial"/>
                <w:sz w:val="15"/>
                <w:szCs w:val="15"/>
                <w:b w:val="1"/>
                <w:bCs w:val="1"/>
                <w:color w:val="auto"/>
                <w:w w:val="95"/>
              </w:rPr>
              <w:t>March 31,</w:t>
            </w:r>
          </w:p>
        </w:tc>
        <w:tc>
          <w:tcPr>
            <w:tcW w:w="420" w:type="dxa"/>
            <w:vAlign w:val="bottom"/>
          </w:tcPr>
          <w:p>
            <w:pPr>
              <w:spacing w:after="0"/>
              <w:rPr>
                <w:sz w:val="14"/>
                <w:szCs w:val="14"/>
                <w:color w:val="auto"/>
              </w:rPr>
            </w:pP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970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2016</w:t>
            </w:r>
          </w:p>
        </w:tc>
      </w:tr>
      <w:tr>
        <w:trPr>
          <w:trHeight w:val="216"/>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effective maturity</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5.6</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5.0</w:t>
            </w:r>
          </w:p>
        </w:tc>
      </w:tr>
      <w:tr>
        <w:trPr>
          <w:trHeight w:val="216"/>
        </w:trPr>
        <w:tc>
          <w:tcPr>
            <w:tcW w:w="9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final maturity</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8.3</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8.3</w:t>
            </w:r>
          </w:p>
        </w:tc>
      </w:tr>
      <w:tr>
        <w:trPr>
          <w:trHeight w:val="216"/>
        </w:trPr>
        <w:tc>
          <w:tcPr>
            <w:tcW w:w="9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Effective duration</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4.8</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4.4</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2017 and December 31, 2016, 69% and 65%, respectively, of the investment portfolio recorded at fair value was priced based upon quoted market prices.</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more fully described in Note 3 to our Condensed Consolidated Financial Statements, “Investments—Impairment Review,” we completed a detailed review of all our securities in a continuous loss position as of March 31, 2017 and December 31, 2016. As of March 31, 2017 our held-to-maturity debt securities included an investment in one bond issued by the Commonwealth of Puerto Rico (“PR”). In July 2016, PR defaulted on its interest payment to bondholders. Due to the credit deterioration of PR, we recorded a credit loss component of other-than-temporary impairment (“OTTI”) on this investment as of June 30, 2016. As of December 31, 2016, the full amount of the write-down was recognized as a credit component of OTTI in the amount of $69,911.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99"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March 31, 2017 and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5"/>
                <w:szCs w:val="15"/>
                <w:b w:val="1"/>
                <w:bCs w:val="1"/>
                <w:color w:val="auto"/>
              </w:rPr>
              <w:t>March 31, 2017</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1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155"/>
              <w:spacing w:after="0" w:line="162" w:lineRule="exact"/>
              <w:rPr>
                <w:sz w:val="20"/>
                <w:szCs w:val="20"/>
                <w:color w:val="auto"/>
              </w:rPr>
            </w:pPr>
            <w:r>
              <w:rPr>
                <w:rFonts w:ascii="Arial" w:cs="Arial" w:eastAsia="Arial" w:hAnsi="Arial"/>
                <w:sz w:val="15"/>
                <w:szCs w:val="15"/>
                <w:b w:val="1"/>
                <w:bCs w:val="1"/>
                <w:color w:val="auto"/>
              </w:rPr>
              <w:t>Less than 12 months</w:t>
            </w: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5"/>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36"/>
              <w:spacing w:after="0" w:line="149" w:lineRule="exact"/>
              <w:rPr>
                <w:sz w:val="20"/>
                <w:szCs w:val="20"/>
                <w:color w:val="auto"/>
              </w:rPr>
            </w:pPr>
            <w:r>
              <w:rPr>
                <w:rFonts w:ascii="Arial" w:cs="Arial" w:eastAsia="Arial" w:hAnsi="Arial"/>
                <w:sz w:val="15"/>
                <w:szCs w:val="15"/>
                <w:b w:val="1"/>
                <w:bCs w:val="1"/>
                <w:color w:val="auto"/>
                <w:w w:val="89"/>
              </w:rPr>
              <w:t>No. of</w:t>
            </w:r>
          </w:p>
        </w:tc>
        <w:tc>
          <w:tcPr>
            <w:tcW w:w="280" w:type="dxa"/>
            <w:vAlign w:val="bottom"/>
          </w:tcPr>
          <w:p>
            <w:pPr>
              <w:spacing w:after="0"/>
              <w:rPr>
                <w:sz w:val="12"/>
                <w:szCs w:val="12"/>
                <w:color w:val="auto"/>
              </w:rPr>
            </w:pPr>
          </w:p>
        </w:tc>
        <w:tc>
          <w:tcPr>
            <w:tcW w:w="1100" w:type="dxa"/>
            <w:vAlign w:val="bottom"/>
          </w:tcPr>
          <w:p>
            <w:pPr>
              <w:jc w:val="center"/>
              <w:ind w:right="217"/>
              <w:spacing w:after="0" w:line="149" w:lineRule="exact"/>
              <w:rPr>
                <w:sz w:val="20"/>
                <w:szCs w:val="20"/>
                <w:color w:val="auto"/>
              </w:rPr>
            </w:pPr>
            <w:r>
              <w:rPr>
                <w:rFonts w:ascii="Arial" w:cs="Arial" w:eastAsia="Arial" w:hAnsi="Arial"/>
                <w:sz w:val="15"/>
                <w:szCs w:val="15"/>
                <w:b w:val="1"/>
                <w:bCs w:val="1"/>
                <w:color w:val="auto"/>
                <w:w w:val="86"/>
              </w:rPr>
              <w:t>Aggregate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6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16"/>
              <w:spacing w:after="0" w:line="162" w:lineRule="exact"/>
              <w:rPr>
                <w:sz w:val="20"/>
                <w:szCs w:val="20"/>
                <w:color w:val="auto"/>
              </w:rPr>
            </w:pPr>
            <w:r>
              <w:rPr>
                <w:rFonts w:ascii="Arial" w:cs="Arial" w:eastAsia="Arial" w:hAnsi="Arial"/>
                <w:sz w:val="15"/>
                <w:szCs w:val="15"/>
                <w:b w:val="1"/>
                <w:bCs w:val="1"/>
                <w:color w:val="auto"/>
                <w:w w:val="82"/>
              </w:rPr>
              <w:t>Positions</w:t>
            </w:r>
          </w:p>
        </w:tc>
        <w:tc>
          <w:tcPr>
            <w:tcW w:w="300" w:type="dxa"/>
            <w:vAlign w:val="bottom"/>
          </w:tcPr>
          <w:p>
            <w:pPr>
              <w:spacing w:after="0"/>
              <w:rPr>
                <w:sz w:val="14"/>
                <w:szCs w:val="14"/>
                <w:color w:val="auto"/>
              </w:rPr>
            </w:pPr>
          </w:p>
        </w:tc>
        <w:tc>
          <w:tcPr>
            <w:tcW w:w="720" w:type="dxa"/>
            <w:vAlign w:val="bottom"/>
          </w:tcPr>
          <w:p>
            <w:pPr>
              <w:jc w:val="right"/>
              <w:ind w:right="216"/>
              <w:spacing w:after="0" w:line="162" w:lineRule="exact"/>
              <w:rPr>
                <w:sz w:val="20"/>
                <w:szCs w:val="20"/>
                <w:color w:val="auto"/>
              </w:rPr>
            </w:pPr>
            <w:r>
              <w:rPr>
                <w:rFonts w:ascii="Arial" w:cs="Arial" w:eastAsia="Arial" w:hAnsi="Arial"/>
                <w:sz w:val="15"/>
                <w:szCs w:val="15"/>
                <w:b w:val="1"/>
                <w:bCs w:val="1"/>
                <w:color w:val="auto"/>
              </w:rPr>
              <w:t>Fair</w:t>
            </w:r>
          </w:p>
        </w:tc>
        <w:tc>
          <w:tcPr>
            <w:tcW w:w="340" w:type="dxa"/>
            <w:vAlign w:val="bottom"/>
          </w:tcPr>
          <w:p>
            <w:pPr>
              <w:spacing w:after="0"/>
              <w:rPr>
                <w:sz w:val="14"/>
                <w:szCs w:val="14"/>
                <w:color w:val="auto"/>
              </w:rPr>
            </w:pPr>
          </w:p>
        </w:tc>
        <w:tc>
          <w:tcPr>
            <w:tcW w:w="10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20" w:type="dxa"/>
            <w:vAlign w:val="bottom"/>
          </w:tcPr>
          <w:p>
            <w:pPr>
              <w:jc w:val="center"/>
              <w:ind w:right="36"/>
              <w:spacing w:after="0" w:line="162" w:lineRule="exact"/>
              <w:rPr>
                <w:sz w:val="20"/>
                <w:szCs w:val="20"/>
                <w:color w:val="auto"/>
              </w:rPr>
            </w:pPr>
            <w:r>
              <w:rPr>
                <w:rFonts w:ascii="Arial" w:cs="Arial" w:eastAsia="Arial" w:hAnsi="Arial"/>
                <w:sz w:val="15"/>
                <w:szCs w:val="15"/>
                <w:b w:val="1"/>
                <w:bCs w:val="1"/>
                <w:color w:val="auto"/>
                <w:w w:val="85"/>
              </w:rPr>
              <w:t>Positions</w:t>
            </w:r>
          </w:p>
        </w:tc>
        <w:tc>
          <w:tcPr>
            <w:tcW w:w="280" w:type="dxa"/>
            <w:vAlign w:val="bottom"/>
          </w:tcPr>
          <w:p>
            <w:pPr>
              <w:spacing w:after="0"/>
              <w:rPr>
                <w:sz w:val="14"/>
                <w:szCs w:val="14"/>
                <w:color w:val="auto"/>
              </w:rPr>
            </w:pPr>
          </w:p>
        </w:tc>
        <w:tc>
          <w:tcPr>
            <w:tcW w:w="1100" w:type="dxa"/>
            <w:vAlign w:val="bottom"/>
          </w:tcPr>
          <w:p>
            <w:pPr>
              <w:jc w:val="center"/>
              <w:ind w:right="217"/>
              <w:spacing w:after="0" w:line="162" w:lineRule="exact"/>
              <w:rPr>
                <w:sz w:val="20"/>
                <w:szCs w:val="20"/>
                <w:color w:val="auto"/>
              </w:rPr>
            </w:pPr>
            <w:r>
              <w:rPr>
                <w:rFonts w:ascii="Arial" w:cs="Arial" w:eastAsia="Arial" w:hAnsi="Arial"/>
                <w:sz w:val="15"/>
                <w:szCs w:val="15"/>
                <w:b w:val="1"/>
                <w:bCs w:val="1"/>
                <w:color w:val="auto"/>
              </w:rPr>
              <w:t>Fair</w:t>
            </w:r>
          </w:p>
        </w:tc>
        <w:tc>
          <w:tcPr>
            <w:tcW w:w="18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Value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2"/>
              </w:rPr>
              <w:t>Held</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2"/>
        </w:trPr>
        <w:tc>
          <w:tcPr>
            <w:tcW w:w="184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Fixed-Maturity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w w:val="99"/>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759,346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(18,806)</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(18,710)</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1,072,672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26,857,516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(556,753)</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238,393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(7,370)</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9"/>
              </w:rPr>
              <w:t>27,095,909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(564,123)</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other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1840" w:type="dxa"/>
            <w:vAlign w:val="bottom"/>
          </w:tcPr>
          <w:p>
            <w:pPr>
              <w:ind w:left="60"/>
              <w:spacing w:after="0"/>
              <w:rPr>
                <w:sz w:val="20"/>
                <w:szCs w:val="20"/>
                <w:color w:val="auto"/>
              </w:rPr>
            </w:pPr>
            <w:r>
              <w:rPr>
                <w:rFonts w:ascii="Arial" w:cs="Arial" w:eastAsia="Arial" w:hAnsi="Arial"/>
                <w:sz w:val="18"/>
                <w:szCs w:val="18"/>
                <w:color w:val="auto"/>
                <w:w w:val="94"/>
              </w:rPr>
              <w:t>asset backed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18,537,897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(308,073)</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477,494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(26,361)</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9"/>
              </w:rPr>
              <w:t>19,015,391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(334,434)</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46,154,759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(883,632)</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1,029,213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(52,441)</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47,183,972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(936,073)</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3,376,750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(120,639)</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656,000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(75,322)</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4,032,750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(195,961)</w:t>
            </w: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(67,418)</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291,000</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(67,418)</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3,376,750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(120,639)</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(142,740)</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4,323,750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49,531,509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3"/>
              </w:rPr>
              <w:t>(1,004,271)</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1,976,213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(195,181)</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51,507,722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(1,199,452)</w:t>
            </w:r>
          </w:p>
        </w:tc>
      </w:tr>
      <w:tr>
        <w:trPr>
          <w:trHeight w:val="892"/>
        </w:trPr>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53</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5"/>
                <w:szCs w:val="15"/>
                <w:b w:val="1"/>
                <w:bCs w:val="1"/>
                <w:color w:val="auto"/>
                <w:w w:val="88"/>
              </w:rPr>
              <w:t>December 31, 2016</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1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155"/>
              <w:spacing w:after="0" w:line="162" w:lineRule="exact"/>
              <w:rPr>
                <w:sz w:val="20"/>
                <w:szCs w:val="20"/>
                <w:color w:val="auto"/>
              </w:rPr>
            </w:pPr>
            <w:r>
              <w:rPr>
                <w:rFonts w:ascii="Arial" w:cs="Arial" w:eastAsia="Arial" w:hAnsi="Arial"/>
                <w:sz w:val="15"/>
                <w:szCs w:val="15"/>
                <w:b w:val="1"/>
                <w:bCs w:val="1"/>
                <w:color w:val="auto"/>
              </w:rPr>
              <w:t>Less than 12 months</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5"/>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36"/>
              <w:spacing w:after="0" w:line="149" w:lineRule="exact"/>
              <w:rPr>
                <w:sz w:val="20"/>
                <w:szCs w:val="20"/>
                <w:color w:val="auto"/>
              </w:rPr>
            </w:pPr>
            <w:r>
              <w:rPr>
                <w:rFonts w:ascii="Arial" w:cs="Arial" w:eastAsia="Arial" w:hAnsi="Arial"/>
                <w:sz w:val="15"/>
                <w:szCs w:val="15"/>
                <w:b w:val="1"/>
                <w:bCs w:val="1"/>
                <w:color w:val="auto"/>
                <w:w w:val="89"/>
              </w:rPr>
              <w:t>No. of</w:t>
            </w:r>
          </w:p>
        </w:tc>
        <w:tc>
          <w:tcPr>
            <w:tcW w:w="280" w:type="dxa"/>
            <w:vAlign w:val="bottom"/>
          </w:tcPr>
          <w:p>
            <w:pPr>
              <w:spacing w:after="0"/>
              <w:rPr>
                <w:sz w:val="12"/>
                <w:szCs w:val="12"/>
                <w:color w:val="auto"/>
              </w:rPr>
            </w:pPr>
          </w:p>
        </w:tc>
        <w:tc>
          <w:tcPr>
            <w:tcW w:w="1100" w:type="dxa"/>
            <w:vAlign w:val="bottom"/>
          </w:tcPr>
          <w:p>
            <w:pPr>
              <w:jc w:val="center"/>
              <w:ind w:right="217"/>
              <w:spacing w:after="0" w:line="149" w:lineRule="exact"/>
              <w:rPr>
                <w:sz w:val="20"/>
                <w:szCs w:val="20"/>
                <w:color w:val="auto"/>
              </w:rPr>
            </w:pPr>
            <w:r>
              <w:rPr>
                <w:rFonts w:ascii="Arial" w:cs="Arial" w:eastAsia="Arial" w:hAnsi="Arial"/>
                <w:sz w:val="15"/>
                <w:szCs w:val="15"/>
                <w:b w:val="1"/>
                <w:bCs w:val="1"/>
                <w:color w:val="auto"/>
                <w:w w:val="86"/>
              </w:rPr>
              <w:t>Aggregate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6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360" w:type="dxa"/>
            <w:vAlign w:val="bottom"/>
          </w:tcPr>
          <w:p>
            <w:pPr>
              <w:spacing w:after="0"/>
              <w:rPr>
                <w:sz w:val="14"/>
                <w:szCs w:val="14"/>
                <w:color w:val="auto"/>
              </w:rPr>
            </w:pPr>
          </w:p>
        </w:tc>
        <w:tc>
          <w:tcPr>
            <w:tcW w:w="720" w:type="dxa"/>
            <w:vAlign w:val="bottom"/>
          </w:tcPr>
          <w:p>
            <w:pPr>
              <w:jc w:val="center"/>
              <w:ind w:right="75"/>
              <w:spacing w:after="0" w:line="162" w:lineRule="exact"/>
              <w:rPr>
                <w:sz w:val="20"/>
                <w:szCs w:val="20"/>
                <w:color w:val="auto"/>
              </w:rPr>
            </w:pPr>
            <w:r>
              <w:rPr>
                <w:rFonts w:ascii="Arial" w:cs="Arial" w:eastAsia="Arial" w:hAnsi="Arial"/>
                <w:sz w:val="15"/>
                <w:szCs w:val="15"/>
                <w:b w:val="1"/>
                <w:bCs w:val="1"/>
                <w:color w:val="auto"/>
              </w:rPr>
              <w:t>Fair</w:t>
            </w:r>
          </w:p>
        </w:tc>
        <w:tc>
          <w:tcPr>
            <w:tcW w:w="340" w:type="dxa"/>
            <w:vAlign w:val="bottom"/>
          </w:tcPr>
          <w:p>
            <w:pPr>
              <w:spacing w:after="0"/>
              <w:rPr>
                <w:sz w:val="14"/>
                <w:szCs w:val="14"/>
                <w:color w:val="auto"/>
              </w:rPr>
            </w:pPr>
          </w:p>
        </w:tc>
        <w:tc>
          <w:tcPr>
            <w:tcW w:w="10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20" w:type="dxa"/>
            <w:vAlign w:val="bottom"/>
          </w:tcPr>
          <w:p>
            <w:pPr>
              <w:jc w:val="center"/>
              <w:ind w:right="36"/>
              <w:spacing w:after="0" w:line="162" w:lineRule="exact"/>
              <w:rPr>
                <w:sz w:val="20"/>
                <w:szCs w:val="20"/>
                <w:color w:val="auto"/>
              </w:rPr>
            </w:pPr>
            <w:r>
              <w:rPr>
                <w:rFonts w:ascii="Arial" w:cs="Arial" w:eastAsia="Arial" w:hAnsi="Arial"/>
                <w:sz w:val="15"/>
                <w:szCs w:val="15"/>
                <w:b w:val="1"/>
                <w:bCs w:val="1"/>
                <w:color w:val="auto"/>
                <w:w w:val="85"/>
              </w:rPr>
              <w:t>Positions</w:t>
            </w:r>
          </w:p>
        </w:tc>
        <w:tc>
          <w:tcPr>
            <w:tcW w:w="280" w:type="dxa"/>
            <w:vAlign w:val="bottom"/>
          </w:tcPr>
          <w:p>
            <w:pPr>
              <w:spacing w:after="0"/>
              <w:rPr>
                <w:sz w:val="14"/>
                <w:szCs w:val="14"/>
                <w:color w:val="auto"/>
              </w:rPr>
            </w:pPr>
          </w:p>
        </w:tc>
        <w:tc>
          <w:tcPr>
            <w:tcW w:w="1100" w:type="dxa"/>
            <w:vAlign w:val="bottom"/>
          </w:tcPr>
          <w:p>
            <w:pPr>
              <w:jc w:val="center"/>
              <w:ind w:right="217"/>
              <w:spacing w:after="0" w:line="162" w:lineRule="exact"/>
              <w:rPr>
                <w:sz w:val="20"/>
                <w:szCs w:val="20"/>
                <w:color w:val="auto"/>
              </w:rPr>
            </w:pPr>
            <w:r>
              <w:rPr>
                <w:rFonts w:ascii="Arial" w:cs="Arial" w:eastAsia="Arial" w:hAnsi="Arial"/>
                <w:sz w:val="15"/>
                <w:szCs w:val="15"/>
                <w:b w:val="1"/>
                <w:bCs w:val="1"/>
                <w:color w:val="auto"/>
              </w:rPr>
              <w:t>Fair</w:t>
            </w:r>
          </w:p>
        </w:tc>
        <w:tc>
          <w:tcPr>
            <w:tcW w:w="18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89"/>
              </w:rPr>
              <w:t>Value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2"/>
              </w:rPr>
              <w:t>Held</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2"/>
        </w:trPr>
        <w:tc>
          <w:tcPr>
            <w:tcW w:w="184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Fixed-Maturity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w w:val="99"/>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1,067,574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(46,589)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1,067,574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19,859,293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(638,113)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(5,612)</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9"/>
              </w:rPr>
              <w:t>20,099,263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(643,725)</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184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15,918,090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(309,273)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(38,442)</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9"/>
              </w:rPr>
              <w:t>16,593,406</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(347,715)</w:t>
            </w:r>
          </w:p>
        </w:tc>
      </w:tr>
      <w:tr>
        <w:trPr>
          <w:trHeight w:val="216"/>
        </w:trPr>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36,844,957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(993,975)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915,286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(44,054)</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37,760,243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(1,038,029)</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84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3,759,850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(241,333)</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660,750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(70,571)</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4,420,600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(311,904)</w:t>
            </w:r>
          </w:p>
        </w:tc>
      </w:tr>
      <w:tr>
        <w:trPr>
          <w:trHeight w:val="223"/>
        </w:trPr>
        <w:tc>
          <w:tcPr>
            <w:tcW w:w="1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288,075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(13,968)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424,550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(97,468)</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712,625</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(111,436)</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4,047,925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(255,301)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1,085,300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(168,039)</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5,133,225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(423,340)</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40,892,882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3"/>
              </w:rPr>
              <w:t>(1,249,276)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2,000,586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(212,093)</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42,893,468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(1,461,369)</w:t>
            </w:r>
          </w:p>
        </w:tc>
      </w:tr>
      <w:tr>
        <w:trPr>
          <w:trHeight w:val="892"/>
        </w:trPr>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54</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56" w:name="page57"/>
    <w:bookmarkEnd w:id="56"/>
    <w:p>
      <w:pPr>
        <w:jc w:val="both"/>
        <w:ind w:firstLine="648"/>
        <w:spacing w:after="0" w:line="294" w:lineRule="auto"/>
        <w:rPr>
          <w:sz w:val="20"/>
          <w:szCs w:val="20"/>
          <w:color w:val="auto"/>
        </w:rPr>
      </w:pPr>
      <w:r>
        <w:rPr>
          <w:rFonts w:ascii="Arial" w:cs="Arial" w:eastAsia="Arial" w:hAnsi="Arial"/>
          <w:sz w:val="16"/>
          <w:szCs w:val="16"/>
          <w:color w:val="auto"/>
        </w:rPr>
        <w:t>There were 93 securities at March 31, 2017 that accounted for the gross unrealized loss, none of which were deemed by us to be other than temporarily impaired. There were 85 securities at December 31, 2016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2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was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Through the quarter ended March 31, 2017, the primary source of cash flow for our holding company are dividends received from KICO, subject to statutory restrictions. For the three months ended March 31, 2017, KICO paid dividends of $500,000 to us.</w:t>
      </w:r>
    </w:p>
    <w:p>
      <w:pPr>
        <w:spacing w:after="0" w:line="213"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If the aforementioned sources of cash flow currently available are insufficient to cover our holding company cash requirements, we will seek to obtain additional financing.</w:t>
      </w:r>
    </w:p>
    <w:p>
      <w:pPr>
        <w:spacing w:after="0" w:line="21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jc w:val="both"/>
        <w:ind w:firstLine="648"/>
        <w:spacing w:after="0" w:line="268"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Three Months Ended March 31,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Cash flows provided by (used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2,056,143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2,672,714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(20,370,870)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(10,091,378)</w:t>
            </w: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29,505,862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(553,484)</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11,191,135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(7,972,148)</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12,044,520</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13,551,372</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23,235,655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5,579,224</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Net cash provided by operating activities was $2,056,000 in 2017 as compared to $2,673,000 in 2016. The $617,000 decrease in cash flows provided by operating activities in 2017 was primarily a result of a decrease in cash arising from net fluctuations in assets and liabilities relating to operating activities of KICO as affected by the growth in its operations which are described above, partially offset by an increase in net income (adjusted for non-cash items) of $1,233,000. We had a greater amount of payables and accrued liabilities including commissions and employee bonuses as of December 31, 2016 compared to December 31, 2015, which were paid in the subsequent three months ended in 2017 and 2016.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$20,371,000 in 2017 compared to $10,091,000 in 2016. The $10,280,000 increase in net cash used in investing activities is the result of a $5,089,000 increase in acquisitions of invested assets, a $4,524,000 decrease in sales or maturities of invested assets and a $415,000 increase in the amount of fixed asset acquisitions in 2017.</w:t>
      </w:r>
    </w:p>
    <w:p>
      <w:pPr>
        <w:spacing w:after="0" w:line="2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Net cash provided by financing activities was $29,506,000 in 2017 compared to $553,000 used in 2016. The $30,059,000 increase in net cash provided by financing activities is the result of the $30,137,000 net proceeds we received from the public offering of our common stock in January/February 2017 and a $96,000 decrease in the purchase of treasury stock, offset partially by a $206,000 increase in dividends paid due to an increase in the shares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213"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quota share reinsurance treaty in effect for 2017 for our personal lines business, which primarily consists of homeowners’ policies, was covered under the 2016/2017 Treaty. Our quota share reinsurance treaty in effect for 2016 for our personal lines business, which primarily consists of homeowners’ policies, was covered under the 2015/2016 Treaty.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2015/2016 Treaty and 2016/2017 Treaty provide for the following material terms: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8"/>
                <w:szCs w:val="18"/>
                <w:b w:val="1"/>
                <w:bCs w:val="1"/>
                <w:color w:val="auto"/>
              </w:rPr>
              <w:t>Treaty Year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center"/>
              <w:ind w:right="252"/>
              <w:spacing w:after="0" w:line="201" w:lineRule="exact"/>
              <w:rPr>
                <w:sz w:val="20"/>
                <w:szCs w:val="20"/>
                <w:color w:val="auto"/>
              </w:rPr>
            </w:pPr>
            <w:r>
              <w:rPr>
                <w:rFonts w:ascii="Arial" w:cs="Arial" w:eastAsia="Arial" w:hAnsi="Arial"/>
                <w:sz w:val="18"/>
                <w:szCs w:val="18"/>
                <w:b w:val="1"/>
                <w:bCs w:val="1"/>
                <w:color w:val="auto"/>
                <w:w w:val="88"/>
              </w:rPr>
              <w:t>July 1, 2016</w:t>
            </w:r>
          </w:p>
        </w:tc>
        <w:tc>
          <w:tcPr>
            <w:tcW w:w="200" w:type="dxa"/>
            <w:vAlign w:val="bottom"/>
          </w:tcPr>
          <w:p>
            <w:pPr>
              <w:spacing w:after="0"/>
              <w:rPr>
                <w:sz w:val="17"/>
                <w:szCs w:val="17"/>
                <w:color w:val="auto"/>
              </w:rPr>
            </w:pPr>
          </w:p>
        </w:tc>
        <w:tc>
          <w:tcPr>
            <w:tcW w:w="1320" w:type="dxa"/>
            <w:vAlign w:val="bottom"/>
          </w:tcPr>
          <w:p>
            <w:pPr>
              <w:jc w:val="center"/>
              <w:ind w:right="192"/>
              <w:spacing w:after="0" w:line="201" w:lineRule="exact"/>
              <w:rPr>
                <w:sz w:val="20"/>
                <w:szCs w:val="20"/>
                <w:color w:val="auto"/>
              </w:rPr>
            </w:pPr>
            <w:r>
              <w:rPr>
                <w:rFonts w:ascii="Arial" w:cs="Arial" w:eastAsia="Arial" w:hAnsi="Arial"/>
                <w:sz w:val="18"/>
                <w:szCs w:val="18"/>
                <w:b w:val="1"/>
                <w:bCs w:val="1"/>
                <w:color w:val="auto"/>
                <w:w w:val="87"/>
              </w:rPr>
              <w:t>July 1, 2015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Line of Busines</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right="252"/>
              <w:spacing w:after="0"/>
              <w:rPr>
                <w:sz w:val="20"/>
                <w:szCs w:val="20"/>
                <w:color w:val="auto"/>
              </w:rPr>
            </w:pPr>
            <w:r>
              <w:rPr>
                <w:rFonts w:ascii="Arial" w:cs="Arial" w:eastAsia="Arial" w:hAnsi="Arial"/>
                <w:sz w:val="18"/>
                <w:szCs w:val="18"/>
                <w:b w:val="1"/>
                <w:bCs w:val="1"/>
                <w:color w:val="auto"/>
                <w:w w:val="82"/>
              </w:rPr>
              <w:t>to</w:t>
            </w:r>
          </w:p>
        </w:tc>
        <w:tc>
          <w:tcPr>
            <w:tcW w:w="200" w:type="dxa"/>
            <w:vAlign w:val="bottom"/>
          </w:tcPr>
          <w:p>
            <w:pPr>
              <w:spacing w:after="0"/>
              <w:rPr>
                <w:sz w:val="19"/>
                <w:szCs w:val="19"/>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400" w:type="dxa"/>
            <w:vAlign w:val="bottom"/>
            <w:tcBorders>
              <w:bottom w:val="single" w:sz="8" w:color="auto"/>
            </w:tcBorders>
            <w:gridSpan w:val="5"/>
            <w:vMerge w:val="continue"/>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7"/>
              </w:rPr>
              <w:t>June 30, 2017</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7"/>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Personal Lines:</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Homeowners, dwelling fire and canine legal liability</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833,333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3,666,667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833,333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Personal Umbrella</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Percent ceded - excess of $1,000,000 dollars of coverage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4,900,000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5"/>
              </w:rPr>
              <w:t>Losses per occurrence subject to quota share reinsurance coverage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252"/>
              <w:spacing w:after="0"/>
              <w:rPr>
                <w:sz w:val="20"/>
                <w:szCs w:val="20"/>
                <w:color w:val="auto"/>
              </w:rPr>
            </w:pPr>
            <w:r>
              <w:rPr>
                <w:rFonts w:ascii="Arial" w:cs="Arial" w:eastAsia="Arial" w:hAnsi="Arial"/>
                <w:sz w:val="18"/>
                <w:szCs w:val="18"/>
                <w:color w:val="auto"/>
                <w:w w:val="85"/>
              </w:rPr>
              <w:t>June 30, 2017</w:t>
            </w:r>
          </w:p>
        </w:tc>
        <w:tc>
          <w:tcPr>
            <w:tcW w:w="200" w:type="dxa"/>
            <w:vAlign w:val="bottom"/>
          </w:tcPr>
          <w:p>
            <w:pPr>
              <w:spacing w:after="0"/>
              <w:rPr>
                <w:sz w:val="18"/>
                <w:szCs w:val="18"/>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Commercial Lines:</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General liability commercial policies, except for commercial auto</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(terminated effective July 1, 2014)</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in ecess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0"/>
              <w:spacing w:after="0"/>
              <w:rPr>
                <w:sz w:val="20"/>
                <w:szCs w:val="20"/>
                <w:color w:val="auto"/>
              </w:rPr>
            </w:pPr>
            <w:r>
              <w:rPr>
                <w:rFonts w:ascii="Arial" w:cs="Arial" w:eastAsia="Arial" w:hAnsi="Arial"/>
                <w:sz w:val="18"/>
                <w:szCs w:val="18"/>
                <w:color w:val="auto"/>
              </w:rPr>
              <w:t>Commercial Umbrella</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rPr>
              <w:t>Risk retained</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52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Commercial Auto:</w:t>
            </w:r>
          </w:p>
        </w:tc>
        <w:tc>
          <w:tcPr>
            <w:tcW w:w="2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Risk retained</w:t>
            </w:r>
          </w:p>
        </w:tc>
        <w:tc>
          <w:tcPr>
            <w:tcW w:w="4120" w:type="dxa"/>
            <w:vAlign w:val="bottom"/>
            <w:tcBorders>
              <w:top w:val="single" w:sz="8" w:color="CCEEFF"/>
            </w:tcBorders>
            <w:gridSpan w:val="3"/>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in excess of risk retained</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Catastrophe Reinsurance:</w:t>
            </w: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Risk retained per catastrophe occurrence (1)</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4"/>
              </w:rPr>
              <w:t>Catastrophe loss coverage in excess of quota share coverage (2) (3)</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247,000,000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rPr>
              <w:t>Severe winter weather aggregate (3)</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8"/>
                <w:szCs w:val="18"/>
                <w:color w:val="auto"/>
              </w:rPr>
              <w:t>No</w:t>
            </w:r>
          </w:p>
        </w:tc>
        <w:tc>
          <w:tcPr>
            <w:tcW w:w="200" w:type="dxa"/>
            <w:vAlign w:val="bottom"/>
          </w:tcPr>
          <w:p>
            <w:pPr>
              <w:spacing w:after="0"/>
              <w:rPr>
                <w:sz w:val="18"/>
                <w:szCs w:val="18"/>
                <w:color w:val="auto"/>
              </w:rPr>
            </w:pPr>
          </w:p>
        </w:tc>
        <w:tc>
          <w:tcPr>
            <w:tcW w:w="1320" w:type="dxa"/>
            <w:vAlign w:val="bottom"/>
          </w:tcPr>
          <w:p>
            <w:pPr>
              <w:jc w:val="center"/>
              <w:ind w:right="152"/>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Reinstatement premium protection (4)</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3"/>
              </w:rPr>
              <w:t>Yes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2352"/>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9" w:name="page60"/>
    <w:bookmarkEnd w:id="59"/>
    <w:p>
      <w:pPr>
        <w:ind w:left="380" w:hanging="36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380" w:right="20" w:hanging="364"/>
        <w:spacing w:after="0" w:line="281"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80" w:hanging="364"/>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From July 1, 2015 through June 30, 2016, catastrophe treaty also covered losses caused by severe winter weather during any consecutive 28 day period.</w:t>
      </w:r>
    </w:p>
    <w:p>
      <w:pPr>
        <w:spacing w:after="0" w:line="32" w:lineRule="exact"/>
        <w:rPr>
          <w:rFonts w:ascii="Arial" w:cs="Arial" w:eastAsia="Arial" w:hAnsi="Arial"/>
          <w:sz w:val="16"/>
          <w:szCs w:val="16"/>
          <w:color w:val="auto"/>
        </w:rPr>
      </w:pPr>
    </w:p>
    <w:p>
      <w:pPr>
        <w:ind w:left="380" w:hanging="364"/>
        <w:spacing w:after="0" w:line="261"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2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single maximum risks per occurrence to which we are subject under the new treaties effective July 1, 2016 and under the treaties that expired on June 30, 2016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40" w:type="dxa"/>
            <w:vAlign w:val="bottom"/>
            <w:vMerge w:val="restart"/>
          </w:tcPr>
          <w:p>
            <w:pPr>
              <w:ind w:left="760"/>
              <w:spacing w:after="0"/>
              <w:rPr>
                <w:sz w:val="20"/>
                <w:szCs w:val="20"/>
                <w:color w:val="auto"/>
              </w:rPr>
            </w:pPr>
            <w:r>
              <w:rPr>
                <w:rFonts w:ascii="Arial" w:cs="Arial" w:eastAsia="Arial" w:hAnsi="Arial"/>
                <w:sz w:val="15"/>
                <w:szCs w:val="15"/>
                <w:b w:val="1"/>
                <w:bCs w:val="1"/>
                <w:color w:val="auto"/>
              </w:rPr>
              <w:t>Treaty</w:t>
            </w:r>
          </w:p>
        </w:tc>
        <w:tc>
          <w:tcPr>
            <w:tcW w:w="340" w:type="dxa"/>
            <w:vAlign w:val="bottom"/>
            <w:vMerge w:val="restart"/>
          </w:tcPr>
          <w:p>
            <w:pPr>
              <w:spacing w:after="0"/>
              <w:rPr>
                <w:sz w:val="15"/>
                <w:szCs w:val="15"/>
                <w:color w:val="auto"/>
              </w:rPr>
            </w:pPr>
          </w:p>
        </w:tc>
        <w:tc>
          <w:tcPr>
            <w:tcW w:w="3100" w:type="dxa"/>
            <w:vAlign w:val="bottom"/>
            <w:tcBorders>
              <w:bottom w:val="single" w:sz="8" w:color="auto"/>
            </w:tcBorders>
            <w:gridSpan w:val="2"/>
          </w:tcPr>
          <w:p>
            <w:pPr>
              <w:ind w:left="1280"/>
              <w:spacing w:after="0"/>
              <w:rPr>
                <w:sz w:val="20"/>
                <w:szCs w:val="20"/>
                <w:color w:val="auto"/>
              </w:rPr>
            </w:pPr>
            <w:r>
              <w:rPr>
                <w:rFonts w:ascii="Arial" w:cs="Arial" w:eastAsia="Arial" w:hAnsi="Arial"/>
                <w:sz w:val="15"/>
                <w:szCs w:val="15"/>
                <w:b w:val="1"/>
                <w:bCs w:val="1"/>
                <w:color w:val="auto"/>
                <w:w w:val="92"/>
              </w:rPr>
              <w:t>July 1, 2016 - June 30, 2017</w:t>
            </w:r>
          </w:p>
        </w:tc>
        <w:tc>
          <w:tcPr>
            <w:tcW w:w="13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tcBorders>
              <w:bottom w:val="single" w:sz="8" w:color="auto"/>
            </w:tcBorders>
            <w:gridSpan w:val="2"/>
          </w:tcPr>
          <w:p>
            <w:pPr>
              <w:ind w:left="1220"/>
              <w:spacing w:after="0"/>
              <w:rPr>
                <w:sz w:val="20"/>
                <w:szCs w:val="20"/>
                <w:color w:val="auto"/>
              </w:rPr>
            </w:pPr>
            <w:r>
              <w:rPr>
                <w:rFonts w:ascii="Arial" w:cs="Arial" w:eastAsia="Arial" w:hAnsi="Arial"/>
                <w:sz w:val="15"/>
                <w:szCs w:val="15"/>
                <w:b w:val="1"/>
                <w:bCs w:val="1"/>
                <w:color w:val="auto"/>
                <w:w w:val="93"/>
              </w:rPr>
              <w:t>July 1, 2015 - June 30, 2016</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60" w:type="dxa"/>
            <w:vAlign w:val="bottom"/>
            <w:tcBorders>
              <w:bottom w:val="single" w:sz="8" w:color="auto"/>
            </w:tcBorders>
          </w:tcPr>
          <w:p>
            <w:pPr>
              <w:ind w:left="1000"/>
              <w:spacing w:after="0" w:line="162" w:lineRule="exact"/>
              <w:rPr>
                <w:sz w:val="20"/>
                <w:szCs w:val="20"/>
                <w:color w:val="auto"/>
              </w:rPr>
            </w:pPr>
            <w:r>
              <w:rPr>
                <w:rFonts w:ascii="Arial" w:cs="Arial" w:eastAsia="Arial" w:hAnsi="Arial"/>
                <w:sz w:val="15"/>
                <w:szCs w:val="15"/>
                <w:b w:val="1"/>
                <w:bCs w:val="1"/>
                <w:color w:val="auto"/>
              </w:rPr>
              <w:t>Extent of Loss</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Risk Retained</w:t>
            </w: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980"/>
              <w:spacing w:after="0" w:line="162" w:lineRule="exact"/>
              <w:rPr>
                <w:sz w:val="20"/>
                <w:szCs w:val="20"/>
                <w:color w:val="auto"/>
              </w:rPr>
            </w:pPr>
            <w:r>
              <w:rPr>
                <w:rFonts w:ascii="Arial" w:cs="Arial" w:eastAsia="Arial" w:hAnsi="Arial"/>
                <w:sz w:val="15"/>
                <w:szCs w:val="15"/>
                <w:b w:val="1"/>
                <w:bCs w:val="1"/>
                <w:color w:val="auto"/>
              </w:rPr>
              <w:t>Extent of Loss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79"/>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$833,333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$750,000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$833,333 - $4,500,000</w:t>
            </w:r>
          </w:p>
        </w:tc>
        <w:tc>
          <w:tcPr>
            <w:tcW w:w="2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$750,000 - $4,500,000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$1,000,000 - $3,000,000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$3,000,000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$425,000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$500,000 - $4,500,000</w:t>
            </w:r>
          </w:p>
        </w:tc>
        <w:tc>
          <w:tcPr>
            <w:tcW w:w="2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ind w:left="40"/>
              <w:spacing w:after="0"/>
              <w:rPr>
                <w:sz w:val="20"/>
                <w:szCs w:val="20"/>
                <w:color w:val="auto"/>
              </w:rPr>
            </w:pPr>
            <w:r>
              <w:rPr>
                <w:rFonts w:ascii="Arial" w:cs="Arial" w:eastAsia="Arial" w:hAnsi="Arial"/>
                <w:sz w:val="16"/>
                <w:szCs w:val="16"/>
                <w:color w:val="auto"/>
              </w:rPr>
              <w:t>$425,000 - $4,500,000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Umbrella</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None(1)</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Catastrophe (2)</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$5,000,000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34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Initial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$5,000,000 - $252,000,000</w:t>
            </w:r>
          </w:p>
        </w:tc>
        <w:tc>
          <w:tcPr>
            <w:tcW w:w="2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None</w:t>
            </w:r>
          </w:p>
        </w:tc>
        <w:tc>
          <w:tcPr>
            <w:tcW w:w="2840" w:type="dxa"/>
            <w:vAlign w:val="bottom"/>
          </w:tcPr>
          <w:p>
            <w:pPr>
              <w:ind w:left="40"/>
              <w:spacing w:after="0"/>
              <w:rPr>
                <w:sz w:val="20"/>
                <w:szCs w:val="20"/>
                <w:color w:val="auto"/>
              </w:rPr>
            </w:pPr>
            <w:r>
              <w:rPr>
                <w:rFonts w:ascii="Arial" w:cs="Arial" w:eastAsia="Arial" w:hAnsi="Arial"/>
                <w:sz w:val="16"/>
                <w:szCs w:val="16"/>
                <w:color w:val="auto"/>
              </w:rPr>
              <w:t>$4,000,000 - $180,000,000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$252,000,000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$180,000,000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________________</w:t>
            </w: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80" w:hanging="29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right="3940" w:firstLine="688"/>
        <w:spacing w:after="0" w:line="532"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Catastrophe coverage is limited on an annual basis to two times the per occurrence amounts. </w:t>
      </w:r>
      <w:r>
        <w:rPr>
          <w:rFonts w:ascii="Arial" w:cs="Arial" w:eastAsia="Arial" w:hAnsi="Arial"/>
          <w:sz w:val="18"/>
          <w:szCs w:val="18"/>
          <w:u w:val="single" w:color="auto"/>
          <w:color w:val="auto"/>
        </w:rPr>
        <w:t>New Quota Share Reinsurance Treaty Effective July 1, 2017</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2017, we bound our personal lines quota share reinsurance treaty effective July 1, 2017. The treaty provides for a reduction in the quota share ceding rate to 20%, from the current 40% in the expiring treaty, and the provisional ceding commission rate increases to 52.5%, from the current 52.0% in the expiring treaty. The new treaty covers a two year period from July 1, 2017 through June 30, 2019 (“2017/2019 Treaty”). We shall have the option under broad circumstances to reduce the quota share ceding rate or terminate the 2017/2019 Treaty effective July 1, 2018 by giving advance notice to the two reinsurers who participate in the quota share reinsurance treaty. The two reinsurers who participate in the quota share reinsurance treaty shall have the option under limited circumstances to reduce the quota share ceding rate or terminate the 2017/2019 Treaty effective July 1, 2018 by giving advance notice to 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jc w:val="both"/>
        <w:ind w:firstLine="692"/>
        <w:spacing w:after="0" w:line="33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58" w:lineRule="exact"/>
        <w:rPr>
          <w:sz w:val="20"/>
          <w:szCs w:val="20"/>
          <w:color w:val="auto"/>
        </w:rPr>
      </w:pPr>
    </w:p>
    <w:p>
      <w:pPr>
        <w:jc w:val="both"/>
        <w:ind w:firstLine="692"/>
        <w:spacing w:after="0" w:line="255" w:lineRule="auto"/>
        <w:rPr>
          <w:sz w:val="20"/>
          <w:szCs w:val="20"/>
          <w:color w:val="auto"/>
        </w:rPr>
      </w:pPr>
      <w:r>
        <w:rPr>
          <w:rFonts w:ascii="Arial" w:cs="Arial" w:eastAsia="Arial" w:hAnsi="Arial"/>
          <w:sz w:val="18"/>
          <w:szCs w:val="18"/>
          <w:color w:val="auto"/>
        </w:rPr>
        <w:t>Based upon the factors set forth under “Factors That May Affect Future Results and Financial Condition” in Item 7 of our Annual Report on Form 10-K for the year ended December 31, 2016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692"/>
        <w:spacing w:after="0" w:line="256" w:lineRule="auto"/>
        <w:rPr>
          <w:sz w:val="20"/>
          <w:szCs w:val="20"/>
          <w:color w:val="auto"/>
        </w:rPr>
      </w:pPr>
      <w:r>
        <w:rPr>
          <w:rFonts w:ascii="Arial" w:cs="Arial" w:eastAsia="Arial" w:hAnsi="Arial"/>
          <w:sz w:val="18"/>
          <w:szCs w:val="18"/>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22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ind w:left="4340"/>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58" w:lineRule="exact"/>
        <w:rPr>
          <w:sz w:val="20"/>
          <w:szCs w:val="20"/>
          <w:color w:val="auto"/>
        </w:rPr>
      </w:pPr>
    </w:p>
    <w:p>
      <w:pPr>
        <w:jc w:val="center"/>
        <w:ind w:right="8539"/>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58"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There were no purchases of common stock made by us or any “affiliated purchaser” during the quarter ended March 31, 2017.</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60" w:type="dxa"/>
            <w:vAlign w:val="bottom"/>
            <w:gridSpan w:val="5"/>
          </w:tcPr>
          <w:p>
            <w:pPr>
              <w:spacing w:after="0"/>
              <w:rPr>
                <w:sz w:val="20"/>
                <w:szCs w:val="20"/>
                <w:color w:val="auto"/>
              </w:rPr>
            </w:pPr>
            <w:r>
              <w:rPr>
                <w:rFonts w:ascii="Arial" w:cs="Arial" w:eastAsia="Arial" w:hAnsi="Arial"/>
                <w:sz w:val="18"/>
                <w:szCs w:val="18"/>
                <w:b w:val="1"/>
                <w:bCs w:val="1"/>
                <w:color w:val="auto"/>
                <w:w w:val="90"/>
              </w:rPr>
              <w:t>Item 6. Exhibits</w:t>
            </w:r>
            <w:r>
              <w:rPr>
                <w:rFonts w:ascii="Arial" w:cs="Arial" w:eastAsia="Arial" w:hAnsi="Arial"/>
                <w:sz w:val="18"/>
                <w:szCs w:val="18"/>
                <w:color w:val="auto"/>
                <w:w w:val="90"/>
              </w:rPr>
              <w:t>.</w:t>
            </w:r>
          </w:p>
        </w:tc>
        <w:tc>
          <w:tcPr>
            <w:tcW w:w="10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3(a)</w:t>
            </w:r>
          </w:p>
        </w:tc>
        <w:tc>
          <w:tcPr>
            <w:tcW w:w="1016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Restated Certificate of Incorporation, as amended</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3(b)</w:t>
            </w:r>
          </w:p>
        </w:tc>
        <w:tc>
          <w:tcPr>
            <w:tcW w:w="1016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By-laws, as amended</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4"/>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31(a)</w:t>
              </w:r>
            </w:hyperlink>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4"/>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31(b)</w:t>
              </w:r>
            </w:hyperlink>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60" w:right="140" w:hanging="1252"/>
        <w:spacing w:after="0" w:line="183" w:lineRule="auto"/>
        <w:tabs>
          <w:tab w:leader="none" w:pos="1260" w:val="left"/>
        </w:tabs>
        <w:numPr>
          <w:ilvl w:val="0"/>
          <w:numId w:val="15"/>
        </w:numPr>
        <w:rPr>
          <w:rFonts w:ascii="Arial" w:cs="Arial" w:eastAsia="Arial" w:hAnsi="Arial"/>
          <w:sz w:val="33"/>
          <w:szCs w:val="33"/>
          <w:u w:val="single" w:color="auto"/>
          <w:color w:val="0000EE"/>
          <w:vertAlign w:val="subscript"/>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101.SCH 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101.CAL  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101.DEF  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101.LAB  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101.PRE XBRL Taxonomy Extension Presentation Linkbase.</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1Denotes document filed as Exhibit 3 (a) to our Quarterly Report on Form 10-Q for the period ended March 31, 2014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 Denotes document filed Exhibit 3.1 to our Current Report on Form 8-K for an event dated November 5, 2009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6440" w:type="dxa"/>
            <w:vAlign w:val="bottom"/>
            <w:gridSpan w:val="2"/>
          </w:tcPr>
          <w:p>
            <w:pPr>
              <w:ind w:left="2100"/>
              <w:spacing w:after="0"/>
              <w:rPr>
                <w:sz w:val="20"/>
                <w:szCs w:val="20"/>
                <w:color w:val="auto"/>
              </w:rPr>
            </w:pPr>
            <w:r>
              <w:rPr>
                <w:rFonts w:ascii="Arial" w:cs="Arial" w:eastAsia="Arial" w:hAnsi="Arial"/>
                <w:sz w:val="18"/>
                <w:szCs w:val="18"/>
                <w:b w:val="1"/>
                <w:bCs w:val="1"/>
                <w:color w:val="auto"/>
              </w:rPr>
              <w:t>KINGSTONE COMPANIES, INC.</w:t>
            </w:r>
          </w:p>
        </w:tc>
      </w:tr>
      <w:tr>
        <w:trPr>
          <w:trHeight w:val="468"/>
        </w:trPr>
        <w:tc>
          <w:tcPr>
            <w:tcW w:w="3620" w:type="dxa"/>
            <w:vAlign w:val="bottom"/>
          </w:tcPr>
          <w:p>
            <w:pPr>
              <w:spacing w:after="0"/>
              <w:rPr>
                <w:sz w:val="20"/>
                <w:szCs w:val="20"/>
                <w:color w:val="auto"/>
              </w:rPr>
            </w:pPr>
            <w:r>
              <w:rPr>
                <w:rFonts w:ascii="Arial" w:cs="Arial" w:eastAsia="Arial" w:hAnsi="Arial"/>
                <w:sz w:val="18"/>
                <w:szCs w:val="18"/>
                <w:color w:val="auto"/>
              </w:rPr>
              <w:t>Dated: May 11, 2017</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Barry B. Goldstein</w:t>
            </w:r>
          </w:p>
        </w:tc>
      </w:tr>
      <w:tr>
        <w:trPr>
          <w:trHeight w:val="208"/>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684"/>
        </w:trPr>
        <w:tc>
          <w:tcPr>
            <w:tcW w:w="3620" w:type="dxa"/>
            <w:vAlign w:val="bottom"/>
          </w:tcPr>
          <w:p>
            <w:pPr>
              <w:spacing w:after="0"/>
              <w:rPr>
                <w:sz w:val="20"/>
                <w:szCs w:val="20"/>
                <w:color w:val="auto"/>
              </w:rPr>
            </w:pPr>
            <w:r>
              <w:rPr>
                <w:rFonts w:ascii="Arial" w:cs="Arial" w:eastAsia="Arial" w:hAnsi="Arial"/>
                <w:sz w:val="18"/>
                <w:szCs w:val="18"/>
                <w:color w:val="auto"/>
              </w:rPr>
              <w:t>Dated: May 11, 2017</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Victor Brodsky</w:t>
            </w:r>
          </w:p>
        </w:tc>
      </w:tr>
      <w:tr>
        <w:trPr>
          <w:trHeight w:val="208"/>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Barry B. Goldstein, certify that:</w:t>
      </w:r>
    </w:p>
    <w:p>
      <w:pPr>
        <w:spacing w:after="0" w:line="25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252" w:lineRule="exact"/>
        <w:rPr>
          <w:rFonts w:ascii="Arial" w:cs="Arial" w:eastAsia="Arial" w:hAnsi="Arial"/>
          <w:sz w:val="18"/>
          <w:szCs w:val="18"/>
          <w:color w:val="auto"/>
        </w:rPr>
      </w:pPr>
    </w:p>
    <w:p>
      <w:pPr>
        <w:ind w:right="60" w:firstLine="8"/>
        <w:spacing w:after="0" w:line="332" w:lineRule="auto"/>
        <w:tabs>
          <w:tab w:leader="none" w:pos="3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right="160" w:firstLine="8"/>
        <w:spacing w:after="0" w:line="332" w:lineRule="auto"/>
        <w:tabs>
          <w:tab w:leader="none" w:pos="3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6" w:lineRule="exact"/>
        <w:rPr>
          <w:rFonts w:ascii="Arial" w:cs="Arial" w:eastAsia="Arial" w:hAnsi="Arial"/>
          <w:sz w:val="16"/>
          <w:szCs w:val="16"/>
          <w:color w:val="auto"/>
        </w:rPr>
      </w:pPr>
    </w:p>
    <w:p>
      <w:pPr>
        <w:ind w:right="160" w:firstLine="8"/>
        <w:spacing w:after="0" w:line="259"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right="20" w:hanging="644"/>
        <w:spacing w:after="0" w:line="370" w:lineRule="auto"/>
        <w:tabs>
          <w:tab w:leader="none" w:pos="13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300" w:hanging="644"/>
        <w:spacing w:after="0" w:line="30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87" w:lineRule="exact"/>
        <w:rPr>
          <w:rFonts w:ascii="Arial" w:cs="Arial" w:eastAsia="Arial" w:hAnsi="Arial"/>
          <w:sz w:val="16"/>
          <w:szCs w:val="16"/>
          <w:color w:val="auto"/>
        </w:rPr>
      </w:pPr>
    </w:p>
    <w:p>
      <w:pPr>
        <w:jc w:val="both"/>
        <w:ind w:right="140" w:firstLine="8"/>
        <w:spacing w:after="0" w:line="370" w:lineRule="auto"/>
        <w:tabs>
          <w:tab w:leader="none" w:pos="3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64" w:lineRule="exact"/>
        <w:rPr>
          <w:rFonts w:ascii="Arial" w:cs="Arial" w:eastAsia="Arial" w:hAnsi="Arial"/>
          <w:sz w:val="15"/>
          <w:szCs w:val="15"/>
          <w:color w:val="auto"/>
        </w:rPr>
      </w:pPr>
    </w:p>
    <w:p>
      <w:pPr>
        <w:ind w:left="1300" w:hanging="644"/>
        <w:spacing w:after="0" w:line="33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9" w:lineRule="exact"/>
        <w:rPr>
          <w:rFonts w:ascii="Arial" w:cs="Arial" w:eastAsia="Arial" w:hAnsi="Arial"/>
          <w:sz w:val="16"/>
          <w:szCs w:val="16"/>
          <w:color w:val="auto"/>
        </w:rPr>
      </w:pPr>
    </w:p>
    <w:p>
      <w:pPr>
        <w:ind w:left="1300" w:right="20" w:hanging="644"/>
        <w:spacing w:after="0" w:line="268"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May 11, 2017</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Barry B. Goldstein</w:t>
            </w:r>
          </w:p>
        </w:tc>
        <w:tc>
          <w:tcPr>
            <w:tcW w:w="4120" w:type="dxa"/>
            <w:vAlign w:val="bottom"/>
          </w:tcPr>
          <w:p>
            <w:pPr>
              <w:spacing w:after="0"/>
              <w:rPr>
                <w:sz w:val="18"/>
                <w:szCs w:val="18"/>
                <w:color w:val="auto"/>
              </w:rPr>
            </w:pPr>
          </w:p>
        </w:tc>
      </w:tr>
      <w:tr>
        <w:trPr>
          <w:trHeight w:val="228"/>
        </w:trPr>
        <w:tc>
          <w:tcPr>
            <w:tcW w:w="57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57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4"/>
        </w:trPr>
        <w:tc>
          <w:tcPr>
            <w:tcW w:w="57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Victor Brodsky, certify that:</w:t>
      </w:r>
    </w:p>
    <w:p>
      <w:pPr>
        <w:spacing w:after="0" w:line="25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252" w:lineRule="exact"/>
        <w:rPr>
          <w:rFonts w:ascii="Arial" w:cs="Arial" w:eastAsia="Arial" w:hAnsi="Arial"/>
          <w:sz w:val="18"/>
          <w:szCs w:val="18"/>
          <w:color w:val="auto"/>
        </w:rPr>
      </w:pPr>
    </w:p>
    <w:p>
      <w:pPr>
        <w:ind w:right="60" w:firstLine="8"/>
        <w:spacing w:after="0" w:line="332" w:lineRule="auto"/>
        <w:tabs>
          <w:tab w:leader="none" w:pos="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right="160" w:firstLine="8"/>
        <w:spacing w:after="0" w:line="332" w:lineRule="auto"/>
        <w:tabs>
          <w:tab w:leader="none" w:pos="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6" w:lineRule="exact"/>
        <w:rPr>
          <w:rFonts w:ascii="Arial" w:cs="Arial" w:eastAsia="Arial" w:hAnsi="Arial"/>
          <w:sz w:val="16"/>
          <w:szCs w:val="16"/>
          <w:color w:val="auto"/>
        </w:rPr>
      </w:pPr>
    </w:p>
    <w:p>
      <w:pPr>
        <w:ind w:right="160" w:firstLine="8"/>
        <w:spacing w:after="0" w:line="259"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right="20" w:hanging="644"/>
        <w:spacing w:after="0" w:line="370" w:lineRule="auto"/>
        <w:tabs>
          <w:tab w:leader="none" w:pos="13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300" w:hanging="644"/>
        <w:spacing w:after="0" w:line="306"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87" w:lineRule="exact"/>
        <w:rPr>
          <w:rFonts w:ascii="Arial" w:cs="Arial" w:eastAsia="Arial" w:hAnsi="Arial"/>
          <w:sz w:val="16"/>
          <w:szCs w:val="16"/>
          <w:color w:val="auto"/>
        </w:rPr>
      </w:pPr>
    </w:p>
    <w:p>
      <w:pPr>
        <w:jc w:val="both"/>
        <w:ind w:right="140" w:firstLine="8"/>
        <w:spacing w:after="0" w:line="370" w:lineRule="auto"/>
        <w:tabs>
          <w:tab w:leader="none" w:pos="3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16" w:lineRule="exact"/>
        <w:rPr>
          <w:rFonts w:ascii="Arial" w:cs="Arial" w:eastAsia="Arial" w:hAnsi="Arial"/>
          <w:sz w:val="15"/>
          <w:szCs w:val="15"/>
          <w:color w:val="auto"/>
        </w:rPr>
      </w:pPr>
    </w:p>
    <w:p>
      <w:pPr>
        <w:ind w:left="1300" w:hanging="644"/>
        <w:spacing w:after="0" w:line="33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9" w:lineRule="exact"/>
        <w:rPr>
          <w:rFonts w:ascii="Arial" w:cs="Arial" w:eastAsia="Arial" w:hAnsi="Arial"/>
          <w:sz w:val="16"/>
          <w:szCs w:val="16"/>
          <w:color w:val="auto"/>
        </w:rPr>
      </w:pPr>
    </w:p>
    <w:p>
      <w:pPr>
        <w:ind w:left="1300" w:right="20" w:hanging="644"/>
        <w:spacing w:after="0" w:line="268"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May 11, 2017</w:t>
            </w:r>
          </w:p>
        </w:tc>
        <w:tc>
          <w:tcPr>
            <w:tcW w:w="5700" w:type="dxa"/>
            <w:vAlign w:val="bottom"/>
            <w:gridSpan w:val="2"/>
          </w:tcPr>
          <w:p>
            <w:pPr>
              <w:spacing w:after="0"/>
              <w:rPr>
                <w:sz w:val="20"/>
                <w:szCs w:val="20"/>
                <w:color w:val="auto"/>
              </w:rPr>
            </w:pPr>
            <w:r>
              <w:rPr>
                <w:rFonts w:ascii="Arial" w:cs="Arial" w:eastAsia="Arial" w:hAnsi="Arial"/>
                <w:sz w:val="18"/>
                <w:szCs w:val="18"/>
                <w:color w:val="auto"/>
              </w:rPr>
              <w:t>/s/ Victor Brodsky</w:t>
            </w:r>
          </w:p>
        </w:tc>
      </w:tr>
      <w:tr>
        <w:trPr>
          <w:trHeight w:val="228"/>
        </w:trPr>
        <w:tc>
          <w:tcPr>
            <w:tcW w:w="572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Victor Brodsky</w:t>
            </w:r>
          </w:p>
        </w:tc>
        <w:tc>
          <w:tcPr>
            <w:tcW w:w="4420" w:type="dxa"/>
            <w:vAlign w:val="bottom"/>
          </w:tcPr>
          <w:p>
            <w:pPr>
              <w:spacing w:after="0"/>
              <w:rPr>
                <w:sz w:val="19"/>
                <w:szCs w:val="19"/>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731"/>
        </w:trPr>
        <w:tc>
          <w:tcPr>
            <w:tcW w:w="5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2017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May 11, 2017</w:t>
            </w: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Barry B. Goldstein</w:t>
            </w:r>
          </w:p>
        </w:tc>
        <w:tc>
          <w:tcPr>
            <w:tcW w:w="4120" w:type="dxa"/>
            <w:vAlign w:val="bottom"/>
          </w:tcPr>
          <w:p>
            <w:pPr>
              <w:spacing w:after="0"/>
              <w:rPr>
                <w:sz w:val="17"/>
                <w:szCs w:val="17"/>
                <w:color w:val="auto"/>
              </w:rPr>
            </w:pPr>
          </w:p>
        </w:tc>
      </w:tr>
      <w:tr>
        <w:trPr>
          <w:trHeight w:val="228"/>
        </w:trPr>
        <w:tc>
          <w:tcPr>
            <w:tcW w:w="57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57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4"/>
        </w:trPr>
        <w:tc>
          <w:tcPr>
            <w:tcW w:w="57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/s/ Victor Brodsky</w:t>
            </w:r>
          </w:p>
        </w:tc>
      </w:tr>
      <w:tr>
        <w:trPr>
          <w:trHeight w:val="228"/>
        </w:trPr>
        <w:tc>
          <w:tcPr>
            <w:tcW w:w="572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Victor Brodsky</w:t>
            </w:r>
          </w:p>
        </w:tc>
        <w:tc>
          <w:tcPr>
            <w:tcW w:w="4420" w:type="dxa"/>
            <w:vAlign w:val="bottom"/>
            <w:gridSpan w:val="2"/>
          </w:tcPr>
          <w:p>
            <w:pPr>
              <w:spacing w:after="0"/>
              <w:rPr>
                <w:sz w:val="19"/>
                <w:szCs w:val="19"/>
                <w:color w:val="auto"/>
              </w:rPr>
            </w:pPr>
          </w:p>
        </w:tc>
      </w:tr>
      <w:tr>
        <w:trPr>
          <w:trHeight w:val="222"/>
        </w:trPr>
        <w:tc>
          <w:tcPr>
            <w:tcW w:w="57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434"/>
        </w:trPr>
        <w:tc>
          <w:tcPr>
            <w:tcW w:w="5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upperLetter"/>
      <w:start w:val="1"/>
    </w:lvl>
    <w:lvl w:ilvl="1">
      <w:lvlJc w:val="left"/>
      <w:lvlText w:val="(%2)"/>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2020-01-17T08:22:16Z</dcterms:created>
  <dcterms:modified xsi:type="dcterms:W3CDTF">2020-01-17T08:22:16Z</dcterms:modified>
</cp:coreProperties>
</file>