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288290</wp:posOffset>
            </wp:positionV>
            <wp:extent cx="71367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3302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387350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05" w:lineRule="exact"/>
        <w:rPr>
          <w:sz w:val="24"/>
          <w:szCs w:val="24"/>
          <w:color w:val="auto"/>
        </w:rPr>
      </w:pPr>
    </w:p>
    <w:p>
      <w:pPr>
        <w:ind w:left="4020" w:right="1700" w:hanging="3754"/>
        <w:spacing w:after="0" w:line="263" w:lineRule="auto"/>
        <w:tabs>
          <w:tab w:leader="none" w:pos="124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2019</w:t>
      </w:r>
    </w:p>
    <w:p>
      <w:pPr>
        <w:ind w:left="55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OR</w:t>
      </w:r>
    </w:p>
    <w:p>
      <w:pPr>
        <w:spacing w:after="0" w:line="212" w:lineRule="exact"/>
        <w:rPr>
          <w:sz w:val="24"/>
          <w:szCs w:val="24"/>
          <w:color w:val="auto"/>
        </w:rPr>
      </w:pPr>
    </w:p>
    <w:p>
      <w:pPr>
        <w:ind w:left="1240" w:hanging="974"/>
        <w:spacing w:after="0"/>
        <w:tabs>
          <w:tab w:leader="none" w:pos="12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1" w:lineRule="exact"/>
        <w:rPr>
          <w:rFonts w:ascii="MS PGothic" w:cs="MS PGothic" w:eastAsia="MS PGothic" w:hAnsi="MS PGothic"/>
          <w:sz w:val="17"/>
          <w:szCs w:val="17"/>
          <w:color w:val="auto"/>
        </w:rPr>
      </w:pPr>
    </w:p>
    <w:p>
      <w:pPr>
        <w:ind w:left="364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transition period from _________to 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0-1665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KINGSTONE COMPANIES,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5" w:lineRule="exact"/>
        <w:rPr>
          <w:sz w:val="24"/>
          <w:szCs w:val="24"/>
          <w:color w:val="auto"/>
        </w:rPr>
      </w:pPr>
    </w:p>
    <w:p>
      <w:pPr>
        <w:jc w:val="center"/>
        <w:ind w:right="700"/>
        <w:spacing w:after="0"/>
        <w:tabs>
          <w:tab w:leader="none" w:pos="1480" w:val="left"/>
        </w:tabs>
        <w:rPr>
          <w:sz w:val="20"/>
          <w:szCs w:val="20"/>
          <w:color w:val="auto"/>
        </w:rPr>
      </w:pPr>
      <w:r>
        <w:rPr>
          <w:rFonts w:ascii="Arial" w:cs="Arial" w:eastAsia="Arial" w:hAnsi="Arial"/>
          <w:sz w:val="17"/>
          <w:szCs w:val="17"/>
          <w:b w:val="1"/>
          <w:bCs w:val="1"/>
          <w:color w:val="auto"/>
        </w:rPr>
        <w:t>Delaware(State or other jurisdiction of incorporation or organization)</w:t>
      </w:r>
      <w:r>
        <w:rPr>
          <w:sz w:val="20"/>
          <w:szCs w:val="20"/>
          <w:color w:val="auto"/>
        </w:rPr>
        <w:tab/>
      </w:r>
      <w:r>
        <w:rPr>
          <w:rFonts w:ascii="Arial" w:cs="Arial" w:eastAsia="Arial" w:hAnsi="Arial"/>
          <w:sz w:val="15"/>
          <w:szCs w:val="15"/>
          <w:b w:val="1"/>
          <w:bCs w:val="1"/>
          <w:color w:val="auto"/>
        </w:rPr>
        <w:t>36-2476480(I.R.S. EmployerIdentification Number)</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(845) 802-7900</w:t>
      </w:r>
    </w:p>
    <w:p>
      <w:pPr>
        <w:spacing w:after="0" w:line="147"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7"/>
                <w:szCs w:val="17"/>
                <w:color w:val="auto"/>
              </w:rPr>
              <w:t>Title of each class</w:t>
            </w:r>
          </w:p>
        </w:tc>
        <w:tc>
          <w:tcPr>
            <w:tcW w:w="2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2"/>
              </w:rPr>
              <w:t>Trading Symbol(s)</w:t>
            </w:r>
          </w:p>
        </w:tc>
        <w:tc>
          <w:tcPr>
            <w:tcW w:w="434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Name of each exchange on which registered</w:t>
            </w:r>
          </w:p>
        </w:tc>
      </w:tr>
      <w:tr>
        <w:trPr>
          <w:trHeight w:val="215"/>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Common Stock, $0.01 par value per share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KINS</w:t>
            </w:r>
          </w:p>
        </w:tc>
        <w:tc>
          <w:tcPr>
            <w:tcW w:w="43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Nasdaq Capital Market</w:t>
            </w:r>
          </w:p>
        </w:tc>
      </w:tr>
      <w:tr>
        <w:trPr>
          <w:trHeight w:val="416"/>
        </w:trPr>
        <w:tc>
          <w:tcPr>
            <w:tcW w:w="4440" w:type="dxa"/>
            <w:vAlign w:val="bottom"/>
          </w:tcPr>
          <w:p>
            <w:pPr>
              <w:spacing w:after="0"/>
              <w:rPr>
                <w:sz w:val="20"/>
                <w:szCs w:val="20"/>
                <w:color w:val="auto"/>
              </w:rPr>
            </w:pPr>
            <w:r>
              <w:rPr>
                <w:rFonts w:ascii="Arial" w:cs="Arial" w:eastAsia="Arial" w:hAnsi="Arial"/>
                <w:sz w:val="17"/>
                <w:szCs w:val="17"/>
                <w:color w:val="auto"/>
              </w:rPr>
              <w:t>Securities registered pursuant to Section 12(g) of the Act:</w:t>
            </w:r>
          </w:p>
        </w:tc>
        <w:tc>
          <w:tcPr>
            <w:tcW w:w="24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1"/>
        </w:trPr>
        <w:tc>
          <w:tcPr>
            <w:tcW w:w="4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08"/>
        </w:trPr>
        <w:tc>
          <w:tcPr>
            <w:tcW w:w="4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8"/>
              </w:rPr>
              <w:t>None</w:t>
            </w:r>
          </w:p>
        </w:tc>
        <w:tc>
          <w:tcPr>
            <w:tcW w:w="4340" w:type="dxa"/>
            <w:vAlign w:val="bottom"/>
            <w:tcBorders>
              <w:bottom w:val="single" w:sz="8" w:color="auto"/>
            </w:tcBorders>
          </w:tcPr>
          <w:p>
            <w:pPr>
              <w:spacing w:after="0"/>
              <w:rPr>
                <w:sz w:val="18"/>
                <w:szCs w:val="18"/>
                <w:color w:val="auto"/>
              </w:rPr>
            </w:pPr>
          </w:p>
        </w:tc>
      </w:tr>
      <w:tr>
        <w:trPr>
          <w:trHeight w:val="215"/>
        </w:trPr>
        <w:tc>
          <w:tcPr>
            <w:tcW w:w="44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7"/>
                <w:szCs w:val="17"/>
                <w:color w:val="auto"/>
                <w:w w:val="90"/>
              </w:rPr>
              <w:t>(Title of each class)</w:t>
            </w:r>
          </w:p>
        </w:tc>
        <w:tc>
          <w:tcPr>
            <w:tcW w:w="4340" w:type="dxa"/>
            <w:vAlign w:val="bottom"/>
          </w:tcPr>
          <w:p>
            <w:pPr>
              <w:spacing w:after="0"/>
              <w:rPr>
                <w:sz w:val="18"/>
                <w:szCs w:val="18"/>
                <w:color w:val="auto"/>
              </w:rPr>
            </w:pPr>
          </w:p>
        </w:tc>
      </w:tr>
    </w:tbl>
    <w:p>
      <w:pPr>
        <w:spacing w:after="0" w:line="162" w:lineRule="exact"/>
        <w:rPr>
          <w:sz w:val="24"/>
          <w:szCs w:val="24"/>
          <w:color w:val="auto"/>
        </w:rPr>
      </w:pPr>
    </w:p>
    <w:p>
      <w:pPr>
        <w:ind w:right="2180"/>
        <w:spacing w:after="0" w:line="23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4" w:lineRule="exact"/>
        <w:rPr>
          <w:sz w:val="24"/>
          <w:szCs w:val="24"/>
          <w:color w:val="auto"/>
        </w:rPr>
      </w:pPr>
    </w:p>
    <w:p>
      <w:pPr>
        <w:ind w:right="6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56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9"/>
        </w:trPr>
        <w:tc>
          <w:tcPr>
            <w:tcW w:w="2120" w:type="dxa"/>
            <w:vAlign w:val="bottom"/>
          </w:tcPr>
          <w:p>
            <w:pPr>
              <w:spacing w:after="0"/>
              <w:rPr>
                <w:sz w:val="20"/>
                <w:szCs w:val="20"/>
                <w:color w:val="auto"/>
              </w:rPr>
            </w:pPr>
            <w:r>
              <w:rPr>
                <w:rFonts w:ascii="Arial" w:cs="Arial" w:eastAsia="Arial" w:hAnsi="Arial"/>
                <w:sz w:val="17"/>
                <w:szCs w:val="17"/>
                <w:color w:val="auto"/>
              </w:rPr>
              <w:t>Non-accelerated filer</w:t>
            </w:r>
          </w:p>
        </w:tc>
        <w:tc>
          <w:tcPr>
            <w:tcW w:w="33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56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5"/>
        </w:trPr>
        <w:tc>
          <w:tcPr>
            <w:tcW w:w="2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40" w:type="dxa"/>
            <w:vAlign w:val="bottom"/>
          </w:tcPr>
          <w:p>
            <w:pPr>
              <w:ind w:left="256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bl>
    <w:p>
      <w:pPr>
        <w:ind w:right="6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line="313" w:lineRule="auto"/>
        <w:rPr>
          <w:sz w:val="20"/>
          <w:szCs w:val="20"/>
          <w:color w:val="auto"/>
        </w:rPr>
      </w:pPr>
      <w:r>
        <w:rPr>
          <w:rFonts w:ascii="Arial" w:cs="Arial" w:eastAsia="Arial" w:hAnsi="Arial"/>
          <w:sz w:val="16"/>
          <w:szCs w:val="16"/>
          <w:color w:val="auto"/>
        </w:rPr>
        <w:t>As of June 30, 2019, the aggregate market value of the registrant’s common stock held by non-affiliates of the registrant was $84,442,572 based on the closing sale price as reported on the Nasdaq Global Select Market. As of March 9, 2020, there were 10,803,770 shares of common stock outstanding.</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71367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3302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9"/>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360" w:type="dxa"/>
            <w:vAlign w:val="bottom"/>
          </w:tcPr>
          <w:p>
            <w:pPr>
              <w:ind w:left="4240"/>
              <w:spacing w:after="0"/>
              <w:rPr>
                <w:sz w:val="20"/>
                <w:szCs w:val="20"/>
                <w:color w:val="auto"/>
              </w:rPr>
            </w:pPr>
            <w:r>
              <w:rPr>
                <w:rFonts w:ascii="Arial" w:cs="Arial" w:eastAsia="Arial" w:hAnsi="Arial"/>
                <w:sz w:val="17"/>
                <w:szCs w:val="17"/>
                <w:b w:val="1"/>
                <w:bCs w:val="1"/>
                <w:color w:val="auto"/>
              </w:rPr>
              <w:t>INDEX</w:t>
            </w:r>
          </w:p>
        </w:tc>
        <w:tc>
          <w:tcPr>
            <w:tcW w:w="1760" w:type="dxa"/>
            <w:vAlign w:val="bottom"/>
            <w:gridSpan w:val="2"/>
            <w:vMerge w:val="restart"/>
          </w:tcPr>
          <w:p>
            <w:pPr>
              <w:jc w:val="right"/>
              <w:ind w:right="715"/>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8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Forward-Looking Statements</w:t>
            </w:r>
          </w:p>
        </w:tc>
        <w:tc>
          <w:tcPr>
            <w:tcW w:w="3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9"/>
        </w:trPr>
        <w:tc>
          <w:tcPr>
            <w:tcW w:w="560" w:type="dxa"/>
            <w:vAlign w:val="bottom"/>
            <w:tcBorders>
              <w:bottom w:val="single" w:sz="8" w:color="0000EE"/>
            </w:tcBorders>
            <w:gridSpan w:val="2"/>
          </w:tcPr>
          <w:p>
            <w:pPr>
              <w:spacing w:after="0" w:line="170" w:lineRule="exact"/>
              <w:rPr>
                <w:rFonts w:ascii="Arial" w:cs="Arial" w:eastAsia="Arial" w:hAnsi="Arial"/>
                <w:sz w:val="17"/>
                <w:szCs w:val="17"/>
                <w:b w:val="1"/>
                <w:bCs w:val="1"/>
                <w:color w:val="0000EE"/>
                <w:w w:val="96"/>
              </w:rPr>
            </w:pPr>
            <w:hyperlink w:anchor="page3">
              <w:r>
                <w:rPr>
                  <w:rFonts w:ascii="Arial" w:cs="Arial" w:eastAsia="Arial" w:hAnsi="Arial"/>
                  <w:sz w:val="17"/>
                  <w:szCs w:val="17"/>
                  <w:b w:val="1"/>
                  <w:bCs w:val="1"/>
                  <w:color w:val="0000EE"/>
                  <w:w w:val="96"/>
                </w:rPr>
                <w:t>PART I</w:t>
              </w:r>
            </w:hyperlink>
          </w:p>
        </w:tc>
        <w:tc>
          <w:tcPr>
            <w:tcW w:w="560" w:type="dxa"/>
            <w:vAlign w:val="bottom"/>
            <w:gridSpan w:val="5"/>
          </w:tcPr>
          <w:p>
            <w:pPr>
              <w:spacing w:after="0"/>
              <w:rPr>
                <w:sz w:val="15"/>
                <w:szCs w:val="15"/>
                <w:color w:val="auto"/>
              </w:rPr>
            </w:pPr>
          </w:p>
        </w:tc>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gridSpan w:val="7"/>
            <w:shd w:val="clear" w:color="auto" w:fill="CCEEFF"/>
          </w:tcPr>
          <w:p>
            <w:pPr>
              <w:spacing w:after="0" w:line="180"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836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Business.</w:t>
            </w:r>
          </w:p>
        </w:tc>
        <w:tc>
          <w:tcPr>
            <w:tcW w:w="17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9"/>
        </w:trPr>
        <w:tc>
          <w:tcPr>
            <w:tcW w:w="4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gridSpan w:val="7"/>
          </w:tcPr>
          <w:p>
            <w:pPr>
              <w:spacing w:after="0" w:line="170" w:lineRule="exact"/>
              <w:rPr>
                <w:rFonts w:ascii="Arial" w:cs="Arial" w:eastAsia="Arial" w:hAnsi="Arial"/>
                <w:sz w:val="17"/>
                <w:szCs w:val="17"/>
                <w:color w:val="0000EE"/>
              </w:rPr>
            </w:pPr>
            <w:hyperlink w:anchor="page18">
              <w:r>
                <w:rPr>
                  <w:rFonts w:ascii="Arial" w:cs="Arial" w:eastAsia="Arial" w:hAnsi="Arial"/>
                  <w:sz w:val="17"/>
                  <w:szCs w:val="17"/>
                  <w:color w:val="0000EE"/>
                </w:rPr>
                <w:t>Item 1A.</w:t>
              </w:r>
            </w:hyperlink>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Risk Factors.</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99"/>
        </w:trPr>
        <w:tc>
          <w:tcPr>
            <w:tcW w:w="600" w:type="dxa"/>
            <w:vAlign w:val="bottom"/>
            <w:tcBorders>
              <w:top w:val="single" w:sz="8" w:color="0000EE"/>
              <w:bottom w:val="single" w:sz="8" w:color="0000EE"/>
            </w:tcBorders>
            <w:gridSpan w:val="4"/>
            <w:shd w:val="clear" w:color="auto" w:fill="CCEEFF"/>
          </w:tcPr>
          <w:p>
            <w:pPr>
              <w:spacing w:after="0" w:line="180" w:lineRule="exact"/>
              <w:rPr>
                <w:rFonts w:ascii="Arial" w:cs="Arial" w:eastAsia="Arial" w:hAnsi="Arial"/>
                <w:sz w:val="17"/>
                <w:szCs w:val="17"/>
                <w:color w:val="0000EE"/>
                <w:w w:val="91"/>
              </w:rPr>
            </w:pPr>
            <w:hyperlink w:anchor="page24">
              <w:r>
                <w:rPr>
                  <w:rFonts w:ascii="Arial" w:cs="Arial" w:eastAsia="Arial" w:hAnsi="Arial"/>
                  <w:sz w:val="17"/>
                  <w:szCs w:val="17"/>
                  <w:color w:val="0000EE"/>
                  <w:w w:val="91"/>
                </w:rPr>
                <w:t>Item 1B.</w:t>
              </w:r>
            </w:hyperlink>
          </w:p>
        </w:tc>
        <w:tc>
          <w:tcPr>
            <w:tcW w:w="520" w:type="dxa"/>
            <w:vAlign w:val="bottom"/>
            <w:tcBorders>
              <w:bottom w:val="single" w:sz="8" w:color="CCEEFF"/>
            </w:tcBorders>
            <w:gridSpan w:val="3"/>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7"/>
                <w:szCs w:val="17"/>
                <w:color w:val="auto"/>
              </w:rPr>
              <w:t>Unresolved Staff Comments.</w:t>
            </w:r>
          </w:p>
        </w:tc>
        <w:tc>
          <w:tcPr>
            <w:tcW w:w="176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70"/>
        </w:trPr>
        <w:tc>
          <w:tcPr>
            <w:tcW w:w="1120" w:type="dxa"/>
            <w:vAlign w:val="bottom"/>
            <w:gridSpan w:val="7"/>
          </w:tcPr>
          <w:p>
            <w:pPr>
              <w:spacing w:after="0" w:line="170" w:lineRule="exact"/>
              <w:rPr>
                <w:rFonts w:ascii="Arial" w:cs="Arial" w:eastAsia="Arial" w:hAnsi="Arial"/>
                <w:sz w:val="17"/>
                <w:szCs w:val="17"/>
                <w:color w:val="0000EE"/>
              </w:rPr>
            </w:pPr>
            <w:hyperlink w:anchor="page24">
              <w:r>
                <w:rPr>
                  <w:rFonts w:ascii="Arial" w:cs="Arial" w:eastAsia="Arial" w:hAnsi="Arial"/>
                  <w:sz w:val="17"/>
                  <w:szCs w:val="17"/>
                  <w:color w:val="0000EE"/>
                </w:rPr>
                <w:t>Item 2.</w:t>
              </w:r>
            </w:hyperlink>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Properties.</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
        </w:trPr>
        <w:tc>
          <w:tcPr>
            <w:tcW w:w="4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gridSpan w:val="7"/>
            <w:shd w:val="clear" w:color="auto" w:fill="CCEEFF"/>
          </w:tcPr>
          <w:p>
            <w:pPr>
              <w:spacing w:after="0" w:line="180" w:lineRule="exact"/>
              <w:rPr>
                <w:rFonts w:ascii="Arial" w:cs="Arial" w:eastAsia="Arial" w:hAnsi="Arial"/>
                <w:sz w:val="17"/>
                <w:szCs w:val="17"/>
                <w:color w:val="0000EE"/>
              </w:rPr>
            </w:pPr>
            <w:hyperlink w:anchor="page24">
              <w:r>
                <w:rPr>
                  <w:rFonts w:ascii="Arial" w:cs="Arial" w:eastAsia="Arial" w:hAnsi="Arial"/>
                  <w:sz w:val="17"/>
                  <w:szCs w:val="17"/>
                  <w:color w:val="0000EE"/>
                </w:rPr>
                <w:t>Item 3.</w:t>
              </w:r>
            </w:hyperlink>
          </w:p>
        </w:tc>
        <w:tc>
          <w:tcPr>
            <w:tcW w:w="836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Legal Proceedings.</w:t>
            </w:r>
          </w:p>
        </w:tc>
        <w:tc>
          <w:tcPr>
            <w:tcW w:w="17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9"/>
        </w:trPr>
        <w:tc>
          <w:tcPr>
            <w:tcW w:w="4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1120" w:type="dxa"/>
            <w:vAlign w:val="bottom"/>
            <w:gridSpan w:val="7"/>
          </w:tcPr>
          <w:p>
            <w:pPr>
              <w:spacing w:after="0" w:line="170" w:lineRule="exact"/>
              <w:rPr>
                <w:rFonts w:ascii="Arial" w:cs="Arial" w:eastAsia="Arial" w:hAnsi="Arial"/>
                <w:sz w:val="17"/>
                <w:szCs w:val="17"/>
                <w:color w:val="0000EE"/>
              </w:rPr>
            </w:pPr>
            <w:hyperlink w:anchor="page24">
              <w:r>
                <w:rPr>
                  <w:rFonts w:ascii="Arial" w:cs="Arial" w:eastAsia="Arial" w:hAnsi="Arial"/>
                  <w:sz w:val="17"/>
                  <w:szCs w:val="17"/>
                  <w:color w:val="0000EE"/>
                </w:rPr>
                <w:t>Item 4.</w:t>
              </w:r>
            </w:hyperlink>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Mine Safety Disclosures.</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0"/>
        </w:trPr>
        <w:tc>
          <w:tcPr>
            <w:tcW w:w="4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20" w:type="dxa"/>
            <w:vAlign w:val="bottom"/>
            <w:gridSpan w:val="7"/>
            <w:shd w:val="clear" w:color="auto" w:fill="CCEEFF"/>
          </w:tcPr>
          <w:p>
            <w:pPr>
              <w:spacing w:after="0" w:line="180"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PART II</w:t>
              </w:r>
            </w:hyperlink>
          </w:p>
        </w:tc>
        <w:tc>
          <w:tcPr>
            <w:tcW w:w="8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20" w:type="dxa"/>
            <w:vAlign w:val="bottom"/>
            <w:tcBorders>
              <w:top w:val="single" w:sz="8" w:color="0000EE"/>
            </w:tcBorders>
            <w:gridSpan w:val="5"/>
          </w:tcPr>
          <w:p>
            <w:pPr>
              <w:spacing w:after="0" w:line="170" w:lineRule="exact"/>
              <w:rPr>
                <w:rFonts w:ascii="Arial" w:cs="Arial" w:eastAsia="Arial" w:hAnsi="Arial"/>
                <w:sz w:val="17"/>
                <w:szCs w:val="17"/>
                <w:color w:val="0000EE"/>
              </w:rPr>
            </w:pPr>
            <w:hyperlink w:anchor="page25">
              <w:r>
                <w:rPr>
                  <w:rFonts w:ascii="Arial" w:cs="Arial" w:eastAsia="Arial" w:hAnsi="Arial"/>
                  <w:sz w:val="17"/>
                  <w:szCs w:val="17"/>
                  <w:color w:val="0000EE"/>
                </w:rPr>
                <w:t>Item 5.</w:t>
              </w:r>
            </w:hyperlink>
          </w:p>
        </w:tc>
        <w:tc>
          <w:tcPr>
            <w:tcW w:w="500" w:type="dxa"/>
            <w:vAlign w:val="bottom"/>
            <w:tcBorders>
              <w:top w:val="single" w:sz="8" w:color="CCEEFF"/>
            </w:tcBorders>
            <w:gridSpan w:val="2"/>
          </w:tcPr>
          <w:p>
            <w:pPr>
              <w:spacing w:after="0"/>
              <w:rPr>
                <w:sz w:val="14"/>
                <w:szCs w:val="14"/>
                <w:color w:val="auto"/>
              </w:rPr>
            </w:pPr>
          </w:p>
        </w:tc>
        <w:tc>
          <w:tcPr>
            <w:tcW w:w="8360" w:type="dxa"/>
            <w:vAlign w:val="bottom"/>
            <w:tcBorders>
              <w:top w:val="single" w:sz="8" w:color="CCEEFF"/>
            </w:tcBorders>
          </w:tcPr>
          <w:p>
            <w:pPr>
              <w:ind w:left="360"/>
              <w:spacing w:after="0" w:line="170" w:lineRule="exact"/>
              <w:rPr>
                <w:sz w:val="20"/>
                <w:szCs w:val="20"/>
                <w:color w:val="auto"/>
              </w:rPr>
            </w:pPr>
            <w:r>
              <w:rPr>
                <w:rFonts w:ascii="Arial" w:cs="Arial" w:eastAsia="Arial" w:hAnsi="Arial"/>
                <w:sz w:val="17"/>
                <w:szCs w:val="17"/>
                <w:color w:val="auto"/>
                <w:w w:val="94"/>
              </w:rPr>
              <w:t>Market for Registrant’s Common Equity, Related Stockholder Matters and Issuer Purchases of Equity Securities.</w:t>
            </w:r>
          </w:p>
        </w:tc>
        <w:tc>
          <w:tcPr>
            <w:tcW w:w="1760" w:type="dxa"/>
            <w:vAlign w:val="bottom"/>
            <w:tcBorders>
              <w:top w:val="single" w:sz="8" w:color="CCEEFF"/>
            </w:tcBorders>
            <w:gridSpan w:val="2"/>
          </w:tcPr>
          <w:p>
            <w:pPr>
              <w:jc w:val="right"/>
              <w:spacing w:after="0" w:line="170"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0"/>
        </w:trPr>
        <w:tc>
          <w:tcPr>
            <w:tcW w:w="4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gridSpan w:val="7"/>
            <w:shd w:val="clear" w:color="auto" w:fill="CCEEFF"/>
          </w:tcPr>
          <w:p>
            <w:pPr>
              <w:spacing w:after="0" w:line="180" w:lineRule="exact"/>
              <w:rPr>
                <w:rFonts w:ascii="Arial" w:cs="Arial" w:eastAsia="Arial" w:hAnsi="Arial"/>
                <w:sz w:val="17"/>
                <w:szCs w:val="17"/>
                <w:color w:val="0000EE"/>
              </w:rPr>
            </w:pPr>
            <w:hyperlink w:anchor="page25">
              <w:r>
                <w:rPr>
                  <w:rFonts w:ascii="Arial" w:cs="Arial" w:eastAsia="Arial" w:hAnsi="Arial"/>
                  <w:sz w:val="17"/>
                  <w:szCs w:val="17"/>
                  <w:color w:val="0000EE"/>
                </w:rPr>
                <w:t>Item 6.</w:t>
              </w:r>
            </w:hyperlink>
          </w:p>
        </w:tc>
        <w:tc>
          <w:tcPr>
            <w:tcW w:w="836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Selected Financial Data.</w:t>
            </w:r>
          </w:p>
        </w:tc>
        <w:tc>
          <w:tcPr>
            <w:tcW w:w="17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9"/>
        </w:trPr>
        <w:tc>
          <w:tcPr>
            <w:tcW w:w="4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1120" w:type="dxa"/>
            <w:vAlign w:val="bottom"/>
            <w:gridSpan w:val="7"/>
          </w:tcPr>
          <w:p>
            <w:pPr>
              <w:spacing w:after="0" w:line="170" w:lineRule="exact"/>
              <w:rPr>
                <w:rFonts w:ascii="Arial" w:cs="Arial" w:eastAsia="Arial" w:hAnsi="Arial"/>
                <w:sz w:val="17"/>
                <w:szCs w:val="17"/>
                <w:color w:val="0000EE"/>
              </w:rPr>
            </w:pPr>
            <w:hyperlink w:anchor="page26">
              <w:r>
                <w:rPr>
                  <w:rFonts w:ascii="Arial" w:cs="Arial" w:eastAsia="Arial" w:hAnsi="Arial"/>
                  <w:sz w:val="17"/>
                  <w:szCs w:val="17"/>
                  <w:color w:val="0000EE"/>
                </w:rPr>
                <w:t>Item 7.</w:t>
              </w:r>
            </w:hyperlink>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0"/>
        </w:trPr>
        <w:tc>
          <w:tcPr>
            <w:tcW w:w="4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20" w:type="dxa"/>
            <w:vAlign w:val="bottom"/>
            <w:gridSpan w:val="7"/>
            <w:shd w:val="clear" w:color="auto" w:fill="CCEEFF"/>
          </w:tcPr>
          <w:p>
            <w:pPr>
              <w:spacing w:after="0" w:line="180" w:lineRule="exact"/>
              <w:rPr>
                <w:rFonts w:ascii="Arial" w:cs="Arial" w:eastAsia="Arial" w:hAnsi="Arial"/>
                <w:sz w:val="17"/>
                <w:szCs w:val="17"/>
                <w:color w:val="0000EE"/>
              </w:rPr>
            </w:pPr>
            <w:hyperlink w:anchor="page49">
              <w:r>
                <w:rPr>
                  <w:rFonts w:ascii="Arial" w:cs="Arial" w:eastAsia="Arial" w:hAnsi="Arial"/>
                  <w:sz w:val="17"/>
                  <w:szCs w:val="17"/>
                  <w:color w:val="0000EE"/>
                </w:rPr>
                <w:t>Item 7A.</w:t>
              </w:r>
            </w:hyperlink>
          </w:p>
        </w:tc>
        <w:tc>
          <w:tcPr>
            <w:tcW w:w="836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Quantitative and Qualitative Disclosures About Market Risk.</w:t>
            </w:r>
          </w:p>
        </w:tc>
        <w:tc>
          <w:tcPr>
            <w:tcW w:w="17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70"/>
        </w:trPr>
        <w:tc>
          <w:tcPr>
            <w:tcW w:w="600" w:type="dxa"/>
            <w:vAlign w:val="bottom"/>
            <w:tcBorders>
              <w:top w:val="single" w:sz="8" w:color="0000EE"/>
            </w:tcBorders>
            <w:gridSpan w:val="4"/>
          </w:tcPr>
          <w:p>
            <w:pPr>
              <w:spacing w:after="0" w:line="170" w:lineRule="exact"/>
              <w:rPr>
                <w:rFonts w:ascii="Arial" w:cs="Arial" w:eastAsia="Arial" w:hAnsi="Arial"/>
                <w:sz w:val="17"/>
                <w:szCs w:val="17"/>
                <w:color w:val="0000EE"/>
              </w:rPr>
            </w:pPr>
            <w:hyperlink w:anchor="page49">
              <w:r>
                <w:rPr>
                  <w:rFonts w:ascii="Arial" w:cs="Arial" w:eastAsia="Arial" w:hAnsi="Arial"/>
                  <w:sz w:val="17"/>
                  <w:szCs w:val="17"/>
                  <w:color w:val="0000EE"/>
                </w:rPr>
                <w:t>Item 8.</w:t>
              </w:r>
            </w:hyperlink>
          </w:p>
        </w:tc>
        <w:tc>
          <w:tcPr>
            <w:tcW w:w="520" w:type="dxa"/>
            <w:vAlign w:val="bottom"/>
            <w:tcBorders>
              <w:top w:val="single" w:sz="8" w:color="CCEEFF"/>
            </w:tcBorders>
            <w:gridSpan w:val="3"/>
          </w:tcPr>
          <w:p>
            <w:pPr>
              <w:spacing w:after="0"/>
              <w:rPr>
                <w:sz w:val="14"/>
                <w:szCs w:val="14"/>
                <w:color w:val="auto"/>
              </w:rPr>
            </w:pPr>
          </w:p>
        </w:tc>
        <w:tc>
          <w:tcPr>
            <w:tcW w:w="8360" w:type="dxa"/>
            <w:vAlign w:val="bottom"/>
            <w:tcBorders>
              <w:top w:val="single" w:sz="8" w:color="CCEEFF"/>
            </w:tcBorders>
          </w:tcPr>
          <w:p>
            <w:pPr>
              <w:ind w:left="360"/>
              <w:spacing w:after="0" w:line="170" w:lineRule="exact"/>
              <w:rPr>
                <w:sz w:val="20"/>
                <w:szCs w:val="20"/>
                <w:color w:val="auto"/>
              </w:rPr>
            </w:pPr>
            <w:r>
              <w:rPr>
                <w:rFonts w:ascii="Arial" w:cs="Arial" w:eastAsia="Arial" w:hAnsi="Arial"/>
                <w:sz w:val="17"/>
                <w:szCs w:val="17"/>
                <w:color w:val="auto"/>
              </w:rPr>
              <w:t>Financial Statements and Supplementary Data.</w:t>
            </w:r>
          </w:p>
        </w:tc>
        <w:tc>
          <w:tcPr>
            <w:tcW w:w="1760" w:type="dxa"/>
            <w:vAlign w:val="bottom"/>
            <w:tcBorders>
              <w:top w:val="single" w:sz="8" w:color="CCEEFF"/>
            </w:tcBorders>
            <w:gridSpan w:val="2"/>
          </w:tcPr>
          <w:p>
            <w:pPr>
              <w:jc w:val="right"/>
              <w:spacing w:after="0" w:line="170"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0"/>
        </w:trPr>
        <w:tc>
          <w:tcPr>
            <w:tcW w:w="4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gridSpan w:val="7"/>
            <w:shd w:val="clear" w:color="auto" w:fill="CCEEFF"/>
          </w:tcPr>
          <w:p>
            <w:pPr>
              <w:spacing w:after="0" w:line="180" w:lineRule="exact"/>
              <w:rPr>
                <w:rFonts w:ascii="Arial" w:cs="Arial" w:eastAsia="Arial" w:hAnsi="Arial"/>
                <w:sz w:val="17"/>
                <w:szCs w:val="17"/>
                <w:color w:val="0000EE"/>
              </w:rPr>
            </w:pPr>
            <w:hyperlink w:anchor="page49">
              <w:r>
                <w:rPr>
                  <w:rFonts w:ascii="Arial" w:cs="Arial" w:eastAsia="Arial" w:hAnsi="Arial"/>
                  <w:sz w:val="17"/>
                  <w:szCs w:val="17"/>
                  <w:color w:val="0000EE"/>
                </w:rPr>
                <w:t>Item 9.</w:t>
              </w:r>
            </w:hyperlink>
          </w:p>
        </w:tc>
        <w:tc>
          <w:tcPr>
            <w:tcW w:w="836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7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9"/>
        </w:trPr>
        <w:tc>
          <w:tcPr>
            <w:tcW w:w="4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gridSpan w:val="7"/>
          </w:tcPr>
          <w:p>
            <w:pPr>
              <w:spacing w:after="0" w:line="170" w:lineRule="exact"/>
              <w:rPr>
                <w:rFonts w:ascii="Arial" w:cs="Arial" w:eastAsia="Arial" w:hAnsi="Arial"/>
                <w:sz w:val="17"/>
                <w:szCs w:val="17"/>
                <w:color w:val="0000EE"/>
              </w:rPr>
            </w:pPr>
            <w:hyperlink w:anchor="page49">
              <w:r>
                <w:rPr>
                  <w:rFonts w:ascii="Arial" w:cs="Arial" w:eastAsia="Arial" w:hAnsi="Arial"/>
                  <w:sz w:val="17"/>
                  <w:szCs w:val="17"/>
                  <w:color w:val="0000EE"/>
                </w:rPr>
                <w:t>Item 9A.</w:t>
              </w:r>
            </w:hyperlink>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Controls and Procedures.</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9"/>
        </w:trPr>
        <w:tc>
          <w:tcPr>
            <w:tcW w:w="600" w:type="dxa"/>
            <w:vAlign w:val="bottom"/>
            <w:tcBorders>
              <w:top w:val="single" w:sz="8" w:color="0000EE"/>
              <w:bottom w:val="single" w:sz="8" w:color="0000EE"/>
            </w:tcBorders>
            <w:gridSpan w:val="4"/>
            <w:shd w:val="clear" w:color="auto" w:fill="CCEEFF"/>
          </w:tcPr>
          <w:p>
            <w:pPr>
              <w:spacing w:after="0" w:line="180" w:lineRule="exact"/>
              <w:rPr>
                <w:rFonts w:ascii="Arial" w:cs="Arial" w:eastAsia="Arial" w:hAnsi="Arial"/>
                <w:sz w:val="17"/>
                <w:szCs w:val="17"/>
                <w:color w:val="0000EE"/>
                <w:w w:val="91"/>
              </w:rPr>
            </w:pPr>
            <w:hyperlink w:anchor="page51">
              <w:r>
                <w:rPr>
                  <w:rFonts w:ascii="Arial" w:cs="Arial" w:eastAsia="Arial" w:hAnsi="Arial"/>
                  <w:sz w:val="17"/>
                  <w:szCs w:val="17"/>
                  <w:color w:val="0000EE"/>
                  <w:w w:val="91"/>
                </w:rPr>
                <w:t>Item 9B.</w:t>
              </w:r>
            </w:hyperlink>
          </w:p>
        </w:tc>
        <w:tc>
          <w:tcPr>
            <w:tcW w:w="520" w:type="dxa"/>
            <w:vAlign w:val="bottom"/>
            <w:tcBorders>
              <w:bottom w:val="single" w:sz="8" w:color="CCEEFF"/>
            </w:tcBorders>
            <w:gridSpan w:val="3"/>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7"/>
                <w:szCs w:val="17"/>
                <w:color w:val="auto"/>
              </w:rPr>
              <w:t>Other Information.</w:t>
            </w:r>
          </w:p>
        </w:tc>
        <w:tc>
          <w:tcPr>
            <w:tcW w:w="176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79"/>
        </w:trPr>
        <w:tc>
          <w:tcPr>
            <w:tcW w:w="1120" w:type="dxa"/>
            <w:vAlign w:val="bottom"/>
            <w:gridSpan w:val="7"/>
          </w:tcPr>
          <w:p>
            <w:pPr>
              <w:spacing w:after="0" w:line="170" w:lineRule="exact"/>
              <w:rPr>
                <w:rFonts w:ascii="Arial" w:cs="Arial" w:eastAsia="Arial" w:hAnsi="Arial"/>
                <w:sz w:val="17"/>
                <w:szCs w:val="17"/>
                <w:b w:val="1"/>
                <w:bCs w:val="1"/>
                <w:color w:val="0000EE"/>
              </w:rPr>
            </w:pPr>
            <w:hyperlink w:anchor="page52">
              <w:r>
                <w:rPr>
                  <w:rFonts w:ascii="Arial" w:cs="Arial" w:eastAsia="Arial" w:hAnsi="Arial"/>
                  <w:sz w:val="17"/>
                  <w:szCs w:val="17"/>
                  <w:b w:val="1"/>
                  <w:bCs w:val="1"/>
                  <w:color w:val="0000EE"/>
                </w:rPr>
                <w:t>PART III</w:t>
              </w:r>
            </w:hyperlink>
          </w:p>
        </w:tc>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0" w:type="dxa"/>
            <w:vAlign w:val="bottom"/>
            <w:tcBorders>
              <w:top w:val="single" w:sz="8" w:color="0000EE"/>
              <w:bottom w:val="single" w:sz="8" w:color="0000EE"/>
            </w:tcBorders>
            <w:gridSpan w:val="3"/>
            <w:shd w:val="clear" w:color="auto" w:fill="CCEEFF"/>
          </w:tcPr>
          <w:p>
            <w:pPr>
              <w:spacing w:after="0" w:line="180" w:lineRule="exact"/>
              <w:rPr>
                <w:rFonts w:ascii="Arial" w:cs="Arial" w:eastAsia="Arial" w:hAnsi="Arial"/>
                <w:sz w:val="17"/>
                <w:szCs w:val="17"/>
                <w:color w:val="0000EE"/>
                <w:w w:val="91"/>
              </w:rPr>
            </w:pPr>
            <w:hyperlink w:anchor="page52">
              <w:r>
                <w:rPr>
                  <w:rFonts w:ascii="Arial" w:cs="Arial" w:eastAsia="Arial" w:hAnsi="Arial"/>
                  <w:sz w:val="17"/>
                  <w:szCs w:val="17"/>
                  <w:color w:val="0000EE"/>
                  <w:w w:val="91"/>
                </w:rPr>
                <w:t>Item 10.</w:t>
              </w:r>
            </w:hyperlink>
          </w:p>
        </w:tc>
        <w:tc>
          <w:tcPr>
            <w:tcW w:w="10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7"/>
                <w:szCs w:val="17"/>
                <w:color w:val="auto"/>
              </w:rPr>
              <w:t>Directors, Executive Officers and Corporate Governance.</w:t>
            </w:r>
          </w:p>
        </w:tc>
        <w:tc>
          <w:tcPr>
            <w:tcW w:w="176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70"/>
        </w:trPr>
        <w:tc>
          <w:tcPr>
            <w:tcW w:w="1120" w:type="dxa"/>
            <w:vAlign w:val="bottom"/>
            <w:gridSpan w:val="7"/>
          </w:tcPr>
          <w:p>
            <w:pPr>
              <w:spacing w:after="0" w:line="170" w:lineRule="exact"/>
              <w:rPr>
                <w:rFonts w:ascii="Arial" w:cs="Arial" w:eastAsia="Arial" w:hAnsi="Arial"/>
                <w:sz w:val="17"/>
                <w:szCs w:val="17"/>
                <w:color w:val="0000EE"/>
              </w:rPr>
            </w:pPr>
            <w:hyperlink w:anchor="page55">
              <w:r>
                <w:rPr>
                  <w:rFonts w:ascii="Arial" w:cs="Arial" w:eastAsia="Arial" w:hAnsi="Arial"/>
                  <w:sz w:val="17"/>
                  <w:szCs w:val="17"/>
                  <w:color w:val="0000EE"/>
                </w:rPr>
                <w:t>Item 11.</w:t>
              </w:r>
            </w:hyperlink>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Executive Compensation.</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30"/>
        </w:trPr>
        <w:tc>
          <w:tcPr>
            <w:tcW w:w="4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80" w:type="dxa"/>
            <w:vAlign w:val="bottom"/>
            <w:tcBorders>
              <w:bottom w:val="single" w:sz="8" w:color="0000EE"/>
            </w:tcBorders>
            <w:gridSpan w:val="3"/>
            <w:shd w:val="clear" w:color="auto" w:fill="CCEEFF"/>
          </w:tcPr>
          <w:p>
            <w:pPr>
              <w:spacing w:after="0" w:line="180" w:lineRule="exact"/>
              <w:rPr>
                <w:rFonts w:ascii="Arial" w:cs="Arial" w:eastAsia="Arial" w:hAnsi="Arial"/>
                <w:sz w:val="17"/>
                <w:szCs w:val="17"/>
                <w:color w:val="0000EE"/>
                <w:w w:val="91"/>
              </w:rPr>
            </w:pPr>
            <w:hyperlink w:anchor="page60">
              <w:r>
                <w:rPr>
                  <w:rFonts w:ascii="Arial" w:cs="Arial" w:eastAsia="Arial" w:hAnsi="Arial"/>
                  <w:sz w:val="17"/>
                  <w:szCs w:val="17"/>
                  <w:color w:val="0000EE"/>
                  <w:w w:val="91"/>
                </w:rPr>
                <w:t>Item 12.</w:t>
              </w:r>
            </w:hyperlink>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76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79"/>
        </w:trPr>
        <w:tc>
          <w:tcPr>
            <w:tcW w:w="580" w:type="dxa"/>
            <w:vAlign w:val="bottom"/>
            <w:tcBorders>
              <w:bottom w:val="single" w:sz="8" w:color="0000EE"/>
            </w:tcBorders>
            <w:gridSpan w:val="3"/>
          </w:tcPr>
          <w:p>
            <w:pPr>
              <w:spacing w:after="0" w:line="170" w:lineRule="exact"/>
              <w:rPr>
                <w:rFonts w:ascii="Arial" w:cs="Arial" w:eastAsia="Arial" w:hAnsi="Arial"/>
                <w:sz w:val="17"/>
                <w:szCs w:val="17"/>
                <w:color w:val="0000EE"/>
                <w:w w:val="91"/>
              </w:rPr>
            </w:pPr>
            <w:hyperlink w:anchor="page62">
              <w:r>
                <w:rPr>
                  <w:rFonts w:ascii="Arial" w:cs="Arial" w:eastAsia="Arial" w:hAnsi="Arial"/>
                  <w:sz w:val="17"/>
                  <w:szCs w:val="17"/>
                  <w:color w:val="0000EE"/>
                  <w:w w:val="91"/>
                </w:rPr>
                <w:t>Item 13.</w:t>
              </w:r>
            </w:hyperlink>
          </w:p>
        </w:tc>
        <w:tc>
          <w:tcPr>
            <w:tcW w:w="540" w:type="dxa"/>
            <w:vAlign w:val="bottom"/>
            <w:gridSpan w:val="4"/>
          </w:tcPr>
          <w:p>
            <w:pPr>
              <w:spacing w:after="0"/>
              <w:rPr>
                <w:sz w:val="15"/>
                <w:szCs w:val="15"/>
                <w:color w:val="auto"/>
              </w:rPr>
            </w:pPr>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Certain Relationships and Related Transactions, and Director Independence.</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99"/>
        </w:trPr>
        <w:tc>
          <w:tcPr>
            <w:tcW w:w="580" w:type="dxa"/>
            <w:vAlign w:val="bottom"/>
            <w:tcBorders>
              <w:bottom w:val="single" w:sz="8" w:color="0000EE"/>
            </w:tcBorders>
            <w:gridSpan w:val="3"/>
            <w:shd w:val="clear" w:color="auto" w:fill="CCEEFF"/>
          </w:tcPr>
          <w:p>
            <w:pPr>
              <w:spacing w:after="0" w:line="180" w:lineRule="exact"/>
              <w:rPr>
                <w:rFonts w:ascii="Arial" w:cs="Arial" w:eastAsia="Arial" w:hAnsi="Arial"/>
                <w:sz w:val="17"/>
                <w:szCs w:val="17"/>
                <w:color w:val="0000EE"/>
                <w:w w:val="91"/>
              </w:rPr>
            </w:pPr>
            <w:hyperlink w:anchor="page63">
              <w:r>
                <w:rPr>
                  <w:rFonts w:ascii="Arial" w:cs="Arial" w:eastAsia="Arial" w:hAnsi="Arial"/>
                  <w:sz w:val="17"/>
                  <w:szCs w:val="17"/>
                  <w:color w:val="0000EE"/>
                  <w:w w:val="91"/>
                </w:rPr>
                <w:t>Item 14.</w:t>
              </w:r>
            </w:hyperlink>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7"/>
                <w:szCs w:val="17"/>
                <w:color w:val="auto"/>
              </w:rPr>
              <w:t>Principal Accountant Fees and Services.</w:t>
            </w:r>
          </w:p>
        </w:tc>
        <w:tc>
          <w:tcPr>
            <w:tcW w:w="176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79"/>
        </w:trPr>
        <w:tc>
          <w:tcPr>
            <w:tcW w:w="680" w:type="dxa"/>
            <w:vAlign w:val="bottom"/>
            <w:tcBorders>
              <w:bottom w:val="single" w:sz="8" w:color="0000EE"/>
            </w:tcBorders>
            <w:gridSpan w:val="6"/>
          </w:tcPr>
          <w:p>
            <w:pPr>
              <w:spacing w:after="0" w:line="170" w:lineRule="exact"/>
              <w:rPr>
                <w:rFonts w:ascii="Arial" w:cs="Arial" w:eastAsia="Arial" w:hAnsi="Arial"/>
                <w:sz w:val="17"/>
                <w:szCs w:val="17"/>
                <w:b w:val="1"/>
                <w:bCs w:val="1"/>
                <w:color w:val="0000EE"/>
                <w:w w:val="98"/>
              </w:rPr>
            </w:pPr>
            <w:hyperlink w:anchor="page64">
              <w:r>
                <w:rPr>
                  <w:rFonts w:ascii="Arial" w:cs="Arial" w:eastAsia="Arial" w:hAnsi="Arial"/>
                  <w:sz w:val="17"/>
                  <w:szCs w:val="17"/>
                  <w:b w:val="1"/>
                  <w:bCs w:val="1"/>
                  <w:color w:val="0000EE"/>
                  <w:w w:val="98"/>
                </w:rPr>
                <w:t>PART IV</w:t>
              </w:r>
            </w:hyperlink>
          </w:p>
        </w:tc>
        <w:tc>
          <w:tcPr>
            <w:tcW w:w="44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0" w:type="dxa"/>
            <w:vAlign w:val="bottom"/>
            <w:tcBorders>
              <w:bottom w:val="single" w:sz="8" w:color="0000EE"/>
            </w:tcBorders>
            <w:gridSpan w:val="3"/>
            <w:shd w:val="clear" w:color="auto" w:fill="CCEEFF"/>
          </w:tcPr>
          <w:p>
            <w:pPr>
              <w:spacing w:after="0" w:line="180" w:lineRule="exact"/>
              <w:rPr>
                <w:rFonts w:ascii="Arial" w:cs="Arial" w:eastAsia="Arial" w:hAnsi="Arial"/>
                <w:sz w:val="17"/>
                <w:szCs w:val="17"/>
                <w:color w:val="0000EE"/>
                <w:w w:val="91"/>
              </w:rPr>
            </w:pPr>
            <w:hyperlink w:anchor="page64">
              <w:r>
                <w:rPr>
                  <w:rFonts w:ascii="Arial" w:cs="Arial" w:eastAsia="Arial" w:hAnsi="Arial"/>
                  <w:sz w:val="17"/>
                  <w:szCs w:val="17"/>
                  <w:color w:val="0000EE"/>
                  <w:w w:val="91"/>
                </w:rPr>
                <w:t>Item 15.</w:t>
              </w:r>
            </w:hyperlink>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836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7"/>
                <w:szCs w:val="17"/>
                <w:color w:val="auto"/>
              </w:rPr>
              <w:t>Exhibits and Financial Statement Schedules.</w:t>
            </w:r>
          </w:p>
        </w:tc>
        <w:tc>
          <w:tcPr>
            <w:tcW w:w="176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9"/>
        </w:trPr>
        <w:tc>
          <w:tcPr>
            <w:tcW w:w="580" w:type="dxa"/>
            <w:vAlign w:val="bottom"/>
            <w:tcBorders>
              <w:bottom w:val="single" w:sz="8" w:color="0000EE"/>
            </w:tcBorders>
            <w:gridSpan w:val="3"/>
          </w:tcPr>
          <w:p>
            <w:pPr>
              <w:spacing w:after="0" w:line="170" w:lineRule="exact"/>
              <w:rPr>
                <w:rFonts w:ascii="Arial" w:cs="Arial" w:eastAsia="Arial" w:hAnsi="Arial"/>
                <w:sz w:val="17"/>
                <w:szCs w:val="17"/>
                <w:color w:val="0000EE"/>
                <w:w w:val="91"/>
              </w:rPr>
            </w:pPr>
            <w:hyperlink w:anchor="page65">
              <w:r>
                <w:rPr>
                  <w:rFonts w:ascii="Arial" w:cs="Arial" w:eastAsia="Arial" w:hAnsi="Arial"/>
                  <w:sz w:val="17"/>
                  <w:szCs w:val="17"/>
                  <w:color w:val="0000EE"/>
                  <w:w w:val="91"/>
                </w:rPr>
                <w:t>Item 16.</w:t>
              </w:r>
            </w:hyperlink>
          </w:p>
        </w:tc>
        <w:tc>
          <w:tcPr>
            <w:tcW w:w="540" w:type="dxa"/>
            <w:vAlign w:val="bottom"/>
            <w:gridSpan w:val="4"/>
          </w:tcPr>
          <w:p>
            <w:pPr>
              <w:spacing w:after="0"/>
              <w:rPr>
                <w:sz w:val="15"/>
                <w:szCs w:val="15"/>
                <w:color w:val="auto"/>
              </w:rPr>
            </w:pPr>
          </w:p>
        </w:tc>
        <w:tc>
          <w:tcPr>
            <w:tcW w:w="8360" w:type="dxa"/>
            <w:vAlign w:val="bottom"/>
          </w:tcPr>
          <w:p>
            <w:pPr>
              <w:ind w:left="360"/>
              <w:spacing w:after="0" w:line="170" w:lineRule="exact"/>
              <w:rPr>
                <w:sz w:val="20"/>
                <w:szCs w:val="20"/>
                <w:color w:val="auto"/>
              </w:rPr>
            </w:pPr>
            <w:r>
              <w:rPr>
                <w:rFonts w:ascii="Arial" w:cs="Arial" w:eastAsia="Arial" w:hAnsi="Arial"/>
                <w:sz w:val="17"/>
                <w:szCs w:val="17"/>
                <w:color w:val="auto"/>
              </w:rPr>
              <w:t>Form 10-K Summary.</w:t>
            </w:r>
          </w:p>
        </w:tc>
        <w:tc>
          <w:tcPr>
            <w:tcW w:w="17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9"/>
        </w:trPr>
        <w:tc>
          <w:tcPr>
            <w:tcW w:w="112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Signatures</w:t>
            </w:r>
          </w:p>
        </w:tc>
        <w:tc>
          <w:tcPr>
            <w:tcW w:w="8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u w:val="single" w:color="auto"/>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This Annual Report on Form 10-K (the “Annual Report”) contains forward-looking statements within the meaning of the Private Securities Litigation Reform Act of 1995. The events described in forward-looking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 under “Factors That May Affect Future Results and Financial Condition.”</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 w:name="page4"/>
    <w:bookmarkEnd w:id="3"/>
    <w:p>
      <w:pPr>
        <w:spacing w:after="0"/>
        <w:tabs>
          <w:tab w:leader="none" w:pos="920" w:val="left"/>
        </w:tabs>
        <w:rPr>
          <w:sz w:val="20"/>
          <w:szCs w:val="20"/>
          <w:color w:val="auto"/>
        </w:rPr>
      </w:pPr>
      <w:r>
        <w:rPr>
          <w:rFonts w:ascii="Arial" w:cs="Arial" w:eastAsia="Arial" w:hAnsi="Arial"/>
          <w:sz w:val="17"/>
          <w:szCs w:val="17"/>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BUSINESS</w:t>
      </w:r>
      <w:r>
        <w:rPr>
          <w:rFonts w:ascii="Arial" w:cs="Arial" w:eastAsia="Arial" w:hAnsi="Arial"/>
          <w:sz w:val="15"/>
          <w:szCs w:val="15"/>
          <w:color w:val="auto"/>
        </w:rPr>
        <w:t>.</w:t>
      </w:r>
    </w:p>
    <w:p>
      <w:pPr>
        <w:spacing w:after="0" w:line="157" w:lineRule="exact"/>
        <w:rPr>
          <w:sz w:val="20"/>
          <w:szCs w:val="20"/>
          <w:color w:val="auto"/>
        </w:rPr>
      </w:pPr>
    </w:p>
    <w:p>
      <w:pPr>
        <w:ind w:left="720" w:hanging="715"/>
        <w:spacing w:after="0"/>
        <w:tabs>
          <w:tab w:leader="none" w:pos="7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Development</w:t>
      </w:r>
    </w:p>
    <w:p>
      <w:pPr>
        <w:spacing w:after="0" w:line="15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used in this Annual Report, references to the “Company,” “we,” “us,” or “our” refer to Kingstone Companies, Inc. (“Kingstone”) and its subsidiaries.</w:t>
      </w:r>
    </w:p>
    <w:p>
      <w:pPr>
        <w:spacing w:after="0" w:line="169"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We offer property and casualty insurance products to individuals through our wholly owned subsidiary, Kingstone Insurance Company (“KICO”), domiciled in the state of New York. KICO is a licensed property and casualty insurance company in New York, New Jersey, Connecticut, Massachusetts, Pennsylvania, Rhode Island, Maine, and New Hampshire. KICO is currently offering its property and casualty insurance products in New York, New Jersey, Rhode Island, Massachusetts and Connecticut. Although in 2019 KICO wrote 85.0% of its direct written premiums in New York, we believe that New Jersey, Connecticut, Massachusetts, and Rhode Island will represent an increasing portion of the total over the coming years.</w:t>
      </w:r>
    </w:p>
    <w:p>
      <w:pPr>
        <w:spacing w:after="0" w:line="108"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Cosi revenue is included in other income and Cosi related expenses are included in other operating expenses. Cosi operations are not included in our stand-alone insurance underwriting business and, accordingly, its revenue and expenses are not included in the calculation of our combined ratio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Developments During 2019</w:t>
      </w:r>
    </w:p>
    <w:p>
      <w:pPr>
        <w:spacing w:after="0" w:line="157" w:lineRule="exact"/>
        <w:rPr>
          <w:sz w:val="20"/>
          <w:szCs w:val="20"/>
          <w:color w:val="auto"/>
        </w:rPr>
      </w:pPr>
    </w:p>
    <w:p>
      <w:pPr>
        <w:ind w:left="1260" w:hanging="628"/>
        <w:spacing w:after="0"/>
        <w:tabs>
          <w:tab w:leader="none" w:pos="12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Quota Share Reinsurance</w:t>
      </w:r>
    </w:p>
    <w:p>
      <w:pPr>
        <w:spacing w:after="0" w:line="157" w:lineRule="exact"/>
        <w:rPr>
          <w:sz w:val="20"/>
          <w:szCs w:val="20"/>
          <w:color w:val="auto"/>
        </w:rPr>
      </w:pPr>
    </w:p>
    <w:p>
      <w:pPr>
        <w:jc w:val="both"/>
        <w:ind w:right="60" w:firstLine="627"/>
        <w:spacing w:after="0" w:line="281" w:lineRule="auto"/>
        <w:rPr>
          <w:sz w:val="20"/>
          <w:szCs w:val="20"/>
          <w:color w:val="auto"/>
        </w:rPr>
      </w:pPr>
      <w:r>
        <w:rPr>
          <w:rFonts w:ascii="Arial" w:cs="Arial" w:eastAsia="Arial" w:hAnsi="Arial"/>
          <w:sz w:val="17"/>
          <w:szCs w:val="17"/>
          <w:color w:val="auto"/>
        </w:rPr>
        <w:t>Effective December 15, 2019, KICO entered into a 25% quota share reinsurance treaty for its personal lines business, which primarily consists of homeowners’ policies, covering the period from December 15, 2019 through December 31, 2020 (“2019/2020 Treaty”).</w:t>
      </w:r>
    </w:p>
    <w:p>
      <w:pPr>
        <w:spacing w:after="0" w:line="104" w:lineRule="exact"/>
        <w:rPr>
          <w:sz w:val="20"/>
          <w:szCs w:val="20"/>
          <w:color w:val="auto"/>
        </w:rPr>
      </w:pPr>
    </w:p>
    <w:p>
      <w:pPr>
        <w:jc w:val="both"/>
        <w:ind w:right="60" w:firstLine="627"/>
        <w:spacing w:after="0" w:line="268" w:lineRule="auto"/>
        <w:rPr>
          <w:sz w:val="20"/>
          <w:szCs w:val="20"/>
          <w:color w:val="auto"/>
        </w:rPr>
      </w:pPr>
      <w:r>
        <w:rPr>
          <w:rFonts w:ascii="Arial" w:cs="Arial" w:eastAsia="Arial" w:hAnsi="Arial"/>
          <w:sz w:val="17"/>
          <w:szCs w:val="17"/>
          <w:color w:val="auto"/>
        </w:rPr>
        <w:t>In addition to the 2019/2020 Treaty, KICO’s quota share reinsurance treaties in effect during the years ended December 31, 2019 and 2018 for its personal lines business, were covered under a treaty covering a two-year period from July 1, 2017 through June 30, 2019 (“2017/2019 Treaty”). Effective July 1, 2019, the 2017/2019 Treaty expired on a run-off basis.</w:t>
      </w:r>
    </w:p>
    <w:p>
      <w:pPr>
        <w:spacing w:after="0" w:line="116" w:lineRule="exact"/>
        <w:rPr>
          <w:sz w:val="20"/>
          <w:szCs w:val="20"/>
          <w:color w:val="auto"/>
        </w:rPr>
      </w:pPr>
    </w:p>
    <w:p>
      <w:pPr>
        <w:ind w:left="1260" w:hanging="62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Catastrophe Reinsurance Coverage</w:t>
      </w:r>
    </w:p>
    <w:p>
      <w:pPr>
        <w:spacing w:after="0" w:line="157" w:lineRule="exact"/>
        <w:rPr>
          <w:sz w:val="20"/>
          <w:szCs w:val="20"/>
          <w:color w:val="auto"/>
        </w:rPr>
      </w:pPr>
    </w:p>
    <w:p>
      <w:pPr>
        <w:ind w:right="520" w:firstLine="627"/>
        <w:spacing w:after="0" w:line="281" w:lineRule="auto"/>
        <w:rPr>
          <w:sz w:val="20"/>
          <w:szCs w:val="20"/>
          <w:color w:val="auto"/>
        </w:rPr>
      </w:pPr>
      <w:r>
        <w:rPr>
          <w:rFonts w:ascii="Arial" w:cs="Arial" w:eastAsia="Arial" w:hAnsi="Arial"/>
          <w:sz w:val="17"/>
          <w:szCs w:val="17"/>
          <w:color w:val="auto"/>
        </w:rPr>
        <w:t>Effective July 1, 2019, KICO increased the top limit of its catastrophe reinsurance coverage from $450,000,000 to $610,000,000, which, at the time, equated to more than a 1-in-250 year storm event according to the primary industry catastrophe model that we follow.</w:t>
      </w:r>
    </w:p>
    <w:p>
      <w:pPr>
        <w:spacing w:after="0" w:line="104" w:lineRule="exact"/>
        <w:rPr>
          <w:sz w:val="20"/>
          <w:szCs w:val="20"/>
          <w:color w:val="auto"/>
        </w:rPr>
      </w:pPr>
    </w:p>
    <w:p>
      <w:pPr>
        <w:ind w:left="1260" w:hanging="62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Expansion into Connecticut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first quarter of 2019 KICO’s homeowners insurance product was launched in Connecticut.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 w:name="page5"/>
    <w:bookmarkEnd w:id="4"/>
    <w:p>
      <w:pPr>
        <w:ind w:left="1260" w:hanging="628"/>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Exit Commercial Liability Business</w:t>
      </w:r>
    </w:p>
    <w:p>
      <w:pPr>
        <w:spacing w:after="0" w:line="157" w:lineRule="exact"/>
        <w:rPr>
          <w:sz w:val="20"/>
          <w:szCs w:val="20"/>
          <w:color w:val="auto"/>
        </w:rPr>
      </w:pPr>
    </w:p>
    <w:p>
      <w:pPr>
        <w:ind w:right="680" w:firstLine="627"/>
        <w:spacing w:after="0" w:line="281" w:lineRule="auto"/>
        <w:rPr>
          <w:sz w:val="20"/>
          <w:szCs w:val="20"/>
          <w:color w:val="auto"/>
        </w:rPr>
      </w:pPr>
      <w:r>
        <w:rPr>
          <w:rFonts w:ascii="Arial" w:cs="Arial" w:eastAsia="Arial" w:hAnsi="Arial"/>
          <w:sz w:val="17"/>
          <w:szCs w:val="17"/>
          <w:color w:val="auto"/>
        </w:rPr>
        <w:t>In July 2019, due to the poor performance of our commercial liability business, we made the decision to no longer underwrite commercial lines or commercial umbrella risks.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Developments During 2018</w:t>
      </w:r>
    </w:p>
    <w:p>
      <w:pPr>
        <w:spacing w:after="0" w:line="157" w:lineRule="exact"/>
        <w:rPr>
          <w:sz w:val="20"/>
          <w:szCs w:val="20"/>
          <w:color w:val="auto"/>
        </w:rPr>
      </w:pPr>
    </w:p>
    <w:p>
      <w:pPr>
        <w:ind w:left="1260" w:hanging="471"/>
        <w:spacing w:after="0"/>
        <w:tabs>
          <w:tab w:leader="none" w:pos="12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Expanded Licensing; Connecticut, Maine and New Hampshire Expansion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2018, KICO continued to expand its regional capabilities by obtaining a license to write insurance policies in Connecticut, Maine and New Hampshire.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Also in 2018, KICO’s homeowners insurance product was launched in Massachusetts.</w:t>
      </w:r>
    </w:p>
    <w:p>
      <w:pPr>
        <w:spacing w:after="0" w:line="151" w:lineRule="exact"/>
        <w:rPr>
          <w:sz w:val="20"/>
          <w:szCs w:val="20"/>
          <w:color w:val="auto"/>
        </w:rPr>
      </w:pPr>
    </w:p>
    <w:p>
      <w:pPr>
        <w:ind w:left="1260" w:hanging="628"/>
        <w:spacing w:after="0"/>
        <w:tabs>
          <w:tab w:leader="none" w:pos="12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Reduced Reliance on Quota Share Reinsurance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Effective July 1, 2018, KICO reduced the ceding percentage for its personal lines quota share reinsurance treaty from 20% to 10%.</w:t>
      </w:r>
    </w:p>
    <w:p>
      <w:pPr>
        <w:spacing w:after="0" w:line="157" w:lineRule="exact"/>
        <w:rPr>
          <w:sz w:val="20"/>
          <w:szCs w:val="20"/>
          <w:color w:val="auto"/>
        </w:rPr>
      </w:pPr>
    </w:p>
    <w:p>
      <w:pPr>
        <w:ind w:left="1260" w:hanging="628"/>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Increased Catastrophe Reinsurance Coverage</w:t>
      </w:r>
    </w:p>
    <w:p>
      <w:pPr>
        <w:spacing w:after="0" w:line="157" w:lineRule="exact"/>
        <w:rPr>
          <w:sz w:val="20"/>
          <w:szCs w:val="20"/>
          <w:color w:val="auto"/>
        </w:rPr>
      </w:pPr>
    </w:p>
    <w:p>
      <w:pPr>
        <w:ind w:right="560" w:firstLine="627"/>
        <w:spacing w:after="0" w:line="281" w:lineRule="auto"/>
        <w:rPr>
          <w:sz w:val="20"/>
          <w:szCs w:val="20"/>
          <w:color w:val="auto"/>
        </w:rPr>
      </w:pPr>
      <w:r>
        <w:rPr>
          <w:rFonts w:ascii="Arial" w:cs="Arial" w:eastAsia="Arial" w:hAnsi="Arial"/>
          <w:sz w:val="17"/>
          <w:szCs w:val="17"/>
          <w:color w:val="auto"/>
        </w:rPr>
        <w:t>Effective July 1, 2018, KICO increased the top limit of its catastrophe reinsurance coverage from $320,000,000 to $450,000,000, which at the time, equated to more than a 1-in-250 year storm event according to the primary industry catastrophe model that we follow.</w:t>
      </w:r>
    </w:p>
    <w:p>
      <w:pPr>
        <w:spacing w:after="0" w:line="100" w:lineRule="exact"/>
        <w:rPr>
          <w:sz w:val="20"/>
          <w:szCs w:val="20"/>
          <w:color w:val="auto"/>
        </w:rPr>
      </w:pPr>
    </w:p>
    <w:p>
      <w:pPr>
        <w:ind w:left="640" w:hanging="593"/>
        <w:spacing w:after="0"/>
        <w:tabs>
          <w:tab w:leader="none" w:pos="6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Casualty Insurance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Overview</w:t>
      </w:r>
    </w:p>
    <w:p>
      <w:pPr>
        <w:spacing w:after="0" w:line="157"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 w:name="page6"/>
    <w:bookmarkEnd w:id="5"/>
    <w:p>
      <w:pPr>
        <w:jc w:val="both"/>
        <w:ind w:firstLine="627"/>
        <w:spacing w:after="0" w:line="280" w:lineRule="auto"/>
        <w:rPr>
          <w:sz w:val="20"/>
          <w:szCs w:val="20"/>
          <w:color w:val="auto"/>
        </w:rPr>
      </w:pPr>
      <w:r>
        <w:rPr>
          <w:rFonts w:ascii="Arial" w:cs="Arial" w:eastAsia="Arial" w:hAnsi="Arial"/>
          <w:sz w:val="16"/>
          <w:szCs w:val="16"/>
          <w:color w:val="auto"/>
        </w:rPr>
        <w:t>We generate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claims. During this time, KICO invests the premiums, earning investment income and generating net realized and unrealized gains and losses on associated investments.</w:t>
      </w:r>
    </w:p>
    <w:p>
      <w:pPr>
        <w:spacing w:after="0" w:line="17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Insurance companies incur a significant amount of their total expenses from insured losses, which are commonly referred to as claims. In settling insured losses, various loss adjustment expenses (“LAE”) are incurred such as insurance adjusters’ fees and legal expenses. In addition, insurance companies incur policy acquisition expenses, such as commissions paid to producers, premium taxes, and other expenses related to the underwriting process, including their employees’ compensation and benefits.</w:t>
      </w:r>
    </w:p>
    <w:p>
      <w:pPr>
        <w:spacing w:after="0" w:line="185"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Business; Strategy</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are a multi-line regional property and casualty insurance company writing business exclusively through retail and wholesale agents and brokers (“producers”) appointed by our wholly owned subsidiary, KICO. We are licensed to write insurance policies in New York, New Jersey, Connecticut, Maine, Massachusetts, New Hampshire, Pennsylvania and Rhode Island. We are actively writing business in New York, New Jersey, Rhode Island, Massachusetts and Connecticut.</w:t>
      </w:r>
    </w:p>
    <w:p>
      <w:pPr>
        <w:spacing w:after="0" w:line="120" w:lineRule="exact"/>
        <w:rPr>
          <w:sz w:val="20"/>
          <w:szCs w:val="20"/>
          <w:color w:val="auto"/>
        </w:rPr>
      </w:pPr>
    </w:p>
    <w:p>
      <w:pPr>
        <w:jc w:val="both"/>
        <w:ind w:firstLine="627"/>
        <w:spacing w:after="0" w:line="350" w:lineRule="auto"/>
        <w:rPr>
          <w:sz w:val="20"/>
          <w:szCs w:val="20"/>
          <w:color w:val="auto"/>
        </w:rPr>
      </w:pPr>
      <w:r>
        <w:rPr>
          <w:rFonts w:ascii="Arial" w:cs="Arial" w:eastAsia="Arial" w:hAnsi="Arial"/>
          <w:sz w:val="15"/>
          <w:szCs w:val="15"/>
          <w:color w:val="auto"/>
        </w:rPr>
        <w:t>Additionally, through our subsidiary, Cosi, a multi-state licensed general agency, we access alternative distribution channels. Through Cosi, we have the opportunity to partner with name-brand carriers and access nationwide insurance agencies. See “Distribution” below for a discussion of our distribution channels.</w:t>
      </w:r>
    </w:p>
    <w:p>
      <w:pPr>
        <w:spacing w:after="0" w:line="59"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financial stability coupled with competitive rate and commission structures.</w:t>
      </w:r>
    </w:p>
    <w:p>
      <w:pPr>
        <w:spacing w:after="0" w:line="1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w:t>
      </w:r>
    </w:p>
    <w:p>
      <w:pPr>
        <w:spacing w:after="0" w:line="185" w:lineRule="exact"/>
        <w:rPr>
          <w:sz w:val="20"/>
          <w:szCs w:val="20"/>
          <w:color w:val="auto"/>
        </w:rPr>
      </w:pPr>
    </w:p>
    <w:p>
      <w:pPr>
        <w:jc w:val="both"/>
        <w:ind w:firstLine="574"/>
        <w:spacing w:after="0" w:line="281" w:lineRule="auto"/>
        <w:rPr>
          <w:sz w:val="20"/>
          <w:szCs w:val="20"/>
          <w:color w:val="auto"/>
        </w:rPr>
      </w:pPr>
      <w:r>
        <w:rPr>
          <w:rFonts w:ascii="Arial" w:cs="Arial" w:eastAsia="Arial" w:hAnsi="Arial"/>
          <w:sz w:val="17"/>
          <w:szCs w:val="17"/>
          <w:color w:val="auto"/>
        </w:rPr>
        <w:t>For the year ended December 31, 2019, our gross written premiums totaled $171.2 million, an increase of 16.7% from the $146.7 million in gross written premiums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Lines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product lines include the following:</w:t>
      </w:r>
    </w:p>
    <w:p>
      <w:pPr>
        <w:spacing w:after="0" w:line="157"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6"/>
          <w:szCs w:val="16"/>
          <w:i w:val="1"/>
          <w:iCs w:val="1"/>
          <w:color w:val="auto"/>
        </w:rPr>
        <w:t xml:space="preserve">Personal lines - </w:t>
      </w:r>
      <w:r>
        <w:rPr>
          <w:rFonts w:ascii="Arial" w:cs="Arial" w:eastAsia="Arial" w:hAnsi="Arial"/>
          <w:sz w:val="16"/>
          <w:szCs w:val="16"/>
          <w:color w:val="auto"/>
        </w:rPr>
        <w:t>Our largest line of business is personal lines, consisting of homeowners and dwelling fire multi-peril, cooperative/condominiums, renters,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personal umbrella policies. Personal lines policies accounted for 87.6% of our gross written premiums for the year ended December 31, 2019.</w:t>
      </w:r>
    </w:p>
    <w:p>
      <w:pPr>
        <w:spacing w:after="0" w:line="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i w:val="1"/>
          <w:iCs w:val="1"/>
          <w:color w:val="auto"/>
        </w:rPr>
        <w:t xml:space="preserve">Livery physical damage - </w:t>
      </w:r>
      <w:r>
        <w:rPr>
          <w:rFonts w:ascii="Arial" w:cs="Arial" w:eastAsia="Arial" w:hAnsi="Arial"/>
          <w:sz w:val="17"/>
          <w:szCs w:val="17"/>
          <w:color w:val="auto"/>
        </w:rPr>
        <w:t>We write for-hire vehicle physical damage only policies for livery and car service vehicles and taxicabs, primarily based in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City. These policies insure only the physical damage portion of insurance for such vehicles, with no liability coverage included. These policies accounted for 6.2% of our gross written premiums for the year ended December 31, 2019.</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6" w:name="page7"/>
    <w:bookmarkEnd w:id="6"/>
    <w:p>
      <w:pPr>
        <w:jc w:val="both"/>
        <w:ind w:firstLine="627"/>
        <w:spacing w:after="0" w:line="261" w:lineRule="auto"/>
        <w:rPr>
          <w:sz w:val="20"/>
          <w:szCs w:val="20"/>
          <w:color w:val="auto"/>
        </w:rPr>
      </w:pPr>
      <w:r>
        <w:rPr>
          <w:rFonts w:ascii="Arial" w:cs="Arial" w:eastAsia="Arial" w:hAnsi="Arial"/>
          <w:sz w:val="17"/>
          <w:szCs w:val="17"/>
          <w:i w:val="1"/>
          <w:iCs w:val="1"/>
          <w:color w:val="auto"/>
        </w:rPr>
        <w:t xml:space="preserve">Commercial liability – </w:t>
      </w:r>
      <w:r>
        <w:rPr>
          <w:rFonts w:ascii="Arial" w:cs="Arial" w:eastAsia="Arial" w:hAnsi="Arial"/>
          <w:sz w:val="17"/>
          <w:szCs w:val="17"/>
          <w:color w:val="auto"/>
        </w:rPr>
        <w:t>Through July 2019, we offered businessowners policies, which consist primarily of small business retail, service, and office risks,</w:t>
      </w:r>
      <w:r>
        <w:rPr>
          <w:rFonts w:ascii="Arial" w:cs="Arial" w:eastAsia="Arial" w:hAnsi="Arial"/>
          <w:sz w:val="17"/>
          <w:szCs w:val="17"/>
          <w:i w:val="1"/>
          <w:iCs w:val="1"/>
          <w:color w:val="auto"/>
        </w:rPr>
        <w:t xml:space="preserve"> </w:t>
      </w:r>
      <w:r>
        <w:rPr>
          <w:rFonts w:ascii="Arial" w:cs="Arial" w:eastAsia="Arial" w:hAnsi="Arial"/>
          <w:sz w:val="17"/>
          <w:szCs w:val="17"/>
          <w:color w:val="auto"/>
        </w:rPr>
        <w:t>with limited property exposures. We also wrote artisan’s liability policies for small independent contractors with smaller sized workforces. In addition, we wrote special multi-peril policies for larger and more specialized businessowners risks. Further, we offered commercial umbrella policies written above our supporting commercial lines policies. In July 2019, due to the poor performance of these lines, we made the decision to no longer underwrite commercial lines or commercial umbrella risks. In force policies for these lines will be non-renewed at the end of their current annual terms. Commercial lines policies accounted for 5.9% of our gross written premiums for the year ended December 31, 2019.</w:t>
      </w:r>
    </w:p>
    <w:p>
      <w:pPr>
        <w:spacing w:after="0" w:line="1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We write canine legal liability policies and have a small participation in mandatory state joint underwriting associations. These policies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for 0.3% of our gross written premiums for the year ended December 31, 2019.</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Competitive Strengths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History of Growing Our Profitable Operations</w:t>
      </w:r>
    </w:p>
    <w:p>
      <w:pPr>
        <w:spacing w:after="0" w:line="223"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KICO has been in operation in the State of New York for over 130 years. We have consistently grown the amount of profitable business that we write by introducing new products, increasing volume written with our selected producers in existing markets, and developing new producer relationships and markets. KICO has earned an underwriting profit in nine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insureds.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Strong Producer Relationships</w:t>
      </w:r>
    </w:p>
    <w:p>
      <w:pPr>
        <w:spacing w:after="0" w:line="223"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biennial performance surveys conducted by the Professional Insurance Agents of New York and New Jersey of its membership since 2010, KICO was rated as one of the top performing insurance companies in New York, twice ranking as the top rated carrier among all those surveyed. Our relationship with selected producers was further strengthened by the A.M. Best upgrade to a financial strength rating of A- (Excellent) in April 2017. This has allowed us to provide many producers with an A- rated carrier option that was not previously available to them in the markets where we operate.</w:t>
      </w:r>
    </w:p>
    <w:p>
      <w:pPr>
        <w:spacing w:after="0" w:line="17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We offer our selected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selected producers, our broad product offerings, and our consistent prices and financial stability provide a strong foundation for continued profitable growth.</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Sophisticated Underwriting and Risk Management Practices</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believe that a significant underwriting advantage exists due to our local market presence and expertise. Our underwriting process evaluates and screens out certain risks based on property reports, individual insurance scoring, and information collected from physical property inspections and driving records. We maintain certain policy exclusions that reduce our exposure to risks that can create severe losses. We target a preferred risk profile in order to reduce adverse selection from risks seeking the lowest premiums and minimal coverage levels.</w:t>
      </w:r>
    </w:p>
    <w:p>
      <w:pPr>
        <w:spacing w:after="0" w:line="185"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for the risk of loss. We manage coastal risk exposure through use of individual catastrophe risk scoring and prudent use of reinsurance.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Effective Utilization of Reinsurance</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reinsurance program also provides income from ceding commissions earned pursuant to quota share reinsurance contracts. The income we earn from ceding commissions typically exceeds our fixed operating costs, which consist of other underwriting expenses. Quota share reinsurance treaties transfer a portion of the profit (or loss) associated with the subject insurance policies to the reinsurers.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7"/>
          <w:szCs w:val="17"/>
          <w:i w:val="1"/>
          <w:iCs w:val="1"/>
          <w:color w:val="auto"/>
        </w:rPr>
        <w:t>Scalable, Low-Cost Operations</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low-cost operating environment.</w:t>
      </w:r>
    </w:p>
    <w:p>
      <w:pPr>
        <w:spacing w:after="0" w:line="182"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and Claims Management Philosophy</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Our underwriting philosophy is to target niche segments for which we have detailed expertise and can take advantage of market conditions. We monitor results on a regular basis and our selected producers are reviewed by management on at least a quarterly basis.</w:t>
      </w:r>
    </w:p>
    <w:p>
      <w:pPr>
        <w:spacing w:after="0" w:line="104"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We believe that our rates are appropriately competitive with other carriers in our target markets. We do not seek to grow by competing based solely upon price. We seek to develop long-term relationships with our selected producers who understand and appreciate the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Distribution</w:t>
      </w:r>
    </w:p>
    <w:p>
      <w:pPr>
        <w:spacing w:after="0" w:line="223"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We generate business through our relationships with over 600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spacing w:after="0" w:line="89"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Each producer is assigned to a staff underwriter and the producer can call that underwriter directly on any matter. We believe that the close relationship and personal service received from their underwriters is a principal reason producers place their business with us. Our producers have access to a KICO website portal that provides them the ability to quote risks for various products and to review policy forms and underwriting guidelines for all lines of business. We send out frequent “Producer Grams” in order to inform our producers of updates at KICO. In addition, we have an active Producer Council, made up of 11 active producers, to advise us on market developments; and we have at least one annual meeting with all of our producers.</w:t>
      </w:r>
    </w:p>
    <w:p>
      <w:pPr>
        <w:spacing w:after="0" w:line="108"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jc w:val="right"/>
              <w:ind w:right="241"/>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Pr>
          <w:p>
            <w:pPr>
              <w:spacing w:after="0"/>
              <w:rPr>
                <w:sz w:val="16"/>
                <w:szCs w:val="16"/>
                <w:color w:val="auto"/>
              </w:rPr>
            </w:pPr>
          </w:p>
        </w:tc>
      </w:tr>
      <w:tr>
        <w:trPr>
          <w:trHeight w:val="252"/>
        </w:trPr>
        <w:tc>
          <w:tcPr>
            <w:tcW w:w="7680" w:type="dxa"/>
            <w:vAlign w:val="bottom"/>
          </w:tcPr>
          <w:p>
            <w:pPr>
              <w:ind w:left="40"/>
              <w:spacing w:after="0"/>
              <w:rPr>
                <w:sz w:val="20"/>
                <w:szCs w:val="20"/>
                <w:color w:val="auto"/>
              </w:rPr>
            </w:pPr>
            <w:r>
              <w:rPr>
                <w:rFonts w:ascii="Arial" w:cs="Arial" w:eastAsia="Arial" w:hAnsi="Arial"/>
                <w:sz w:val="17"/>
                <w:szCs w:val="17"/>
                <w:color w:val="auto"/>
              </w:rPr>
              <w:t>($ in thousands)</w:t>
            </w:r>
          </w:p>
        </w:tc>
        <w:tc>
          <w:tcPr>
            <w:tcW w:w="4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tcBorders>
              <w:bottom w:val="single" w:sz="8" w:color="auto"/>
            </w:tcBorders>
          </w:tcPr>
          <w:p>
            <w:pPr>
              <w:spacing w:after="0"/>
              <w:rPr>
                <w:sz w:val="21"/>
                <w:szCs w:val="21"/>
                <w:color w:val="auto"/>
              </w:rPr>
            </w:pPr>
          </w:p>
        </w:tc>
      </w:tr>
      <w:tr>
        <w:trPr>
          <w:trHeight w:val="215"/>
        </w:trPr>
        <w:tc>
          <w:tcPr>
            <w:tcW w:w="7680" w:type="dxa"/>
            <w:vAlign w:val="bottom"/>
          </w:tcPr>
          <w:p>
            <w:pPr>
              <w:ind w:left="40"/>
              <w:spacing w:after="0"/>
              <w:rPr>
                <w:sz w:val="20"/>
                <w:szCs w:val="20"/>
                <w:color w:val="auto"/>
              </w:rPr>
            </w:pPr>
            <w:r>
              <w:rPr>
                <w:rFonts w:ascii="Arial" w:cs="Arial" w:eastAsia="Arial" w:hAnsi="Arial"/>
                <w:sz w:val="17"/>
                <w:szCs w:val="17"/>
                <w:color w:val="auto"/>
              </w:rPr>
              <w:t>Direct Written Pemiums</w:t>
            </w:r>
          </w:p>
        </w:tc>
        <w:tc>
          <w:tcPr>
            <w:tcW w:w="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21"/>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Percent</w:t>
            </w:r>
          </w:p>
        </w:tc>
      </w:tr>
      <w:tr>
        <w:trPr>
          <w:trHeight w:val="235"/>
        </w:trPr>
        <w:tc>
          <w:tcPr>
            <w:tcW w:w="7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9"/>
        </w:trPr>
        <w:tc>
          <w:tcPr>
            <w:tcW w:w="7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Core Independent</w:t>
            </w:r>
          </w:p>
        </w:tc>
        <w:tc>
          <w:tcPr>
            <w:tcW w:w="4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rPr>
              <w:t>120,625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w:t>
            </w:r>
          </w:p>
        </w:tc>
      </w:tr>
      <w:tr>
        <w:trPr>
          <w:trHeight w:val="209"/>
        </w:trPr>
        <w:tc>
          <w:tcPr>
            <w:tcW w:w="7680" w:type="dxa"/>
            <w:vAlign w:val="bottom"/>
          </w:tcPr>
          <w:p>
            <w:pPr>
              <w:ind w:left="40"/>
              <w:spacing w:after="0"/>
              <w:rPr>
                <w:sz w:val="20"/>
                <w:szCs w:val="20"/>
                <w:color w:val="auto"/>
              </w:rPr>
            </w:pPr>
            <w:r>
              <w:rPr>
                <w:rFonts w:ascii="Arial" w:cs="Arial" w:eastAsia="Arial" w:hAnsi="Arial"/>
                <w:sz w:val="17"/>
                <w:szCs w:val="17"/>
                <w:color w:val="auto"/>
              </w:rPr>
              <w:t>Expansion Independent (1)</w:t>
            </w:r>
          </w:p>
        </w:tc>
        <w:tc>
          <w:tcPr>
            <w:tcW w:w="460" w:type="dxa"/>
            <w:vAlign w:val="bottom"/>
          </w:tcPr>
          <w:p>
            <w:pPr>
              <w:spacing w:after="0"/>
              <w:rPr>
                <w:sz w:val="18"/>
                <w:szCs w:val="18"/>
                <w:color w:val="auto"/>
              </w:rPr>
            </w:pPr>
          </w:p>
        </w:tc>
        <w:tc>
          <w:tcPr>
            <w:tcW w:w="1900" w:type="dxa"/>
            <w:vAlign w:val="bottom"/>
          </w:tcPr>
          <w:p>
            <w:pPr>
              <w:jc w:val="right"/>
              <w:ind w:right="681"/>
              <w:spacing w:after="0"/>
              <w:rPr>
                <w:sz w:val="20"/>
                <w:szCs w:val="20"/>
                <w:color w:val="auto"/>
              </w:rPr>
            </w:pPr>
            <w:r>
              <w:rPr>
                <w:rFonts w:ascii="Arial" w:cs="Arial" w:eastAsia="Arial" w:hAnsi="Arial"/>
                <w:sz w:val="17"/>
                <w:szCs w:val="17"/>
                <w:color w:val="auto"/>
              </w:rPr>
              <w:t>24,253</w:t>
            </w:r>
          </w:p>
        </w:tc>
        <w:tc>
          <w:tcPr>
            <w:tcW w:w="12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15"/>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Alternative Distribution through Cosi</w:t>
            </w:r>
          </w:p>
        </w:tc>
        <w:tc>
          <w:tcPr>
            <w:tcW w:w="4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rPr>
              <w:t>4,799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09"/>
        </w:trPr>
        <w:tc>
          <w:tcPr>
            <w:tcW w:w="7680" w:type="dxa"/>
            <w:vAlign w:val="bottom"/>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tcPr>
          <w:p>
            <w:pPr>
              <w:jc w:val="right"/>
              <w:ind w:right="681"/>
              <w:spacing w:after="0"/>
              <w:rPr>
                <w:sz w:val="20"/>
                <w:szCs w:val="20"/>
                <w:color w:val="auto"/>
              </w:rPr>
            </w:pPr>
            <w:r>
              <w:rPr>
                <w:rFonts w:ascii="Arial" w:cs="Arial" w:eastAsia="Arial" w:hAnsi="Arial"/>
                <w:sz w:val="17"/>
                <w:szCs w:val="17"/>
                <w:color w:val="auto"/>
              </w:rPr>
              <w:t>149,677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7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Outside of New York</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For the year ended December 31, 2019, Alternative Distribution made up 3.2% of direct written premiums for our homeowners and dwelling fire components of personal lines.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8" w:name="page9"/>
    <w:bookmarkEnd w:id="8"/>
    <w:p>
      <w:pPr>
        <w:ind w:left="640"/>
        <w:spacing w:after="0"/>
        <w:rPr>
          <w:sz w:val="20"/>
          <w:szCs w:val="20"/>
          <w:color w:val="auto"/>
        </w:rPr>
      </w:pPr>
      <w:r>
        <w:rPr>
          <w:rFonts w:ascii="Arial" w:cs="Arial" w:eastAsia="Arial" w:hAnsi="Arial"/>
          <w:sz w:val="17"/>
          <w:szCs w:val="17"/>
          <w:b w:val="1"/>
          <w:bCs w:val="1"/>
          <w:i w:val="1"/>
          <w:iCs w:val="1"/>
          <w:color w:val="auto"/>
        </w:rPr>
        <w:t>Competition; Market</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insurance industry is highly competitive. We constantly assess and make projections of market conditions and appropriate prices for our products, but we cannot fully know our profitability until all claims have been reported and settled.</w:t>
      </w:r>
    </w:p>
    <w:p>
      <w:pPr>
        <w:spacing w:after="0" w:line="17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policyholders are located primarily in the downstate regions of New York State, but we are actively growing into other Northeast markets, including New Jersey and Rhode Island during 2017 followed by Massachusetts in 2018 and Connecticut in 2019. In addition, we are licensed to write insurance policies in Maine, New Hampshire and Pennsylvania. These homeowners markets align well with the niche markets that have generated profitable results in New York, and we believe that our market expertise can be effectively utilized in new markets.</w:t>
      </w:r>
    </w:p>
    <w:p>
      <w:pPr>
        <w:spacing w:after="0" w:line="185"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In 2018, KICO was the 14th largest writer of homeowners insurance in the State of New York, according to data compiled by SNL Financial LLC. Based on the same data, in 2018, we had a 1.45% market share for this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w:t>
      </w:r>
    </w:p>
    <w:p>
      <w:pPr>
        <w:spacing w:after="0" w:line="154"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Given present market conditions, we believe that we have the opportunity to continue expanding the size of our personal lines business in New York, New Jersey, and other northeastern states in which we are licensed.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Loss and Loss Adjustment Expense Reserves</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85"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Loss reserves fall into two categories: case reserves for reported losses and LAE associated with specific reported claims, and reserves for losses and LAE that are incurred but not reported (“IBNR”). We establish these two categories of loss reserves as follows:</w:t>
      </w:r>
    </w:p>
    <w:p>
      <w:pPr>
        <w:spacing w:after="0" w:line="170"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i w:val="1"/>
          <w:iCs w:val="1"/>
          <w:color w:val="auto"/>
        </w:rPr>
        <w:t xml:space="preserve">Reserves for reported losses </w:t>
      </w:r>
      <w:r>
        <w:rPr>
          <w:rFonts w:ascii="Arial" w:cs="Arial" w:eastAsia="Arial" w:hAnsi="Arial"/>
          <w:sz w:val="17"/>
          <w:szCs w:val="17"/>
          <w:color w:val="auto"/>
        </w:rPr>
        <w:t>- When a claim is received, we establish a case reserve for the estimated amount of its ultimate settlement and its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loss expenses. We establish case reserves based upon the known facts about each claim at the time it is received and we may subsequently adjust case reserves as additional facts and information about the claim develops.</w:t>
      </w:r>
    </w:p>
    <w:p>
      <w:pPr>
        <w:spacing w:after="0" w:line="182"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i w:val="1"/>
          <w:iCs w:val="1"/>
          <w:color w:val="auto"/>
        </w:rPr>
        <w:t xml:space="preserve">IBNR reserves </w:t>
      </w:r>
      <w:r>
        <w:rPr>
          <w:rFonts w:ascii="Arial" w:cs="Arial" w:eastAsia="Arial" w:hAnsi="Arial"/>
          <w:sz w:val="16"/>
          <w:szCs w:val="16"/>
          <w:color w:val="auto"/>
        </w:rPr>
        <w:t>- We also estimate reserves for loss and LAE amounts incurred but not reported (“IBNR”). IBNR reserves are calculated in bulk as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spacing w:after="0" w:line="176"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w:t>
      </w:r>
    </w:p>
    <w:p>
      <w:pPr>
        <w:spacing w:after="0" w:line="11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spacing w:after="0" w:line="185"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7"/>
          <w:szCs w:val="17"/>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Reconciliation of Loss and Loss Adjustment Expenses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9" w:name="page10"/>
    <w:bookmarkEnd w:id="9"/>
    <w:p>
      <w:pPr>
        <w:ind w:left="640"/>
        <w:spacing w:after="0"/>
        <w:rPr>
          <w:sz w:val="20"/>
          <w:szCs w:val="20"/>
          <w:color w:val="auto"/>
        </w:rPr>
      </w:pPr>
      <w:r>
        <w:rPr>
          <w:rFonts w:ascii="Arial" w:cs="Arial" w:eastAsia="Arial" w:hAnsi="Arial"/>
          <w:sz w:val="16"/>
          <w:szCs w:val="16"/>
          <w:color w:val="auto"/>
        </w:rPr>
        <w:t>The table below shows the reconciliation of loss and LAE on a gross and net basis, reflecting changes in losses incurred and paid losses:</w:t>
      </w:r>
    </w:p>
    <w:p>
      <w:pPr>
        <w:spacing w:after="0" w:line="242"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Years ended</w:t>
      </w:r>
    </w:p>
    <w:p>
      <w:pPr>
        <w:spacing w:after="0" w:line="7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5715</wp:posOffset>
            </wp:positionV>
            <wp:extent cx="170942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pacing w:after="0" w:line="80" w:lineRule="exact"/>
        <w:rPr>
          <w:sz w:val="20"/>
          <w:szCs w:val="20"/>
          <w:color w:val="auto"/>
        </w:rPr>
      </w:pPr>
    </w:p>
    <w:p>
      <w:pPr>
        <w:jc w:val="both"/>
        <w:ind w:left="9080"/>
        <w:spacing w:after="0"/>
        <w:tabs>
          <w:tab w:leader="none" w:pos="10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5715</wp:posOffset>
            </wp:positionV>
            <wp:extent cx="170942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beginning of period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reinsurance recoverables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balance, beginning of period</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Incurred related to:</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year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314" w:hanging="314"/>
        <w:spacing w:after="0"/>
        <w:tabs>
          <w:tab w:leader="none" w:pos="3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56,197,106   $   48,799,622</w:t>
      </w:r>
    </w:p>
    <w:p>
      <w:pPr>
        <w:spacing w:after="0" w:line="19" w:lineRule="exact"/>
        <w:rPr>
          <w:rFonts w:ascii="Arial" w:cs="Arial" w:eastAsia="Arial" w:hAnsi="Arial"/>
          <w:sz w:val="17"/>
          <w:szCs w:val="17"/>
          <w:color w:val="auto"/>
        </w:rPr>
      </w:pPr>
    </w:p>
    <w:p>
      <w:pPr>
        <w:ind w:left="254"/>
        <w:spacing w:after="0"/>
        <w:rPr>
          <w:rFonts w:ascii="Arial" w:cs="Arial" w:eastAsia="Arial" w:hAnsi="Arial"/>
          <w:sz w:val="17"/>
          <w:szCs w:val="17"/>
          <w:color w:val="auto"/>
        </w:rPr>
      </w:pPr>
      <w:r>
        <w:rPr>
          <w:rFonts w:ascii="Arial" w:cs="Arial" w:eastAsia="Arial" w:hAnsi="Arial"/>
          <w:sz w:val="17"/>
          <w:szCs w:val="17"/>
          <w:color w:val="auto"/>
        </w:rPr>
        <w:t>(15,671,247)</w:t>
      </w:r>
      <w:r>
        <w:rPr>
          <w:rFonts w:ascii="Arial" w:cs="Arial" w:eastAsia="Arial" w:hAnsi="Arial"/>
          <w:sz w:val="15"/>
          <w:szCs w:val="15"/>
          <w:color w:val="auto"/>
        </w:rPr>
        <w:t>(16,748,908)</w:t>
      </w:r>
    </w:p>
    <w:p>
      <w:pPr>
        <w:spacing w:after="0" w:line="33" w:lineRule="exact"/>
        <w:rPr>
          <w:rFonts w:ascii="Arial" w:cs="Arial" w:eastAsia="Arial" w:hAnsi="Arial"/>
          <w:sz w:val="17"/>
          <w:szCs w:val="17"/>
          <w:color w:val="auto"/>
        </w:rPr>
      </w:pPr>
    </w:p>
    <w:p>
      <w:pPr>
        <w:ind w:left="314"/>
        <w:spacing w:after="0"/>
        <w:rPr>
          <w:rFonts w:ascii="Arial" w:cs="Arial" w:eastAsia="Arial" w:hAnsi="Arial"/>
          <w:sz w:val="17"/>
          <w:szCs w:val="17"/>
          <w:color w:val="auto"/>
        </w:rPr>
      </w:pPr>
      <w:r>
        <w:rPr>
          <w:rFonts w:ascii="Arial" w:cs="Arial" w:eastAsia="Arial" w:hAnsi="Arial"/>
          <w:sz w:val="17"/>
          <w:szCs w:val="17"/>
          <w:color w:val="auto"/>
        </w:rPr>
        <w:t>40,525,859</w:t>
      </w:r>
      <w:r>
        <w:rPr>
          <w:rFonts w:ascii="Arial" w:cs="Arial" w:eastAsia="Arial" w:hAnsi="Arial"/>
          <w:sz w:val="15"/>
          <w:szCs w:val="15"/>
          <w:color w:val="auto"/>
        </w:rPr>
        <w:t>32,050,714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-400050</wp:posOffset>
            </wp:positionV>
            <wp:extent cx="7136765"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163195</wp:posOffset>
            </wp:positionV>
            <wp:extent cx="7136765"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-134620</wp:posOffset>
            </wp:positionV>
            <wp:extent cx="7136765" cy="165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14"/>
        <w:spacing w:after="0"/>
        <w:tabs>
          <w:tab w:leader="none" w:pos="1634" w:val="left"/>
        </w:tabs>
        <w:rPr>
          <w:sz w:val="20"/>
          <w:szCs w:val="20"/>
          <w:color w:val="auto"/>
        </w:rPr>
      </w:pPr>
      <w:r>
        <w:rPr>
          <w:rFonts w:ascii="Arial" w:cs="Arial" w:eastAsia="Arial" w:hAnsi="Arial"/>
          <w:sz w:val="16"/>
          <w:szCs w:val="16"/>
          <w:color w:val="auto"/>
        </w:rPr>
        <w:t>79,044,301</w:t>
      </w:r>
      <w:r>
        <w:rPr>
          <w:sz w:val="20"/>
          <w:szCs w:val="20"/>
          <w:color w:val="auto"/>
        </w:rPr>
        <w:tab/>
      </w:r>
      <w:r>
        <w:rPr>
          <w:rFonts w:ascii="Arial" w:cs="Arial" w:eastAsia="Arial" w:hAnsi="Arial"/>
          <w:sz w:val="16"/>
          <w:szCs w:val="16"/>
          <w:color w:val="auto"/>
        </w:rPr>
        <w:t>57,143,077</w:t>
      </w:r>
    </w:p>
    <w:p>
      <w:pPr>
        <w:spacing w:after="0" w:line="47" w:lineRule="exact"/>
        <w:rPr>
          <w:sz w:val="20"/>
          <w:szCs w:val="20"/>
          <w:color w:val="auto"/>
        </w:rPr>
      </w:pPr>
    </w:p>
    <w:p>
      <w:pPr>
        <w:sectPr>
          <w:pgSz w:w="11900" w:h="16838" w:orient="portrait"/>
          <w:cols w:equalWidth="0" w:num="2">
            <w:col w:w="7966" w:space="720"/>
            <w:col w:w="2554"/>
          </w:cols>
          <w:pgMar w:left="320" w:top="497"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11,138,023</w:t>
            </w: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1,152,128</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Total incurred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90,182,324</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58,295,205</w:t>
            </w:r>
          </w:p>
        </w:tc>
      </w:tr>
      <w:tr>
        <w:trPr>
          <w:trHeight w:val="209"/>
        </w:trPr>
        <w:tc>
          <w:tcPr>
            <w:tcW w:w="8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Paid related to:</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42,861,207</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34,025,387</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23,076,588</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15,794,673</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65,937,795</w:t>
            </w: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49,820,060</w:t>
            </w:r>
          </w:p>
        </w:tc>
      </w:tr>
      <w:tr>
        <w:trPr>
          <w:trHeight w:val="209"/>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balance at end of period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64,770,387</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40,525,859</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Add reinsurance recoverables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15,728,224</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15,671,247</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80,498,611</w:t>
            </w: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   56,197,106</w:t>
            </w:r>
          </w:p>
        </w:tc>
      </w:tr>
    </w:tbl>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claims reserving practices are designed to set reserves that, in the aggregate, are adequate to pay all claims at their ultimate settlement value.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Loss and Loss Adjustment Expenses Development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shows the net loss development of reserves held as of each calendar year-end from 2009 through 2019.</w:t>
      </w:r>
    </w:p>
    <w:p>
      <w:pPr>
        <w:spacing w:after="0" w:line="157"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$6,001,000 as of December 31, 2009 is as follows. By December 31, 2011 (two years later), $3,992,000 had actually been paid in settlement of the claims that relate to liabilities as of December 31, 2009. The re-estimated ultimate reserves for those claims as of December 31, 2011 (two years later) had grown to $6,393,000.</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type w:val="continuous"/>
        </w:sectPr>
      </w:pPr>
    </w:p>
    <w:bookmarkStart w:id="10" w:name="page11"/>
    <w:bookmarkEnd w:id="10"/>
    <w:p>
      <w:pPr>
        <w:jc w:val="both"/>
        <w:ind w:firstLine="627"/>
        <w:spacing w:after="0" w:line="268" w:lineRule="auto"/>
        <w:rPr>
          <w:sz w:val="20"/>
          <w:szCs w:val="20"/>
          <w:color w:val="auto"/>
        </w:rPr>
      </w:pPr>
      <w:r>
        <w:rPr>
          <w:rFonts w:ascii="Arial" w:cs="Arial" w:eastAsia="Arial" w:hAnsi="Arial"/>
          <w:sz w:val="17"/>
          <w:szCs w:val="17"/>
          <w:color w:val="auto"/>
        </w:rPr>
        <w:t>The “cumulative redundancy (deficiency)” represents, as of December 31, 2019, the difference between the latest re-estimated liability and the amounts as originally estimated. A redundancy means that the original estimate was higher than the current estimate. A deficiency means that the current estimate is higher than the original estimate.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2009</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r>
      <w:tr>
        <w:trPr>
          <w:trHeight w:val="201"/>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Reserve for loss</w:t>
            </w: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w w:val="97"/>
              </w:rPr>
              <w:t>and loss adjustment</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expenses, net of</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reinsurance</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8"/>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recoverables</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6,001</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7,280</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8,520</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12,065</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17,139</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21,663</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23,170</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25,960</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32,051</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40,526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64,770</w:t>
            </w:r>
          </w:p>
        </w:tc>
      </w:tr>
      <w:tr>
        <w:trPr>
          <w:trHeight w:val="201"/>
        </w:trPr>
        <w:tc>
          <w:tcPr>
            <w:tcW w:w="1500" w:type="dxa"/>
            <w:vAlign w:val="bottom"/>
          </w:tcPr>
          <w:p>
            <w:pPr>
              <w:spacing w:after="0"/>
              <w:rPr>
                <w:sz w:val="20"/>
                <w:szCs w:val="20"/>
                <w:color w:val="auto"/>
              </w:rPr>
            </w:pPr>
            <w:r>
              <w:rPr>
                <w:rFonts w:ascii="Arial" w:cs="Arial" w:eastAsia="Arial" w:hAnsi="Arial"/>
                <w:sz w:val="17"/>
                <w:szCs w:val="17"/>
                <w:color w:val="auto"/>
              </w:rPr>
              <w:t>Net reserve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w w:val="97"/>
              </w:rPr>
              <w:t>estimated as of One</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year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6,235</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7,483</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9,261</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13,886</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18,903</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21,200</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23,107</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25,899</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33,203</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51,664</w:t>
            </w:r>
          </w:p>
        </w:tc>
        <w:tc>
          <w:tcPr>
            <w:tcW w:w="760" w:type="dxa"/>
            <w:vAlign w:val="bottom"/>
          </w:tcPr>
          <w:p>
            <w:pPr>
              <w:spacing w:after="0"/>
              <w:rPr>
                <w:sz w:val="18"/>
                <w:szCs w:val="18"/>
                <w:color w:val="auto"/>
              </w:rPr>
            </w:pPr>
          </w:p>
        </w:tc>
      </w:tr>
      <w:tr>
        <w:trPr>
          <w:trHeight w:val="210"/>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Two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6,393</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8,289</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11,022</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16,875</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18,332</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21,501</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24,413</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26,970</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42,723</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rPr>
              <w:t>Three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6,486</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9,170</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12,968</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16,624</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18,687</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22,576</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25,509</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33,298</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Four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7,182</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10,128</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12,552</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16,767</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19,386</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23,243</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28,638</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rPr>
              <w:t>Five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7,766</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9,925</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12,440</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16,985</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19,449</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25,442</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Six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7,602</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9,932</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12,367</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16,959</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20,265</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rPr>
              <w:t>Seven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7,615</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9,779</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12,307</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17,198</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Eight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7,455</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9,676</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12,317</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rPr>
              <w:t>Nine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7,406</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9,736</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Ten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7,465</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1"/>
        </w:trPr>
        <w:tc>
          <w:tcPr>
            <w:tcW w:w="1500" w:type="dxa"/>
            <w:vAlign w:val="bottom"/>
          </w:tcPr>
          <w:p>
            <w:pPr>
              <w:spacing w:after="0"/>
              <w:rPr>
                <w:sz w:val="20"/>
                <w:szCs w:val="20"/>
                <w:color w:val="auto"/>
              </w:rPr>
            </w:pPr>
            <w:r>
              <w:rPr>
                <w:rFonts w:ascii="Arial" w:cs="Arial" w:eastAsia="Arial" w:hAnsi="Arial"/>
                <w:sz w:val="17"/>
                <w:szCs w:val="17"/>
                <w:color w:val="auto"/>
              </w:rPr>
              <w:t>Net cumulative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rPr>
              <w:t>redundancy</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5"/>
        </w:trPr>
        <w:tc>
          <w:tcPr>
            <w:tcW w:w="1500" w:type="dxa"/>
            <w:vAlign w:val="bottom"/>
          </w:tcPr>
          <w:p>
            <w:pPr>
              <w:spacing w:after="0"/>
              <w:rPr>
                <w:sz w:val="20"/>
                <w:szCs w:val="20"/>
                <w:color w:val="auto"/>
              </w:rPr>
            </w:pPr>
            <w:r>
              <w:rPr>
                <w:rFonts w:ascii="Arial" w:cs="Arial" w:eastAsia="Arial" w:hAnsi="Arial"/>
                <w:sz w:val="17"/>
                <w:szCs w:val="17"/>
                <w:color w:val="auto"/>
              </w:rPr>
              <w:t>(deficiency)</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(1,464)</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(2,456)</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(3,797)</w:t>
            </w:r>
          </w:p>
        </w:tc>
        <w:tc>
          <w:tcPr>
            <w:tcW w:w="1000" w:type="dxa"/>
            <w:vAlign w:val="bottom"/>
          </w:tcPr>
          <w:p>
            <w:pPr>
              <w:jc w:val="right"/>
              <w:ind w:right="176"/>
              <w:spacing w:after="0"/>
              <w:rPr>
                <w:sz w:val="20"/>
                <w:szCs w:val="20"/>
                <w:color w:val="auto"/>
              </w:rPr>
            </w:pPr>
            <w:r>
              <w:rPr>
                <w:rFonts w:ascii="Arial" w:cs="Arial" w:eastAsia="Arial" w:hAnsi="Arial"/>
                <w:sz w:val="17"/>
                <w:szCs w:val="17"/>
                <w:color w:val="auto"/>
              </w:rPr>
              <w:t>(5,133)</w:t>
            </w:r>
          </w:p>
        </w:tc>
        <w:tc>
          <w:tcPr>
            <w:tcW w:w="800" w:type="dxa"/>
            <w:vAlign w:val="bottom"/>
          </w:tcPr>
          <w:p>
            <w:pPr>
              <w:jc w:val="right"/>
              <w:ind w:right="76"/>
              <w:spacing w:after="0"/>
              <w:rPr>
                <w:sz w:val="20"/>
                <w:szCs w:val="20"/>
                <w:color w:val="auto"/>
              </w:rPr>
            </w:pPr>
            <w:r>
              <w:rPr>
                <w:rFonts w:ascii="Arial" w:cs="Arial" w:eastAsia="Arial" w:hAnsi="Arial"/>
                <w:sz w:val="17"/>
                <w:szCs w:val="17"/>
                <w:color w:val="auto"/>
              </w:rPr>
              <w:t>(3,126)</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(3,779)</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(5,468)</w:t>
            </w:r>
          </w:p>
        </w:tc>
        <w:tc>
          <w:tcPr>
            <w:tcW w:w="900" w:type="dxa"/>
            <w:vAlign w:val="bottom"/>
          </w:tcPr>
          <w:p>
            <w:pPr>
              <w:jc w:val="right"/>
              <w:ind w:right="77"/>
              <w:spacing w:after="0"/>
              <w:rPr>
                <w:sz w:val="20"/>
                <w:szCs w:val="20"/>
                <w:color w:val="auto"/>
              </w:rPr>
            </w:pPr>
            <w:r>
              <w:rPr>
                <w:rFonts w:ascii="Arial" w:cs="Arial" w:eastAsia="Arial" w:hAnsi="Arial"/>
                <w:sz w:val="17"/>
                <w:szCs w:val="17"/>
                <w:color w:val="auto"/>
              </w:rPr>
              <w:t>(7,338)</w:t>
            </w: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(10,672)</w:t>
            </w:r>
          </w:p>
        </w:tc>
        <w:tc>
          <w:tcPr>
            <w:tcW w:w="900" w:type="dxa"/>
            <w:vAlign w:val="bottom"/>
          </w:tcPr>
          <w:p>
            <w:pPr>
              <w:jc w:val="right"/>
              <w:ind w:right="77"/>
              <w:spacing w:after="0"/>
              <w:rPr>
                <w:sz w:val="20"/>
                <w:szCs w:val="20"/>
                <w:color w:val="auto"/>
              </w:rPr>
            </w:pPr>
            <w:r>
              <w:rPr>
                <w:rFonts w:ascii="Arial" w:cs="Arial" w:eastAsia="Arial" w:hAnsi="Arial"/>
                <w:sz w:val="17"/>
                <w:szCs w:val="17"/>
                <w:color w:val="auto"/>
              </w:rPr>
              <w:t>(11,138)</w:t>
            </w:r>
          </w:p>
        </w:tc>
        <w:tc>
          <w:tcPr>
            <w:tcW w:w="760" w:type="dxa"/>
            <w:vAlign w:val="bottom"/>
          </w:tcPr>
          <w:p>
            <w:pPr>
              <w:spacing w:after="0"/>
              <w:rPr>
                <w:sz w:val="18"/>
                <w:szCs w:val="18"/>
                <w:color w:val="auto"/>
              </w:rPr>
            </w:pPr>
          </w:p>
        </w:tc>
      </w:tr>
      <w:tr>
        <w:trPr>
          <w:trHeight w:val="479"/>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2009</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r>
      <w:tr>
        <w:trPr>
          <w:trHeight w:val="234"/>
        </w:trPr>
        <w:tc>
          <w:tcPr>
            <w:tcW w:w="5200" w:type="dxa"/>
            <w:vAlign w:val="bottom"/>
            <w:gridSpan w:val="5"/>
          </w:tcPr>
          <w:p>
            <w:pPr>
              <w:spacing w:after="0"/>
              <w:rPr>
                <w:sz w:val="20"/>
                <w:szCs w:val="20"/>
                <w:color w:val="auto"/>
              </w:rPr>
            </w:pPr>
            <w:r>
              <w:rPr>
                <w:rFonts w:ascii="Arial" w:cs="Arial" w:eastAsia="Arial" w:hAnsi="Arial"/>
                <w:sz w:val="17"/>
                <w:szCs w:val="17"/>
                <w:color w:val="auto"/>
                <w:w w:val="91"/>
              </w:rPr>
              <w:t>Cumulative amount of reserve paid, net of reinsurance recoverable through</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One year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2,307</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3,201</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3,237</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4,804</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6,156</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8,500</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8,503</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9,900</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15,795</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23,075</w:t>
            </w:r>
          </w:p>
        </w:tc>
        <w:tc>
          <w:tcPr>
            <w:tcW w:w="760" w:type="dxa"/>
            <w:vAlign w:val="bottom"/>
            <w:shd w:val="clear" w:color="auto" w:fill="CCEEFF"/>
          </w:tcPr>
          <w:p>
            <w:pPr>
              <w:spacing w:after="0"/>
              <w:rPr>
                <w:sz w:val="20"/>
                <w:szCs w:val="20"/>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7"/>
                <w:szCs w:val="17"/>
                <w:color w:val="auto"/>
              </w:rPr>
              <w:t>Two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3,992</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4,947</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5,661</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8,833</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10,629</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12,853</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14,456</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17,187</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26,168</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Three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4,659</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6,199</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8,221</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11,873</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13,571</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16,564</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19,533</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23,484</w:t>
            </w: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7"/>
                <w:szCs w:val="17"/>
                <w:color w:val="auto"/>
              </w:rPr>
              <w:t>Four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5,238</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7,737</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10,100</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13,785</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16,166</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19,838</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22,816</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Five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5,997</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8,585</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10,903</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15,479</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17,262</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21,976</w:t>
            </w: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7"/>
                <w:szCs w:val="17"/>
                <w:color w:val="auto"/>
              </w:rPr>
              <w:t>Six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6,562</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8,941</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11,417</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15,882</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18,265</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Seven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6,749</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9,275</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11,725</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16,152</w:t>
            </w: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7"/>
                <w:szCs w:val="17"/>
                <w:color w:val="auto"/>
              </w:rPr>
              <w:t>Eight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7,022</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9,559</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11,864</w:t>
            </w: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Nine years later</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7,298</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9,629</w:t>
            </w:r>
          </w:p>
        </w:tc>
        <w:tc>
          <w:tcPr>
            <w:tcW w:w="9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7"/>
                <w:szCs w:val="17"/>
                <w:color w:val="auto"/>
              </w:rPr>
              <w:t>Ten years later</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7,362</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7"/>
                <w:szCs w:val="17"/>
                <w:color w:val="auto"/>
              </w:rPr>
              <w:t>Net reserve -</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0"/>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6,001</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7,280</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8,520</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12,065</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17,139</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21,663</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23,170</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25,960</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32,051</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40,526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64,770</w:t>
            </w:r>
          </w:p>
        </w:tc>
      </w:tr>
      <w:tr>
        <w:trPr>
          <w:trHeight w:val="201"/>
        </w:trPr>
        <w:tc>
          <w:tcPr>
            <w:tcW w:w="1500" w:type="dxa"/>
            <w:vAlign w:val="bottom"/>
          </w:tcPr>
          <w:p>
            <w:pPr>
              <w:spacing w:after="0"/>
              <w:rPr>
                <w:sz w:val="20"/>
                <w:szCs w:val="20"/>
                <w:color w:val="auto"/>
              </w:rPr>
            </w:pPr>
            <w:r>
              <w:rPr>
                <w:rFonts w:ascii="Arial" w:cs="Arial" w:eastAsia="Arial" w:hAnsi="Arial"/>
                <w:sz w:val="17"/>
                <w:szCs w:val="17"/>
                <w:color w:val="auto"/>
              </w:rPr>
              <w:t>* Reinsurance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Recoverable</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10,512</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10,432</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9,960</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18,420</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17,364</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18,250</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16,707</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15,777</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16,749</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15,671</w:t>
            </w:r>
          </w:p>
        </w:tc>
        <w:tc>
          <w:tcPr>
            <w:tcW w:w="760" w:type="dxa"/>
            <w:vAlign w:val="bottom"/>
          </w:tcPr>
          <w:p>
            <w:pPr>
              <w:jc w:val="right"/>
              <w:spacing w:after="0"/>
              <w:rPr>
                <w:sz w:val="20"/>
                <w:szCs w:val="20"/>
                <w:color w:val="auto"/>
              </w:rPr>
            </w:pPr>
            <w:r>
              <w:rPr>
                <w:rFonts w:ascii="Arial" w:cs="Arial" w:eastAsia="Arial" w:hAnsi="Arial"/>
                <w:sz w:val="17"/>
                <w:szCs w:val="17"/>
                <w:color w:val="auto"/>
              </w:rPr>
              <w:t>15,728</w:t>
            </w:r>
          </w:p>
        </w:tc>
      </w:tr>
      <w:tr>
        <w:trPr>
          <w:trHeight w:val="216"/>
        </w:trPr>
        <w:tc>
          <w:tcPr>
            <w:tcW w:w="1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Gross reserves -</w:t>
            </w:r>
          </w:p>
        </w:tc>
        <w:tc>
          <w:tcPr>
            <w:tcW w:w="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r>
      <w:tr>
        <w:trPr>
          <w:trHeight w:val="209"/>
        </w:trPr>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December 31,</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16,513</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17,712</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18,480</w:t>
            </w: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30,485</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34,503</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39,913</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39,877</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41,737</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48,800</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56,197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80,499</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1"/>
        </w:trPr>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1"/>
        </w:trPr>
        <w:tc>
          <w:tcPr>
            <w:tcW w:w="1500" w:type="dxa"/>
            <w:vAlign w:val="bottom"/>
          </w:tcPr>
          <w:p>
            <w:pPr>
              <w:spacing w:after="0"/>
              <w:rPr>
                <w:sz w:val="20"/>
                <w:szCs w:val="20"/>
                <w:color w:val="auto"/>
              </w:rPr>
            </w:pPr>
            <w:r>
              <w:rPr>
                <w:rFonts w:ascii="Arial" w:cs="Arial" w:eastAsia="Arial" w:hAnsi="Arial"/>
                <w:sz w:val="17"/>
                <w:szCs w:val="17"/>
                <w:color w:val="auto"/>
              </w:rPr>
              <w:t>Net re-estimated</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reserve</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7,465</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9,736</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12,317</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17,198</w:t>
            </w:r>
          </w:p>
        </w:tc>
        <w:tc>
          <w:tcPr>
            <w:tcW w:w="800" w:type="dxa"/>
            <w:vAlign w:val="bottom"/>
          </w:tcPr>
          <w:p>
            <w:pPr>
              <w:jc w:val="right"/>
              <w:ind w:right="136"/>
              <w:spacing w:after="0"/>
              <w:rPr>
                <w:sz w:val="20"/>
                <w:szCs w:val="20"/>
                <w:color w:val="auto"/>
              </w:rPr>
            </w:pPr>
            <w:r>
              <w:rPr>
                <w:rFonts w:ascii="Arial" w:cs="Arial" w:eastAsia="Arial" w:hAnsi="Arial"/>
                <w:sz w:val="17"/>
                <w:szCs w:val="17"/>
                <w:color w:val="auto"/>
              </w:rPr>
              <w:t>20,265</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25,442</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28,638</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33,298</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42,723</w:t>
            </w:r>
          </w:p>
        </w:tc>
        <w:tc>
          <w:tcPr>
            <w:tcW w:w="900" w:type="dxa"/>
            <w:vAlign w:val="bottom"/>
          </w:tcPr>
          <w:p>
            <w:pPr>
              <w:jc w:val="right"/>
              <w:ind w:right="137"/>
              <w:spacing w:after="0"/>
              <w:rPr>
                <w:sz w:val="20"/>
                <w:szCs w:val="20"/>
                <w:color w:val="auto"/>
              </w:rPr>
            </w:pPr>
            <w:r>
              <w:rPr>
                <w:rFonts w:ascii="Arial" w:cs="Arial" w:eastAsia="Arial" w:hAnsi="Arial"/>
                <w:sz w:val="17"/>
                <w:szCs w:val="17"/>
                <w:color w:val="auto"/>
              </w:rPr>
              <w:t>51,664</w:t>
            </w:r>
          </w:p>
        </w:tc>
        <w:tc>
          <w:tcPr>
            <w:tcW w:w="760" w:type="dxa"/>
            <w:vAlign w:val="bottom"/>
          </w:tcPr>
          <w:p>
            <w:pPr>
              <w:spacing w:after="0"/>
              <w:rPr>
                <w:sz w:val="18"/>
                <w:szCs w:val="18"/>
                <w:color w:val="auto"/>
              </w:rPr>
            </w:pPr>
          </w:p>
        </w:tc>
      </w:tr>
      <w:tr>
        <w:trPr>
          <w:trHeight w:val="202"/>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Re-estimated</w:t>
            </w: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9"/>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reinsurance</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4"/>
        </w:trPr>
        <w:tc>
          <w:tcPr>
            <w:tcW w:w="1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recoverable</w:t>
            </w:r>
          </w:p>
        </w:tc>
        <w:tc>
          <w:tcPr>
            <w:tcW w:w="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12,526</w:t>
            </w:r>
          </w:p>
        </w:tc>
        <w:tc>
          <w:tcPr>
            <w:tcW w:w="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13,158</w:t>
            </w:r>
          </w:p>
        </w:tc>
        <w:tc>
          <w:tcPr>
            <w:tcW w:w="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13,592</w:t>
            </w:r>
          </w:p>
        </w:tc>
        <w:tc>
          <w:tcPr>
            <w:tcW w:w="10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28,456</w:t>
            </w:r>
          </w:p>
        </w:tc>
        <w:tc>
          <w:tcPr>
            <w:tcW w:w="8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22,572</w:t>
            </w:r>
          </w:p>
        </w:tc>
        <w:tc>
          <w:tcPr>
            <w:tcW w:w="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23,640</w:t>
            </w:r>
          </w:p>
        </w:tc>
        <w:tc>
          <w:tcPr>
            <w:tcW w:w="9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21,657</w:t>
            </w:r>
          </w:p>
        </w:tc>
        <w:tc>
          <w:tcPr>
            <w:tcW w:w="9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21,179</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21,204</w:t>
            </w:r>
          </w:p>
        </w:tc>
        <w:tc>
          <w:tcPr>
            <w:tcW w:w="9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19,455</w:t>
            </w:r>
          </w:p>
        </w:tc>
        <w:tc>
          <w:tcPr>
            <w:tcW w:w="760" w:type="dxa"/>
            <w:vAlign w:val="bottom"/>
            <w:tcBorders>
              <w:bottom w:val="single" w:sz="8" w:color="auto"/>
            </w:tcBorders>
            <w:shd w:val="clear" w:color="auto" w:fill="CCEEFF"/>
          </w:tcPr>
          <w:p>
            <w:pPr>
              <w:spacing w:after="0"/>
              <w:rPr>
                <w:sz w:val="19"/>
                <w:szCs w:val="19"/>
                <w:color w:val="auto"/>
              </w:rPr>
            </w:pPr>
          </w:p>
        </w:tc>
      </w:tr>
      <w:tr>
        <w:trPr>
          <w:trHeight w:val="201"/>
        </w:trPr>
        <w:tc>
          <w:tcPr>
            <w:tcW w:w="1500" w:type="dxa"/>
            <w:vAlign w:val="bottom"/>
          </w:tcPr>
          <w:p>
            <w:pPr>
              <w:spacing w:after="0"/>
              <w:rPr>
                <w:sz w:val="20"/>
                <w:szCs w:val="20"/>
                <w:color w:val="auto"/>
              </w:rPr>
            </w:pPr>
            <w:r>
              <w:rPr>
                <w:rFonts w:ascii="Arial" w:cs="Arial" w:eastAsia="Arial" w:hAnsi="Arial"/>
                <w:sz w:val="17"/>
                <w:szCs w:val="17"/>
                <w:color w:val="auto"/>
              </w:rPr>
              <w:t>Gross re-estimated</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7"/>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reserve</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19,991</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22,894</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25,909</w:t>
            </w: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45,654</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42,837</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49,082</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50,295</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54,477</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63,927</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71,119</w:t>
            </w:r>
          </w:p>
        </w:tc>
        <w:tc>
          <w:tcPr>
            <w:tcW w:w="760" w:type="dxa"/>
            <w:vAlign w:val="bottom"/>
            <w:tcBorders>
              <w:bottom w:val="single" w:sz="8" w:color="auto"/>
            </w:tcBorders>
          </w:tcPr>
          <w:p>
            <w:pPr>
              <w:spacing w:after="0"/>
              <w:rPr>
                <w:sz w:val="18"/>
                <w:szCs w:val="18"/>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1"/>
        </w:trPr>
        <w:tc>
          <w:tcPr>
            <w:tcW w:w="1500" w:type="dxa"/>
            <w:vAlign w:val="bottom"/>
          </w:tcPr>
          <w:p>
            <w:pPr>
              <w:spacing w:after="0"/>
              <w:rPr>
                <w:sz w:val="20"/>
                <w:szCs w:val="20"/>
                <w:color w:val="auto"/>
              </w:rPr>
            </w:pPr>
            <w:r>
              <w:rPr>
                <w:rFonts w:ascii="Arial" w:cs="Arial" w:eastAsia="Arial" w:hAnsi="Arial"/>
                <w:sz w:val="17"/>
                <w:szCs w:val="17"/>
                <w:color w:val="auto"/>
              </w:rPr>
              <w:t>Gross cumulative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7"/>
                <w:szCs w:val="17"/>
                <w:color w:val="auto"/>
              </w:rPr>
              <w:t>redundancy</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(deficiency)</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(3,478)</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(5,182)</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(7,429)</w:t>
            </w: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(15,169)</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(8,334)</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(9,169)</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(10,418)</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(12,740)</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(15,127)</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(14,922)</w:t>
            </w:r>
          </w:p>
        </w:tc>
        <w:tc>
          <w:tcPr>
            <w:tcW w:w="760" w:type="dxa"/>
            <w:vAlign w:val="bottom"/>
            <w:tcBorders>
              <w:bottom w:val="single" w:sz="8" w:color="auto"/>
            </w:tcBorders>
          </w:tcPr>
          <w:p>
            <w:pPr>
              <w:spacing w:after="0"/>
              <w:rPr>
                <w:sz w:val="18"/>
                <w:szCs w:val="18"/>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bl>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(Components may not sum to totals due to rounding)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Reinsurance</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11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w:t>
      </w:r>
    </w:p>
    <w:p>
      <w:pPr>
        <w:spacing w:after="0" w:line="116"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Effective December 15, 2019, we entered into a quota share reinsurance treaty for our personal lines business, which primarily consists of homeowners’ policies, covering the period from December 15, 2019 through December 31, 2020 (“2019/2020 Treaty”). In addition to the 2019/2020 Treaty, our quota share reinsurance treaties in effect during the years ended December 31, 2019 and 2018 for our personal lines business, were covered under a treaty covering a two-year period from July 1, 2017 through June 30, 2019 (“2017/2019 Treaty”). The treaty in effect during the year ended December 31, 2019 was covered under the July 1, 2018 through June 30, 2019 treaty year (“2018/2019 Treaty Year”). The treaties in effect during the year ended December 31, 2018 were covered under the July 1, 2017 through June 30, 2018 treaty year (“2017/2018 Treaty Year”) and the 2018/2019 Treaty Year that began on July 1, 2018.</w:t>
      </w:r>
    </w:p>
    <w:p>
      <w:pPr>
        <w:spacing w:after="0" w:line="176"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December 15, 2019 is $750,000. Our maximum net retention under the excess of loss treaties for any one commercial general liability occurrence for dates of loss on or after July 1, 2019 is $750,000.</w:t>
      </w:r>
    </w:p>
    <w:p>
      <w:pPr>
        <w:spacing w:after="0" w:line="174"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We earn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provides minimum and maximum ceding commission rates in relation to specified ultimate loss ratios.</w:t>
      </w:r>
    </w:p>
    <w:p>
      <w:pPr>
        <w:spacing w:after="0" w:line="11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Under the 2019/2020 Treaty, KICO receives a fixed provisional rate with no adjustment for sliding scale contingent commissions. Under the 2017/2019 Treaty, KICO received a higher upfront fixed provisional rate than in prior years’ treaties. In exchange for the higher provisional rate, KICO has a reduced opportunity to earn sliding scale contingent commissions.</w:t>
      </w:r>
    </w:p>
    <w:p>
      <w:pPr>
        <w:spacing w:after="0" w:line="18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2019/2020 Treaty and 2017/2019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 drastically reducing the adverse impact that a catastrophic event can have on ceding commissions.</w:t>
      </w:r>
    </w:p>
    <w:p>
      <w:pPr>
        <w:spacing w:after="0" w:line="120"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color w:val="auto"/>
        </w:rPr>
        <w:t>In 2019, we purchased catastrophe reinsurance to provide coverage of up to $610,000,000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one-in-250 year storm event. The direct retention for any single catastrophe event is $7,500,000. Effective December 15, 2019 losses on personal lines policies are subject to the 25% quota share treaty, which results in a net retention by us of $5,625,000 of exposure per catastrophe occurrence. Effective July 1, 2019, we have reinstatement premium protection on the first $292,500,000 layer of catastrophe coverage in excess of $7,500,000. This protects us from having to pay an additional premium to reinstate catastrophe coverage for an event up to this level.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left="640"/>
        <w:spacing w:after="0"/>
        <w:rPr>
          <w:sz w:val="20"/>
          <w:szCs w:val="20"/>
          <w:color w:val="auto"/>
        </w:rPr>
      </w:pPr>
      <w:r>
        <w:rPr>
          <w:rFonts w:ascii="Arial" w:cs="Arial" w:eastAsia="Arial" w:hAnsi="Arial"/>
          <w:sz w:val="17"/>
          <w:szCs w:val="17"/>
          <w:b w:val="1"/>
          <w:bCs w:val="1"/>
          <w:i w:val="1"/>
          <w:iCs w:val="1"/>
          <w:color w:val="auto"/>
        </w:rPr>
        <w:t>Investments</w:t>
      </w:r>
    </w:p>
    <w:p>
      <w:pPr>
        <w:spacing w:after="0" w:line="157" w:lineRule="exact"/>
        <w:rPr>
          <w:sz w:val="20"/>
          <w:szCs w:val="20"/>
          <w:color w:val="auto"/>
        </w:rPr>
      </w:pPr>
    </w:p>
    <w:p>
      <w:pPr>
        <w:ind w:right="20" w:firstLine="627"/>
        <w:spacing w:after="0" w:line="281" w:lineRule="auto"/>
        <w:rPr>
          <w:sz w:val="20"/>
          <w:szCs w:val="20"/>
          <w:color w:val="auto"/>
        </w:rPr>
      </w:pPr>
      <w:r>
        <w:rPr>
          <w:rFonts w:ascii="Arial" w:cs="Arial" w:eastAsia="Arial" w:hAnsi="Arial"/>
          <w:sz w:val="17"/>
          <w:szCs w:val="17"/>
          <w:color w:val="auto"/>
        </w:rPr>
        <w:t>Our investment portfolio, including cash and cash equivalents, and short term investments, as of December 31, 2019 and 2018, is summarized in the table below by type of investment.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18"/>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1"/>
                <w:szCs w:val="21"/>
                <w:color w:val="auto"/>
              </w:rPr>
            </w:pPr>
          </w:p>
        </w:tc>
        <w:tc>
          <w:tcPr>
            <w:tcW w:w="1200" w:type="dxa"/>
            <w:vAlign w:val="bottom"/>
          </w:tcPr>
          <w:p>
            <w:pPr>
              <w:jc w:val="right"/>
              <w:ind w:right="438"/>
              <w:spacing w:after="0"/>
              <w:rPr>
                <w:sz w:val="20"/>
                <w:szCs w:val="20"/>
                <w:color w:val="auto"/>
              </w:rPr>
            </w:pPr>
            <w:r>
              <w:rPr>
                <w:rFonts w:ascii="Arial" w:cs="Arial" w:eastAsia="Arial" w:hAnsi="Arial"/>
                <w:sz w:val="14"/>
                <w:szCs w:val="14"/>
                <w:b w:val="1"/>
                <w:bCs w:val="1"/>
                <w:color w:val="auto"/>
              </w:rPr>
              <w:t>Carrying</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6"/>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38"/>
              <w:spacing w:after="0"/>
              <w:rPr>
                <w:sz w:val="20"/>
                <w:szCs w:val="20"/>
                <w:color w:val="auto"/>
              </w:rPr>
            </w:pPr>
            <w:r>
              <w:rPr>
                <w:rFonts w:ascii="Arial" w:cs="Arial" w:eastAsia="Arial" w:hAnsi="Arial"/>
                <w:sz w:val="14"/>
                <w:szCs w:val="14"/>
                <w:b w:val="1"/>
                <w:bCs w:val="1"/>
                <w:color w:val="auto"/>
              </w:rPr>
              <w:t>Value</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Portfolio</w:t>
            </w:r>
          </w:p>
        </w:tc>
        <w:tc>
          <w:tcPr>
            <w:tcW w:w="160" w:type="dxa"/>
            <w:vAlign w:val="bottom"/>
          </w:tcPr>
          <w:p>
            <w:pPr>
              <w:spacing w:after="0"/>
              <w:rPr>
                <w:sz w:val="19"/>
                <w:szCs w:val="19"/>
                <w:color w:val="auto"/>
              </w:rPr>
            </w:pPr>
          </w:p>
        </w:tc>
        <w:tc>
          <w:tcPr>
            <w:tcW w:w="1200" w:type="dxa"/>
            <w:vAlign w:val="bottom"/>
          </w:tcPr>
          <w:p>
            <w:pPr>
              <w:jc w:val="right"/>
              <w:ind w:right="538"/>
              <w:spacing w:after="0"/>
              <w:rPr>
                <w:sz w:val="20"/>
                <w:szCs w:val="20"/>
                <w:color w:val="auto"/>
              </w:rPr>
            </w:pPr>
            <w:r>
              <w:rPr>
                <w:rFonts w:ascii="Arial" w:cs="Arial" w:eastAsia="Arial" w:hAnsi="Arial"/>
                <w:sz w:val="14"/>
                <w:szCs w:val="14"/>
                <w:b w:val="1"/>
                <w:bCs w:val="1"/>
                <w:color w:val="auto"/>
              </w:rPr>
              <w:t>Value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35"/>
        </w:trPr>
        <w:tc>
          <w:tcPr>
            <w:tcW w:w="41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32,391,485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21,138,403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Held to maturity</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U.S. Treasury securities and</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obligations of U.S. government</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corporations and agencies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729,550</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1200" w:type="dxa"/>
            <w:vAlign w:val="bottom"/>
          </w:tcPr>
          <w:p>
            <w:pPr>
              <w:jc w:val="right"/>
              <w:ind w:right="198"/>
              <w:spacing w:after="0"/>
              <w:rPr>
                <w:sz w:val="20"/>
                <w:szCs w:val="20"/>
                <w:color w:val="auto"/>
              </w:rPr>
            </w:pPr>
            <w:r>
              <w:rPr>
                <w:rFonts w:ascii="Arial" w:cs="Arial" w:eastAsia="Arial" w:hAnsi="Arial"/>
                <w:sz w:val="17"/>
                <w:szCs w:val="17"/>
                <w:color w:val="auto"/>
              </w:rPr>
              <w:t>729,507</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Political subdivisions of states,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territories and possessions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998,619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998,803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Corporate and other bonds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Industrial and miscellaneous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2,097,783</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8"/>
                <w:szCs w:val="18"/>
                <w:color w:val="auto"/>
              </w:rPr>
            </w:pPr>
          </w:p>
        </w:tc>
        <w:tc>
          <w:tcPr>
            <w:tcW w:w="1200" w:type="dxa"/>
            <w:vAlign w:val="bottom"/>
          </w:tcPr>
          <w:p>
            <w:pPr>
              <w:jc w:val="right"/>
              <w:ind w:right="198"/>
              <w:spacing w:after="0"/>
              <w:rPr>
                <w:sz w:val="20"/>
                <w:szCs w:val="20"/>
                <w:color w:val="auto"/>
              </w:rPr>
            </w:pPr>
            <w:r>
              <w:rPr>
                <w:rFonts w:ascii="Arial" w:cs="Arial" w:eastAsia="Arial" w:hAnsi="Arial"/>
                <w:sz w:val="17"/>
                <w:szCs w:val="17"/>
                <w:color w:val="auto"/>
              </w:rPr>
              <w:t>2,494,545</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7"/>
                <w:szCs w:val="17"/>
                <w:color w:val="auto"/>
              </w:rPr>
              <w:t>Available for sale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U.S. Treasury securities and</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obligations of U.S. government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corporations and agencies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7,061,100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8,220,381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Political subdivisions of states,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territories and possessions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9,321,812</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200" w:type="dxa"/>
            <w:vAlign w:val="bottom"/>
          </w:tcPr>
          <w:p>
            <w:pPr>
              <w:jc w:val="right"/>
              <w:ind w:right="198"/>
              <w:spacing w:after="0"/>
              <w:rPr>
                <w:sz w:val="20"/>
                <w:szCs w:val="20"/>
                <w:color w:val="auto"/>
              </w:rPr>
            </w:pPr>
            <w:r>
              <w:rPr>
                <w:rFonts w:ascii="Arial" w:cs="Arial" w:eastAsia="Arial" w:hAnsi="Arial"/>
                <w:sz w:val="17"/>
                <w:szCs w:val="17"/>
                <w:color w:val="auto"/>
              </w:rPr>
              <w:t>6,341,608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Corporate and other bonds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Industrial and miscellaneous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w w:val="97"/>
              </w:rPr>
              <w:t>125,622,039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95"/>
              </w:rPr>
              <w:t>115,750,293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26,231,230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21,465,234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Preferred stocks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78"/>
              <w:spacing w:after="0"/>
              <w:rPr>
                <w:sz w:val="20"/>
                <w:szCs w:val="20"/>
                <w:color w:val="auto"/>
              </w:rPr>
            </w:pPr>
            <w:r>
              <w:rPr>
                <w:rFonts w:ascii="Arial" w:cs="Arial" w:eastAsia="Arial" w:hAnsi="Arial"/>
                <w:sz w:val="17"/>
                <w:szCs w:val="17"/>
                <w:color w:val="auto"/>
              </w:rPr>
              <w:t>8,701,887</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1200" w:type="dxa"/>
            <w:vAlign w:val="bottom"/>
          </w:tcPr>
          <w:p>
            <w:pPr>
              <w:jc w:val="right"/>
              <w:ind w:right="198"/>
              <w:spacing w:after="0"/>
              <w:rPr>
                <w:sz w:val="20"/>
                <w:szCs w:val="20"/>
                <w:color w:val="auto"/>
              </w:rPr>
            </w:pPr>
            <w:r>
              <w:rPr>
                <w:rFonts w:ascii="Arial" w:cs="Arial" w:eastAsia="Arial" w:hAnsi="Arial"/>
                <w:sz w:val="17"/>
                <w:szCs w:val="17"/>
                <w:color w:val="auto"/>
              </w:rPr>
              <w:t>6,152,956</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7"/>
                <w:szCs w:val="17"/>
                <w:color w:val="auto"/>
              </w:rPr>
              <w:t>Common stocks, mutual funds, and</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exchange traded funds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15,959,495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10,419,660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Other investments</w:t>
            </w:r>
          </w:p>
        </w:tc>
        <w:tc>
          <w:tcPr>
            <w:tcW w:w="18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2,584,913</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1,855,225</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78"/>
              <w:spacing w:after="0"/>
              <w:rPr>
                <w:sz w:val="20"/>
                <w:szCs w:val="20"/>
                <w:color w:val="auto"/>
              </w:rPr>
            </w:pPr>
            <w:r>
              <w:rPr>
                <w:rFonts w:ascii="Arial" w:cs="Arial" w:eastAsia="Arial" w:hAnsi="Arial"/>
                <w:sz w:val="17"/>
                <w:szCs w:val="17"/>
                <w:color w:val="auto"/>
                <w:w w:val="97"/>
              </w:rPr>
              <w:t>231,699,913</w:t>
            </w: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7"/>
                <w:szCs w:val="17"/>
                <w:color w:val="auto"/>
                <w:w w:val="95"/>
              </w:rPr>
              <w:t>195,566,615</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97" w:right="319" w:bottom="1440" w:gutter="0" w:footer="0" w:header="0"/>
        </w:sectPr>
      </w:pPr>
    </w:p>
    <w:bookmarkStart w:id="13" w:name="page14"/>
    <w:bookmarkEnd w:id="13"/>
    <w:p>
      <w:pPr>
        <w:ind w:right="20"/>
        <w:spacing w:after="0" w:line="281" w:lineRule="auto"/>
        <w:rPr>
          <w:sz w:val="20"/>
          <w:szCs w:val="20"/>
          <w:color w:val="auto"/>
        </w:rPr>
      </w:pPr>
      <w:r>
        <w:rPr>
          <w:rFonts w:ascii="Arial" w:cs="Arial" w:eastAsia="Arial" w:hAnsi="Arial"/>
          <w:sz w:val="17"/>
          <w:szCs w:val="17"/>
          <w:color w:val="auto"/>
        </w:rPr>
        <w:t>The table below summarizes the credit quality of our fixed-maturity securities available-for-sale as of December 31, 2019 and 2018 as rated by Standard and Poor’s (or if unavailable from Standard and Poor’s, then Moody’s or Fitch):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rPr>
              <w:t>December 31, 2019</w:t>
            </w:r>
          </w:p>
        </w:tc>
        <w:tc>
          <w:tcPr>
            <w:tcW w:w="242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5"/>
                <w:szCs w:val="15"/>
                <w:color w:val="auto"/>
              </w:rPr>
            </w:pPr>
          </w:p>
        </w:tc>
      </w:tr>
      <w:tr>
        <w:trPr>
          <w:trHeight w:val="225"/>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46"/>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Percentage of</w:t>
            </w:r>
          </w:p>
        </w:tc>
        <w:tc>
          <w:tcPr>
            <w:tcW w:w="1080" w:type="dxa"/>
            <w:vAlign w:val="bottom"/>
          </w:tcPr>
          <w:p>
            <w:pPr>
              <w:jc w:val="center"/>
              <w:ind w:right="146"/>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46"/>
              <w:spacing w:after="0"/>
              <w:rPr>
                <w:sz w:val="20"/>
                <w:szCs w:val="20"/>
                <w:color w:val="auto"/>
              </w:rPr>
            </w:pPr>
            <w:r>
              <w:rPr>
                <w:rFonts w:ascii="Arial" w:cs="Arial" w:eastAsia="Arial" w:hAnsi="Arial"/>
                <w:sz w:val="14"/>
                <w:szCs w:val="14"/>
                <w:b w:val="1"/>
                <w:bCs w:val="1"/>
                <w:color w:val="auto"/>
              </w:rPr>
              <w:t>Fair Market</w:t>
            </w:r>
          </w:p>
        </w:tc>
        <w:tc>
          <w:tcPr>
            <w:tcW w:w="14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Fair Market</w:t>
            </w:r>
          </w:p>
        </w:tc>
        <w:tc>
          <w:tcPr>
            <w:tcW w:w="1080" w:type="dxa"/>
            <w:vAlign w:val="bottom"/>
          </w:tcPr>
          <w:p>
            <w:pPr>
              <w:jc w:val="center"/>
              <w:ind w:right="166"/>
              <w:spacing w:after="0"/>
              <w:rPr>
                <w:sz w:val="20"/>
                <w:szCs w:val="20"/>
                <w:color w:val="auto"/>
              </w:rPr>
            </w:pPr>
            <w:r>
              <w:rPr>
                <w:rFonts w:ascii="Arial" w:cs="Arial" w:eastAsia="Arial" w:hAnsi="Arial"/>
                <w:sz w:val="14"/>
                <w:szCs w:val="14"/>
                <w:b w:val="1"/>
                <w:bCs w:val="1"/>
                <w:color w:val="auto"/>
              </w:rPr>
              <w:t>Fair Market</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Market</w:t>
            </w:r>
          </w:p>
        </w:tc>
      </w:tr>
      <w:tr>
        <w:trPr>
          <w:trHeight w:val="199"/>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46"/>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Pr>
          <w:p>
            <w:pPr>
              <w:jc w:val="center"/>
              <w:ind w:right="16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33"/>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Rating</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7"/>
                <w:szCs w:val="17"/>
                <w:color w:val="auto"/>
              </w:rPr>
              <w:t>7,061,100</w:t>
            </w:r>
          </w:p>
        </w:tc>
        <w:tc>
          <w:tcPr>
            <w:tcW w:w="16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4.2%  $</w:t>
            </w: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7"/>
                <w:szCs w:val="17"/>
                <w:color w:val="auto"/>
              </w:rPr>
              <w:t>8,220,381</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8"/>
                <w:szCs w:val="18"/>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21"/>
          <w:szCs w:val="21"/>
          <w:color w:val="auto"/>
        </w:rPr>
        <w:t>Corporate and municipal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765" cy="14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ind w:left="200"/>
              <w:spacing w:after="0"/>
              <w:rPr>
                <w:sz w:val="20"/>
                <w:szCs w:val="20"/>
                <w:color w:val="auto"/>
              </w:rPr>
            </w:pPr>
            <w:r>
              <w:rPr>
                <w:rFonts w:ascii="Arial" w:cs="Arial" w:eastAsia="Arial" w:hAnsi="Arial"/>
                <w:sz w:val="17"/>
                <w:szCs w:val="17"/>
                <w:color w:val="auto"/>
              </w:rPr>
              <w:t>AAA</w:t>
            </w:r>
          </w:p>
        </w:tc>
        <w:tc>
          <w:tcPr>
            <w:tcW w:w="1740" w:type="dxa"/>
            <w:vAlign w:val="bottom"/>
          </w:tcPr>
          <w:p>
            <w:pPr>
              <w:jc w:val="right"/>
              <w:ind w:right="435"/>
              <w:spacing w:after="0"/>
              <w:rPr>
                <w:sz w:val="20"/>
                <w:szCs w:val="20"/>
                <w:color w:val="auto"/>
              </w:rPr>
            </w:pPr>
            <w:r>
              <w:rPr>
                <w:rFonts w:ascii="Arial" w:cs="Arial" w:eastAsia="Arial" w:hAnsi="Arial"/>
                <w:sz w:val="17"/>
                <w:szCs w:val="17"/>
                <w:color w:val="auto"/>
              </w:rPr>
              <w:t>1,996,676</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1.2%</w:t>
            </w:r>
          </w:p>
        </w:tc>
        <w:tc>
          <w:tcPr>
            <w:tcW w:w="1540" w:type="dxa"/>
            <w:vAlign w:val="bottom"/>
          </w:tcPr>
          <w:p>
            <w:pPr>
              <w:jc w:val="right"/>
              <w:ind w:right="435"/>
              <w:spacing w:after="0"/>
              <w:rPr>
                <w:sz w:val="20"/>
                <w:szCs w:val="20"/>
                <w:color w:val="auto"/>
              </w:rPr>
            </w:pPr>
            <w:r>
              <w:rPr>
                <w:rFonts w:ascii="Arial" w:cs="Arial" w:eastAsia="Arial" w:hAnsi="Arial"/>
                <w:sz w:val="17"/>
                <w:szCs w:val="17"/>
                <w:color w:val="auto"/>
              </w:rPr>
              <w:t>979,123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0.6%</w:t>
            </w: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174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8,809,480</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5.2%</w:t>
            </w:r>
          </w:p>
        </w:tc>
        <w:tc>
          <w:tcPr>
            <w:tcW w:w="154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8,350,910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8"/>
                <w:szCs w:val="18"/>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7"/>
                <w:szCs w:val="17"/>
                <w:color w:val="auto"/>
              </w:rPr>
              <w:t>A</w:t>
            </w:r>
          </w:p>
        </w:tc>
        <w:tc>
          <w:tcPr>
            <w:tcW w:w="1740" w:type="dxa"/>
            <w:vAlign w:val="bottom"/>
          </w:tcPr>
          <w:p>
            <w:pPr>
              <w:jc w:val="right"/>
              <w:ind w:right="435"/>
              <w:spacing w:after="0"/>
              <w:rPr>
                <w:sz w:val="20"/>
                <w:szCs w:val="20"/>
                <w:color w:val="auto"/>
              </w:rPr>
            </w:pPr>
            <w:r>
              <w:rPr>
                <w:rFonts w:ascii="Arial" w:cs="Arial" w:eastAsia="Arial" w:hAnsi="Arial"/>
                <w:sz w:val="17"/>
                <w:szCs w:val="17"/>
                <w:color w:val="auto"/>
              </w:rPr>
              <w:t>34,636,236</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20.6%</w:t>
            </w:r>
          </w:p>
        </w:tc>
        <w:tc>
          <w:tcPr>
            <w:tcW w:w="1540" w:type="dxa"/>
            <w:vAlign w:val="bottom"/>
          </w:tcPr>
          <w:p>
            <w:pPr>
              <w:jc w:val="right"/>
              <w:ind w:right="435"/>
              <w:spacing w:after="0"/>
              <w:rPr>
                <w:sz w:val="20"/>
                <w:szCs w:val="20"/>
                <w:color w:val="auto"/>
              </w:rPr>
            </w:pPr>
            <w:r>
              <w:rPr>
                <w:rFonts w:ascii="Arial" w:cs="Arial" w:eastAsia="Arial" w:hAnsi="Arial"/>
                <w:sz w:val="17"/>
                <w:szCs w:val="17"/>
                <w:color w:val="auto"/>
              </w:rPr>
              <w:t>27,665,961</w:t>
            </w:r>
          </w:p>
        </w:tc>
        <w:tc>
          <w:tcPr>
            <w:tcW w:w="960" w:type="dxa"/>
            <w:vAlign w:val="bottom"/>
          </w:tcPr>
          <w:p>
            <w:pPr>
              <w:jc w:val="right"/>
              <w:spacing w:after="0"/>
              <w:rPr>
                <w:sz w:val="20"/>
                <w:szCs w:val="20"/>
                <w:color w:val="auto"/>
              </w:rPr>
            </w:pPr>
            <w:r>
              <w:rPr>
                <w:rFonts w:ascii="Arial" w:cs="Arial" w:eastAsia="Arial" w:hAnsi="Arial"/>
                <w:sz w:val="17"/>
                <w:szCs w:val="17"/>
                <w:color w:val="auto"/>
              </w:rPr>
              <w:t>18.2%</w:t>
            </w:r>
          </w:p>
        </w:tc>
        <w:tc>
          <w:tcPr>
            <w:tcW w:w="20" w:type="dxa"/>
            <w:vAlign w:val="bottom"/>
          </w:tcPr>
          <w:p>
            <w:pPr>
              <w:spacing w:after="0"/>
              <w:rPr>
                <w:sz w:val="18"/>
                <w:szCs w:val="18"/>
                <w:color w:val="auto"/>
              </w:rPr>
            </w:pPr>
          </w:p>
        </w:tc>
      </w:tr>
      <w:tr>
        <w:trPr>
          <w:trHeight w:val="215"/>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BBB</w:t>
            </w:r>
          </w:p>
        </w:tc>
        <w:tc>
          <w:tcPr>
            <w:tcW w:w="17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89,501,460</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53.2%</w:t>
            </w:r>
          </w:p>
        </w:tc>
        <w:tc>
          <w:tcPr>
            <w:tcW w:w="15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85,095,907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20" w:type="dxa"/>
            <w:vAlign w:val="bottom"/>
          </w:tcPr>
          <w:p>
            <w:pPr>
              <w:spacing w:after="0"/>
              <w:rPr>
                <w:sz w:val="18"/>
                <w:szCs w:val="18"/>
                <w:color w:val="auto"/>
              </w:rPr>
            </w:pPr>
          </w:p>
        </w:tc>
      </w:tr>
      <w:tr>
        <w:trPr>
          <w:trHeight w:val="215"/>
        </w:trPr>
        <w:tc>
          <w:tcPr>
            <w:tcW w:w="5860" w:type="dxa"/>
            <w:vAlign w:val="bottom"/>
          </w:tcPr>
          <w:p>
            <w:pPr>
              <w:ind w:left="360"/>
              <w:spacing w:after="0"/>
              <w:rPr>
                <w:sz w:val="20"/>
                <w:szCs w:val="20"/>
                <w:color w:val="auto"/>
              </w:rPr>
            </w:pPr>
            <w:r>
              <w:rPr>
                <w:rFonts w:ascii="Arial" w:cs="Arial" w:eastAsia="Arial" w:hAnsi="Arial"/>
                <w:sz w:val="17"/>
                <w:szCs w:val="17"/>
                <w:color w:val="auto"/>
              </w:rPr>
              <w:t>Total corporate and municipal bonds</w:t>
            </w:r>
          </w:p>
        </w:tc>
        <w:tc>
          <w:tcPr>
            <w:tcW w:w="17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134,943,852</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80.2%</w:t>
            </w:r>
          </w:p>
        </w:tc>
        <w:tc>
          <w:tcPr>
            <w:tcW w:w="15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122,091,901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32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1"/>
          <w:szCs w:val="21"/>
          <w:color w:val="auto"/>
        </w:rPr>
        <w:t>Residential mortgage backed securities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AAA</w:t>
            </w:r>
          </w:p>
        </w:tc>
        <w:tc>
          <w:tcPr>
            <w:tcW w:w="17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2,976,306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999,640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7"/>
                <w:szCs w:val="17"/>
                <w:color w:val="auto"/>
              </w:rPr>
              <w:t>AA</w:t>
            </w:r>
          </w:p>
        </w:tc>
        <w:tc>
          <w:tcPr>
            <w:tcW w:w="1700" w:type="dxa"/>
            <w:vAlign w:val="bottom"/>
          </w:tcPr>
          <w:p>
            <w:pPr>
              <w:jc w:val="right"/>
              <w:ind w:right="395"/>
              <w:spacing w:after="0"/>
              <w:rPr>
                <w:sz w:val="20"/>
                <w:szCs w:val="20"/>
                <w:color w:val="auto"/>
              </w:rPr>
            </w:pPr>
            <w:r>
              <w:rPr>
                <w:rFonts w:ascii="Arial" w:cs="Arial" w:eastAsia="Arial" w:hAnsi="Arial"/>
                <w:sz w:val="17"/>
                <w:szCs w:val="17"/>
                <w:color w:val="auto"/>
              </w:rPr>
              <w:t>18,440,382</w:t>
            </w: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18"/>
                <w:szCs w:val="18"/>
                <w:color w:val="auto"/>
              </w:rPr>
            </w:pPr>
          </w:p>
        </w:tc>
        <w:tc>
          <w:tcPr>
            <w:tcW w:w="1400" w:type="dxa"/>
            <w:vAlign w:val="bottom"/>
          </w:tcPr>
          <w:p>
            <w:pPr>
              <w:jc w:val="right"/>
              <w:ind w:right="395"/>
              <w:spacing w:after="0"/>
              <w:rPr>
                <w:sz w:val="20"/>
                <w:szCs w:val="20"/>
                <w:color w:val="auto"/>
              </w:rPr>
            </w:pPr>
            <w:r>
              <w:rPr>
                <w:rFonts w:ascii="Arial" w:cs="Arial" w:eastAsia="Arial" w:hAnsi="Arial"/>
                <w:sz w:val="17"/>
                <w:szCs w:val="17"/>
                <w:color w:val="auto"/>
              </w:rPr>
              <w:t>12,743,906</w:t>
            </w:r>
          </w:p>
        </w:tc>
        <w:tc>
          <w:tcPr>
            <w:tcW w:w="100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w:t>
            </w:r>
          </w:p>
        </w:tc>
        <w:tc>
          <w:tcPr>
            <w:tcW w:w="17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2,471,761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4,777,356</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7"/>
                <w:szCs w:val="17"/>
                <w:color w:val="auto"/>
              </w:rPr>
              <w:t>CCC</w:t>
            </w:r>
          </w:p>
        </w:tc>
        <w:tc>
          <w:tcPr>
            <w:tcW w:w="1700" w:type="dxa"/>
            <w:vAlign w:val="bottom"/>
          </w:tcPr>
          <w:p>
            <w:pPr>
              <w:jc w:val="right"/>
              <w:ind w:right="395"/>
              <w:spacing w:after="0"/>
              <w:rPr>
                <w:sz w:val="20"/>
                <w:szCs w:val="20"/>
                <w:color w:val="auto"/>
              </w:rPr>
            </w:pPr>
            <w:r>
              <w:rPr>
                <w:rFonts w:ascii="Arial" w:cs="Arial" w:eastAsia="Arial" w:hAnsi="Arial"/>
                <w:sz w:val="17"/>
                <w:szCs w:val="17"/>
                <w:color w:val="auto"/>
              </w:rPr>
              <w:t>1,174,273</w:t>
            </w:r>
          </w:p>
        </w:tc>
        <w:tc>
          <w:tcPr>
            <w:tcW w:w="1060" w:type="dxa"/>
            <w:vAlign w:val="bottom"/>
          </w:tcPr>
          <w:p>
            <w:pPr>
              <w:jc w:val="right"/>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8"/>
                <w:szCs w:val="18"/>
                <w:color w:val="auto"/>
              </w:rPr>
            </w:pPr>
          </w:p>
        </w:tc>
        <w:tc>
          <w:tcPr>
            <w:tcW w:w="1400" w:type="dxa"/>
            <w:vAlign w:val="bottom"/>
          </w:tcPr>
          <w:p>
            <w:pPr>
              <w:jc w:val="right"/>
              <w:ind w:right="395"/>
              <w:spacing w:after="0"/>
              <w:rPr>
                <w:sz w:val="20"/>
                <w:szCs w:val="20"/>
                <w:color w:val="auto"/>
              </w:rPr>
            </w:pPr>
            <w:r>
              <w:rPr>
                <w:rFonts w:ascii="Arial" w:cs="Arial" w:eastAsia="Arial" w:hAnsi="Arial"/>
                <w:sz w:val="17"/>
                <w:szCs w:val="17"/>
                <w:color w:val="auto"/>
              </w:rPr>
              <w:t>1,440,825</w:t>
            </w:r>
          </w:p>
        </w:tc>
        <w:tc>
          <w:tcPr>
            <w:tcW w:w="1000" w:type="dxa"/>
            <w:vAlign w:val="bottom"/>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CC</w:t>
            </w:r>
          </w:p>
        </w:tc>
        <w:tc>
          <w:tcPr>
            <w:tcW w:w="17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86,461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109,648</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7"/>
                <w:szCs w:val="17"/>
                <w:color w:val="auto"/>
              </w:rPr>
              <w:t>C</w:t>
            </w:r>
          </w:p>
        </w:tc>
        <w:tc>
          <w:tcPr>
            <w:tcW w:w="1700" w:type="dxa"/>
            <w:vAlign w:val="bottom"/>
          </w:tcPr>
          <w:p>
            <w:pPr>
              <w:jc w:val="right"/>
              <w:ind w:right="395"/>
              <w:spacing w:after="0"/>
              <w:rPr>
                <w:sz w:val="20"/>
                <w:szCs w:val="20"/>
                <w:color w:val="auto"/>
              </w:rPr>
            </w:pPr>
            <w:r>
              <w:rPr>
                <w:rFonts w:ascii="Arial" w:cs="Arial" w:eastAsia="Arial" w:hAnsi="Arial"/>
                <w:sz w:val="17"/>
                <w:szCs w:val="17"/>
                <w:color w:val="auto"/>
              </w:rPr>
              <w:t>17,813</w:t>
            </w:r>
          </w:p>
        </w:tc>
        <w:tc>
          <w:tcPr>
            <w:tcW w:w="1060" w:type="dxa"/>
            <w:vAlign w:val="bottom"/>
          </w:tcPr>
          <w:p>
            <w:pPr>
              <w:jc w:val="right"/>
              <w:spacing w:after="0"/>
              <w:rPr>
                <w:sz w:val="20"/>
                <w:szCs w:val="20"/>
                <w:color w:val="auto"/>
              </w:rPr>
            </w:pPr>
            <w:r>
              <w:rPr>
                <w:rFonts w:ascii="Arial" w:cs="Arial" w:eastAsia="Arial" w:hAnsi="Arial"/>
                <w:sz w:val="17"/>
                <w:szCs w:val="17"/>
                <w:color w:val="auto"/>
              </w:rPr>
              <w:t>0.0%</w:t>
            </w:r>
          </w:p>
        </w:tc>
        <w:tc>
          <w:tcPr>
            <w:tcW w:w="220" w:type="dxa"/>
            <w:vAlign w:val="bottom"/>
          </w:tcPr>
          <w:p>
            <w:pPr>
              <w:spacing w:after="0"/>
              <w:rPr>
                <w:sz w:val="18"/>
                <w:szCs w:val="18"/>
                <w:color w:val="auto"/>
              </w:rPr>
            </w:pPr>
          </w:p>
        </w:tc>
        <w:tc>
          <w:tcPr>
            <w:tcW w:w="1400" w:type="dxa"/>
            <w:vAlign w:val="bottom"/>
          </w:tcPr>
          <w:p>
            <w:pPr>
              <w:jc w:val="right"/>
              <w:ind w:right="395"/>
              <w:spacing w:after="0"/>
              <w:rPr>
                <w:sz w:val="20"/>
                <w:szCs w:val="20"/>
                <w:color w:val="auto"/>
              </w:rPr>
            </w:pPr>
            <w:r>
              <w:rPr>
                <w:rFonts w:ascii="Arial" w:cs="Arial" w:eastAsia="Arial" w:hAnsi="Arial"/>
                <w:sz w:val="17"/>
                <w:szCs w:val="17"/>
                <w:color w:val="auto"/>
              </w:rPr>
              <w:t>24,050</w:t>
            </w:r>
          </w:p>
        </w:tc>
        <w:tc>
          <w:tcPr>
            <w:tcW w:w="100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w:t>
            </w:r>
          </w:p>
        </w:tc>
        <w:tc>
          <w:tcPr>
            <w:tcW w:w="17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215,015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390,542</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0"/>
              <w:spacing w:after="0"/>
              <w:rPr>
                <w:sz w:val="20"/>
                <w:szCs w:val="20"/>
                <w:color w:val="auto"/>
              </w:rPr>
            </w:pPr>
            <w:r>
              <w:rPr>
                <w:rFonts w:ascii="Arial" w:cs="Arial" w:eastAsia="Arial" w:hAnsi="Arial"/>
                <w:sz w:val="17"/>
                <w:szCs w:val="17"/>
                <w:color w:val="auto"/>
              </w:rPr>
              <w:t>Non rated</w:t>
            </w:r>
          </w:p>
        </w:tc>
        <w:tc>
          <w:tcPr>
            <w:tcW w:w="17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849,218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979,267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residential mortgage backed securities</w:t>
            </w:r>
          </w:p>
        </w:tc>
        <w:tc>
          <w:tcPr>
            <w:tcW w:w="17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26,231,229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21,465,234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w:t>
            </w:r>
          </w:p>
        </w:tc>
        <w:tc>
          <w:tcPr>
            <w:tcW w:w="17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  168,236,181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95"/>
              </w:rPr>
              <w:t>151,777,516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14" w:name="page15"/>
    <w:bookmarkEnd w:id="14"/>
    <w:p>
      <w:pPr>
        <w:ind w:left="640"/>
        <w:spacing w:after="0"/>
        <w:rPr>
          <w:sz w:val="20"/>
          <w:szCs w:val="20"/>
          <w:color w:val="auto"/>
        </w:rPr>
      </w:pPr>
      <w:r>
        <w:rPr>
          <w:rFonts w:ascii="Arial" w:cs="Arial" w:eastAsia="Arial" w:hAnsi="Arial"/>
          <w:sz w:val="17"/>
          <w:szCs w:val="17"/>
          <w:b w:val="1"/>
          <w:bCs w:val="1"/>
          <w:i w:val="1"/>
          <w:iCs w:val="1"/>
          <w:color w:val="auto"/>
        </w:rPr>
        <w:t>Ratings</w:t>
      </w:r>
    </w:p>
    <w:p>
      <w:pPr>
        <w:spacing w:after="0" w:line="157"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spacing w:after="0" w:line="12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In November 2016, we commenced a plan of action to upgrade KICO’s A.M. Best rating. In April 2017, A.M. Best upgraded the Financial Strength Rating (FSR) of KICO to A- (Excellent) from B++ (Good). The A.M. Best financial strength rating of A- (Excellent) has created significant additional demand from our existing producers, particularly for our New York homeowners business where we compete against many carriers that are not A- rated by A.M. Best. Other ratings assigned to KICO and Kingstone by A.M. Best and Kroll Bond Rating Agency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Kingstone</w:t>
            </w:r>
          </w:p>
        </w:tc>
        <w:tc>
          <w:tcPr>
            <w:tcW w:w="0" w:type="dxa"/>
            <w:vAlign w:val="bottom"/>
          </w:tcPr>
          <w:p>
            <w:pPr>
              <w:spacing w:after="0"/>
              <w:rPr>
                <w:sz w:val="1"/>
                <w:szCs w:val="1"/>
                <w:color w:val="auto"/>
              </w:rPr>
            </w:pPr>
          </w:p>
        </w:tc>
      </w:tr>
      <w:tr>
        <w:trPr>
          <w:trHeight w:val="226"/>
        </w:trPr>
        <w:tc>
          <w:tcPr>
            <w:tcW w:w="6700" w:type="dxa"/>
            <w:vAlign w:val="bottom"/>
          </w:tcPr>
          <w:p>
            <w:pPr>
              <w:spacing w:after="0"/>
              <w:rPr>
                <w:sz w:val="19"/>
                <w:szCs w:val="19"/>
                <w:color w:val="auto"/>
              </w:rPr>
            </w:pPr>
          </w:p>
        </w:tc>
        <w:tc>
          <w:tcPr>
            <w:tcW w:w="2660" w:type="dxa"/>
            <w:vAlign w:val="bottom"/>
          </w:tcPr>
          <w:p>
            <w:pPr>
              <w:jc w:val="right"/>
              <w:ind w:right="1237"/>
              <w:spacing w:after="0"/>
              <w:rPr>
                <w:sz w:val="20"/>
                <w:szCs w:val="20"/>
                <w:color w:val="auto"/>
              </w:rPr>
            </w:pPr>
            <w:r>
              <w:rPr>
                <w:rFonts w:ascii="Arial" w:cs="Arial" w:eastAsia="Arial" w:hAnsi="Arial"/>
                <w:sz w:val="14"/>
                <w:szCs w:val="14"/>
                <w:b w:val="1"/>
                <w:bCs w:val="1"/>
                <w:color w:val="auto"/>
              </w:rPr>
              <w:t>KICO</w:t>
            </w: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A.M. Best Long-Term issuer credit rating (ICR)</w:t>
            </w:r>
          </w:p>
        </w:tc>
        <w:tc>
          <w:tcPr>
            <w:tcW w:w="266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a- (negative outlook)</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bbb- (stable outlook)</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40"/>
              <w:spacing w:after="0"/>
              <w:rPr>
                <w:sz w:val="20"/>
                <w:szCs w:val="20"/>
                <w:color w:val="auto"/>
              </w:rPr>
            </w:pPr>
            <w:r>
              <w:rPr>
                <w:rFonts w:ascii="Arial" w:cs="Arial" w:eastAsia="Arial" w:hAnsi="Arial"/>
                <w:sz w:val="17"/>
                <w:szCs w:val="17"/>
                <w:color w:val="auto"/>
              </w:rPr>
              <w:t>A.M. Best Long-Term issue credit rating (IR)</w:t>
            </w:r>
          </w:p>
        </w:tc>
        <w:tc>
          <w:tcPr>
            <w:tcW w:w="2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$30.0 million, 5.50% senior unsecured notes due Dec. 30, 2022</w:t>
            </w:r>
          </w:p>
        </w:tc>
        <w:tc>
          <w:tcPr>
            <w:tcW w:w="26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n/a</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bbb- (stable outlook)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40"/>
              <w:spacing w:after="0"/>
              <w:rPr>
                <w:sz w:val="20"/>
                <w:szCs w:val="20"/>
                <w:color w:val="auto"/>
              </w:rPr>
            </w:pPr>
            <w:r>
              <w:rPr>
                <w:rFonts w:ascii="Arial" w:cs="Arial" w:eastAsia="Arial" w:hAnsi="Arial"/>
                <w:sz w:val="17"/>
                <w:szCs w:val="17"/>
                <w:color w:val="auto"/>
              </w:rPr>
              <w:t>Kroll Bond Rating Agency insurance financial strength rating (IFSR)</w:t>
            </w:r>
          </w:p>
        </w:tc>
        <w:tc>
          <w:tcPr>
            <w:tcW w:w="2660" w:type="dxa"/>
            <w:vAlign w:val="bottom"/>
          </w:tcPr>
          <w:p>
            <w:pPr>
              <w:jc w:val="right"/>
              <w:ind w:right="317"/>
              <w:spacing w:after="0"/>
              <w:rPr>
                <w:sz w:val="20"/>
                <w:szCs w:val="20"/>
                <w:color w:val="auto"/>
              </w:rPr>
            </w:pPr>
            <w:r>
              <w:rPr>
                <w:rFonts w:ascii="Arial" w:cs="Arial" w:eastAsia="Arial" w:hAnsi="Arial"/>
                <w:sz w:val="17"/>
                <w:szCs w:val="17"/>
                <w:color w:val="auto"/>
              </w:rPr>
              <w:t>A- (stable outlook)</w:t>
            </w:r>
          </w:p>
        </w:tc>
        <w:tc>
          <w:tcPr>
            <w:tcW w:w="1880" w:type="dxa"/>
            <w:vAlign w:val="bottom"/>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Kroll Bond Rating Agency issuer rating</w:t>
            </w:r>
          </w:p>
        </w:tc>
        <w:tc>
          <w:tcPr>
            <w:tcW w:w="26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n/a</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BBB- (stable outlook)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40"/>
              <w:spacing w:after="0"/>
              <w:rPr>
                <w:sz w:val="20"/>
                <w:szCs w:val="20"/>
                <w:color w:val="auto"/>
              </w:rPr>
            </w:pPr>
            <w:r>
              <w:rPr>
                <w:rFonts w:ascii="Arial" w:cs="Arial" w:eastAsia="Arial" w:hAnsi="Arial"/>
                <w:sz w:val="17"/>
                <w:szCs w:val="17"/>
                <w:color w:val="auto"/>
              </w:rPr>
              <w:t>$30.0 million, 5.50% senior unsecured notes due Dec. 30, 2022</w:t>
            </w:r>
          </w:p>
        </w:tc>
        <w:tc>
          <w:tcPr>
            <w:tcW w:w="2660" w:type="dxa"/>
            <w:vAlign w:val="bottom"/>
          </w:tcPr>
          <w:p>
            <w:pPr>
              <w:jc w:val="right"/>
              <w:ind w:right="317"/>
              <w:spacing w:after="0"/>
              <w:rPr>
                <w:sz w:val="20"/>
                <w:szCs w:val="20"/>
                <w:color w:val="auto"/>
              </w:rPr>
            </w:pPr>
            <w:r>
              <w:rPr>
                <w:rFonts w:ascii="Arial" w:cs="Arial" w:eastAsia="Arial" w:hAnsi="Arial"/>
                <w:sz w:val="17"/>
                <w:szCs w:val="17"/>
                <w:color w:val="auto"/>
              </w:rPr>
              <w:t>n/a</w:t>
            </w:r>
          </w:p>
        </w:tc>
        <w:tc>
          <w:tcPr>
            <w:tcW w:w="1880" w:type="dxa"/>
            <w:vAlign w:val="bottom"/>
          </w:tcPr>
          <w:p>
            <w:pPr>
              <w:jc w:val="right"/>
              <w:spacing w:after="0"/>
              <w:rPr>
                <w:sz w:val="20"/>
                <w:szCs w:val="20"/>
                <w:color w:val="auto"/>
              </w:rPr>
            </w:pPr>
            <w:r>
              <w:rPr>
                <w:rFonts w:ascii="Arial" w:cs="Arial" w:eastAsia="Arial" w:hAnsi="Arial"/>
                <w:sz w:val="17"/>
                <w:szCs w:val="17"/>
                <w:color w:val="auto"/>
              </w:rPr>
              <w:t>BBB- (stable outlook)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KICO also has a Demotech financial stability rating of A (Exceptional) which generally makes its policies acceptable to mortgage lenders that require homeowners to purchase insurance from highly rated carriers.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Catastrophe Losses</w:t>
      </w:r>
    </w:p>
    <w:p>
      <w:pPr>
        <w:spacing w:after="0" w:line="157" w:lineRule="exact"/>
        <w:rPr>
          <w:sz w:val="20"/>
          <w:szCs w:val="20"/>
          <w:color w:val="auto"/>
        </w:rPr>
      </w:pPr>
    </w:p>
    <w:p>
      <w:pPr>
        <w:jc w:val="both"/>
        <w:ind w:firstLine="627"/>
        <w:spacing w:after="0" w:line="299" w:lineRule="auto"/>
        <w:rPr>
          <w:sz w:val="20"/>
          <w:szCs w:val="20"/>
          <w:color w:val="auto"/>
        </w:rPr>
      </w:pPr>
      <w:r>
        <w:rPr>
          <w:rFonts w:ascii="Arial" w:cs="Arial" w:eastAsia="Arial" w:hAnsi="Arial"/>
          <w:sz w:val="15"/>
          <w:szCs w:val="15"/>
          <w:color w:val="auto"/>
        </w:rPr>
        <w:t>In 2019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including one large event during the winter of 2019. These claims were primarily from losses due to frozen pipes and related water damage resulting from abnormally low temperatures for an extended period. The effects of this catastrophe and other minor catastrophes during the year increased our net loss ratio by 6.0 percentage points in 2019. Our predominant market, downstate New York, was affected by several events, including one large event during the winter of 2018. These claims were primarily from losses due to frozen pipes and related water damage resulting from abnormally low temperatures for an extended period. The effects of this catastrophe and other minor catastrophes during the year increased our net loss ratio by 6.0 percentage points in 2018.</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Holding Company Regulation</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5" w:name="page16"/>
    <w:bookmarkEnd w:id="15"/>
    <w:p>
      <w:pPr>
        <w:ind w:left="640"/>
        <w:spacing w:after="0"/>
        <w:rPr>
          <w:sz w:val="20"/>
          <w:szCs w:val="20"/>
          <w:color w:val="auto"/>
        </w:rPr>
      </w:pPr>
      <w:r>
        <w:rPr>
          <w:rFonts w:ascii="Arial" w:cs="Arial" w:eastAsia="Arial" w:hAnsi="Arial"/>
          <w:sz w:val="17"/>
          <w:szCs w:val="17"/>
          <w:b w:val="1"/>
          <w:bCs w:val="1"/>
          <w:i w:val="1"/>
          <w:iCs w:val="1"/>
          <w:color w:val="auto"/>
        </w:rPr>
        <w:t>Change of Control</w:t>
      </w:r>
    </w:p>
    <w:p>
      <w:pPr>
        <w:spacing w:after="0" w:line="157"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State Insurance Regulation</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spacing w:after="0" w:line="12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104"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and the commercial auto market in New York State in 2015. On January 29, 2019, KICO was granted permission by the Texas Department of Insurance to withdraw from the Texas insurance market for which it never commenced business since receiving its certificate of authority in August 2015.</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Federal and State Legislative and Regulatory Changes</w:t>
      </w:r>
    </w:p>
    <w:p>
      <w:pPr>
        <w:spacing w:after="0" w:line="1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spacing w:after="0" w:line="120"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In 2017, the DFS implemented new comprehensive cybersecurity regulations, which became effective on March 1, 2017 with transitional implementation periods. The regulations require covered entities, including KICO, to establish a cybersecurity policy, a chief information security officer,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 KICO must annually certify compliance to the DFS with the applicable cybersecurity regulatory provisions. Annual certifications are due April 15.</w:t>
      </w:r>
    </w:p>
    <w:p>
      <w:pPr>
        <w:spacing w:after="0" w:line="108" w:lineRule="exact"/>
        <w:rPr>
          <w:sz w:val="20"/>
          <w:szCs w:val="20"/>
          <w:color w:val="auto"/>
        </w:rPr>
      </w:pPr>
    </w:p>
    <w:p>
      <w:pPr>
        <w:jc w:val="both"/>
        <w:ind w:firstLine="627"/>
        <w:spacing w:after="0" w:line="295" w:lineRule="auto"/>
        <w:rPr>
          <w:sz w:val="20"/>
          <w:szCs w:val="20"/>
          <w:color w:val="auto"/>
        </w:rPr>
      </w:pPr>
      <w:r>
        <w:rPr>
          <w:rFonts w:ascii="Arial" w:cs="Arial" w:eastAsia="Arial" w:hAnsi="Arial"/>
          <w:sz w:val="15"/>
          <w:szCs w:val="15"/>
          <w:color w:val="auto"/>
        </w:rPr>
        <w:t>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2017, the new President indicated that the provisions of this law should be reviewed. In its September 2019 Annual Report on the Insurance Industry (the “Report”), the FIO provided an overview of its statutory responsibilities and its role. The Report then summarizes the FIO’s key activities since those described in its 2018 Annual Report on the Insurance Industry. Next, the Report provides a summary of the EO Report. Sections II through V are organized around the four key themes from the EO Report: (1) Systemic Risk and Solvency; (2) Efficient Regulation and Government Processes; (3) International Engagement; and (4) Economic Growth and Informed Choices. The Report concludes with a discussion and analysis of the insurance industry’s financial performance in calendar year 2018, its financial condition as of December 31, 2018, and the domestic insurance market outlook for 2019.</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6" w:name="page17"/>
    <w:bookmarkEnd w:id="16"/>
    <w:p>
      <w:pPr>
        <w:jc w:val="both"/>
        <w:ind w:firstLine="627"/>
        <w:spacing w:after="0" w:line="313" w:lineRule="auto"/>
        <w:rPr>
          <w:sz w:val="20"/>
          <w:szCs w:val="20"/>
          <w:color w:val="auto"/>
        </w:rPr>
      </w:pPr>
      <w:r>
        <w:rPr>
          <w:rFonts w:ascii="Arial" w:cs="Arial" w:eastAsia="Arial" w:hAnsi="Arial"/>
          <w:sz w:val="16"/>
          <w:szCs w:val="16"/>
          <w:color w:val="auto"/>
        </w:rPr>
        <w:t>On December 22, 2017, a budget reconciliation act commonly referred to as the Tax Cuts and Jobs Act (TCJA) was signed into law. Overall, the reduction of the U.S. corporate tax rate to 21 percent generally lowers the effective tax rates of insurance companies operating in the United States.</w:t>
      </w:r>
    </w:p>
    <w:p>
      <w:pPr>
        <w:spacing w:after="0" w:line="82"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6"/>
          <w:szCs w:val="16"/>
          <w:color w:val="auto"/>
        </w:rPr>
        <w:t>On December 20, 2020, the Terrorism Risk Insurance Program Reauthorization Act of 2019 (TRIPRA of 2019) was enacted and is now scheduled to expire on December 31, 2027. The Terrorism Risk Insurance Program serves as a federal “backstop” for insurance claims related to acts of terrorism.</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State Regulatory Examinations</w:t>
      </w:r>
    </w:p>
    <w:p>
      <w:pPr>
        <w:spacing w:after="0" w:line="1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New York DFS commenced its examination of KICO in 2019 as of December 31, 2018. The examination is expected to be completed in 2020.</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Risk-Based Capital Regulations</w:t>
      </w:r>
    </w:p>
    <w:p>
      <w:pPr>
        <w:spacing w:after="0" w:line="157"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10"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above the ACL and is in compliance with New York’s RBC requirements as of December 31, 2019.</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Dividend Limitations</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by KICO paid during such period.</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Insurance Regulatory Information System Ratios</w:t>
      </w:r>
    </w:p>
    <w:p>
      <w:pPr>
        <w:spacing w:after="0" w:line="15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2019, KICO did not have any ratios outside the usual range.</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Accounting Principles</w:t>
      </w:r>
    </w:p>
    <w:p>
      <w:pPr>
        <w:spacing w:after="0" w:line="15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10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20"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to Kingstone Companies, Inc. from which to pay dividends.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Legal Structure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were incorporated in 1961 and assumed the name DCAP Group, Inc. in 1999. On July 1, 2009, we changed our name to Kingstone Companies, Inc.</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61"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As of December 31, 2019, we had 97 employees. None of our employees are covered by a collective bargaining agreement. We believe that our relationship with our employees is good.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Availability of Information</w:t>
      </w:r>
    </w:p>
    <w:p>
      <w:pPr>
        <w:spacing w:after="0" w:line="161"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color w:val="auto"/>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spacing w:after="0" w:line="94"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u w:val="single" w:color="auto"/>
          <w:color w:val="auto"/>
        </w:rPr>
        <w:t>ITEM 1A</w:t>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u w:val="single" w:color="auto"/>
          <w:color w:val="auto"/>
        </w:rPr>
        <w:t>RISK FACTORS</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22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u w:val="single" w:color="auto"/>
          <w:color w:val="auto"/>
        </w:rPr>
        <w:t>Risks Related to Our Business</w:t>
      </w:r>
    </w:p>
    <w:p>
      <w:pPr>
        <w:spacing w:after="0" w:line="223" w:lineRule="exact"/>
        <w:rPr>
          <w:sz w:val="20"/>
          <w:szCs w:val="20"/>
          <w:color w:val="auto"/>
        </w:rPr>
      </w:pPr>
    </w:p>
    <w:p>
      <w:pPr>
        <w:ind w:right="800" w:firstLine="627"/>
        <w:spacing w:after="0" w:line="281"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which could adversely affect our business, results of operations, stock price and reputation.</w:t>
      </w:r>
    </w:p>
    <w:p>
      <w:pPr>
        <w:spacing w:after="0" w:line="17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have identified a material weakness in the internal control over financial reporting related to the operation of controls related to the establishment and ongoing monitoring of case reserves for losses and loss adjustment expenses. Based on the material weakness, our management has determined that we have not maintained effective internal control over financial reporting as of December 31, 2019. See Part II, Item 9A “Controls and Procedures” for a discussion of the internal control over financial reporting and the material weakness.</w:t>
      </w:r>
    </w:p>
    <w:p>
      <w:pPr>
        <w:spacing w:after="0" w:line="185"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"Internal controls over financial reporting" refer to those procedures within a company that are designed to reasonably ensure the accuracy of the company's financial statements. Section 404 of the Sarbanes-Oxley Act of 2002 requires our management to annually assess the effectiveness of our internal controls over financial reporting.</w:t>
      </w:r>
    </w:p>
    <w:p>
      <w:pPr>
        <w:spacing w:after="0" w:line="1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If we fail to achieve and maintain adequate internal controls, or if we have material weaknesses in our internal controls, in each case in accordance with applicable standards, we may be unable to conclude on an ongoing basis that we have effective internal controls over financial reporting in accordance with Section 404.</w:t>
      </w:r>
    </w:p>
    <w:p>
      <w:pPr>
        <w:spacing w:after="0" w:line="1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Because effective internal controls are necessary for us to produce reliable financial reports, our business, financial condition and results of operations could be harmed, investors could lose confidence in our reported financial information, and the market price for our stock could decline if our internal controls are ineffective or if material weaknesses in our internal controls are identified.</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Major public health issues could have an adverse effect on our business and operating results.</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Major public health issues, including a large-scale pandemic, such as the novel coronavirus COVID-19, may have a material adverse effect on our workforce and business operations and cause disruptions in commerce and reduced economic activity. Some of the assets in our investment portfolio may be adversely affected by declines in the equity markets, changes in interest rates, reduced liquidity and economic activity caused by a large-scale pandemic. Accordingly, a large-scale pandemic could have a material adverse effect on our revenue, liquidity and operating results.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17"/>
          <w:szCs w:val="17"/>
          <w:b w:val="1"/>
          <w:bCs w:val="1"/>
          <w:i w:val="1"/>
          <w:iCs w:val="1"/>
          <w:color w:val="auto"/>
        </w:rPr>
        <w:t>As a property and casualty insurer, we may face significant losses from catastrophes and severe weather events.</w:t>
      </w:r>
    </w:p>
    <w:p>
      <w:pPr>
        <w:spacing w:after="0" w:line="223"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Because of the exposure of our property and casualty business to catastrophic events (such as Superstorm Sandy)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$610,000,000. The initial $7,500,000 of losses in a catastrophe are subject to a 25% quota share reinsurance treaty, such that we retain $5,625,000 of risk per catastrophe occurrence. With respect to any additional catastrophe losses of up to $602,500,000,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1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Unanticipated increases in the severity or frequency of claims may adversely affect our operating results and financial condition.</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80"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A downgrade in our financial strength rating from A.M. Best may have a material adverse effect on our competitive position, the marketability of our product offerings, and our liquidity, operating results and financial condition.</w:t>
      </w:r>
    </w:p>
    <w:p>
      <w:pPr>
        <w:spacing w:after="0" w:line="170" w:lineRule="exact"/>
        <w:rPr>
          <w:sz w:val="20"/>
          <w:szCs w:val="20"/>
          <w:color w:val="auto"/>
        </w:rPr>
      </w:pPr>
    </w:p>
    <w:p>
      <w:pPr>
        <w:jc w:val="both"/>
        <w:ind w:firstLine="627"/>
        <w:spacing w:after="0" w:line="296" w:lineRule="auto"/>
        <w:rPr>
          <w:sz w:val="20"/>
          <w:szCs w:val="20"/>
          <w:color w:val="auto"/>
        </w:rPr>
      </w:pPr>
      <w:r>
        <w:rPr>
          <w:rFonts w:ascii="Arial" w:cs="Arial" w:eastAsia="Arial" w:hAnsi="Arial"/>
          <w:sz w:val="15"/>
          <w:szCs w:val="15"/>
          <w:color w:val="auto"/>
        </w:rPr>
        <w:t>In April 2017, A.M. Best upgraded the financial strength rating of KICO to A- (Excellent) from B++ (Good). Financial strength ratings are important factors in establishing the competitive position of insurance companies and generally have an effect on an insurance company's business. Many insurance buyers, agents, brokers and secured lenders use the ratings assigned by A.M. Best and other agencies to assist them in assessing the financial strength and overall quality of the companies with which they do business or from which they are considering purchasing insurance or in determining the financial strength of the company that provides insurance with respect to the collateral they hold. A.M. Best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On an ongoing basis, rating agencies such as A.M. Best review the financial performance and condition of insurers and can downgrade or change the outlook on an insurer's ratings due to, for example, a change in an insurer's statutory capital, a reduced confidence in management or a host of other considerations that may or may not be under the insurer's control. All ratings are subject to continuous review; therefore, the retention of these ratings cannot be assured. A downgrade in our financial strength rating from A.M. Best could have a material adverse effect on our competitiveness, the marketability of our product offerings and our ability to grow in the marketplace.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Adverse capital and credit market conditions may significantly affect our ability to meet liquidity needs or our ability to obtain credit on acceptable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w:t>
      </w:r>
    </w:p>
    <w:p>
      <w:pPr>
        <w:spacing w:after="0" w:line="216"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17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70"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color w:val="auto"/>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64"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23" w:right="339" w:bottom="0" w:gutter="0" w:footer="0" w:header="0"/>
        </w:sectPr>
      </w:pPr>
    </w:p>
    <w:bookmarkStart w:id="19" w:name="page20"/>
    <w:bookmarkEnd w:id="19"/>
    <w:p>
      <w:pPr>
        <w:jc w:val="both"/>
        <w:ind w:firstLine="683"/>
        <w:spacing w:after="0" w:line="281" w:lineRule="auto"/>
        <w:rPr>
          <w:sz w:val="20"/>
          <w:szCs w:val="20"/>
          <w:color w:val="auto"/>
        </w:rPr>
      </w:pPr>
      <w:r>
        <w:rPr>
          <w:rFonts w:ascii="Arial" w:cs="Arial" w:eastAsia="Arial" w:hAnsi="Arial"/>
          <w:sz w:val="17"/>
          <w:szCs w:val="17"/>
          <w:b w:val="1"/>
          <w:bCs w:val="1"/>
          <w:i w:val="1"/>
          <w:iCs w:val="1"/>
          <w:color w:val="auto"/>
        </w:rPr>
        <w:t>Reinsurance may be unavailable at current levels and prices, which may limit our ability to write new business or maintain our financial strength rating from A.M. Best.</w:t>
      </w:r>
    </w:p>
    <w:p>
      <w:pPr>
        <w:spacing w:after="0" w:line="170"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Our ability to maintain our financial strength rating from A.M. Best depends, in part, on our ability to purchase a sufficient level of catastrophe reinsurance.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Reinsurance subjects us to the credit risk of our reinsurers, which may have a material adverse effect on our operating results and financial condition.</w:t>
      </w:r>
    </w:p>
    <w:p>
      <w:pPr>
        <w:spacing w:after="0" w:line="25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168"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Applicable insurance laws regarding the change of control of our company may impede potential acquisitions that our shareholders might consider desirable.</w:t>
      </w:r>
    </w:p>
    <w:p>
      <w:pPr>
        <w:spacing w:after="0" w:line="170"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shareholders might consider such transactions to be desirable. Similar regulations may apply in other states in which we may operate.</w:t>
      </w:r>
    </w:p>
    <w:p>
      <w:pPr>
        <w:spacing w:after="0" w:line="188"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170"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pacing w:after="0" w:line="176"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spacing w:after="0" w:line="188"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188" w:lineRule="exact"/>
        <w:rPr>
          <w:sz w:val="20"/>
          <w:szCs w:val="20"/>
          <w:color w:val="auto"/>
        </w:rPr>
      </w:pPr>
    </w:p>
    <w:p>
      <w:pPr>
        <w:jc w:val="both"/>
        <w:ind w:firstLine="670"/>
        <w:spacing w:after="0" w:line="281" w:lineRule="auto"/>
        <w:rPr>
          <w:sz w:val="20"/>
          <w:szCs w:val="20"/>
          <w:color w:val="auto"/>
        </w:rPr>
      </w:pPr>
      <w:r>
        <w:rPr>
          <w:rFonts w:ascii="Arial" w:cs="Arial" w:eastAsia="Arial" w:hAnsi="Arial"/>
          <w:sz w:val="17"/>
          <w:szCs w:val="17"/>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7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7"/>
          <w:szCs w:val="17"/>
          <w:b w:val="1"/>
          <w:bCs w:val="1"/>
          <w:i w:val="1"/>
          <w:iCs w:val="1"/>
          <w:color w:val="auto"/>
        </w:rPr>
        <w:t>Changing climate conditions may adversely affect our financial condition, profitability or cash flows.</w:t>
      </w:r>
    </w:p>
    <w:p>
      <w:pPr>
        <w:spacing w:after="0" w:line="223"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6"/>
          <w:szCs w:val="16"/>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Our operating results and financial condition may be adversely affected by the cyclical nature of the property and casualty business.</w:t>
      </w:r>
    </w:p>
    <w:p>
      <w:pPr>
        <w:spacing w:after="0" w:line="23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185"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Because substantially all of our revenue is currently derived from sources located in New York, our business may be adversely affected by conditions in such state.</w:t>
      </w:r>
    </w:p>
    <w:p>
      <w:pPr>
        <w:spacing w:after="0" w:line="17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Approximately 85% of our revenue is currently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highly dependent on a relatively small number of insurance brokers for a large portion of our revenues.</w:t>
      </w:r>
    </w:p>
    <w:p>
      <w:pPr>
        <w:spacing w:after="0" w:line="223"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color w:val="auto"/>
        </w:rPr>
        <w:t>We market our insurance products primarily through insurance brokers. A large percentage of our gross premiums written are sourced through a limited number of brokers. For the year ended December 31, 2019, twenty-seven brokers provided a total of 35.1% of our total gross premiums written for the year ended December 31, 2019.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Actual claims incurred may exceed current reserves established for claims, which may adversely affect our operating results and financial condition</w:t>
      </w:r>
      <w:r>
        <w:rPr>
          <w:rFonts w:ascii="Arial" w:cs="Arial" w:eastAsia="Arial" w:hAnsi="Arial"/>
          <w:sz w:val="14"/>
          <w:szCs w:val="14"/>
          <w:i w:val="1"/>
          <w:iCs w:val="1"/>
          <w:color w:val="auto"/>
        </w:rPr>
        <w:t>.</w:t>
      </w:r>
    </w:p>
    <w:p>
      <w:pPr>
        <w:spacing w:after="0" w:line="257"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As a holding company, we are dependent on the results of operations of our subsidiary, KICO; there are restrictions on the payment of dividends by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KICO.</w:t>
      </w:r>
    </w:p>
    <w:p>
      <w:pPr>
        <w:spacing w:after="0" w:line="21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(including $30,000,000 in aggregate principal amount of 5.5% Senior Unsecured Notes due December 30, 2022 (the “Notes’)), pay expenses and pay cash dividends to our shareholders.</w:t>
      </w:r>
    </w:p>
    <w:p>
      <w:pPr>
        <w:spacing w:after="0" w:line="185"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State insurance laws limit the ability of KICO to pay dividends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2019, the maximum permissible distribution that KICO could pay without prior regulatory approval was approximately $2,384,000.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interest on the Notes as it comes due and the principal of the Notes at their maturity may be limited by these regulatory constraints.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1" w:name="page22"/>
    <w:bookmarkEnd w:id="21"/>
    <w:p>
      <w:pPr>
        <w:ind w:left="640"/>
        <w:spacing w:after="0"/>
        <w:rPr>
          <w:sz w:val="20"/>
          <w:szCs w:val="20"/>
          <w:color w:val="auto"/>
        </w:rPr>
      </w:pPr>
      <w:r>
        <w:rPr>
          <w:rFonts w:ascii="Arial" w:cs="Arial" w:eastAsia="Arial" w:hAnsi="Arial"/>
          <w:sz w:val="17"/>
          <w:szCs w:val="17"/>
          <w:b w:val="1"/>
          <w:bCs w:val="1"/>
          <w:i w:val="1"/>
          <w:iCs w:val="1"/>
          <w:color w:val="auto"/>
        </w:rPr>
        <w:t>We may not be able to generate sufficient cash to service our debt obligations, including the Notes.</w:t>
      </w:r>
    </w:p>
    <w:p>
      <w:pPr>
        <w:spacing w:after="0" w:line="223" w:lineRule="exact"/>
        <w:rPr>
          <w:sz w:val="20"/>
          <w:szCs w:val="20"/>
          <w:color w:val="auto"/>
        </w:rPr>
      </w:pPr>
    </w:p>
    <w:p>
      <w:pPr>
        <w:jc w:val="both"/>
        <w:ind w:firstLine="627"/>
        <w:spacing w:after="0" w:line="320" w:lineRule="auto"/>
        <w:rPr>
          <w:sz w:val="20"/>
          <w:szCs w:val="20"/>
          <w:color w:val="auto"/>
        </w:rPr>
      </w:pPr>
      <w:r>
        <w:rPr>
          <w:rFonts w:ascii="Arial" w:cs="Arial" w:eastAsia="Arial" w:hAnsi="Arial"/>
          <w:sz w:val="15"/>
          <w:szCs w:val="15"/>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sufficient level of cash flows from operating activities to permit us to pay the principal, premium, if any, and interest on our indebtedness, including the Notes.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future results are dependent in part on our ability to successfully operate in an insurance industry that is highly competitive.</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If we lose key personnel or are unable to recruit qualified personnel, our ability to implement our business strategies could be delayed or hindered.</w:t>
      </w:r>
    </w:p>
    <w:p>
      <w:pPr>
        <w:spacing w:after="0" w:line="246"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Our future success will depend, in part, upon the efforts of Barry Goldstein, our President, Chief Executive Officer and Executive Chairman and Meryl Golden our Chief Operating Officer. The loss of Mr. Goldstein and Ms. Golden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Mr. Goldstein entered into an amended and restated employment agreement effective January 1, 2020 and expiring December 31, 2022. Ms. Golden entered into an employment agreement effective September 25, 2019 and expiring on December 31, 2021, whereby Ms. Golden became Chief Operating Officer.</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Difficult conditions in the economy generally could adversely affect our business and operating results.</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spacing w:after="0" w:line="18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Changes in accounting standards issued by the Financial Accounting Standards Board or other standard-setting bodies may adversely affect our reported results of operations and financial condition.</w:t>
      </w:r>
    </w:p>
    <w:p>
      <w:pPr>
        <w:spacing w:after="0" w:line="170"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Our business could be adversely affected by a security breach or other attack involving our computer systems or those of one or more of our vendors.</w:t>
      </w:r>
    </w:p>
    <w:p>
      <w:pPr>
        <w:spacing w:after="0" w:line="2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85" w:lineRule="exact"/>
        <w:rPr>
          <w:sz w:val="20"/>
          <w:szCs w:val="20"/>
          <w:color w:val="auto"/>
        </w:rPr>
      </w:pPr>
    </w:p>
    <w:p>
      <w:pPr>
        <w:jc w:val="both"/>
        <w:ind w:firstLine="627"/>
        <w:spacing w:after="0" w:line="350" w:lineRule="auto"/>
        <w:rPr>
          <w:sz w:val="20"/>
          <w:szCs w:val="20"/>
          <w:color w:val="auto"/>
        </w:rPr>
      </w:pPr>
      <w:r>
        <w:rPr>
          <w:rFonts w:ascii="Arial" w:cs="Arial" w:eastAsia="Arial" w:hAnsi="Arial"/>
          <w:sz w:val="15"/>
          <w:szCs w:val="15"/>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24" w:lineRule="exact"/>
        <w:rPr>
          <w:sz w:val="20"/>
          <w:szCs w:val="20"/>
          <w:color w:val="auto"/>
        </w:rPr>
      </w:pPr>
    </w:p>
    <w:p>
      <w:pPr>
        <w:ind w:left="780" w:hanging="14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steal, corrupt, or destroy data, including our intellectual property, financial data or the personal information of our customers or employees</w:t>
      </w:r>
    </w:p>
    <w:p>
      <w:pPr>
        <w:spacing w:after="0" w:line="19" w:lineRule="exact"/>
        <w:rPr>
          <w:rFonts w:ascii="Arial" w:cs="Arial" w:eastAsia="Arial" w:hAnsi="Arial"/>
          <w:sz w:val="17"/>
          <w:szCs w:val="17"/>
          <w:color w:val="auto"/>
        </w:rPr>
      </w:pPr>
    </w:p>
    <w:p>
      <w:pPr>
        <w:ind w:left="780" w:hanging="14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misappropriate funds</w:t>
      </w:r>
    </w:p>
    <w:p>
      <w:pPr>
        <w:spacing w:after="0" w:line="13" w:lineRule="exact"/>
        <w:rPr>
          <w:rFonts w:ascii="Arial" w:cs="Arial" w:eastAsia="Arial" w:hAnsi="Arial"/>
          <w:sz w:val="17"/>
          <w:szCs w:val="17"/>
          <w:color w:val="auto"/>
        </w:rPr>
      </w:pPr>
    </w:p>
    <w:p>
      <w:pPr>
        <w:ind w:left="780" w:hanging="14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disrupt or shut down our systems</w:t>
      </w:r>
    </w:p>
    <w:p>
      <w:pPr>
        <w:spacing w:after="0" w:line="13" w:lineRule="exact"/>
        <w:rPr>
          <w:rFonts w:ascii="Arial" w:cs="Arial" w:eastAsia="Arial" w:hAnsi="Arial"/>
          <w:sz w:val="17"/>
          <w:szCs w:val="17"/>
          <w:color w:val="auto"/>
        </w:rPr>
      </w:pPr>
    </w:p>
    <w:p>
      <w:pPr>
        <w:ind w:left="780" w:hanging="14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deny customers, agents, brokers, or others access to our systems, or</w:t>
      </w:r>
    </w:p>
    <w:p>
      <w:pPr>
        <w:spacing w:after="0" w:line="13" w:lineRule="exact"/>
        <w:rPr>
          <w:rFonts w:ascii="Arial" w:cs="Arial" w:eastAsia="Arial" w:hAnsi="Arial"/>
          <w:sz w:val="17"/>
          <w:szCs w:val="17"/>
          <w:color w:val="auto"/>
        </w:rPr>
      </w:pPr>
    </w:p>
    <w:p>
      <w:pPr>
        <w:ind w:left="780" w:hanging="14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infect our systems with viruses or malware.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2" w:name="page23"/>
    <w:bookmarkEnd w:id="22"/>
    <w:p>
      <w:pPr>
        <w:jc w:val="both"/>
        <w:ind w:firstLine="627"/>
        <w:spacing w:after="0" w:line="261" w:lineRule="auto"/>
        <w:rPr>
          <w:sz w:val="20"/>
          <w:szCs w:val="20"/>
          <w:color w:val="auto"/>
        </w:rPr>
      </w:pPr>
      <w:r>
        <w:rPr>
          <w:rFonts w:ascii="Arial" w:cs="Arial" w:eastAsia="Arial" w:hAnsi="Arial"/>
          <w:sz w:val="17"/>
          <w:szCs w:val="17"/>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188"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We rely on our information technology and telecommunication systems, and the failure of these systems could materially and adversely affect our business.</w:t>
      </w:r>
    </w:p>
    <w:p>
      <w:pPr>
        <w:spacing w:after="0" w:line="170" w:lineRule="exact"/>
        <w:rPr>
          <w:sz w:val="20"/>
          <w:szCs w:val="20"/>
          <w:color w:val="auto"/>
        </w:rPr>
      </w:pPr>
    </w:p>
    <w:p>
      <w:pPr>
        <w:jc w:val="both"/>
        <w:ind w:firstLine="627"/>
        <w:spacing w:after="0" w:line="350" w:lineRule="auto"/>
        <w:rPr>
          <w:sz w:val="20"/>
          <w:szCs w:val="20"/>
          <w:color w:val="auto"/>
        </w:rPr>
      </w:pPr>
      <w:r>
        <w:rPr>
          <w:rFonts w:ascii="Arial" w:cs="Arial" w:eastAsia="Arial" w:hAnsi="Arial"/>
          <w:sz w:val="15"/>
          <w:szCs w:val="15"/>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124"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We and certain present or former officers and directors are defendants in a putative class action asserting claims under the securities laws; an adverse outcome in such litigation could have a material adverse effect on our operations and financial condition.</w:t>
      </w:r>
    </w:p>
    <w:p>
      <w:pPr>
        <w:spacing w:after="0" w:line="170"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On June 12, 2019, Phillip Woolgar filed a suit naming the Company and certain present or former officers and directors as defendants in a putative class action captioned Woolgar v. Kingstone Companies et al.,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We believe the lawsuit to be without merit. On February 18, 2020, a motion to dismiss was filed with the court. However, litigation is inherently uncertain, and we are unable to predict the outcome of this lawsuit or estimate the range of loss, if any, that could result from an unfavorable outcome. We also cannot provide any assurance that the ultimate resolution of this lawsuit will not have a material adverse effect on our operations or financial condition.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u w:val="single" w:color="auto"/>
          <w:color w:val="auto"/>
        </w:rPr>
        <w:t>Risks Related to Our Common Stock</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Our stock price may fluctuate significantly and be highly volatile and this may make it difficult for shareholders to resell shares of our common stock at the volume, prices and times they find attractive.</w:t>
      </w:r>
    </w:p>
    <w:p>
      <w:pPr>
        <w:spacing w:after="0" w:line="170"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82"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6"/>
          <w:szCs w:val="16"/>
          <w:b w:val="1"/>
          <w:bCs w:val="1"/>
          <w:i w:val="1"/>
          <w:iCs w:val="1"/>
          <w:color w:val="auto"/>
        </w:rPr>
        <w:t>The trading volume in our common stock has been limited. As a result, shareholders may not experience liquidity in their investment in our common stock, thereby potentially limiting their ability to resell their shares at the volume, times and prices they find attractive.</w:t>
      </w:r>
    </w:p>
    <w:p>
      <w:pPr>
        <w:spacing w:after="0" w:line="14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shareholders have reduced liquidity and may not be able to sell their shares at the volume, prices and times that they desire.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There may be future issuances or resales of our common stock which may materially and adversely affect the market price of our common stock.</w:t>
      </w:r>
    </w:p>
    <w:p>
      <w:pPr>
        <w:spacing w:after="0" w:line="24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w:t>
      </w:r>
    </w:p>
    <w:p>
      <w:pPr>
        <w:spacing w:after="0" w:line="182"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We have an effective registration on Form S-3 under the Securities Act of 1933, as amended (the “Securities Act”) registering for resale 595,238 shares of our common stock and effective registration statements on Form S-8 under the Securities Act registering an aggregate of 700,000 shares of our common stock issuable under our 2005 Equity Participation Plan and an aggregate of 700,000 shares of our common stock issuable under our 2014 Equity Participation Plan. As of December 31, 2019, options to purchase 82,000 shares of our common stock, and 213,929 shares subject to unvested restricted stock grants, were outstanding under the 2014 plan and 327,900 shares were reserved for issuance thereunder. We have also registered up to $39,290,000 of our securities pursuant to registration statements on Form S-3, which we may sell from time to time in one or more offerings. The shares subject to the registration statements on Form S-3 will be freely tradeable in the public market. In addition, the shares issuable pursuant to the registration statements on Form S-8 will be freely tradable in the public market, except for shares held by our affiliates.</w:t>
      </w:r>
    </w:p>
    <w:p>
      <w:pPr>
        <w:spacing w:after="0" w:line="188" w:lineRule="exact"/>
        <w:rPr>
          <w:sz w:val="20"/>
          <w:szCs w:val="20"/>
          <w:color w:val="auto"/>
        </w:rPr>
      </w:pPr>
    </w:p>
    <w:p>
      <w:pPr>
        <w:ind w:right="100" w:firstLine="549"/>
        <w:spacing w:after="0" w:line="262" w:lineRule="auto"/>
        <w:rPr>
          <w:sz w:val="20"/>
          <w:szCs w:val="20"/>
          <w:color w:val="auto"/>
        </w:rPr>
      </w:pPr>
      <w:r>
        <w:rPr>
          <w:rFonts w:ascii="Arial" w:cs="Arial" w:eastAsia="Arial" w:hAnsi="Arial"/>
          <w:sz w:val="17"/>
          <w:szCs w:val="17"/>
          <w:color w:val="auto"/>
        </w:rPr>
        <w:t>The sale of a substantial number of shares of our common stock or securities convertible into, or exchangeable or exercisable for, shares of our common stock, whether directly by us, by selling shareholders in future offerings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88"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60" w:gutter="0" w:footer="0" w:header="0"/>
        </w:sectPr>
      </w:pPr>
    </w:p>
    <w:bookmarkStart w:id="23" w:name="page24"/>
    <w:bookmarkEnd w:id="23"/>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Our executive officers and directors own a substantial number of shares of our common stock. This will enable them to significantly influence the vote on all matters submitted to a vote of our shareholders.</w:t>
      </w:r>
    </w:p>
    <w:p>
      <w:pPr>
        <w:spacing w:after="0" w:line="170"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As of March 9, 2020, our executive officers and directors beneficially owned 990,904 shares of our common stock (including options to purchase 19,500 shares of our common stock and 6,925 shares of our common stock issuable upon the vesting of restricted stock within 60 days), representing 9.2% of the outstanding shares of our common stock.</w:t>
      </w:r>
    </w:p>
    <w:p>
      <w:pPr>
        <w:spacing w:after="0" w:line="182"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w:t>
      </w:r>
    </w:p>
    <w:p>
      <w:pPr>
        <w:spacing w:after="0" w:line="188"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Anti-takeover provisions and the regulations to which we may be subject may make it more difficult for a third party to acquire control of us, even if the change in control would be beneficial to our shareholders.</w:t>
      </w:r>
    </w:p>
    <w:p>
      <w:pPr>
        <w:spacing w:after="0" w:line="170"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u w:val="single" w:color="auto"/>
          <w:color w:val="auto"/>
        </w:rPr>
        <w:t>ITEM 1B</w:t>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u w:val="single" w:color="auto"/>
          <w:color w:val="auto"/>
        </w:rPr>
        <w:t>UNRESOLVED STAFF COMMENTS</w:t>
      </w:r>
      <w:r>
        <w:rPr>
          <w:rFonts w:ascii="Arial" w:cs="Arial" w:eastAsia="Arial" w:hAnsi="Arial"/>
          <w:sz w:val="16"/>
          <w:szCs w:val="16"/>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153"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w:t>
      </w:r>
    </w:p>
    <w:p>
      <w:pPr>
        <w:spacing w:after="0" w:line="16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 Our licensed general agency business maintains an office located at 70 East Sunrise Highway, Valley Stream, New York 11581, at which we lease 2,323 square feet of space.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own the building at which our insurance underwriting business principally operates, free of mortgage.</w:t>
      </w:r>
    </w:p>
    <w:p>
      <w:pPr>
        <w:spacing w:after="0" w:line="153"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LEGAL PROCEEDINGS</w:t>
      </w:r>
      <w:r>
        <w:rPr>
          <w:rFonts w:ascii="Arial" w:cs="Arial" w:eastAsia="Arial" w:hAnsi="Arial"/>
          <w:sz w:val="16"/>
          <w:szCs w:val="16"/>
          <w:color w:val="auto"/>
        </w:rPr>
        <w:t>.</w:t>
      </w:r>
    </w:p>
    <w:p>
      <w:pPr>
        <w:spacing w:after="0" w:line="161"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7"/>
          <w:szCs w:val="17"/>
          <w:i w:val="1"/>
          <w:iCs w:val="1"/>
          <w:color w:val="auto"/>
        </w:rPr>
        <w:t>Woolgar v. Kingstone Companies et al.</w:t>
      </w:r>
      <w:r>
        <w:rPr>
          <w:rFonts w:ascii="Arial" w:cs="Arial" w:eastAsia="Arial" w:hAnsi="Arial"/>
          <w:sz w:val="17"/>
          <w:szCs w:val="17"/>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We believe the lawsuit to be without merit.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February 18, 2020, a motion to dismiss was filed with the court.</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u w:val="single" w:color="auto"/>
          <w:color w:val="auto"/>
        </w:rPr>
        <w:t>PART II</w:t>
      </w:r>
    </w:p>
    <w:p>
      <w:pPr>
        <w:spacing w:after="0" w:line="157" w:lineRule="exact"/>
        <w:rPr>
          <w:sz w:val="20"/>
          <w:szCs w:val="20"/>
          <w:color w:val="auto"/>
        </w:rPr>
      </w:pPr>
    </w:p>
    <w:p>
      <w:pPr>
        <w:jc w:val="both"/>
        <w:ind w:left="1260" w:hanging="1254"/>
        <w:spacing w:after="0" w:line="286" w:lineRule="auto"/>
        <w:tabs>
          <w:tab w:leader="none" w:pos="1240" w:val="left"/>
        </w:tabs>
        <w:rPr>
          <w:sz w:val="20"/>
          <w:szCs w:val="20"/>
          <w:color w:val="auto"/>
        </w:rPr>
      </w:pPr>
      <w:r>
        <w:rPr>
          <w:rFonts w:ascii="Arial" w:cs="Arial" w:eastAsia="Arial" w:hAnsi="Arial"/>
          <w:sz w:val="17"/>
          <w:szCs w:val="17"/>
          <w:b w:val="1"/>
          <w:bCs w:val="1"/>
          <w:u w:val="single" w:color="auto"/>
          <w:color w:val="auto"/>
        </w:rPr>
        <w:t>ITEM 5.</w:t>
      </w:r>
      <w:r>
        <w:rPr>
          <w:sz w:val="20"/>
          <w:szCs w:val="20"/>
          <w:color w:val="auto"/>
        </w:rPr>
        <w:tab/>
      </w:r>
      <w:r>
        <w:rPr>
          <w:rFonts w:ascii="Arial" w:cs="Arial" w:eastAsia="Arial" w:hAnsi="Arial"/>
          <w:sz w:val="17"/>
          <w:szCs w:val="17"/>
          <w:b w:val="1"/>
          <w:bCs w:val="1"/>
          <w:u w:val="single" w:color="auto"/>
          <w:color w:val="auto"/>
        </w:rPr>
        <w:t>MARKET FOR REGISTRANT’S COMMON EQUITY, RELATED STOCKHOLDER MATTERS AND ISSUER PURCHASES OF EQUITY SECURITIES</w:t>
      </w:r>
      <w:r>
        <w:rPr>
          <w:rFonts w:ascii="Arial" w:cs="Arial" w:eastAsia="Arial" w:hAnsi="Arial"/>
          <w:sz w:val="17"/>
          <w:szCs w:val="17"/>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common stock is quoted on The Nasdaq Capital Market under the symbol “KINS.”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March 9, 2020, there were 216 record holders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61" w:lineRule="exact"/>
        <w:rPr>
          <w:sz w:val="20"/>
          <w:szCs w:val="20"/>
          <w:color w:val="auto"/>
        </w:rPr>
      </w:pPr>
    </w:p>
    <w:p>
      <w:pPr>
        <w:jc w:val="both"/>
        <w:ind w:firstLine="514"/>
        <w:spacing w:after="0" w:line="281" w:lineRule="auto"/>
        <w:rPr>
          <w:sz w:val="20"/>
          <w:szCs w:val="20"/>
          <w:color w:val="auto"/>
        </w:rPr>
      </w:pPr>
      <w:r>
        <w:rPr>
          <w:rFonts w:ascii="Arial" w:cs="Arial" w:eastAsia="Arial" w:hAnsi="Arial"/>
          <w:sz w:val="17"/>
          <w:szCs w:val="17"/>
          <w:color w:val="auto"/>
        </w:rPr>
        <w:t>Holders of our common stock are entitled to dividends when, as and if declared by our Board of Directors out of funds legally available. We have paid a cash dividend in each quarter since September 2011.</w:t>
      </w:r>
    </w:p>
    <w:p>
      <w:pPr>
        <w:spacing w:after="0" w:line="104"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7"/>
          <w:szCs w:val="17"/>
          <w:color w:val="auto"/>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spacing w:after="0" w:line="116" w:lineRule="exact"/>
        <w:rPr>
          <w:sz w:val="20"/>
          <w:szCs w:val="20"/>
          <w:color w:val="auto"/>
        </w:rPr>
      </w:pPr>
    </w:p>
    <w:p>
      <w:pPr>
        <w:jc w:val="both"/>
        <w:ind w:firstLine="627"/>
        <w:spacing w:after="0" w:line="257" w:lineRule="auto"/>
        <w:rPr>
          <w:sz w:val="20"/>
          <w:szCs w:val="20"/>
          <w:color w:val="auto"/>
        </w:rPr>
      </w:pPr>
      <w:r>
        <w:rPr>
          <w:rFonts w:ascii="Arial" w:cs="Arial" w:eastAsia="Arial" w:hAnsi="Arial"/>
          <w:sz w:val="17"/>
          <w:szCs w:val="17"/>
          <w:color w:val="auto"/>
        </w:rPr>
        <w:t>Our ability to pay dividends depends, in part,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are restricted to the lesser of 10% of surplus or 100% of investment income (on a statutory accounting basis) for the trailing 36 months, less dividends paid by KICO during such period. As of December 31, 2019, the maximum distribution that KICO could pay without prior regulatory approval was approximately $2,384,000, which is based on investment income for the trailing 36 months, net of dividends paid by KICO during such period. See “Business – Government Regulation” and “Management’s Discussion and Analysis of Financial Condition and Results of Operation – Liquidity” in Items 1 and 7, respectively, of this Annual Report.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were no purchases of common stock made by us or any “affiliated purchaser” during the quarter ended December 31, 2019.</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6</w:t>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u w:val="single" w:color="auto"/>
          <w:color w:val="auto"/>
        </w:rPr>
        <w:t>SELECTED FINANCIAL DATA</w:t>
      </w:r>
      <w:r>
        <w:rPr>
          <w:rFonts w:ascii="Arial" w:cs="Arial" w:eastAsia="Arial" w:hAnsi="Arial"/>
          <w:sz w:val="17"/>
          <w:szCs w:val="17"/>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item is not applicable to smaller reporting companies.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5" w:name="page26"/>
    <w:bookmarkEnd w:id="25"/>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7</w:t>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1"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We offer property and casualty insurance products to individuals through our wholly-owned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Massachusetts, Pennsylvania, Connecticut, Maine, and New Hampshire. For the year ended December 31, 2019, 85.0% of KICO’s direct written premiums came from the New York policies.</w:t>
      </w:r>
    </w:p>
    <w:p>
      <w:pPr>
        <w:spacing w:after="0" w:line="89" w:lineRule="exact"/>
        <w:rPr>
          <w:sz w:val="20"/>
          <w:szCs w:val="20"/>
          <w:color w:val="auto"/>
        </w:rPr>
      </w:pPr>
    </w:p>
    <w:p>
      <w:pPr>
        <w:jc w:val="both"/>
        <w:ind w:firstLine="672"/>
        <w:spacing w:after="0" w:line="280"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Cosi revenue is included in other income and Cosi related expenses are included in other operating expenses. Cosi operations are not included in our stand-alone insurance underwriting business and, accordingly, its revenue and expenses are not included in the calculation of our combined ratio as described below.</w:t>
      </w:r>
    </w:p>
    <w:p>
      <w:pPr>
        <w:spacing w:after="0" w:line="110"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25"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9"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commissions paid to brokers, employment costs, and consulting costs.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Revenue and Expense Items</w:t>
      </w:r>
    </w:p>
    <w:p>
      <w:pPr>
        <w:spacing w:after="0" w:line="161" w:lineRule="exact"/>
        <w:rPr>
          <w:sz w:val="20"/>
          <w:szCs w:val="20"/>
          <w:color w:val="auto"/>
        </w:rPr>
      </w:pPr>
    </w:p>
    <w:p>
      <w:pPr>
        <w:jc w:val="both"/>
        <w:ind w:firstLine="627"/>
        <w:spacing w:after="0" w:line="305" w:lineRule="auto"/>
        <w:rPr>
          <w:sz w:val="20"/>
          <w:szCs w:val="20"/>
          <w:color w:val="auto"/>
        </w:rPr>
      </w:pPr>
      <w:r>
        <w:rPr>
          <w:rFonts w:ascii="Arial" w:cs="Arial" w:eastAsia="Arial" w:hAnsi="Arial"/>
          <w:sz w:val="15"/>
          <w:szCs w:val="15"/>
          <w:b w:val="1"/>
          <w:bCs w:val="1"/>
          <w:i w:val="1"/>
          <w:iCs w:val="1"/>
          <w:color w:val="auto"/>
        </w:rPr>
        <w:t xml:space="preserve">Net premiums earned: </w:t>
      </w:r>
      <w:r>
        <w:rPr>
          <w:rFonts w:ascii="Arial" w:cs="Arial" w:eastAsia="Arial" w:hAnsi="Arial"/>
          <w:sz w:val="15"/>
          <w:szCs w:val="15"/>
          <w:color w:val="auto"/>
        </w:rPr>
        <w:t>Net premiums earned is the earned portion of our written premiums, less that portion of premium that is ceded to third party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2019, we would earn half of the premiums in 2019 and the other half in 2020.</w:t>
      </w:r>
    </w:p>
    <w:p>
      <w:pPr>
        <w:spacing w:after="0" w:line="9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Ceding commission revenue: </w:t>
      </w:r>
      <w:r>
        <w:rPr>
          <w:rFonts w:ascii="Arial" w:cs="Arial" w:eastAsia="Arial" w:hAnsi="Arial"/>
          <w:sz w:val="17"/>
          <w:szCs w:val="17"/>
          <w:color w:val="auto"/>
        </w:rPr>
        <w:t>Commissions on reinsurance premiums ceded are earned in a manner consistent with the recognition of the direct 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the underlying insurance policies, generally on a pro-rata basis over the terms of the policies reinsured.</w:t>
      </w:r>
    </w:p>
    <w:p>
      <w:pPr>
        <w:spacing w:after="0" w:line="10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b w:val="1"/>
          <w:bCs w:val="1"/>
          <w:i w:val="1"/>
          <w:iCs w:val="1"/>
          <w:color w:val="auto"/>
        </w:rPr>
        <w:t xml:space="preserve">Net investment income and net gains (losses) on investments: </w:t>
      </w:r>
      <w:r>
        <w:rPr>
          <w:rFonts w:ascii="Arial" w:cs="Arial" w:eastAsia="Arial" w:hAnsi="Arial"/>
          <w:sz w:val="16"/>
          <w:szCs w:val="16"/>
          <w:color w:val="auto"/>
        </w:rPr>
        <w:t>We invest in cash and cash equivalents, short-term investments, fixed-maturity and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income on our balance sheet while our equity securities and other investments report changes in fair value through earnings. See Note 2 in the accompanying Consolidated Financial Statements for further discussion over our accounting policies following Item 16 of this Annual Report.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26" w:name="page27"/>
    <w:bookmarkEnd w:id="26"/>
    <w:p>
      <w:pPr>
        <w:ind w:left="640"/>
        <w:spacing w:after="0"/>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We recognize installment fee income and fees charged to reinstate a policy after it has been cancelled for non-payment.</w:t>
      </w:r>
    </w:p>
    <w:p>
      <w:pPr>
        <w:spacing w:after="0" w:line="157"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b w:val="1"/>
          <w:bCs w:val="1"/>
          <w:i w:val="1"/>
          <w:iCs w:val="1"/>
          <w:color w:val="auto"/>
        </w:rPr>
        <w:t xml:space="preserve">Loss and loss adjustment expenses incurred: </w:t>
      </w:r>
      <w:r>
        <w:rPr>
          <w:rFonts w:ascii="Arial" w:cs="Arial" w:eastAsia="Arial" w:hAnsi="Arial"/>
          <w:sz w:val="15"/>
          <w:szCs w:val="15"/>
          <w:color w:val="auto"/>
        </w:rPr>
        <w:t>Loss and LAE incurred represent our largest expense item, and for any given reporting period include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96"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b w:val="1"/>
          <w:bCs w:val="1"/>
          <w:i w:val="1"/>
          <w:iCs w:val="1"/>
          <w:color w:val="auto"/>
        </w:rPr>
        <w:t xml:space="preserve">Commission expenses and other underwriting expenses: </w:t>
      </w:r>
      <w:r>
        <w:rPr>
          <w:rFonts w:ascii="Arial" w:cs="Arial" w:eastAsia="Arial" w:hAnsi="Arial"/>
          <w:sz w:val="17"/>
          <w:szCs w:val="17"/>
          <w:color w:val="auto"/>
        </w:rPr>
        <w:t>Other underwriting expenses include policy acquisition costs and other expenses related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1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b w:val="1"/>
          <w:bCs w:val="1"/>
          <w:i w:val="1"/>
          <w:iCs w:val="1"/>
          <w:color w:val="auto"/>
        </w:rPr>
        <w:t xml:space="preserve">Other operating expenses: </w:t>
      </w:r>
      <w:r>
        <w:rPr>
          <w:rFonts w:ascii="Arial" w:cs="Arial" w:eastAsia="Arial" w:hAnsi="Arial"/>
          <w:sz w:val="17"/>
          <w:szCs w:val="17"/>
          <w:color w:val="auto"/>
        </w:rPr>
        <w:t>Other operating expenses include the corporate expenses of our holding company, Kingstone Companies, Inc.,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of Cosi. These expenses include executive employment costs, legal and auditing fees, and other costs directly associated with being a public company. Cosi operating expenses primarily include commissions paid to brokers, employment costs, and consulting costs.</w:t>
      </w:r>
    </w:p>
    <w:p>
      <w:pPr>
        <w:spacing w:after="0" w:line="116"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Non-cash equity compensation includes the fair value of stock grants issued to our directors, officers and employees,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of stock options issued to the same.</w:t>
      </w:r>
    </w:p>
    <w:p>
      <w:pPr>
        <w:spacing w:after="0" w:line="104" w:lineRule="exact"/>
        <w:rPr>
          <w:sz w:val="20"/>
          <w:szCs w:val="20"/>
          <w:color w:val="auto"/>
        </w:rPr>
      </w:pPr>
    </w:p>
    <w:p>
      <w:pPr>
        <w:jc w:val="both"/>
        <w:ind w:firstLine="627"/>
        <w:spacing w:after="0" w:line="350"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includes the amortization of intangibles related to the acquisition of KICO, depreciation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real estate used in KICO’s operations, as well as depreciation of capital expenditures for information technology projects, office equipment and furniture.</w:t>
      </w:r>
    </w:p>
    <w:p>
      <w:pPr>
        <w:spacing w:after="0" w:line="59"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represents amounts we incur on our outstanding indebtedness at the applicable interest rates. Interest expense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amortization of debt discount and issuance costs.</w:t>
      </w:r>
    </w:p>
    <w:p>
      <w:pPr>
        <w:spacing w:after="0" w:line="104"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We incur federal income tax expense on our condensed consolidated operations as well as state income tax expense for our non-insurance underwriting 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product lines include the following:</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104" w:lineRule="exact"/>
        <w:rPr>
          <w:sz w:val="20"/>
          <w:szCs w:val="20"/>
          <w:color w:val="auto"/>
        </w:rPr>
      </w:pPr>
    </w:p>
    <w:p>
      <w:pPr>
        <w:jc w:val="both"/>
        <w:ind w:firstLine="670"/>
        <w:spacing w:after="0" w:line="264"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20"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 force policies for these lines are being non-renewed at the end of their current annual terms. For the twelve months ended December 31, 2019, these policies represent approximately 10.7% of net premiums earned and as of December 31, 2019, 42.8% of loss and LAE reserves net of reinsurance recoverables. See discussion below under “Additional Financial Information”.</w:t>
      </w:r>
    </w:p>
    <w:p>
      <w:pPr>
        <w:spacing w:after="0" w:line="12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the physical damage portion of insurance for such vehicles, with no liability coverage included.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have a small participation in mandatory state joint underwriting associations.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57"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ratio of net losses and LAE incurred to net premiums earned.</w:t>
      </w:r>
    </w:p>
    <w:p>
      <w:pPr>
        <w:spacing w:after="0" w:line="104" w:lineRule="exact"/>
        <w:rPr>
          <w:sz w:val="20"/>
          <w:szCs w:val="20"/>
          <w:color w:val="auto"/>
        </w:rPr>
      </w:pPr>
    </w:p>
    <w:p>
      <w:pPr>
        <w:jc w:val="both"/>
        <w:ind w:right="20" w:firstLine="627"/>
        <w:spacing w:after="0" w:line="268"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6" w:lineRule="exact"/>
        <w:rPr>
          <w:sz w:val="20"/>
          <w:szCs w:val="20"/>
          <w:color w:val="auto"/>
        </w:rPr>
      </w:pPr>
    </w:p>
    <w:p>
      <w:pPr>
        <w:jc w:val="both"/>
        <w:ind w:right="20" w:firstLine="627"/>
        <w:spacing w:after="0" w:line="268"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16" w:lineRule="exact"/>
        <w:rPr>
          <w:sz w:val="20"/>
          <w:szCs w:val="20"/>
          <w:color w:val="auto"/>
        </w:rPr>
      </w:pPr>
    </w:p>
    <w:p>
      <w:pPr>
        <w:jc w:val="both"/>
        <w:ind w:right="20" w:firstLine="627"/>
        <w:spacing w:after="0" w:line="264"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Channels</w:t>
      </w:r>
    </w:p>
    <w:p>
      <w:pPr>
        <w:spacing w:after="0" w:line="161" w:lineRule="exact"/>
        <w:rPr>
          <w:sz w:val="20"/>
          <w:szCs w:val="20"/>
          <w:color w:val="auto"/>
        </w:rPr>
      </w:pPr>
    </w:p>
    <w:p>
      <w:pPr>
        <w:jc w:val="both"/>
        <w:ind w:right="20" w:firstLine="627"/>
        <w:spacing w:after="0" w:line="262" w:lineRule="auto"/>
        <w:rPr>
          <w:sz w:val="20"/>
          <w:szCs w:val="20"/>
          <w:color w:val="auto"/>
        </w:rPr>
      </w:pPr>
      <w:r>
        <w:rPr>
          <w:rFonts w:ascii="Arial" w:cs="Arial" w:eastAsia="Arial" w:hAnsi="Arial"/>
          <w:sz w:val="17"/>
          <w:szCs w:val="17"/>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21"/>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560" w:type="dxa"/>
            <w:vAlign w:val="bottom"/>
          </w:tcPr>
          <w:p>
            <w:pPr>
              <w:ind w:left="40"/>
              <w:spacing w:after="0"/>
              <w:rPr>
                <w:sz w:val="20"/>
                <w:szCs w:val="20"/>
                <w:color w:val="auto"/>
              </w:rPr>
            </w:pPr>
            <w:r>
              <w:rPr>
                <w:rFonts w:ascii="Arial" w:cs="Arial" w:eastAsia="Arial" w:hAnsi="Arial"/>
                <w:sz w:val="17"/>
                <w:szCs w:val="17"/>
                <w:color w:val="auto"/>
              </w:rPr>
              <w:t>($ in thousands)</w:t>
            </w: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right"/>
              <w:ind w:right="758"/>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60" w:type="dxa"/>
            <w:vAlign w:val="bottom"/>
          </w:tcPr>
          <w:p>
            <w:pPr>
              <w:ind w:left="40"/>
              <w:spacing w:after="0"/>
              <w:rPr>
                <w:sz w:val="20"/>
                <w:szCs w:val="20"/>
                <w:color w:val="auto"/>
              </w:rPr>
            </w:pPr>
            <w:r>
              <w:rPr>
                <w:rFonts w:ascii="Arial" w:cs="Arial" w:eastAsia="Arial" w:hAnsi="Arial"/>
                <w:sz w:val="17"/>
                <w:szCs w:val="17"/>
                <w:color w:val="auto"/>
              </w:rPr>
              <w:t>Direct Written Pemiums</w:t>
            </w:r>
          </w:p>
        </w:tc>
        <w:tc>
          <w:tcPr>
            <w:tcW w:w="320" w:type="dxa"/>
            <w:vAlign w:val="bottom"/>
          </w:tcPr>
          <w:p>
            <w:pPr>
              <w:spacing w:after="0"/>
              <w:rPr>
                <w:sz w:val="20"/>
                <w:szCs w:val="20"/>
                <w:color w:val="auto"/>
              </w:rPr>
            </w:pPr>
          </w:p>
        </w:tc>
        <w:tc>
          <w:tcPr>
            <w:tcW w:w="1380" w:type="dxa"/>
            <w:vAlign w:val="bottom"/>
          </w:tcPr>
          <w:p>
            <w:pPr>
              <w:jc w:val="right"/>
              <w:ind w:right="701"/>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5"/>
        </w:trPr>
        <w:tc>
          <w:tcPr>
            <w:tcW w:w="85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Core Independent</w:t>
            </w: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421"/>
              <w:spacing w:after="0"/>
              <w:rPr>
                <w:sz w:val="20"/>
                <w:szCs w:val="20"/>
                <w:color w:val="auto"/>
              </w:rPr>
            </w:pPr>
            <w:r>
              <w:rPr>
                <w:rFonts w:ascii="Arial" w:cs="Arial" w:eastAsia="Arial" w:hAnsi="Arial"/>
                <w:sz w:val="17"/>
                <w:szCs w:val="17"/>
                <w:color w:val="auto"/>
              </w:rPr>
              <w:t>120,625</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Expansion Independent (1)</w:t>
            </w:r>
          </w:p>
        </w:tc>
        <w:tc>
          <w:tcPr>
            <w:tcW w:w="320" w:type="dxa"/>
            <w:vAlign w:val="bottom"/>
          </w:tcPr>
          <w:p>
            <w:pPr>
              <w:spacing w:after="0"/>
              <w:rPr>
                <w:sz w:val="18"/>
                <w:szCs w:val="18"/>
                <w:color w:val="auto"/>
              </w:rPr>
            </w:pPr>
          </w:p>
        </w:tc>
        <w:tc>
          <w:tcPr>
            <w:tcW w:w="1380" w:type="dxa"/>
            <w:vAlign w:val="bottom"/>
          </w:tcPr>
          <w:p>
            <w:pPr>
              <w:jc w:val="right"/>
              <w:ind w:right="421"/>
              <w:spacing w:after="0"/>
              <w:rPr>
                <w:sz w:val="20"/>
                <w:szCs w:val="20"/>
                <w:color w:val="auto"/>
              </w:rPr>
            </w:pPr>
            <w:r>
              <w:rPr>
                <w:rFonts w:ascii="Arial" w:cs="Arial" w:eastAsia="Arial" w:hAnsi="Arial"/>
                <w:sz w:val="17"/>
                <w:szCs w:val="17"/>
                <w:color w:val="auto"/>
              </w:rPr>
              <w:t>24,253</w:t>
            </w:r>
          </w:p>
        </w:tc>
        <w:tc>
          <w:tcPr>
            <w:tcW w:w="980" w:type="dxa"/>
            <w:vAlign w:val="bottom"/>
          </w:tcPr>
          <w:p>
            <w:pPr>
              <w:jc w:val="right"/>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Alternative Distribution through Cosi</w:t>
            </w: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7"/>
                <w:szCs w:val="17"/>
                <w:color w:val="auto"/>
              </w:rPr>
              <w:t>4,799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421"/>
              <w:spacing w:after="0"/>
              <w:rPr>
                <w:sz w:val="20"/>
                <w:szCs w:val="20"/>
                <w:color w:val="auto"/>
              </w:rPr>
            </w:pPr>
            <w:r>
              <w:rPr>
                <w:rFonts w:ascii="Arial" w:cs="Arial" w:eastAsia="Arial" w:hAnsi="Arial"/>
                <w:sz w:val="17"/>
                <w:szCs w:val="17"/>
                <w:color w:val="auto"/>
              </w:rPr>
              <w:t>149,677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640"/>
              <w:spacing w:after="0"/>
              <w:rPr>
                <w:sz w:val="20"/>
                <w:szCs w:val="20"/>
                <w:color w:val="auto"/>
              </w:rPr>
            </w:pPr>
            <w:r>
              <w:rPr>
                <w:rFonts w:ascii="Arial" w:cs="Arial" w:eastAsia="Arial" w:hAnsi="Arial"/>
                <w:sz w:val="17"/>
                <w:szCs w:val="17"/>
                <w:color w:val="auto"/>
              </w:rPr>
              <w:t>(2)  Outside of New York</w:t>
            </w: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For the year ended December 31, 2019, Alternative Distribution made up 3.2% of direct written premiums for our homeowners and dwelling fire components of personal lines.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1" w:lineRule="exact"/>
        <w:rPr>
          <w:sz w:val="20"/>
          <w:szCs w:val="20"/>
          <w:color w:val="auto"/>
        </w:rPr>
      </w:pPr>
    </w:p>
    <w:p>
      <w:pPr>
        <w:jc w:val="both"/>
        <w:ind w:right="20" w:firstLine="627"/>
        <w:spacing w:after="0" w:line="299" w:lineRule="auto"/>
        <w:rPr>
          <w:sz w:val="20"/>
          <w:szCs w:val="20"/>
          <w:color w:val="auto"/>
        </w:rPr>
      </w:pPr>
      <w:r>
        <w:rPr>
          <w:rFonts w:ascii="Arial" w:cs="Arial" w:eastAsia="Arial" w:hAnsi="Arial"/>
          <w:sz w:val="15"/>
          <w:szCs w:val="15"/>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97" w:lineRule="exact"/>
        <w:rPr>
          <w:sz w:val="20"/>
          <w:szCs w:val="20"/>
          <w:color w:val="auto"/>
        </w:rPr>
      </w:pPr>
    </w:p>
    <w:p>
      <w:pPr>
        <w:jc w:val="both"/>
        <w:ind w:right="20" w:firstLine="627"/>
        <w:spacing w:after="0" w:line="264" w:lineRule="auto"/>
        <w:rPr>
          <w:sz w:val="20"/>
          <w:szCs w:val="20"/>
          <w:color w:val="auto"/>
        </w:rPr>
      </w:pPr>
      <w:r>
        <w:rPr>
          <w:rFonts w:ascii="Arial" w:cs="Arial" w:eastAsia="Arial" w:hAnsi="Arial"/>
          <w:sz w:val="17"/>
          <w:szCs w:val="17"/>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Consolidated Financial Statements following Item 16 of this Annual Report.</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6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6"/>
              <w:spacing w:after="0" w:line="157"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5"/>
              <w:spacing w:after="0" w:line="157"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line="157" w:lineRule="exact"/>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335"/>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36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 written premiums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171,214</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146,716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24,498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200"/>
              <w:spacing w:after="0"/>
              <w:rPr>
                <w:sz w:val="20"/>
                <w:szCs w:val="20"/>
                <w:color w:val="auto"/>
              </w:rPr>
            </w:pPr>
            <w:r>
              <w:rPr>
                <w:rFonts w:ascii="Arial" w:cs="Arial" w:eastAsia="Arial" w:hAnsi="Arial"/>
                <w:sz w:val="17"/>
                <w:szCs w:val="17"/>
                <w:color w:val="auto"/>
              </w:rPr>
              <w:t>Assumed written premiums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171,215</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146,717</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24,498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Ceded written premiums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Ceded to quota share treaties in force during the period</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7,623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15,880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Unearned premiums ceded to new quota share treaty (1)</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16,320</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16,320</w:t>
            </w:r>
          </w:p>
        </w:tc>
        <w:tc>
          <w:tcPr>
            <w:tcW w:w="134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w w:val="98"/>
              </w:rPr>
              <w:t>Return of premiums previously ceded to prior quota share treaties (1)</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(4,553)</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4,553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60"/>
              <w:spacing w:after="0"/>
              <w:rPr>
                <w:sz w:val="20"/>
                <w:szCs w:val="20"/>
                <w:color w:val="auto"/>
              </w:rPr>
            </w:pPr>
            <w:r>
              <w:rPr>
                <w:rFonts w:ascii="Arial" w:cs="Arial" w:eastAsia="Arial" w:hAnsi="Arial"/>
                <w:sz w:val="17"/>
                <w:szCs w:val="17"/>
                <w:color w:val="auto"/>
              </w:rPr>
              <w:t>Ceded to quota share treaties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23,943</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11,327</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12,616</w:t>
            </w:r>
          </w:p>
        </w:tc>
        <w:tc>
          <w:tcPr>
            <w:tcW w:w="1340" w:type="dxa"/>
            <w:vAlign w:val="bottom"/>
          </w:tcPr>
          <w:p>
            <w:pPr>
              <w:jc w:val="right"/>
              <w:spacing w:after="0"/>
              <w:rPr>
                <w:sz w:val="20"/>
                <w:szCs w:val="20"/>
                <w:color w:val="auto"/>
              </w:rPr>
            </w:pPr>
            <w:r>
              <w:rPr>
                <w:rFonts w:ascii="Arial" w:cs="Arial" w:eastAsia="Arial" w:hAnsi="Arial"/>
                <w:sz w:val="17"/>
                <w:szCs w:val="17"/>
                <w:color w:val="auto"/>
              </w:rPr>
              <w:t>111.4%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excess of loss treaties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1,879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1,386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Ceded to catastrophe treaties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19,814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14,210</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5,604</w:t>
            </w:r>
          </w:p>
        </w:tc>
        <w:tc>
          <w:tcPr>
            <w:tcW w:w="1340" w:type="dxa"/>
            <w:vAlign w:val="bottom"/>
          </w:tcPr>
          <w:p>
            <w:pPr>
              <w:jc w:val="right"/>
              <w:spacing w:after="0"/>
              <w:rPr>
                <w:sz w:val="20"/>
                <w:szCs w:val="20"/>
                <w:color w:val="auto"/>
              </w:rPr>
            </w:pPr>
            <w:r>
              <w:rPr>
                <w:rFonts w:ascii="Arial" w:cs="Arial" w:eastAsia="Arial" w:hAnsi="Arial"/>
                <w:sz w:val="17"/>
                <w:szCs w:val="17"/>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ceded written premiums</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45,636</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26,923</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18,713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125,579</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119,794</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5,785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(11,351)</w:t>
            </w:r>
          </w:p>
        </w:tc>
        <w:tc>
          <w:tcPr>
            <w:tcW w:w="340" w:type="dxa"/>
            <w:vAlign w:val="bottom"/>
          </w:tcPr>
          <w:p>
            <w:pPr>
              <w:spacing w:after="0"/>
              <w:rPr>
                <w:sz w:val="18"/>
                <w:szCs w:val="18"/>
                <w:color w:val="auto"/>
              </w:rPr>
            </w:pP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(13,384)</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2,033</w:t>
            </w:r>
          </w:p>
        </w:tc>
        <w:tc>
          <w:tcPr>
            <w:tcW w:w="1340" w:type="dxa"/>
            <w:vAlign w:val="bottom"/>
          </w:tcPr>
          <w:p>
            <w:pPr>
              <w:jc w:val="right"/>
              <w:spacing w:after="0"/>
              <w:rPr>
                <w:sz w:val="20"/>
                <w:szCs w:val="20"/>
                <w:color w:val="auto"/>
              </w:rPr>
            </w:pPr>
            <w:r>
              <w:rPr>
                <w:rFonts w:ascii="Arial" w:cs="Arial" w:eastAsia="Arial" w:hAnsi="Arial"/>
                <w:sz w:val="17"/>
                <w:szCs w:val="17"/>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Ceded to quota share treaties</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13,395</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(2,995)</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16,390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200"/>
              <w:spacing w:after="0"/>
              <w:rPr>
                <w:sz w:val="20"/>
                <w:szCs w:val="20"/>
                <w:color w:val="auto"/>
              </w:rPr>
            </w:pPr>
            <w:r>
              <w:rPr>
                <w:rFonts w:ascii="Arial" w:cs="Arial" w:eastAsia="Arial" w:hAnsi="Arial"/>
                <w:sz w:val="17"/>
                <w:szCs w:val="17"/>
                <w:color w:val="auto"/>
              </w:rPr>
              <w:t>Change in net unearned premiums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2,044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(16,379)</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18,423</w:t>
            </w:r>
          </w:p>
        </w:tc>
        <w:tc>
          <w:tcPr>
            <w:tcW w:w="1340" w:type="dxa"/>
            <w:vAlign w:val="bottom"/>
          </w:tcPr>
          <w:p>
            <w:pPr>
              <w:jc w:val="right"/>
              <w:spacing w:after="0"/>
              <w:rPr>
                <w:sz w:val="20"/>
                <w:szCs w:val="20"/>
                <w:color w:val="auto"/>
              </w:rPr>
            </w:pPr>
            <w:r>
              <w:rPr>
                <w:rFonts w:ascii="Arial" w:cs="Arial" w:eastAsia="Arial" w:hAnsi="Arial"/>
                <w:sz w:val="17"/>
                <w:szCs w:val="17"/>
                <w:color w:val="auto"/>
              </w:rPr>
              <w:t>(112.5)%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Premiums earned</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159,864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133,333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26,531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Ceded to reinsurance treaties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(32,240)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(29,918)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(2,322)</w:t>
            </w:r>
          </w:p>
        </w:tc>
        <w:tc>
          <w:tcPr>
            <w:tcW w:w="1340" w:type="dxa"/>
            <w:vAlign w:val="bottom"/>
          </w:tcPr>
          <w:p>
            <w:pPr>
              <w:jc w:val="right"/>
              <w:spacing w:after="0"/>
              <w:rPr>
                <w:sz w:val="20"/>
                <w:szCs w:val="20"/>
                <w:color w:val="auto"/>
              </w:rPr>
            </w:pPr>
            <w:r>
              <w:rPr>
                <w:rFonts w:ascii="Arial" w:cs="Arial" w:eastAsia="Arial" w:hAnsi="Arial"/>
                <w:sz w:val="17"/>
                <w:szCs w:val="17"/>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127,624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103,415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24,209</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Excluding the effect of catastrophes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4,651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5,792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Effect of catastrophes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(459)</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459</w:t>
            </w:r>
          </w:p>
        </w:tc>
        <w:tc>
          <w:tcPr>
            <w:tcW w:w="134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ceding commission revenue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4,651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5,333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Net investment income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6,869</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6,186</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683</w:t>
            </w:r>
          </w:p>
        </w:tc>
        <w:tc>
          <w:tcPr>
            <w:tcW w:w="1340" w:type="dxa"/>
            <w:vAlign w:val="bottom"/>
          </w:tcPr>
          <w:p>
            <w:pPr>
              <w:jc w:val="right"/>
              <w:spacing w:after="0"/>
              <w:rPr>
                <w:sz w:val="20"/>
                <w:szCs w:val="20"/>
                <w:color w:val="auto"/>
              </w:rPr>
            </w:pPr>
            <w:r>
              <w:rPr>
                <w:rFonts w:ascii="Arial" w:cs="Arial" w:eastAsia="Arial" w:hAnsi="Arial"/>
                <w:sz w:val="17"/>
                <w:szCs w:val="17"/>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gains (losses) on investments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4,591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(2,496)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7,087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200"/>
              <w:spacing w:after="0"/>
              <w:rPr>
                <w:sz w:val="20"/>
                <w:szCs w:val="20"/>
                <w:color w:val="auto"/>
              </w:rPr>
            </w:pPr>
            <w:r>
              <w:rPr>
                <w:rFonts w:ascii="Arial" w:cs="Arial" w:eastAsia="Arial" w:hAnsi="Arial"/>
                <w:sz w:val="17"/>
                <w:szCs w:val="17"/>
                <w:color w:val="auto"/>
              </w:rPr>
              <w:t>Other income</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1,828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1,334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494</w:t>
            </w:r>
          </w:p>
        </w:tc>
        <w:tc>
          <w:tcPr>
            <w:tcW w:w="1340" w:type="dxa"/>
            <w:vAlign w:val="bottom"/>
          </w:tcPr>
          <w:p>
            <w:pPr>
              <w:jc w:val="right"/>
              <w:spacing w:after="0"/>
              <w:rPr>
                <w:sz w:val="20"/>
                <w:szCs w:val="20"/>
                <w:color w:val="auto"/>
              </w:rPr>
            </w:pPr>
            <w:r>
              <w:rPr>
                <w:rFonts w:ascii="Arial" w:cs="Arial" w:eastAsia="Arial" w:hAnsi="Arial"/>
                <w:sz w:val="17"/>
                <w:szCs w:val="17"/>
                <w:color w:val="auto"/>
              </w:rPr>
              <w:t>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145,563</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113,772</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31,791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1"/>
              </w:rPr>
              <w:t>Loss and loss adjustment expenses excluding the effect of catastrophes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94,775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61,950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32,825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Losses from catastrophes (2)</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8,177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10,828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(2,651)</w:t>
            </w:r>
          </w:p>
        </w:tc>
        <w:tc>
          <w:tcPr>
            <w:tcW w:w="1340" w:type="dxa"/>
            <w:vAlign w:val="bottom"/>
          </w:tcPr>
          <w:p>
            <w:pPr>
              <w:jc w:val="right"/>
              <w:spacing w:after="0"/>
              <w:rPr>
                <w:sz w:val="20"/>
                <w:szCs w:val="20"/>
                <w:color w:val="auto"/>
              </w:rPr>
            </w:pPr>
            <w:r>
              <w:rPr>
                <w:rFonts w:ascii="Arial" w:cs="Arial" w:eastAsia="Arial" w:hAnsi="Arial"/>
                <w:sz w:val="17"/>
                <w:szCs w:val="17"/>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102,952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72,778</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30,174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60"/>
              <w:spacing w:after="0"/>
              <w:rPr>
                <w:sz w:val="20"/>
                <w:szCs w:val="20"/>
                <w:color w:val="auto"/>
              </w:rPr>
            </w:pPr>
            <w:r>
              <w:rPr>
                <w:rFonts w:ascii="Arial" w:cs="Arial" w:eastAsia="Arial" w:hAnsi="Arial"/>
                <w:sz w:val="17"/>
                <w:szCs w:val="17"/>
                <w:color w:val="auto"/>
                <w:w w:val="91"/>
              </w:rPr>
              <w:t>Loss and loss adjustment expenses excluding the effect of catastrophes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12,287</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9,882</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2,405</w:t>
            </w:r>
          </w:p>
        </w:tc>
        <w:tc>
          <w:tcPr>
            <w:tcW w:w="1340" w:type="dxa"/>
            <w:vAlign w:val="bottom"/>
          </w:tcPr>
          <w:p>
            <w:pPr>
              <w:jc w:val="right"/>
              <w:spacing w:after="0"/>
              <w:rPr>
                <w:sz w:val="20"/>
                <w:szCs w:val="20"/>
                <w:color w:val="auto"/>
              </w:rPr>
            </w:pPr>
            <w:r>
              <w:rPr>
                <w:rFonts w:ascii="Arial" w:cs="Arial" w:eastAsia="Arial" w:hAnsi="Arial"/>
                <w:sz w:val="17"/>
                <w:szCs w:val="17"/>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from catastrophes (2)</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482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4,600</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12,769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14,482</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w:t>
            </w:r>
          </w:p>
        </w:tc>
        <w:tc>
          <w:tcPr>
            <w:tcW w:w="1340" w:type="dxa"/>
            <w:vAlign w:val="bottom"/>
          </w:tcPr>
          <w:p>
            <w:pPr>
              <w:jc w:val="right"/>
              <w:spacing w:after="0"/>
              <w:rPr>
                <w:sz w:val="20"/>
                <w:szCs w:val="20"/>
                <w:color w:val="auto"/>
              </w:rPr>
            </w:pPr>
            <w:r>
              <w:rPr>
                <w:rFonts w:ascii="Arial" w:cs="Arial" w:eastAsia="Arial" w:hAnsi="Arial"/>
                <w:sz w:val="17"/>
                <w:szCs w:val="17"/>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1"/>
              </w:rPr>
              <w:t>Loss and loss adjustment expenses excluding the effect of catastrophes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82,488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52,068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30,420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Losses from catastrophes (2)</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7,695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6,228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1,467</w:t>
            </w:r>
          </w:p>
        </w:tc>
        <w:tc>
          <w:tcPr>
            <w:tcW w:w="1340" w:type="dxa"/>
            <w:vAlign w:val="bottom"/>
          </w:tcPr>
          <w:p>
            <w:pPr>
              <w:jc w:val="right"/>
              <w:spacing w:after="0"/>
              <w:rPr>
                <w:sz w:val="20"/>
                <w:szCs w:val="20"/>
                <w:color w:val="auto"/>
              </w:rPr>
            </w:pPr>
            <w:r>
              <w:rPr>
                <w:rFonts w:ascii="Arial" w:cs="Arial" w:eastAsia="Arial" w:hAnsi="Arial"/>
                <w:sz w:val="17"/>
                <w:szCs w:val="17"/>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90,183</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58,296</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31,887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30,193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25,342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4,851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24,420</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20,943</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3,477</w:t>
            </w:r>
          </w:p>
        </w:tc>
        <w:tc>
          <w:tcPr>
            <w:tcW w:w="1340" w:type="dxa"/>
            <w:vAlign w:val="bottom"/>
          </w:tcPr>
          <w:p>
            <w:pPr>
              <w:jc w:val="right"/>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4,178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2,575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1,603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2,546</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1,787</w:t>
            </w:r>
          </w:p>
        </w:tc>
        <w:tc>
          <w:tcPr>
            <w:tcW w:w="2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759</w:t>
            </w:r>
          </w:p>
        </w:tc>
        <w:tc>
          <w:tcPr>
            <w:tcW w:w="1340" w:type="dxa"/>
            <w:vAlign w:val="bottom"/>
          </w:tcPr>
          <w:p>
            <w:pPr>
              <w:jc w:val="right"/>
              <w:spacing w:after="0"/>
              <w:rPr>
                <w:sz w:val="20"/>
                <w:szCs w:val="20"/>
                <w:color w:val="auto"/>
              </w:rPr>
            </w:pPr>
            <w:r>
              <w:rPr>
                <w:rFonts w:ascii="Arial" w:cs="Arial" w:eastAsia="Arial" w:hAnsi="Arial"/>
                <w:sz w:val="17"/>
                <w:szCs w:val="17"/>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1,826</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1,822</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60"/>
              <w:spacing w:after="0"/>
              <w:rPr>
                <w:sz w:val="20"/>
                <w:szCs w:val="20"/>
                <w:color w:val="auto"/>
              </w:rPr>
            </w:pPr>
            <w:r>
              <w:rPr>
                <w:rFonts w:ascii="Arial" w:cs="Arial" w:eastAsia="Arial" w:hAnsi="Arial"/>
                <w:sz w:val="17"/>
                <w:szCs w:val="17"/>
                <w:color w:val="auto"/>
              </w:rPr>
              <w:t>Total expenses</w:t>
            </w: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153,346</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110,765</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42,581</w:t>
            </w:r>
          </w:p>
        </w:tc>
        <w:tc>
          <w:tcPr>
            <w:tcW w:w="1340" w:type="dxa"/>
            <w:vAlign w:val="bottom"/>
          </w:tcPr>
          <w:p>
            <w:pPr>
              <w:jc w:val="right"/>
              <w:spacing w:after="0"/>
              <w:rPr>
                <w:sz w:val="20"/>
                <w:szCs w:val="20"/>
                <w:color w:val="auto"/>
              </w:rPr>
            </w:pPr>
            <w:r>
              <w:rPr>
                <w:rFonts w:ascii="Arial" w:cs="Arial" w:eastAsia="Arial" w:hAnsi="Arial"/>
                <w:sz w:val="17"/>
                <w:szCs w:val="17"/>
                <w:color w:val="auto"/>
              </w:rPr>
              <w:t>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7"/>
                <w:szCs w:val="17"/>
                <w:color w:val="auto"/>
              </w:rPr>
              <w:t>(Loss) income before taxes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(7,783)</w:t>
            </w:r>
          </w:p>
        </w:tc>
        <w:tc>
          <w:tcPr>
            <w:tcW w:w="34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3,006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(10,789)</w:t>
            </w:r>
          </w:p>
        </w:tc>
        <w:tc>
          <w:tcPr>
            <w:tcW w:w="1340" w:type="dxa"/>
            <w:vAlign w:val="bottom"/>
          </w:tcPr>
          <w:p>
            <w:pPr>
              <w:jc w:val="right"/>
              <w:spacing w:after="0"/>
              <w:rPr>
                <w:sz w:val="20"/>
                <w:szCs w:val="20"/>
                <w:color w:val="auto"/>
              </w:rPr>
            </w:pPr>
            <w:r>
              <w:rPr>
                <w:rFonts w:ascii="Arial" w:cs="Arial" w:eastAsia="Arial" w:hAnsi="Arial"/>
                <w:sz w:val="17"/>
                <w:szCs w:val="17"/>
                <w:color w:val="auto"/>
              </w:rPr>
              <w:t>(358.9)%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 benefit</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(1,816)</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(86)</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40"/>
              <w:spacing w:after="0"/>
              <w:rPr>
                <w:sz w:val="20"/>
                <w:szCs w:val="20"/>
                <w:color w:val="auto"/>
              </w:rPr>
            </w:pPr>
            <w:r>
              <w:rPr>
                <w:rFonts w:ascii="Arial" w:cs="Arial" w:eastAsia="Arial" w:hAnsi="Arial"/>
                <w:sz w:val="17"/>
                <w:szCs w:val="17"/>
                <w:b w:val="1"/>
                <w:bCs w:val="1"/>
                <w:color w:val="auto"/>
              </w:rPr>
              <w:t>Net (loss) income</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(5,967)</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3,092</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(9,059)</w:t>
            </w:r>
          </w:p>
        </w:tc>
        <w:tc>
          <w:tcPr>
            <w:tcW w:w="1340" w:type="dxa"/>
            <w:vAlign w:val="bottom"/>
          </w:tcPr>
          <w:p>
            <w:pPr>
              <w:jc w:val="right"/>
              <w:spacing w:after="0"/>
              <w:rPr>
                <w:sz w:val="20"/>
                <w:szCs w:val="20"/>
                <w:color w:val="auto"/>
              </w:rPr>
            </w:pPr>
            <w:r>
              <w:rPr>
                <w:rFonts w:ascii="Arial" w:cs="Arial" w:eastAsia="Arial" w:hAnsi="Arial"/>
                <w:sz w:val="17"/>
                <w:szCs w:val="17"/>
                <w:color w:val="auto"/>
              </w:rPr>
              <w:t>(293.0)%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00" w:type="dxa"/>
            <w:vAlign w:val="bottom"/>
            <w:vMerge w:val="restart"/>
          </w:tcPr>
          <w:p>
            <w:pPr>
              <w:jc w:val="right"/>
              <w:ind w:right="75"/>
              <w:spacing w:after="0"/>
              <w:rPr>
                <w:sz w:val="20"/>
                <w:szCs w:val="20"/>
                <w:color w:val="auto"/>
              </w:rPr>
            </w:pPr>
            <w:r>
              <w:rPr>
                <w:rFonts w:ascii="Arial" w:cs="Arial" w:eastAsia="Arial" w:hAnsi="Arial"/>
                <w:sz w:val="17"/>
                <w:szCs w:val="17"/>
                <w:color w:val="auto"/>
              </w:rPr>
              <w:t>28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28" w:right="279" w:bottom="1118" w:gutter="0" w:footer="0" w:header="0"/>
        </w:sectPr>
      </w:pPr>
    </w:p>
    <w:bookmarkStart w:id="29" w:name="page30"/>
    <w:bookmarkEnd w:id="29"/>
    <w:p>
      <w:pPr>
        <w:ind w:left="320" w:right="60" w:hanging="2"/>
        <w:spacing w:after="0" w:line="313" w:lineRule="auto"/>
        <w:tabs>
          <w:tab w:leader="none" w:pos="579"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 July 1, 2018, we decreased the quota share ceding rate in our personal lines quota share treaty from 20% to 10%. Effective July 1, 2019, our personal lines 10% quota share treaty expired on a run-off basis. Effective December 15, 2019, we entered into a 25% quota share treaty.</w:t>
      </w:r>
    </w:p>
    <w:p>
      <w:pPr>
        <w:spacing w:after="0" w:line="147" w:lineRule="exact"/>
        <w:rPr>
          <w:rFonts w:ascii="Arial" w:cs="Arial" w:eastAsia="Arial" w:hAnsi="Arial"/>
          <w:sz w:val="16"/>
          <w:szCs w:val="16"/>
          <w:color w:val="auto"/>
        </w:rPr>
      </w:pPr>
    </w:p>
    <w:p>
      <w:pPr>
        <w:jc w:val="both"/>
        <w:ind w:left="320" w:right="60" w:hanging="2"/>
        <w:spacing w:after="0" w:line="293" w:lineRule="auto"/>
        <w:tabs>
          <w:tab w:leader="none" w:pos="5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years ended December 31, 2019 and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3"/>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80"/>
              <w:spacing w:after="0" w:line="143" w:lineRule="exact"/>
              <w:rPr>
                <w:sz w:val="20"/>
                <w:szCs w:val="20"/>
                <w:color w:val="auto"/>
              </w:rPr>
            </w:pPr>
            <w:r>
              <w:rPr>
                <w:rFonts w:ascii="Arial" w:cs="Arial" w:eastAsia="Arial" w:hAnsi="Arial"/>
                <w:sz w:val="14"/>
                <w:szCs w:val="14"/>
                <w:b w:val="1"/>
                <w:bCs w:val="1"/>
                <w:color w:val="auto"/>
                <w:w w:val="90"/>
              </w:rPr>
              <w:t>Percentage Point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6"/>
        </w:trPr>
        <w:tc>
          <w:tcPr>
            <w:tcW w:w="5980" w:type="dxa"/>
            <w:vAlign w:val="bottom"/>
            <w:gridSpan w:val="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Percent Change</w:t>
            </w:r>
          </w:p>
        </w:tc>
        <w:tc>
          <w:tcPr>
            <w:tcW w:w="60" w:type="dxa"/>
            <w:vAlign w:val="bottom"/>
          </w:tcPr>
          <w:p>
            <w:pPr>
              <w:spacing w:after="0"/>
              <w:rPr>
                <w:sz w:val="15"/>
                <w:szCs w:val="15"/>
                <w:color w:val="auto"/>
              </w:rPr>
            </w:pPr>
          </w:p>
        </w:tc>
      </w:tr>
      <w:tr>
        <w:trPr>
          <w:trHeight w:val="468"/>
        </w:trPr>
        <w:tc>
          <w:tcPr>
            <w:tcW w:w="6680" w:type="dxa"/>
            <w:vAlign w:val="bottom"/>
            <w:gridSpan w:val="3"/>
          </w:tcPr>
          <w:p>
            <w:pPr>
              <w:ind w:left="40"/>
              <w:spacing w:after="0"/>
              <w:rPr>
                <w:sz w:val="20"/>
                <w:szCs w:val="20"/>
                <w:color w:val="auto"/>
              </w:rPr>
            </w:pPr>
            <w:r>
              <w:rPr>
                <w:rFonts w:ascii="Arial" w:cs="Arial" w:eastAsia="Arial" w:hAnsi="Arial"/>
                <w:sz w:val="17"/>
                <w:szCs w:val="17"/>
                <w:b w:val="1"/>
                <w:bCs w:val="1"/>
                <w:color w:val="auto"/>
              </w:rPr>
              <w:t>Key ratios: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6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Net loss ratio</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56.4%</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60" w:type="dxa"/>
            <w:vAlign w:val="bottom"/>
          </w:tcPr>
          <w:p>
            <w:pPr>
              <w:spacing w:after="0"/>
              <w:rPr>
                <w:sz w:val="18"/>
                <w:szCs w:val="18"/>
                <w:color w:val="auto"/>
              </w:rPr>
            </w:pPr>
          </w:p>
        </w:tc>
      </w:tr>
      <w:tr>
        <w:trPr>
          <w:trHeight w:val="215"/>
        </w:trPr>
        <w:tc>
          <w:tcPr>
            <w:tcW w:w="586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8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38.1%</w:t>
            </w: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38.4%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8"/>
                <w:szCs w:val="18"/>
                <w:color w:val="auto"/>
              </w:rPr>
            </w:pP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combined ratio</w:t>
            </w:r>
          </w:p>
        </w:tc>
        <w:tc>
          <w:tcPr>
            <w:tcW w:w="820" w:type="dxa"/>
            <w:vAlign w:val="bottom"/>
            <w:tcBorders>
              <w:bottom w:val="single" w:sz="8" w:color="auto"/>
            </w:tcBorders>
            <w:gridSpan w:val="2"/>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108.8%</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94.8%</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14.0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60" w:type="dxa"/>
            <w:vAlign w:val="bottom"/>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7" w:lineRule="exact"/>
        <w:rPr>
          <w:sz w:val="20"/>
          <w:szCs w:val="20"/>
          <w:color w:val="auto"/>
        </w:rPr>
      </w:pPr>
    </w:p>
    <w:p>
      <w:pPr>
        <w:jc w:val="both"/>
        <w:ind w:right="60" w:firstLine="627"/>
        <w:spacing w:after="0" w:line="264" w:lineRule="auto"/>
        <w:rPr>
          <w:sz w:val="20"/>
          <w:szCs w:val="20"/>
          <w:color w:val="auto"/>
        </w:rPr>
      </w:pPr>
      <w:r>
        <w:rPr>
          <w:rFonts w:ascii="Arial" w:cs="Arial" w:eastAsia="Arial" w:hAnsi="Arial"/>
          <w:sz w:val="17"/>
          <w:szCs w:val="17"/>
          <w:color w:val="auto"/>
        </w:rPr>
        <w:t>Direct written premiums during the year ended December 31, 2019 (“Year Ended 2019”) were $171,214,000 compared to $146,716,000 during the year ended December 31, 2018 (“Year Ended 2018”). The increase of $24,498,000, or 16.7%, was primarily due to an increase in policies in-force during Year Ended 2019 as compared to Year Ended 2018. We wrote more new policies as a result of continued demand for our products in the markets that we serve. Policies in-force increased by 14.1% as of December 31, 2019 compared to December 31, 2018.</w:t>
      </w:r>
    </w:p>
    <w:p>
      <w:pPr>
        <w:spacing w:after="0" w:line="120" w:lineRule="exact"/>
        <w:rPr>
          <w:sz w:val="20"/>
          <w:szCs w:val="20"/>
          <w:color w:val="auto"/>
        </w:rPr>
      </w:pPr>
    </w:p>
    <w:p>
      <w:pPr>
        <w:jc w:val="both"/>
        <w:ind w:right="60" w:firstLine="627"/>
        <w:spacing w:after="0" w:line="268" w:lineRule="auto"/>
        <w:rPr>
          <w:sz w:val="20"/>
          <w:szCs w:val="20"/>
          <w:color w:val="auto"/>
        </w:rPr>
      </w:pPr>
      <w:r>
        <w:rPr>
          <w:rFonts w:ascii="Arial" w:cs="Arial" w:eastAsia="Arial" w:hAnsi="Arial"/>
          <w:sz w:val="17"/>
          <w:szCs w:val="17"/>
          <w:color w:val="auto"/>
        </w:rPr>
        <w:t>In Year Ended 2018, we started writing homeowners policies in Massachusetts. In the Year Ended 2019, we started writing homeowners policies in Connecticut. We refer to our New York business as our “Core” business and the business outside of New York as our “Expansion” business. Direct written premiums from our Expansion business were $25,647,000 in Year Ended 2019 compared to $9,080,000 in Year Ended 2018.</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7" w:lineRule="exact"/>
        <w:rPr>
          <w:sz w:val="20"/>
          <w:szCs w:val="20"/>
          <w:color w:val="auto"/>
        </w:rPr>
      </w:pPr>
    </w:p>
    <w:p>
      <w:pPr>
        <w:jc w:val="both"/>
        <w:ind w:right="60" w:firstLine="627"/>
        <w:spacing w:after="0" w:line="260" w:lineRule="auto"/>
        <w:rPr>
          <w:sz w:val="20"/>
          <w:szCs w:val="20"/>
          <w:color w:val="auto"/>
        </w:rPr>
      </w:pPr>
      <w:r>
        <w:rPr>
          <w:rFonts w:ascii="Arial" w:cs="Arial" w:eastAsia="Arial" w:hAnsi="Arial"/>
          <w:sz w:val="17"/>
          <w:szCs w:val="17"/>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 In addition to the 2019/2020 Treaty, our personal lines quota share reinsurance treaties in effect for Year Ended 2019 and Year Ended 2018 were covered under a treaty covering a two-year period from July 1, 2017 through June 30, 2019 (“2017/2019 Treaty”). The following table describes the quota share reinsurance ceding rates in effect for each treaty year during Year Ended 2019 and Year Ended 2018 under the 2019/2020 Treaty and the 2017/2019 Treaty, respectively. This table should be referred to in conjunction with the discussions for net written premiums, net premiums earned, ceding commission revenue and net loss and loss adjustment expenses that follow.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Year ended December 31, 2019</w:t>
            </w:r>
          </w:p>
        </w:tc>
        <w:tc>
          <w:tcPr>
            <w:tcW w:w="17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Year ended December 31, 2018</w:t>
            </w:r>
          </w:p>
        </w:tc>
      </w:tr>
      <w:tr>
        <w:trPr>
          <w:trHeight w:val="186"/>
        </w:trPr>
        <w:tc>
          <w:tcPr>
            <w:tcW w:w="1840" w:type="dxa"/>
            <w:vAlign w:val="bottom"/>
          </w:tcPr>
          <w:p>
            <w:pPr>
              <w:spacing w:after="0"/>
              <w:rPr>
                <w:sz w:val="16"/>
                <w:szCs w:val="16"/>
                <w:color w:val="auto"/>
              </w:rPr>
            </w:pPr>
          </w:p>
        </w:tc>
        <w:tc>
          <w:tcPr>
            <w:tcW w:w="1860" w:type="dxa"/>
            <w:vAlign w:val="bottom"/>
          </w:tcPr>
          <w:p>
            <w:pPr>
              <w:jc w:val="center"/>
              <w:ind w:left="106"/>
              <w:spacing w:after="0"/>
              <w:rPr>
                <w:sz w:val="20"/>
                <w:szCs w:val="20"/>
                <w:color w:val="auto"/>
              </w:rPr>
            </w:pPr>
            <w:r>
              <w:rPr>
                <w:rFonts w:ascii="Arial" w:cs="Arial" w:eastAsia="Arial" w:hAnsi="Arial"/>
                <w:sz w:val="14"/>
                <w:szCs w:val="14"/>
                <w:b w:val="1"/>
                <w:bCs w:val="1"/>
                <w:color w:val="auto"/>
                <w:w w:val="92"/>
              </w:rPr>
              <w:t>January 1,</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6"/>
              </w:rPr>
              <w:t>July 1,</w:t>
            </w:r>
          </w:p>
        </w:tc>
        <w:tc>
          <w:tcPr>
            <w:tcW w:w="1700" w:type="dxa"/>
            <w:vAlign w:val="bottom"/>
          </w:tcPr>
          <w:p>
            <w:pPr>
              <w:jc w:val="center"/>
              <w:ind w:right="26"/>
              <w:spacing w:after="0"/>
              <w:rPr>
                <w:sz w:val="20"/>
                <w:szCs w:val="20"/>
                <w:color w:val="auto"/>
              </w:rPr>
            </w:pPr>
            <w:r>
              <w:rPr>
                <w:rFonts w:ascii="Arial" w:cs="Arial" w:eastAsia="Arial" w:hAnsi="Arial"/>
                <w:sz w:val="14"/>
                <w:szCs w:val="14"/>
                <w:b w:val="1"/>
                <w:bCs w:val="1"/>
                <w:color w:val="auto"/>
                <w:w w:val="92"/>
              </w:rPr>
              <w:t>December 15,</w:t>
            </w:r>
          </w:p>
        </w:tc>
        <w:tc>
          <w:tcPr>
            <w:tcW w:w="1980" w:type="dxa"/>
            <w:vAlign w:val="bottom"/>
          </w:tcPr>
          <w:p>
            <w:pPr>
              <w:jc w:val="center"/>
              <w:ind w:left="46"/>
              <w:spacing w:after="0"/>
              <w:rPr>
                <w:sz w:val="20"/>
                <w:szCs w:val="20"/>
                <w:color w:val="auto"/>
              </w:rPr>
            </w:pPr>
            <w:r>
              <w:rPr>
                <w:rFonts w:ascii="Arial" w:cs="Arial" w:eastAsia="Arial" w:hAnsi="Arial"/>
                <w:sz w:val="14"/>
                <w:szCs w:val="14"/>
                <w:b w:val="1"/>
                <w:bCs w:val="1"/>
                <w:color w:val="auto"/>
                <w:w w:val="95"/>
              </w:rPr>
              <w:t>January 1,</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r>
      <w:tr>
        <w:trPr>
          <w:trHeight w:val="196"/>
        </w:trPr>
        <w:tc>
          <w:tcPr>
            <w:tcW w:w="1840" w:type="dxa"/>
            <w:vAlign w:val="bottom"/>
          </w:tcPr>
          <w:p>
            <w:pPr>
              <w:spacing w:after="0"/>
              <w:rPr>
                <w:sz w:val="17"/>
                <w:szCs w:val="17"/>
                <w:color w:val="auto"/>
              </w:rPr>
            </w:pPr>
          </w:p>
        </w:tc>
        <w:tc>
          <w:tcPr>
            <w:tcW w:w="1860" w:type="dxa"/>
            <w:vAlign w:val="bottom"/>
          </w:tcPr>
          <w:p>
            <w:pPr>
              <w:jc w:val="center"/>
              <w:ind w:left="146"/>
              <w:spacing w:after="0"/>
              <w:rPr>
                <w:sz w:val="20"/>
                <w:szCs w:val="20"/>
                <w:color w:val="auto"/>
              </w:rPr>
            </w:pPr>
            <w:r>
              <w:rPr>
                <w:rFonts w:ascii="Arial" w:cs="Arial" w:eastAsia="Arial" w:hAnsi="Arial"/>
                <w:sz w:val="14"/>
                <w:szCs w:val="14"/>
                <w:b w:val="1"/>
                <w:bCs w:val="1"/>
                <w:color w:val="auto"/>
                <w:w w:val="90"/>
              </w:rPr>
              <w:t>to</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980" w:type="dxa"/>
            <w:vAlign w:val="bottom"/>
          </w:tcPr>
          <w:p>
            <w:pPr>
              <w:jc w:val="center"/>
              <w:ind w:left="66"/>
              <w:spacing w:after="0"/>
              <w:rPr>
                <w:sz w:val="20"/>
                <w:szCs w:val="20"/>
                <w:color w:val="auto"/>
              </w:rPr>
            </w:pPr>
            <w:r>
              <w:rPr>
                <w:rFonts w:ascii="Arial" w:cs="Arial" w:eastAsia="Arial" w:hAnsi="Arial"/>
                <w:sz w:val="14"/>
                <w:szCs w:val="14"/>
                <w:b w:val="1"/>
                <w:bCs w:val="1"/>
                <w:color w:val="auto"/>
                <w:w w:val="90"/>
              </w:rPr>
              <w:t>to</w:t>
            </w:r>
          </w:p>
        </w:tc>
        <w:tc>
          <w:tcPr>
            <w:tcW w:w="1780" w:type="dxa"/>
            <w:vAlign w:val="bottom"/>
          </w:tcPr>
          <w:p>
            <w:pPr>
              <w:jc w:val="center"/>
              <w:ind w:left="26"/>
              <w:spacing w:after="0"/>
              <w:rPr>
                <w:sz w:val="20"/>
                <w:szCs w:val="20"/>
                <w:color w:val="auto"/>
              </w:rPr>
            </w:pPr>
            <w:r>
              <w:rPr>
                <w:rFonts w:ascii="Arial" w:cs="Arial" w:eastAsia="Arial" w:hAnsi="Arial"/>
                <w:sz w:val="14"/>
                <w:szCs w:val="14"/>
                <w:b w:val="1"/>
                <w:bCs w:val="1"/>
                <w:color w:val="auto"/>
                <w:w w:val="90"/>
              </w:rPr>
              <w:t>to</w:t>
            </w:r>
          </w:p>
        </w:tc>
      </w:tr>
      <w:tr>
        <w:trPr>
          <w:trHeight w:val="209"/>
        </w:trPr>
        <w:tc>
          <w:tcPr>
            <w:tcW w:w="1840" w:type="dxa"/>
            <w:vAlign w:val="bottom"/>
          </w:tcPr>
          <w:p>
            <w:pPr>
              <w:spacing w:after="0"/>
              <w:rPr>
                <w:sz w:val="18"/>
                <w:szCs w:val="18"/>
                <w:color w:val="auto"/>
              </w:rPr>
            </w:pPr>
          </w:p>
        </w:tc>
        <w:tc>
          <w:tcPr>
            <w:tcW w:w="1860" w:type="dxa"/>
            <w:vAlign w:val="bottom"/>
          </w:tcPr>
          <w:p>
            <w:pPr>
              <w:jc w:val="center"/>
              <w:ind w:left="106"/>
              <w:spacing w:after="0"/>
              <w:rPr>
                <w:sz w:val="20"/>
                <w:szCs w:val="20"/>
                <w:color w:val="auto"/>
              </w:rPr>
            </w:pPr>
            <w:r>
              <w:rPr>
                <w:rFonts w:ascii="Arial" w:cs="Arial" w:eastAsia="Arial" w:hAnsi="Arial"/>
                <w:sz w:val="14"/>
                <w:szCs w:val="14"/>
                <w:b w:val="1"/>
                <w:bCs w:val="1"/>
                <w:color w:val="auto"/>
                <w:w w:val="92"/>
              </w:rPr>
              <w:t>June 30,</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14,</w:t>
            </w:r>
          </w:p>
        </w:tc>
        <w:tc>
          <w:tcPr>
            <w:tcW w:w="1700" w:type="dxa"/>
            <w:vAlign w:val="bottom"/>
          </w:tcPr>
          <w:p>
            <w:pPr>
              <w:jc w:val="center"/>
              <w:ind w:right="26"/>
              <w:spacing w:after="0"/>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jc w:val="center"/>
              <w:ind w:left="46"/>
              <w:spacing w:after="0"/>
              <w:rPr>
                <w:sz w:val="20"/>
                <w:szCs w:val="20"/>
                <w:color w:val="auto"/>
              </w:rPr>
            </w:pPr>
            <w:r>
              <w:rPr>
                <w:rFonts w:ascii="Arial" w:cs="Arial" w:eastAsia="Arial" w:hAnsi="Arial"/>
                <w:sz w:val="14"/>
                <w:szCs w:val="14"/>
                <w:b w:val="1"/>
                <w:bCs w:val="1"/>
                <w:color w:val="auto"/>
                <w:w w:val="89"/>
              </w:rPr>
              <w:t>June 30,</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26"/>
        </w:trPr>
        <w:tc>
          <w:tcPr>
            <w:tcW w:w="1840" w:type="dxa"/>
            <w:vAlign w:val="bottom"/>
          </w:tcPr>
          <w:p>
            <w:pPr>
              <w:spacing w:after="0"/>
              <w:rPr>
                <w:sz w:val="19"/>
                <w:szCs w:val="19"/>
                <w:color w:val="auto"/>
              </w:rPr>
            </w:pPr>
          </w:p>
        </w:tc>
        <w:tc>
          <w:tcPr>
            <w:tcW w:w="1860" w:type="dxa"/>
            <w:vAlign w:val="bottom"/>
            <w:tcBorders>
              <w:bottom w:val="single" w:sz="8" w:color="auto"/>
            </w:tcBorders>
          </w:tcPr>
          <w:p>
            <w:pPr>
              <w:jc w:val="center"/>
              <w:ind w:left="106"/>
              <w:spacing w:after="0"/>
              <w:rPr>
                <w:sz w:val="20"/>
                <w:szCs w:val="20"/>
                <w:color w:val="auto"/>
              </w:rPr>
            </w:pPr>
            <w:r>
              <w:rPr>
                <w:rFonts w:ascii="Arial" w:cs="Arial" w:eastAsia="Arial" w:hAnsi="Arial"/>
                <w:sz w:val="14"/>
                <w:szCs w:val="14"/>
                <w:b w:val="1"/>
                <w:bCs w:val="1"/>
                <w:color w:val="auto"/>
                <w:w w:val="97"/>
              </w:rPr>
              <w:t>("2018/2019 Treaty Year")</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("2019/2020 Run-off Year")</w:t>
            </w:r>
          </w:p>
        </w:tc>
        <w:tc>
          <w:tcPr>
            <w:tcW w:w="170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96"/>
              </w:rPr>
              <w:t>("2019/2020 Treaty")</w:t>
            </w:r>
          </w:p>
        </w:tc>
        <w:tc>
          <w:tcPr>
            <w:tcW w:w="198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95"/>
              </w:rPr>
              <w:t>("2017/2018 Treaty Year")</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("2018/2019 Treaty Year")</w:t>
            </w:r>
          </w:p>
        </w:tc>
      </w:tr>
      <w:tr>
        <w:trPr>
          <w:trHeight w:val="417"/>
        </w:trPr>
        <w:tc>
          <w:tcPr>
            <w:tcW w:w="3700" w:type="dxa"/>
            <w:vAlign w:val="bottom"/>
            <w:gridSpan w:val="2"/>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0"/>
        </w:trPr>
        <w:tc>
          <w:tcPr>
            <w:tcW w:w="1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860" w:type="dxa"/>
            <w:vAlign w:val="bottom"/>
            <w:shd w:val="clear" w:color="auto" w:fill="CCEEFF"/>
          </w:tcPr>
          <w:p>
            <w:pPr>
              <w:jc w:val="center"/>
              <w:ind w:left="106"/>
              <w:spacing w:after="0"/>
              <w:rPr>
                <w:sz w:val="20"/>
                <w:szCs w:val="20"/>
                <w:color w:val="auto"/>
              </w:rPr>
            </w:pPr>
            <w:r>
              <w:rPr>
                <w:rFonts w:ascii="Arial" w:cs="Arial" w:eastAsia="Arial" w:hAnsi="Arial"/>
                <w:sz w:val="17"/>
                <w:szCs w:val="17"/>
                <w:color w:val="auto"/>
                <w:w w:val="94"/>
              </w:rPr>
              <w:t>10% (1)</w:t>
            </w:r>
          </w:p>
        </w:tc>
        <w:tc>
          <w:tcPr>
            <w:tcW w:w="2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 (2)</w:t>
            </w:r>
          </w:p>
        </w:tc>
        <w:tc>
          <w:tcPr>
            <w:tcW w:w="1700" w:type="dxa"/>
            <w:vAlign w:val="bottom"/>
            <w:shd w:val="clear" w:color="auto" w:fill="CCEEFF"/>
          </w:tcPr>
          <w:p>
            <w:pPr>
              <w:jc w:val="center"/>
              <w:ind w:right="26"/>
              <w:spacing w:after="0"/>
              <w:rPr>
                <w:sz w:val="20"/>
                <w:szCs w:val="20"/>
                <w:color w:val="auto"/>
              </w:rPr>
            </w:pPr>
            <w:r>
              <w:rPr>
                <w:rFonts w:ascii="Arial" w:cs="Arial" w:eastAsia="Arial" w:hAnsi="Arial"/>
                <w:sz w:val="17"/>
                <w:szCs w:val="17"/>
                <w:color w:val="auto"/>
                <w:w w:val="94"/>
              </w:rPr>
              <w:t>25% (3)</w:t>
            </w:r>
          </w:p>
        </w:tc>
        <w:tc>
          <w:tcPr>
            <w:tcW w:w="1980" w:type="dxa"/>
            <w:vAlign w:val="bottom"/>
            <w:shd w:val="clear" w:color="auto" w:fill="CCEEFF"/>
          </w:tcPr>
          <w:p>
            <w:pPr>
              <w:jc w:val="center"/>
              <w:ind w:left="46"/>
              <w:spacing w:after="0"/>
              <w:rPr>
                <w:sz w:val="20"/>
                <w:szCs w:val="20"/>
                <w:color w:val="auto"/>
              </w:rPr>
            </w:pPr>
            <w:r>
              <w:rPr>
                <w:rFonts w:ascii="Arial" w:cs="Arial" w:eastAsia="Arial" w:hAnsi="Arial"/>
                <w:sz w:val="17"/>
                <w:szCs w:val="17"/>
                <w:color w:val="auto"/>
                <w:w w:val="90"/>
              </w:rPr>
              <w:t>20% (1)</w:t>
            </w:r>
          </w:p>
        </w:tc>
        <w:tc>
          <w:tcPr>
            <w:tcW w:w="1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 (1)</w:t>
            </w:r>
          </w:p>
        </w:tc>
      </w:tr>
    </w:tbl>
    <w:p>
      <w:pPr>
        <w:spacing w:after="0" w:line="201" w:lineRule="exact"/>
        <w:rPr>
          <w:sz w:val="20"/>
          <w:szCs w:val="20"/>
          <w:color w:val="auto"/>
        </w:rPr>
      </w:pPr>
    </w:p>
    <w:p>
      <w:pPr>
        <w:ind w:left="940" w:hanging="308"/>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2017/2019 Treaty was a two-year treaty; quota share reinsurance rate was reduced to 10% effective July 1, 2018 (the “2018 Cut-off”).</w:t>
      </w:r>
    </w:p>
    <w:p>
      <w:pPr>
        <w:spacing w:after="0" w:line="19" w:lineRule="exact"/>
        <w:rPr>
          <w:rFonts w:ascii="Arial" w:cs="Arial" w:eastAsia="Arial" w:hAnsi="Arial"/>
          <w:sz w:val="17"/>
          <w:szCs w:val="17"/>
          <w:color w:val="auto"/>
        </w:rPr>
      </w:pPr>
    </w:p>
    <w:p>
      <w:pPr>
        <w:ind w:left="940" w:hanging="308"/>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2017/2019 Treaty expired on a run-off basis effective July 1, 2019 (the “2019 Run-off”).</w:t>
      </w:r>
    </w:p>
    <w:p>
      <w:pPr>
        <w:spacing w:after="0" w:line="13" w:lineRule="exact"/>
        <w:rPr>
          <w:rFonts w:ascii="Arial" w:cs="Arial" w:eastAsia="Arial" w:hAnsi="Arial"/>
          <w:sz w:val="17"/>
          <w:szCs w:val="17"/>
          <w:color w:val="auto"/>
        </w:rPr>
      </w:pPr>
    </w:p>
    <w:p>
      <w:pPr>
        <w:ind w:left="940" w:hanging="308"/>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2019/2020 Treaty was effective December 15, 2019 with a quota share reinsurance rate of 25%.</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00"/>
          </w:cols>
          <w:pgMar w:left="320" w:top="523" w:right="27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See “Reinsurance” below for changes to our personal lines quota share treaty effective December 15, 2019, and July 1, 2019, 2018 and 2017.</w:t>
      </w:r>
    </w:p>
    <w:p>
      <w:pPr>
        <w:spacing w:after="0" w:line="157" w:lineRule="exact"/>
        <w:rPr>
          <w:sz w:val="20"/>
          <w:szCs w:val="20"/>
          <w:color w:val="auto"/>
        </w:rPr>
      </w:pPr>
    </w:p>
    <w:p>
      <w:pPr>
        <w:jc w:val="both"/>
        <w:ind w:right="20" w:firstLine="627"/>
        <w:spacing w:after="0" w:line="302" w:lineRule="auto"/>
        <w:rPr>
          <w:sz w:val="20"/>
          <w:szCs w:val="20"/>
          <w:color w:val="auto"/>
        </w:rPr>
      </w:pPr>
      <w:r>
        <w:rPr>
          <w:rFonts w:ascii="Arial" w:cs="Arial" w:eastAsia="Arial" w:hAnsi="Arial"/>
          <w:sz w:val="15"/>
          <w:szCs w:val="15"/>
          <w:color w:val="auto"/>
        </w:rPr>
        <w:t>Net written premiums increased $5,785,000, or 4.8%, to $125,579,000 in Year Ended 2019 from $119,794,000 in Year Ended 2018. Net written premiums include direct and assumed premiums, less the amount of written premiums ceded under our reinsurance treaties (quota share, excess of loss, and catastrophe). Our personal lines business was subject to the 2017/2019 Treaty under the 2018/2019 Treaty Year through June 30, 2019. Following June 30, 2019, any earned premium and associated claims for policies still inforce will continue to be ceded under the 10% quota share rate until such policies expire (run-off) over the next year. The 2019 Run-off period is from July 1, 2019 through June 30, 2020 and there is no return of unearned premiums under this arrangement. The 2018 Cut-off on July 1, 2018 resulted in a $4,553,000 return of unearned premiums from our reinsurers that were previously ceded under the expiring personal lines quota share treaty.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shows the effect of the changes in quota share treaties on net written premiums for Year Ended 2019 and Year Ended 2018, respectively: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w w:val="96"/>
              </w:rPr>
              <w:t>Years ended December 31,</w:t>
            </w: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8"/>
                <w:szCs w:val="18"/>
                <w:color w:val="auto"/>
              </w:rPr>
            </w:pPr>
          </w:p>
        </w:tc>
        <w:tc>
          <w:tcPr>
            <w:tcW w:w="1180" w:type="dxa"/>
            <w:vAlign w:val="bottom"/>
          </w:tcPr>
          <w:p>
            <w:pPr>
              <w:jc w:val="right"/>
              <w:ind w:right="518"/>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35"/>
        </w:trPr>
        <w:tc>
          <w:tcPr>
            <w:tcW w:w="5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125,579</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119,794</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5,785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80"/>
              <w:spacing w:after="0"/>
              <w:rPr>
                <w:sz w:val="20"/>
                <w:szCs w:val="20"/>
                <w:color w:val="auto"/>
              </w:rPr>
            </w:pPr>
            <w:r>
              <w:rPr>
                <w:rFonts w:ascii="Arial" w:cs="Arial" w:eastAsia="Arial" w:hAnsi="Arial"/>
                <w:sz w:val="17"/>
                <w:szCs w:val="17"/>
                <w:color w:val="auto"/>
              </w:rPr>
              <w:t>Unearned premiums ceded to 2019/2020 Treaty</w:t>
            </w:r>
          </w:p>
        </w:tc>
        <w:tc>
          <w:tcPr>
            <w:tcW w:w="3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16,320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ind w:right="218"/>
              <w:spacing w:after="0"/>
              <w:rPr>
                <w:sz w:val="20"/>
                <w:szCs w:val="20"/>
                <w:color w:val="auto"/>
              </w:rPr>
            </w:pPr>
            <w:r>
              <w:rPr>
                <w:rFonts w:ascii="Arial" w:cs="Arial" w:eastAsia="Arial" w:hAnsi="Arial"/>
                <w:sz w:val="17"/>
                <w:szCs w:val="17"/>
                <w:color w:val="auto"/>
              </w:rPr>
              <w:t>16,320</w:t>
            </w:r>
          </w:p>
        </w:tc>
        <w:tc>
          <w:tcPr>
            <w:tcW w:w="120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na %</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(4,553)</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rPr>
              <w:t>4,553</w:t>
            </w:r>
          </w:p>
        </w:tc>
        <w:tc>
          <w:tcPr>
            <w:tcW w:w="1180" w:type="dxa"/>
            <w:vAlign w:val="bottom"/>
            <w:tcBorders>
              <w:bottom w:val="single" w:sz="8" w:color="auto"/>
            </w:tcBorders>
            <w:shd w:val="clear" w:color="auto" w:fill="CCEEFF"/>
          </w:tcPr>
          <w:p>
            <w:pPr>
              <w:jc w:val="center"/>
              <w:ind w:right="78"/>
              <w:spacing w:after="0"/>
              <w:rPr>
                <w:sz w:val="20"/>
                <w:szCs w:val="20"/>
                <w:color w:val="auto"/>
              </w:rPr>
            </w:pPr>
            <w:r>
              <w:rPr>
                <w:rFonts w:ascii="Arial" w:cs="Arial" w:eastAsia="Arial" w:hAnsi="Arial"/>
                <w:sz w:val="17"/>
                <w:szCs w:val="17"/>
                <w:color w:val="auto"/>
                <w:w w:val="87"/>
              </w:rPr>
              <w:t>na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7"/>
                <w:szCs w:val="17"/>
                <w:color w:val="auto"/>
              </w:rPr>
              <w:t>Net written premiums without the effect of changes in quota share treaties</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141,899</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115,241</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7"/>
                <w:szCs w:val="17"/>
                <w:color w:val="auto"/>
              </w:rPr>
              <w:t>26,658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Without the effect of changes in quota share treaties, net written premiums increased by $26,658,000, or 23.1%, in Year Ended 2019 compared to Year Ended 2018.</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57" w:lineRule="exact"/>
        <w:rPr>
          <w:sz w:val="20"/>
          <w:szCs w:val="20"/>
          <w:color w:val="auto"/>
        </w:rPr>
      </w:pPr>
    </w:p>
    <w:p>
      <w:pPr>
        <w:jc w:val="both"/>
        <w:ind w:right="20" w:firstLine="627"/>
        <w:spacing w:after="0" w:line="268" w:lineRule="auto"/>
        <w:rPr>
          <w:sz w:val="20"/>
          <w:szCs w:val="20"/>
          <w:color w:val="auto"/>
        </w:rPr>
      </w:pPr>
      <w:r>
        <w:rPr>
          <w:rFonts w:ascii="Arial" w:cs="Arial" w:eastAsia="Arial" w:hAnsi="Arial"/>
          <w:sz w:val="17"/>
          <w:szCs w:val="17"/>
          <w:color w:val="auto"/>
        </w:rPr>
        <w:t>An increase in written premiums will increase the premiums ceded under our excess of loss treaties. In Year Ended 2019, our ceded excess of loss reinsurance premiums increased by $493,000 over the comparable ceded premiums for Year Ended 2018. The increase was due to an increase in premiums subject to excess of loss reinsurance.</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treaty</w:t>
      </w:r>
    </w:p>
    <w:p>
      <w:pPr>
        <w:spacing w:after="0" w:line="157" w:lineRule="exact"/>
        <w:rPr>
          <w:sz w:val="20"/>
          <w:szCs w:val="20"/>
          <w:color w:val="auto"/>
        </w:rPr>
      </w:pPr>
    </w:p>
    <w:p>
      <w:pPr>
        <w:jc w:val="both"/>
        <w:ind w:right="20" w:firstLine="627"/>
        <w:spacing w:after="0" w:line="302" w:lineRule="auto"/>
        <w:rPr>
          <w:sz w:val="20"/>
          <w:szCs w:val="20"/>
          <w:color w:val="auto"/>
        </w:rPr>
      </w:pPr>
      <w:r>
        <w:rPr>
          <w:rFonts w:ascii="Arial" w:cs="Arial" w:eastAsia="Arial" w:hAnsi="Arial"/>
          <w:sz w:val="15"/>
          <w:szCs w:val="15"/>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Year Ended 2019, our premiums ceded under catastrophe treaties increased by $5,604,000 over the comparable ceded premiums in Year Ended 2018. The change was due to an increase in our catastrophe limit purchased, an increase in premiums subject to catastrophe reinsurance due to continued growth, and an increase in reinsurance rates effective July 1, 2019. Our ceded catastrophe premiums are paid based on the total direct written premiums subject to the catastrophe reinsurance treaty.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ceded catastrophe premiums are paid based on the total direct written premiums subject to the catastrophe reinsurance treaty.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7" w:lineRule="exact"/>
        <w:rPr>
          <w:sz w:val="20"/>
          <w:szCs w:val="20"/>
          <w:color w:val="auto"/>
        </w:rPr>
      </w:pPr>
    </w:p>
    <w:p>
      <w:pPr>
        <w:jc w:val="both"/>
        <w:ind w:right="20" w:firstLine="627"/>
        <w:spacing w:after="0" w:line="286" w:lineRule="auto"/>
        <w:rPr>
          <w:sz w:val="20"/>
          <w:szCs w:val="20"/>
          <w:color w:val="auto"/>
        </w:rPr>
      </w:pPr>
      <w:r>
        <w:rPr>
          <w:rFonts w:ascii="Arial" w:cs="Arial" w:eastAsia="Arial" w:hAnsi="Arial"/>
          <w:sz w:val="16"/>
          <w:szCs w:val="16"/>
          <w:color w:val="auto"/>
        </w:rPr>
        <w:t>Net premiums earned increased $24,209,000, or 23.4%, to $127,624,000 in Year Ended 2019 from $103,415,000 in Year Ended 2018. The increase was due to the increase in written premiums discussed above and our retaining more earned premiums effective: (1) July 1, 2019 as a result of the expiration and non-renewal of the 2017/2019 Treaty, and (2) July 1, 2018, as a result of the reduction in the quota share reinsurance rates. The 2019/2020 Treaty in effect as of December 15, 2019 had very little impact on net premiums earned due to the short amount of time it was in effect during Year Ended 2019.</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w w:val="96"/>
              </w:rPr>
              <w:t>Years ended December 31,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7"/>
                <w:szCs w:val="17"/>
                <w:b w:val="1"/>
                <w:bCs w:val="1"/>
                <w:color w:val="auto"/>
              </w:rPr>
              <w:t>($ in thousands)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5"/>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5,446</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6,746</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340" w:type="dxa"/>
            <w:vAlign w:val="bottom"/>
            <w:tcBorders>
              <w:bottom w:val="single" w:sz="8" w:color="auto"/>
            </w:tcBorders>
            <w:gridSpan w:val="2"/>
            <w:shd w:val="clear" w:color="auto" w:fill="CCEEFF"/>
          </w:tcPr>
          <w:p>
            <w:pPr>
              <w:jc w:val="center"/>
              <w:ind w:left="775"/>
              <w:spacing w:after="0"/>
              <w:rPr>
                <w:sz w:val="20"/>
                <w:szCs w:val="20"/>
                <w:color w:val="auto"/>
              </w:rPr>
            </w:pPr>
            <w:r>
              <w:rPr>
                <w:rFonts w:ascii="Arial" w:cs="Arial" w:eastAsia="Arial" w:hAnsi="Arial"/>
                <w:sz w:val="17"/>
                <w:szCs w:val="17"/>
                <w:color w:val="auto"/>
                <w:w w:val="80"/>
              </w:rPr>
              <w:t>(19.3)%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Contingent ceding commissions earned excluding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the effect of catastrophes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159</w:t>
            </w:r>
          </w:p>
        </w:tc>
        <w:tc>
          <w:tcPr>
            <w:tcW w:w="1340" w:type="dxa"/>
            <w:vAlign w:val="bottom"/>
            <w:gridSpan w:val="2"/>
            <w:shd w:val="clear" w:color="auto" w:fill="CCEEFF"/>
          </w:tcPr>
          <w:p>
            <w:pPr>
              <w:jc w:val="center"/>
              <w:ind w:left="775"/>
              <w:spacing w:after="0"/>
              <w:rPr>
                <w:sz w:val="20"/>
                <w:szCs w:val="20"/>
                <w:color w:val="auto"/>
              </w:rPr>
            </w:pPr>
            <w:r>
              <w:rPr>
                <w:rFonts w:ascii="Arial" w:cs="Arial" w:eastAsia="Arial" w:hAnsi="Arial"/>
                <w:sz w:val="17"/>
                <w:szCs w:val="17"/>
                <w:color w:val="auto"/>
                <w:w w:val="80"/>
              </w:rPr>
              <w:t>(16.7)%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40"/>
              <w:spacing w:after="0"/>
              <w:rPr>
                <w:sz w:val="20"/>
                <w:szCs w:val="20"/>
                <w:color w:val="auto"/>
              </w:rPr>
            </w:pPr>
            <w:r>
              <w:rPr>
                <w:rFonts w:ascii="Arial" w:cs="Arial" w:eastAsia="Arial" w:hAnsi="Arial"/>
                <w:sz w:val="17"/>
                <w:szCs w:val="17"/>
                <w:color w:val="auto"/>
              </w:rPr>
              <w:t>Effect of catastrophes on ceding commissions earned</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459</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62"/>
              <w:spacing w:after="0"/>
              <w:rPr>
                <w:sz w:val="20"/>
                <w:szCs w:val="20"/>
                <w:color w:val="auto"/>
              </w:rPr>
            </w:pPr>
            <w:r>
              <w:rPr>
                <w:rFonts w:ascii="Arial" w:cs="Arial" w:eastAsia="Arial" w:hAnsi="Arial"/>
                <w:sz w:val="17"/>
                <w:szCs w:val="17"/>
                <w:color w:val="auto"/>
                <w:w w:val="84"/>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618</w:t>
            </w:r>
          </w:p>
        </w:tc>
        <w:tc>
          <w:tcPr>
            <w:tcW w:w="1340" w:type="dxa"/>
            <w:vAlign w:val="bottom"/>
            <w:tcBorders>
              <w:bottom w:val="single" w:sz="8" w:color="auto"/>
            </w:tcBorders>
            <w:gridSpan w:val="2"/>
            <w:shd w:val="clear" w:color="auto" w:fill="CCEEFF"/>
          </w:tcPr>
          <w:p>
            <w:pPr>
              <w:jc w:val="center"/>
              <w:ind w:left="775"/>
              <w:spacing w:after="0"/>
              <w:rPr>
                <w:sz w:val="20"/>
                <w:szCs w:val="20"/>
                <w:color w:val="auto"/>
              </w:rPr>
            </w:pPr>
            <w:r>
              <w:rPr>
                <w:rFonts w:ascii="Arial" w:cs="Arial" w:eastAsia="Arial" w:hAnsi="Arial"/>
                <w:sz w:val="17"/>
                <w:szCs w:val="17"/>
                <w:color w:val="auto"/>
                <w:w w:val="80"/>
              </w:rPr>
              <w:t>(43.7)%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4,651</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5,333</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340" w:type="dxa"/>
            <w:vAlign w:val="bottom"/>
            <w:tcBorders>
              <w:bottom w:val="single" w:sz="8" w:color="auto"/>
            </w:tcBorders>
            <w:gridSpan w:val="2"/>
            <w:shd w:val="clear" w:color="auto" w:fill="CCEEFF"/>
          </w:tcPr>
          <w:p>
            <w:pPr>
              <w:jc w:val="center"/>
              <w:ind w:left="775"/>
              <w:spacing w:after="0"/>
              <w:rPr>
                <w:sz w:val="20"/>
                <w:szCs w:val="20"/>
                <w:color w:val="auto"/>
              </w:rPr>
            </w:pPr>
            <w:r>
              <w:rPr>
                <w:rFonts w:ascii="Arial" w:cs="Arial" w:eastAsia="Arial" w:hAnsi="Arial"/>
                <w:sz w:val="17"/>
                <w:szCs w:val="17"/>
                <w:color w:val="auto"/>
                <w:w w:val="80"/>
              </w:rPr>
              <w:t>(12.8)%</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60" w:firstLine="627"/>
        <w:spacing w:after="0" w:line="264" w:lineRule="auto"/>
        <w:rPr>
          <w:sz w:val="20"/>
          <w:szCs w:val="20"/>
          <w:color w:val="auto"/>
        </w:rPr>
      </w:pPr>
      <w:r>
        <w:rPr>
          <w:rFonts w:ascii="Arial" w:cs="Arial" w:eastAsia="Arial" w:hAnsi="Arial"/>
          <w:sz w:val="17"/>
          <w:szCs w:val="17"/>
          <w:color w:val="auto"/>
        </w:rPr>
        <w:t>Ceding commission revenue was $4,651,000 in Year Ended 2019 compared to $5,333,000 in Year Ended 2018. The decrease of $682,000, or 12.8%, was due to a decrease in provisional ceding commissions earned, partially offset by an increase in contingent ceding commissions earned. The reduction in provisional ceding commissions occurred due to the reduction in quota share reinsurance rates through December 15, 2019 (see below for discussion of provisional ceding commissions earned and contingent ceding commissions earned).</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7" w:lineRule="exact"/>
        <w:rPr>
          <w:sz w:val="20"/>
          <w:szCs w:val="20"/>
          <w:color w:val="auto"/>
        </w:rPr>
      </w:pPr>
    </w:p>
    <w:p>
      <w:pPr>
        <w:jc w:val="both"/>
        <w:ind w:right="60" w:firstLine="627"/>
        <w:spacing w:after="0" w:line="280" w:lineRule="auto"/>
        <w:rPr>
          <w:sz w:val="20"/>
          <w:szCs w:val="20"/>
          <w:color w:val="auto"/>
        </w:rPr>
      </w:pPr>
      <w:r>
        <w:rPr>
          <w:rFonts w:ascii="Arial" w:cs="Arial" w:eastAsia="Arial" w:hAnsi="Arial"/>
          <w:sz w:val="16"/>
          <w:szCs w:val="16"/>
          <w:color w:val="auto"/>
        </w:rPr>
        <w:t>We receive a provisional ceding commission based on ceded written premiums. The $1,300,000 decrease in provisional ceding commissions earned is primarily due to: (1) the decrease in the quota share ceding rate effective July 1, 2018 to 10%, from the 20% rate in effect from July 1, 2017 through June 30, 2018, and (2) the elimination of the 10% quota share effective July 1, 2019. There was a reduction in ceded premiums in Year Ended 2019 available from which to earn ceding commissions compared to Year Ended 2018 due to the changes in quota share ceding rates. The decrease in provisional ceding commissions was partially offset by an increase in personal lines direct written premiums subject to the quota share. The 2019/2020 Treaty in effect as of December 15, 2019 had very little impact on provisional ceding commissions earned due to the short amount of time it was in effect during Year Ended 2019.</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7" w:lineRule="exact"/>
        <w:rPr>
          <w:sz w:val="20"/>
          <w:szCs w:val="20"/>
          <w:color w:val="auto"/>
        </w:rPr>
      </w:pPr>
    </w:p>
    <w:p>
      <w:pPr>
        <w:jc w:val="both"/>
        <w:ind w:right="60" w:firstLine="627"/>
        <w:spacing w:after="0" w:line="310"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89" w:lineRule="exact"/>
        <w:rPr>
          <w:sz w:val="20"/>
          <w:szCs w:val="20"/>
          <w:color w:val="auto"/>
        </w:rPr>
      </w:pPr>
    </w:p>
    <w:p>
      <w:pPr>
        <w:jc w:val="both"/>
        <w:ind w:right="60" w:firstLine="627"/>
        <w:spacing w:after="0" w:line="276" w:lineRule="auto"/>
        <w:rPr>
          <w:sz w:val="20"/>
          <w:szCs w:val="20"/>
          <w:color w:val="auto"/>
        </w:rPr>
      </w:pPr>
      <w:r>
        <w:rPr>
          <w:rFonts w:ascii="Arial" w:cs="Arial" w:eastAsia="Arial" w:hAnsi="Arial"/>
          <w:sz w:val="16"/>
          <w:szCs w:val="16"/>
          <w:color w:val="auto"/>
        </w:rPr>
        <w:t>The 2017/2019 Treaty structure limits the amount of contingent ceding commissions that we can receive by setting a higher provisional commission rate than the rates received in prior years. As a result of the higher upfront provisional ceding commissions that we received under the 2017/2019 Treaty, there is not an opportunity to earn additional contingent ceding commissions under this treaty. Under the 2017/2019 Treaty “net” treaty structure, catastrophe losses in excess of the $5,000,000 retention will fall outside of the quota share treaty and such losses will not have an impact on contingent ceding commissions. In Year Ended 2018, catastrophe losses of $1,506,000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As a result, we incurred a reduction to the contingent ceding commissions of $459,000 relative to what would have been earned had the catastrophe losses not occurred. Effective July 1, 2018, the provisional ceding commission rate was a fixed rate with no downward adjustment required related to Loss Ratio; accordingly, in Year Ended 2019, catastrophe losses of $927,000 that were ceded under our personal lines quota share treaty did not have an effect on contingent ceding commissions. See “Reinsurance” below for information as to our personal lines quota share treaty effective December 15, 2019, and July 1, 2019, 2018 and 2017.</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00"/>
          </w:cols>
          <w:pgMar w:left="320" w:top="497" w:right="27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auto"/>
        </w:rPr>
        <w:t>Net Investment Income</w:t>
      </w:r>
    </w:p>
    <w:p>
      <w:pPr>
        <w:spacing w:after="0" w:line="157" w:lineRule="exact"/>
        <w:rPr>
          <w:sz w:val="20"/>
          <w:szCs w:val="20"/>
          <w:color w:val="auto"/>
        </w:rPr>
      </w:pPr>
    </w:p>
    <w:p>
      <w:pPr>
        <w:jc w:val="both"/>
        <w:ind w:firstLine="627"/>
        <w:spacing w:after="0" w:line="293" w:lineRule="auto"/>
        <w:rPr>
          <w:sz w:val="20"/>
          <w:szCs w:val="20"/>
          <w:color w:val="auto"/>
        </w:rPr>
      </w:pPr>
      <w:r>
        <w:rPr>
          <w:rFonts w:ascii="Arial" w:cs="Arial" w:eastAsia="Arial" w:hAnsi="Arial"/>
          <w:sz w:val="16"/>
          <w:szCs w:val="16"/>
          <w:color w:val="auto"/>
        </w:rPr>
        <w:t>Net investment income was $6,869,000 in Year Ended 2019 compared to $6,186,000 in Year Ended 2018. The increase of $683,000, or 11.0%, was due to an increase in average invested assets in Year Ended 2019. The average yield on invested assets was 3.51% as of December 31, 2019 compared to 3.79% as of December 31, 2018. The pre-tax equivalent yield on invested assets was 3.26% and 3.44% as of December 31, 2019 and 2018, respectively.</w:t>
      </w:r>
    </w:p>
    <w:p>
      <w:pPr>
        <w:spacing w:after="0" w:line="9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Cash and invested assets were $231,700,000 as of December 31, 2019, compared to $195,567,000 as of December 31, 2018. The $36,133,000 increase in cash and invested assets resulted primarily from increased operating cash flows for the Year Ended 2019.</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Net gains on investments were $4,591,000 in Year Ended 2019 compared to a net loss of $2,496,000 in Year Ended 2018. Unrealized gains on our equity securities and other investments in Year Ended 2019 were $4,562,000, compared to unrealized losses of $2,383,000 in Year Ended 2018. Realized gains on sales of investments were $29,000 in Year Ended 2019 compared to realized losses of $94,000 in Year Ended 2018.</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Other income was $1,828,000 in Year Ended 2019 compared to $1,334,000 in Year Ended 2018. The increase of $494,000, or 37.0%, was primarily due to an increase in installment and other fees earned in our insurance underwriting business.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Net loss and LAE was $90,182,000 in Year Ended 2019 compared to $58,295,000 in Year Ended 2018. The net loss ratio was 70.7% in 2019 compared to 56.4% in 2018, an increase of 14.3 percentage points.</w:t>
      </w:r>
    </w:p>
    <w:p>
      <w:pPr>
        <w:spacing w:after="0" w:line="170"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245745</wp:posOffset>
            </wp:positionV>
            <wp:extent cx="5062220" cy="3734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2220" cy="373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(Percent components may not sum to totals due to rounding)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3" w:name="page34"/>
    <w:bookmarkEnd w:id="33"/>
    <w:p>
      <w:pPr>
        <w:jc w:val="both"/>
        <w:ind w:firstLine="627"/>
        <w:spacing w:after="0" w:line="276" w:lineRule="auto"/>
        <w:rPr>
          <w:sz w:val="20"/>
          <w:szCs w:val="20"/>
          <w:color w:val="auto"/>
        </w:rPr>
      </w:pPr>
      <w:r>
        <w:rPr>
          <w:rFonts w:ascii="Arial" w:cs="Arial" w:eastAsia="Arial" w:hAnsi="Arial"/>
          <w:sz w:val="16"/>
          <w:szCs w:val="16"/>
          <w:color w:val="auto"/>
        </w:rPr>
        <w:t>The net loss ratio was 70.7% for Year Ended 2019, a 14.3 point increase compared to Year Ended 2018. The loss ratio for Year Ended 2019 is elevated primarily due to prior year loss development of $11.1 million, which has an 8.7 point effect on the loss ratio. This compares to 1.1 points of prior year loss development in Year Ended 2018, or an increase of 7.6 points from the impact of prior year loss development. Unfavorable claim resolution trends led to a complete review of open liability case reserves by new claims leadership in Year Ended 2019. The review determined that case reserve strengthening was required and resulted in adjustments to ultimate loss projections, primarily for commercial liability claims. Of the $11.1 million of prior year loss development for the year, $8.1 million was from commercial liability claims. The case reserve adjustments underscored the volatility of our commercial lines business, and contributed to our decision to stop writing these risks. The prior year loss development significantly increased the ultimate loss ratio projections for the commercial lines business in accident years 2014 and forward leading to the conclusion that these lines are not returning the required level of profitability to be viable going forward. Excluding commercial lines, prior year development for Year Ended 2019 had a 2.7 point impact on our loss ratio, compared to a 1.0 point impact from prior year loss development for Year Ended 2018. Most of the prior year loss development outside of commercial liability claims was related to liability claims in our New York Dwelling Fire product.</w:t>
      </w:r>
    </w:p>
    <w:p>
      <w:pPr>
        <w:spacing w:after="0" w:line="18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impact of catastrophes was 6.0 points in Year Ended 2019, unchanged from the impact from catastrophes in Year Ended 2018. Although the impact from catastrophes was the same in each year, both years had a catastrophe impact significantly above the Company’s long-term average. The average catastrophe impact for the five years ending in 2018 has been 3.8 points. There were nine PCS catastrophe events affecting Kingstone in Year Ended 2019, but 56% of net losses or 3.4 points of the impact relates to the first winter freeze event in Mid-January.</w:t>
      </w:r>
    </w:p>
    <w:p>
      <w:pPr>
        <w:spacing w:after="0" w:line="185"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The underlying loss ratio excluding the impact of catastrophes and prior year loss development was 56.0% for Year Ended 2019, an increase of 6.8 points from the 49.2% underlying loss ratio recorded for Year Ended 2018. The underlying loss ratio increased compared to Year Ended 2018 due to continued increases in average claim severity for non-weather water damage property claims as well as increased large fire claim activity. In addition, the underlying loss ratio for Year Ended 2019 is affected by increased loss ratio expectations for commercial lines as a result of increases in prior year loss ratio estimates for that business as noted above. Excluding commercial lines, the underlying loss ratio excluding the impact of catastrophes and prior year development for Year Ended 2019 was 53.1%, an increase of 5.1 points from the 48.0% underlying loss ratio recorded for Year Ended 2018. See table below under “Additional Financial Information” summarizing net loss ratios by line of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Commission expense was $30,193,000 in Year Ended 2019 or 18.9% of direct earned premiums. Commission expense was $25,342,000 in Year Ended 2018 or 19.0% of direct earned premiums. The increase of $4,851,000 is due to the increase in direct written premiums in Year Ended 2019 as compared to Year Ended 2018.</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Other underwriting expenses were $24,420,000 in Year Ended 2019 compared to $20,943,000 in Year Ended 2018. The increase of $3,477,000, or 16.6%, was primarily due to expenses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The other underwriting expense increase of 16.6 points was less than the 16.7 point increase in total direct written premiums.</w:t>
      </w:r>
    </w:p>
    <w:p>
      <w:pPr>
        <w:spacing w:after="0" w:line="12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largest single component of other underwriting expenses is salaries and employment costs, with costs of $10,358,000 in Year Ended 2019 compared to $9,280,000 in Year Ended 2018. The increase of $1,078,000, or 11.6%, was less than the 16.7% increase in total direct written premiums. The increase in employment costs was due to hiring of additional staff to service our current level of business and anticipated growth in volume, as well as annual increases in salaries.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4" w:name="page35"/>
    <w:bookmarkEnd w:id="34"/>
    <w:p>
      <w:pPr>
        <w:jc w:val="both"/>
        <w:ind w:firstLine="627"/>
        <w:spacing w:after="0" w:line="281" w:lineRule="auto"/>
        <w:rPr>
          <w:sz w:val="20"/>
          <w:szCs w:val="20"/>
          <w:color w:val="auto"/>
        </w:rPr>
      </w:pPr>
      <w:r>
        <w:rPr>
          <w:rFonts w:ascii="Arial" w:cs="Arial" w:eastAsia="Arial" w:hAnsi="Arial"/>
          <w:sz w:val="17"/>
          <w:szCs w:val="17"/>
          <w:color w:val="auto"/>
        </w:rPr>
        <w:t>Our net underwriting expense ratio in Year Ended 2019 was 38.1% compared to 38.4% in Year Ended 2018. The following table shows the individual components of our net underwriting expense ratio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jc w:val="right"/>
              <w:ind w:right="77"/>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9"/>
        </w:trPr>
        <w:tc>
          <w:tcPr>
            <w:tcW w:w="7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r>
      <w:tr>
        <w:trPr>
          <w:trHeight w:val="215"/>
        </w:trPr>
        <w:tc>
          <w:tcPr>
            <w:tcW w:w="7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Point Change</w:t>
            </w:r>
          </w:p>
        </w:tc>
      </w:tr>
      <w:tr>
        <w:trPr>
          <w:trHeight w:val="234"/>
        </w:trPr>
        <w:tc>
          <w:tcPr>
            <w:tcW w:w="8080" w:type="dxa"/>
            <w:vAlign w:val="bottom"/>
            <w:gridSpan w:val="2"/>
          </w:tcPr>
          <w:p>
            <w:pPr>
              <w:spacing w:after="0"/>
              <w:rPr>
                <w:sz w:val="20"/>
                <w:szCs w:val="20"/>
                <w:color w:val="auto"/>
              </w:rPr>
            </w:pPr>
            <w:r>
              <w:rPr>
                <w:rFonts w:ascii="Arial" w:cs="Arial" w:eastAsia="Arial" w:hAnsi="Arial"/>
                <w:sz w:val="17"/>
                <w:szCs w:val="17"/>
                <w:color w:val="auto"/>
              </w:rPr>
              <w:t>Other underwriting expenses</w:t>
            </w: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0"/>
        </w:trPr>
        <w:tc>
          <w:tcPr>
            <w:tcW w:w="8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Employment costs</w:t>
            </w:r>
          </w:p>
        </w:tc>
        <w:tc>
          <w:tcPr>
            <w:tcW w:w="960" w:type="dxa"/>
            <w:vAlign w:val="bottom"/>
            <w:shd w:val="clear" w:color="auto" w:fill="CCEEFF"/>
          </w:tcPr>
          <w:p>
            <w:pPr>
              <w:jc w:val="right"/>
              <w:ind w:right="397"/>
              <w:spacing w:after="0"/>
              <w:rPr>
                <w:sz w:val="20"/>
                <w:szCs w:val="20"/>
                <w:color w:val="auto"/>
              </w:rPr>
            </w:pPr>
            <w:r>
              <w:rPr>
                <w:rFonts w:ascii="Arial" w:cs="Arial" w:eastAsia="Arial" w:hAnsi="Arial"/>
                <w:sz w:val="17"/>
                <w:szCs w:val="17"/>
                <w:color w:val="auto"/>
              </w:rPr>
              <w:t>8.1%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09"/>
        </w:trPr>
        <w:tc>
          <w:tcPr>
            <w:tcW w:w="8080" w:type="dxa"/>
            <w:vAlign w:val="bottom"/>
            <w:gridSpan w:val="2"/>
          </w:tcPr>
          <w:p>
            <w:pPr>
              <w:ind w:left="320"/>
              <w:spacing w:after="0"/>
              <w:rPr>
                <w:sz w:val="20"/>
                <w:szCs w:val="20"/>
                <w:color w:val="auto"/>
              </w:rPr>
            </w:pPr>
            <w:r>
              <w:rPr>
                <w:rFonts w:ascii="Arial" w:cs="Arial" w:eastAsia="Arial" w:hAnsi="Arial"/>
                <w:sz w:val="17"/>
                <w:szCs w:val="17"/>
                <w:color w:val="auto"/>
              </w:rPr>
              <w:t>Underwriting fees (inspections/data services)</w:t>
            </w:r>
          </w:p>
        </w:tc>
        <w:tc>
          <w:tcPr>
            <w:tcW w:w="960" w:type="dxa"/>
            <w:vAlign w:val="bottom"/>
          </w:tcPr>
          <w:p>
            <w:pPr>
              <w:jc w:val="right"/>
              <w:ind w:right="537"/>
              <w:spacing w:after="0"/>
              <w:rPr>
                <w:sz w:val="20"/>
                <w:szCs w:val="20"/>
                <w:color w:val="auto"/>
              </w:rPr>
            </w:pPr>
            <w:r>
              <w:rPr>
                <w:rFonts w:ascii="Arial" w:cs="Arial" w:eastAsia="Arial" w:hAnsi="Arial"/>
                <w:sz w:val="17"/>
                <w:szCs w:val="17"/>
                <w:color w:val="auto"/>
              </w:rPr>
              <w:t>2.4</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Arial" w:cs="Arial" w:eastAsia="Arial" w:hAnsi="Arial"/>
                <w:sz w:val="17"/>
                <w:szCs w:val="17"/>
                <w:color w:val="auto"/>
              </w:rPr>
              <w:t>-</w:t>
            </w:r>
          </w:p>
        </w:tc>
      </w:tr>
      <w:tr>
        <w:trPr>
          <w:trHeight w:val="215"/>
        </w:trPr>
        <w:tc>
          <w:tcPr>
            <w:tcW w:w="7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Other expenses</w:t>
            </w:r>
          </w:p>
        </w:tc>
        <w:tc>
          <w:tcPr>
            <w:tcW w:w="8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rPr>
              <w:t>8.6</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8.9</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5"/>
        </w:trPr>
        <w:tc>
          <w:tcPr>
            <w:tcW w:w="8080" w:type="dxa"/>
            <w:vAlign w:val="bottom"/>
            <w:gridSpan w:val="2"/>
          </w:tcPr>
          <w:p>
            <w:pPr>
              <w:ind w:left="160"/>
              <w:spacing w:after="0"/>
              <w:rPr>
                <w:sz w:val="20"/>
                <w:szCs w:val="20"/>
                <w:color w:val="auto"/>
              </w:rPr>
            </w:pPr>
            <w:r>
              <w:rPr>
                <w:rFonts w:ascii="Arial" w:cs="Arial" w:eastAsia="Arial" w:hAnsi="Arial"/>
                <w:sz w:val="17"/>
                <w:szCs w:val="17"/>
                <w:color w:val="auto"/>
              </w:rPr>
              <w:t>Total other underwriting expenses</w:t>
            </w:r>
          </w:p>
        </w:tc>
        <w:tc>
          <w:tcPr>
            <w:tcW w:w="960" w:type="dxa"/>
            <w:vAlign w:val="bottom"/>
          </w:tcPr>
          <w:p>
            <w:pPr>
              <w:jc w:val="right"/>
              <w:ind w:right="537"/>
              <w:spacing w:after="0"/>
              <w:rPr>
                <w:sz w:val="20"/>
                <w:szCs w:val="20"/>
                <w:color w:val="auto"/>
              </w:rPr>
            </w:pPr>
            <w:r>
              <w:rPr>
                <w:rFonts w:ascii="Arial" w:cs="Arial" w:eastAsia="Arial" w:hAnsi="Arial"/>
                <w:sz w:val="17"/>
                <w:szCs w:val="17"/>
                <w:color w:val="auto"/>
                <w:w w:val="96"/>
              </w:rPr>
              <w:t>19.1</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20.3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7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09"/>
        </w:trPr>
        <w:tc>
          <w:tcPr>
            <w:tcW w:w="8080" w:type="dxa"/>
            <w:vAlign w:val="bottom"/>
            <w:gridSpan w:val="2"/>
          </w:tcPr>
          <w:p>
            <w:pPr>
              <w:spacing w:after="0"/>
              <w:rPr>
                <w:sz w:val="20"/>
                <w:szCs w:val="20"/>
                <w:color w:val="auto"/>
              </w:rPr>
            </w:pPr>
            <w:r>
              <w:rPr>
                <w:rFonts w:ascii="Arial" w:cs="Arial" w:eastAsia="Arial" w:hAnsi="Arial"/>
                <w:sz w:val="17"/>
                <w:szCs w:val="17"/>
                <w:color w:val="auto"/>
              </w:rPr>
              <w:t>Ceding commission revenue</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8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Provisional</w:t>
            </w:r>
          </w:p>
        </w:tc>
        <w:tc>
          <w:tcPr>
            <w:tcW w:w="96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(4.3)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2.2</w:t>
            </w:r>
          </w:p>
        </w:tc>
      </w:tr>
      <w:tr>
        <w:trPr>
          <w:trHeight w:val="215"/>
        </w:trPr>
        <w:tc>
          <w:tcPr>
            <w:tcW w:w="7200" w:type="dxa"/>
            <w:vAlign w:val="bottom"/>
          </w:tcPr>
          <w:p>
            <w:pPr>
              <w:ind w:left="320"/>
              <w:spacing w:after="0"/>
              <w:rPr>
                <w:sz w:val="20"/>
                <w:szCs w:val="20"/>
                <w:color w:val="auto"/>
              </w:rPr>
            </w:pPr>
            <w:r>
              <w:rPr>
                <w:rFonts w:ascii="Arial" w:cs="Arial" w:eastAsia="Arial" w:hAnsi="Arial"/>
                <w:sz w:val="17"/>
                <w:szCs w:val="17"/>
                <w:color w:val="auto"/>
              </w:rPr>
              <w:t>Contingent</w:t>
            </w: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color w:val="auto"/>
              </w:rPr>
              <w:t>0.6</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1.4</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r>
      <w:tr>
        <w:trPr>
          <w:trHeight w:val="215"/>
        </w:trPr>
        <w:tc>
          <w:tcPr>
            <w:tcW w:w="8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ceding commission revenue</w:t>
            </w:r>
          </w:p>
        </w:tc>
        <w:tc>
          <w:tcPr>
            <w:tcW w:w="96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(3.7)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w:t>
            </w:r>
          </w:p>
        </w:tc>
      </w:tr>
      <w:tr>
        <w:trPr>
          <w:trHeight w:val="209"/>
        </w:trPr>
        <w:tc>
          <w:tcPr>
            <w:tcW w:w="7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09"/>
        </w:trPr>
        <w:tc>
          <w:tcPr>
            <w:tcW w:w="8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96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(1.0)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0.2</w:t>
            </w:r>
          </w:p>
        </w:tc>
      </w:tr>
      <w:tr>
        <w:trPr>
          <w:trHeight w:val="215"/>
        </w:trPr>
        <w:tc>
          <w:tcPr>
            <w:tcW w:w="8080" w:type="dxa"/>
            <w:vAlign w:val="bottom"/>
            <w:gridSpan w:val="2"/>
          </w:tcPr>
          <w:p>
            <w:pPr>
              <w:spacing w:after="0"/>
              <w:rPr>
                <w:sz w:val="20"/>
                <w:szCs w:val="20"/>
                <w:color w:val="auto"/>
              </w:rPr>
            </w:pPr>
            <w:r>
              <w:rPr>
                <w:rFonts w:ascii="Arial" w:cs="Arial" w:eastAsia="Arial" w:hAnsi="Arial"/>
                <w:sz w:val="17"/>
                <w:szCs w:val="17"/>
                <w:color w:val="auto"/>
              </w:rPr>
              <w:t>Commission expense</w:t>
            </w:r>
          </w:p>
        </w:tc>
        <w:tc>
          <w:tcPr>
            <w:tcW w:w="960" w:type="dxa"/>
            <w:vAlign w:val="bottom"/>
          </w:tcPr>
          <w:p>
            <w:pPr>
              <w:jc w:val="right"/>
              <w:ind w:right="537"/>
              <w:spacing w:after="0"/>
              <w:rPr>
                <w:sz w:val="20"/>
                <w:szCs w:val="20"/>
                <w:color w:val="auto"/>
              </w:rPr>
            </w:pPr>
            <w:r>
              <w:rPr>
                <w:rFonts w:ascii="Arial" w:cs="Arial" w:eastAsia="Arial" w:hAnsi="Arial"/>
                <w:sz w:val="17"/>
                <w:szCs w:val="17"/>
                <w:color w:val="auto"/>
                <w:w w:val="96"/>
              </w:rPr>
              <w:t>23.7</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24.4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09"/>
        </w:trPr>
        <w:tc>
          <w:tcPr>
            <w:tcW w:w="7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09"/>
        </w:trPr>
        <w:tc>
          <w:tcPr>
            <w:tcW w:w="8080" w:type="dxa"/>
            <w:vAlign w:val="bottom"/>
            <w:gridSpan w:val="2"/>
          </w:tcPr>
          <w:p>
            <w:pPr>
              <w:spacing w:after="0"/>
              <w:rPr>
                <w:sz w:val="20"/>
                <w:szCs w:val="20"/>
                <w:color w:val="auto"/>
              </w:rPr>
            </w:pPr>
            <w:r>
              <w:rPr>
                <w:rFonts w:ascii="Arial" w:cs="Arial" w:eastAsia="Arial" w:hAnsi="Arial"/>
                <w:sz w:val="17"/>
                <w:szCs w:val="17"/>
                <w:color w:val="auto"/>
              </w:rPr>
              <w:t>Net underwriting expense ratio</w:t>
            </w:r>
          </w:p>
        </w:tc>
        <w:tc>
          <w:tcPr>
            <w:tcW w:w="960" w:type="dxa"/>
            <w:vAlign w:val="bottom"/>
          </w:tcPr>
          <w:p>
            <w:pPr>
              <w:jc w:val="right"/>
              <w:ind w:right="397"/>
              <w:spacing w:after="0"/>
              <w:rPr>
                <w:sz w:val="20"/>
                <w:szCs w:val="20"/>
                <w:color w:val="auto"/>
              </w:rPr>
            </w:pPr>
            <w:r>
              <w:rPr>
                <w:rFonts w:ascii="Arial" w:cs="Arial" w:eastAsia="Arial" w:hAnsi="Arial"/>
                <w:sz w:val="17"/>
                <w:szCs w:val="17"/>
                <w:color w:val="auto"/>
                <w:w w:val="95"/>
              </w:rPr>
              <w:t>38.1%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38.4%</w:t>
            </w: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0"/>
        </w:trPr>
        <w:tc>
          <w:tcPr>
            <w:tcW w:w="7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1.2 percentage point decrease in our other underwriting expense ratio was driven by a decline of 0.9 percentage points from the impact of employment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costs.</w:t>
      </w:r>
    </w:p>
    <w:p>
      <w:pPr>
        <w:spacing w:after="0" w:line="151"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The overall 2.2 percentage point increase in provisional ceding commissions was driven entirely by the change in our quota share ceding rates and its impact on provisional ceding commission revenue due to the additional retention resulting from the cut-off to our quota share treaty on July 1, 2018 and run-off to our expired quota share treaty on July 1, 2019. Additionally, through December 15, 2019 we had a reduction in our quota share reinsurance rates resulting in a reduction of provisional ceding commissions. The components of our net underwriting expense ratio related to other underwriting expenses, other income and commissions improved in nearly all categories, resulting in an overall 0.3 percentage point decrease in the net underwriting expense ratio.</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7"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Other operating expenses, related to the expenses of our holding company and Cosi, were $4,178,000 for Year Ended 2019 compared to $2,575,000 for Year Ended 2018. The increase in Year Ended 2019 of $1,603,000, or 62.3%, as compared to Year Ended 2018 was primarily due to increases in equity compensation and salaries, partially offset by a decrease in executive bonuses. The increase in salary was due to the initial hiring of staff for Cosi and the increase in equity compensation was due to 2019 annual restricted stock awards to directors and executives. Executive bonus compensation is accrued pursuant to the employment agreement in effect through December 31, 2019 with Barry B. Goldstein, our Executive Chairman and current Chief Executive Officer. The bonus is a one-time payment computed at the end of the three-year period ended December 31, 2019, and as of December 31, 2019 the three-year computation did not meet the required terms of profitability, resulting in no payment and a reversal of the $698,000 previously accrued.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Depreciation and Amortization</w:t>
      </w:r>
    </w:p>
    <w:p>
      <w:pPr>
        <w:spacing w:after="0" w:line="1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Depreciation and amortization was $2,546,000 in Year Ended 2019 compared to $1,787,000 in Year Ended 2018. The increase of $759,000, or 42.5%, in depreciation and amortization was primarily due to depreciation of our new systems platform for handling business being written in Expansion states. The increase was also impacted by newly purchased assets used to upgrade our systems infrastructure and improvements to the Kingston, New York home office building from which we operate.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Interest expense in Year Ended 2019 was $1,826,000 and $1,822,000 in Year Ended 2018.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Benefit</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Income tax benefit in Year Ended 2019 was $1,816,000, which resulted in an effective tax rate of 23.3%. Income tax benefit in Year Ended 2018 was $86,000, which resulted in an effective tax rate of (2.9)%. Loss before taxes was $7,783,000 in Year Ended 2019 compared to income before taxes of $3,007,000 in Year Ended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 (Loss)</w:t>
      </w:r>
    </w:p>
    <w:p>
      <w:pPr>
        <w:spacing w:after="0" w:line="1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Net loss was $5,967,000 in Year Ended 2019 compared to net income of $3,093,000 in Year Ended 2018. The decrease in net income of $9,060,000, or 292.9%, was due to the circumstances described above, which caused the increase in our net loss ratio, decrease in ceding commission revenue, increases in other underwriting expenses, and depreciation and amortization, partially offset by the increase in our net premiums earned, net investment income and net gains on investments.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1" w:lineRule="exact"/>
        <w:rPr>
          <w:sz w:val="20"/>
          <w:szCs w:val="20"/>
          <w:color w:val="auto"/>
        </w:rPr>
      </w:pPr>
    </w:p>
    <w:p>
      <w:pPr>
        <w:jc w:val="both"/>
        <w:ind w:right="20" w:firstLine="627"/>
        <w:spacing w:after="0" w:line="268"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 ended</w:t>
            </w:r>
          </w:p>
        </w:tc>
        <w:tc>
          <w:tcPr>
            <w:tcW w:w="1000" w:type="dxa"/>
            <w:vAlign w:val="bottom"/>
          </w:tcPr>
          <w:p>
            <w:pPr>
              <w:spacing w:after="0"/>
              <w:rPr>
                <w:sz w:val="16"/>
                <w:szCs w:val="16"/>
                <w:color w:val="auto"/>
              </w:rPr>
            </w:pPr>
          </w:p>
        </w:tc>
      </w:tr>
      <w:tr>
        <w:trPr>
          <w:trHeight w:val="199"/>
        </w:trPr>
        <w:tc>
          <w:tcPr>
            <w:tcW w:w="8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34"/>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Gross premiums written:</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149,920,020</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8"/>
              </w:rPr>
              <w:t>119,971,418</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10,576,156</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9,792,456</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593,945</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251,190</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without commercial lines</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w w:val="95"/>
              </w:rPr>
              <w:t>161,090,121</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w w:val="88"/>
              </w:rPr>
              <w:t>130,015,064</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10,124,908</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16,702,409</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gross premiums written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5"/>
              </w:rPr>
              <w:t>171,215,029</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8"/>
              </w:rPr>
              <w:t>146,717,473</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Net premiums written: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105,774,168</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94,993,035</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10,576,156</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9,792,456</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549,978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228,551</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without commercial lines</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w w:val="95"/>
              </w:rPr>
              <w:t>116,900,302</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w w:val="88"/>
              </w:rPr>
              <w:t>105,014,042</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8,678,829</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14,779,752</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net premiums written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5"/>
              </w:rPr>
              <w:t>125,579,131</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8"/>
              </w:rPr>
              <w:t>119,793,794</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Net premiums earned: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102,943,699</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79,603,364</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10,565,739</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9,797,939</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518,671</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209,128</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without commercial lines</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w w:val="95"/>
              </w:rPr>
              <w:t>114,028,109</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w w:val="98"/>
              </w:rPr>
              <w:t>89,610,431</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13,595,333</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13,804,284</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net premiums earned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5"/>
              </w:rPr>
              <w:t>127,623,442</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8"/>
              </w:rPr>
              <w:t>103,414,715</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Net loss and loss adjustment expenses(4):</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62,157,739</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43,287,170</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8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5,209,065</w:t>
            </w:r>
          </w:p>
        </w:tc>
        <w:tc>
          <w:tcPr>
            <w:tcW w:w="3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4,211,273</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605,994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334,015</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Unallocated loss adjustment expenses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2,846,248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2,242,365</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without commercial lines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70,819,046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50,074,823</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19,363,278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8,220,382</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net loss and loss adjustment expenses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90,182,324</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58,295,205</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ratio(4):</w:t>
            </w:r>
          </w:p>
        </w:tc>
        <w:tc>
          <w:tcPr>
            <w:tcW w:w="3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7"/>
                <w:szCs w:val="17"/>
                <w:color w:val="auto"/>
              </w:rPr>
              <w:t>Personal lines</w:t>
            </w:r>
          </w:p>
        </w:tc>
        <w:tc>
          <w:tcPr>
            <w:tcW w:w="3840" w:type="dxa"/>
            <w:vAlign w:val="bottom"/>
          </w:tcPr>
          <w:p>
            <w:pPr>
              <w:jc w:val="right"/>
              <w:ind w:right="335"/>
              <w:spacing w:after="0"/>
              <w:rPr>
                <w:sz w:val="20"/>
                <w:szCs w:val="20"/>
                <w:color w:val="auto"/>
              </w:rPr>
            </w:pPr>
            <w:r>
              <w:rPr>
                <w:rFonts w:ascii="Arial" w:cs="Arial" w:eastAsia="Arial" w:hAnsi="Arial"/>
                <w:sz w:val="17"/>
                <w:szCs w:val="17"/>
                <w:color w:val="auto"/>
              </w:rPr>
              <w:t>60.4%</w:t>
            </w:r>
          </w:p>
        </w:tc>
        <w:tc>
          <w:tcPr>
            <w:tcW w:w="920" w:type="dxa"/>
            <w:vAlign w:val="bottom"/>
          </w:tcPr>
          <w:p>
            <w:pPr>
              <w:jc w:val="right"/>
              <w:spacing w:after="0"/>
              <w:rPr>
                <w:sz w:val="20"/>
                <w:szCs w:val="20"/>
                <w:color w:val="auto"/>
              </w:rPr>
            </w:pPr>
            <w:r>
              <w:rPr>
                <w:rFonts w:ascii="Arial" w:cs="Arial" w:eastAsia="Arial" w:hAnsi="Arial"/>
                <w:sz w:val="17"/>
                <w:szCs w:val="17"/>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8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49.3%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7"/>
                <w:szCs w:val="17"/>
                <w:color w:val="auto"/>
              </w:rPr>
              <w:t>Other(1)</w:t>
            </w:r>
          </w:p>
        </w:tc>
        <w:tc>
          <w:tcPr>
            <w:tcW w:w="3840" w:type="dxa"/>
            <w:vAlign w:val="bottom"/>
          </w:tcPr>
          <w:p>
            <w:pPr>
              <w:jc w:val="right"/>
              <w:ind w:right="335"/>
              <w:spacing w:after="0"/>
              <w:rPr>
                <w:sz w:val="20"/>
                <w:szCs w:val="20"/>
                <w:color w:val="auto"/>
              </w:rPr>
            </w:pPr>
            <w:r>
              <w:rPr>
                <w:rFonts w:ascii="Arial" w:cs="Arial" w:eastAsia="Arial" w:hAnsi="Arial"/>
                <w:sz w:val="17"/>
                <w:szCs w:val="17"/>
                <w:color w:val="auto"/>
              </w:rPr>
              <w:t>116.8%</w:t>
            </w:r>
          </w:p>
        </w:tc>
        <w:tc>
          <w:tcPr>
            <w:tcW w:w="920" w:type="dxa"/>
            <w:vAlign w:val="bottom"/>
          </w:tcPr>
          <w:p>
            <w:pPr>
              <w:jc w:val="right"/>
              <w:spacing w:after="0"/>
              <w:rPr>
                <w:sz w:val="20"/>
                <w:szCs w:val="20"/>
                <w:color w:val="auto"/>
              </w:rPr>
            </w:pPr>
            <w:r>
              <w:rPr>
                <w:rFonts w:ascii="Arial" w:cs="Arial" w:eastAsia="Arial" w:hAnsi="Arial"/>
                <w:sz w:val="17"/>
                <w:szCs w:val="17"/>
                <w:color w:val="auto"/>
              </w:rPr>
              <w:t>159.7%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Total without commercial lines</w:t>
            </w:r>
          </w:p>
        </w:tc>
        <w:tc>
          <w:tcPr>
            <w:tcW w:w="38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62.1%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38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142.4%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40"/>
              <w:spacing w:after="0"/>
              <w:rPr>
                <w:sz w:val="20"/>
                <w:szCs w:val="20"/>
                <w:color w:val="auto"/>
              </w:rPr>
            </w:pPr>
            <w:r>
              <w:rPr>
                <w:rFonts w:ascii="Arial" w:cs="Arial" w:eastAsia="Arial" w:hAnsi="Arial"/>
                <w:sz w:val="17"/>
                <w:szCs w:val="17"/>
                <w:color w:val="auto"/>
              </w:rPr>
              <w:t>Total</w:t>
            </w:r>
          </w:p>
        </w:tc>
        <w:tc>
          <w:tcPr>
            <w:tcW w:w="3840" w:type="dxa"/>
            <w:vAlign w:val="bottom"/>
          </w:tcPr>
          <w:p>
            <w:pPr>
              <w:jc w:val="right"/>
              <w:ind w:right="335"/>
              <w:spacing w:after="0"/>
              <w:rPr>
                <w:sz w:val="20"/>
                <w:szCs w:val="20"/>
                <w:color w:val="auto"/>
              </w:rPr>
            </w:pPr>
            <w:r>
              <w:rPr>
                <w:rFonts w:ascii="Arial" w:cs="Arial" w:eastAsia="Arial" w:hAnsi="Arial"/>
                <w:sz w:val="17"/>
                <w:szCs w:val="17"/>
                <w:color w:val="auto"/>
              </w:rPr>
              <w:t>70.7%</w:t>
            </w:r>
          </w:p>
        </w:tc>
        <w:tc>
          <w:tcPr>
            <w:tcW w:w="920" w:type="dxa"/>
            <w:vAlign w:val="bottom"/>
          </w:tcPr>
          <w:p>
            <w:pPr>
              <w:jc w:val="right"/>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80" w:right="20" w:hanging="319"/>
        <w:spacing w:after="0" w:line="260"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 and loss and loss adjustment expenses from commercial auto.</w:t>
      </w:r>
    </w:p>
    <w:p>
      <w:pPr>
        <w:ind w:left="480" w:right="20" w:hanging="319"/>
        <w:spacing w:after="0" w:line="256"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July 2019, we decided that we will no longer underwrite Commercial Liability risks. See discussions above regarding the discontinuation of this line of business.</w:t>
      </w:r>
    </w:p>
    <w:p>
      <w:pPr>
        <w:spacing w:after="0" w:line="1" w:lineRule="exact"/>
        <w:rPr>
          <w:rFonts w:ascii="Arial" w:cs="Arial" w:eastAsia="Arial" w:hAnsi="Arial"/>
          <w:sz w:val="17"/>
          <w:szCs w:val="17"/>
          <w:color w:val="auto"/>
        </w:rPr>
      </w:pPr>
    </w:p>
    <w:p>
      <w:pPr>
        <w:ind w:left="480" w:right="20" w:hanging="319"/>
        <w:spacing w:after="0" w:line="256"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discussions above with regard to “Net Written Premiums and Net Premiums Earned”, as to changes in quota share ceding rates, effective July 1, 2019 and 2018.</w:t>
      </w:r>
    </w:p>
    <w:p>
      <w:pPr>
        <w:spacing w:after="0" w:line="1" w:lineRule="exact"/>
        <w:rPr>
          <w:rFonts w:ascii="Arial" w:cs="Arial" w:eastAsia="Arial" w:hAnsi="Arial"/>
          <w:sz w:val="17"/>
          <w:szCs w:val="17"/>
          <w:color w:val="auto"/>
        </w:rPr>
      </w:pPr>
    </w:p>
    <w:p>
      <w:pPr>
        <w:ind w:left="480" w:hanging="319"/>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discussions above with regard to “Net Loss and LAE”, as to catastrophe losses in the years ended December 31, 2019 and 2018.</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493" w:right="31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years ended December 31, 2019 and 2018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w w:val="88"/>
              </w:rPr>
              <w:t>Years ended</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06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4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5"/>
              </w:rPr>
              <w:t>127,623,442</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0"/>
              </w:rPr>
              <w:t>103,414,715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4,650,851</w:t>
            </w:r>
          </w:p>
        </w:tc>
        <w:tc>
          <w:tcPr>
            <w:tcW w:w="2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5,332,630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6,821,248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6,037,441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0"/>
              <w:spacing w:after="0"/>
              <w:rPr>
                <w:sz w:val="20"/>
                <w:szCs w:val="20"/>
                <w:color w:val="auto"/>
              </w:rPr>
            </w:pPr>
            <w:r>
              <w:rPr>
                <w:rFonts w:ascii="Arial" w:cs="Arial" w:eastAsia="Arial" w:hAnsi="Arial"/>
                <w:sz w:val="17"/>
                <w:szCs w:val="17"/>
                <w:color w:val="auto"/>
              </w:rPr>
              <w:t>Net gains (losses) on investments</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4,495,230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(2,439,026)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45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1,306,820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1,266,654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95"/>
              </w:rPr>
              <w:t>144,897,591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0"/>
              </w:rPr>
              <w:t>113,612,414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90,182,324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58,295,205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30,193,175</w:t>
            </w:r>
          </w:p>
        </w:tc>
        <w:tc>
          <w:tcPr>
            <w:tcW w:w="2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25,342,137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24,420,208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20,943,342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2,446,959</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1,787,150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45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95"/>
              </w:rPr>
              <w:t>147,242,666</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0"/>
              </w:rPr>
              <w:t>106,367,834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income from operations</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(2,345,075)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7,244,580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0"/>
              <w:spacing w:after="0"/>
              <w:rPr>
                <w:sz w:val="20"/>
                <w:szCs w:val="20"/>
                <w:color w:val="auto"/>
              </w:rPr>
            </w:pPr>
            <w:r>
              <w:rPr>
                <w:rFonts w:ascii="Arial" w:cs="Arial" w:eastAsia="Arial" w:hAnsi="Arial"/>
                <w:sz w:val="17"/>
                <w:szCs w:val="17"/>
                <w:color w:val="auto"/>
              </w:rPr>
              <w:t>Income tax (benefit) expense</w:t>
            </w:r>
          </w:p>
        </w:tc>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(785,784)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1,387,508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(loss) incom</w:t>
            </w:r>
            <w:r>
              <w:rPr>
                <w:rFonts w:ascii="Arial" w:cs="Arial" w:eastAsia="Arial" w:hAnsi="Arial"/>
                <w:sz w:val="17"/>
                <w:szCs w:val="17"/>
                <w:color w:val="auto"/>
              </w:rPr>
              <w:t>e</w:t>
            </w:r>
          </w:p>
        </w:tc>
        <w:tc>
          <w:tcPr>
            <w:tcW w:w="4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(1,559,291)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5,857,072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060" w:type="dxa"/>
            <w:vAlign w:val="bottom"/>
            <w:tcBorders>
              <w:top w:val="single" w:sz="8" w:color="CCEEFF"/>
            </w:tcBorders>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Key Measures:</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0"/>
              <w:spacing w:after="0"/>
              <w:rPr>
                <w:sz w:val="20"/>
                <w:szCs w:val="20"/>
                <w:color w:val="auto"/>
              </w:rPr>
            </w:pPr>
            <w:r>
              <w:rPr>
                <w:rFonts w:ascii="Arial" w:cs="Arial" w:eastAsia="Arial" w:hAnsi="Arial"/>
                <w:sz w:val="17"/>
                <w:szCs w:val="17"/>
                <w:color w:val="auto"/>
              </w:rPr>
              <w:t>Net loss ratio</w:t>
            </w: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70.7%</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45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0"/>
              <w:spacing w:after="0"/>
              <w:rPr>
                <w:sz w:val="20"/>
                <w:szCs w:val="20"/>
                <w:color w:val="auto"/>
              </w:rPr>
            </w:pPr>
            <w:r>
              <w:rPr>
                <w:rFonts w:ascii="Arial" w:cs="Arial" w:eastAsia="Arial" w:hAnsi="Arial"/>
                <w:sz w:val="17"/>
                <w:szCs w:val="17"/>
                <w:color w:val="auto"/>
              </w:rPr>
              <w:t>Net combined ratio</w:t>
            </w:r>
          </w:p>
        </w:tc>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6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costs and other</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160"/>
              <w:spacing w:after="0"/>
              <w:rPr>
                <w:sz w:val="20"/>
                <w:szCs w:val="20"/>
                <w:color w:val="auto"/>
              </w:rPr>
            </w:pPr>
            <w:r>
              <w:rPr>
                <w:rFonts w:ascii="Arial" w:cs="Arial" w:eastAsia="Arial" w:hAnsi="Arial"/>
                <w:sz w:val="17"/>
                <w:szCs w:val="17"/>
                <w:color w:val="auto"/>
              </w:rPr>
              <w:t>underwriting expenses</w:t>
            </w:r>
          </w:p>
        </w:tc>
        <w:tc>
          <w:tcPr>
            <w:tcW w:w="4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54,613,383</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46,285,479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Ceding commission revenue</w:t>
            </w:r>
          </w:p>
        </w:tc>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(4,650,851)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60"/>
              <w:spacing w:after="0"/>
              <w:rPr>
                <w:sz w:val="20"/>
                <w:szCs w:val="20"/>
                <w:color w:val="auto"/>
              </w:rPr>
            </w:pPr>
            <w:r>
              <w:rPr>
                <w:rFonts w:ascii="Arial" w:cs="Arial" w:eastAsia="Arial" w:hAnsi="Arial"/>
                <w:sz w:val="17"/>
                <w:szCs w:val="17"/>
                <w:color w:val="auto"/>
              </w:rPr>
              <w:t>Less: Other income</w:t>
            </w:r>
          </w:p>
        </w:tc>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(1,306,820)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underwriting expenses</w:t>
            </w:r>
          </w:p>
        </w:tc>
        <w:tc>
          <w:tcPr>
            <w:tcW w:w="4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48,655,712</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39,686,195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060" w:type="dxa"/>
            <w:vAlign w:val="bottom"/>
            <w:tcBorders>
              <w:top w:val="single" w:sz="8" w:color="CCEEFF"/>
            </w:tcBorders>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premiums earned</w:t>
            </w:r>
          </w:p>
        </w:tc>
        <w:tc>
          <w:tcPr>
            <w:tcW w:w="4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5"/>
              </w:rPr>
              <w:t>127,623,442</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0"/>
              </w:rPr>
              <w:t>103,414,715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060" w:type="dxa"/>
            <w:vAlign w:val="bottom"/>
            <w:tcBorders>
              <w:top w:val="single" w:sz="8" w:color="CCEEFF"/>
            </w:tcBorders>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Underwriting Expense Ratio</w:t>
            </w:r>
          </w:p>
        </w:tc>
        <w:tc>
          <w:tcPr>
            <w:tcW w:w="4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6"/>
        </w:trPr>
        <w:tc>
          <w:tcPr>
            <w:tcW w:w="40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jc w:val="right"/>
              <w:ind w:right="2775"/>
              <w:spacing w:after="0"/>
              <w:rPr>
                <w:sz w:val="20"/>
                <w:szCs w:val="20"/>
                <w:color w:val="auto"/>
              </w:rPr>
            </w:pPr>
            <w:r>
              <w:rPr>
                <w:rFonts w:ascii="Arial" w:cs="Arial" w:eastAsia="Arial" w:hAnsi="Arial"/>
                <w:sz w:val="17"/>
                <w:szCs w:val="17"/>
                <w:color w:val="auto"/>
              </w:rPr>
              <w:t>36</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27" w:right="319" w:bottom="1440" w:gutter="0" w:footer="0" w:header="0"/>
        </w:sectPr>
      </w:pPr>
    </w:p>
    <w:bookmarkStart w:id="37" w:name="page38"/>
    <w:bookmarkEnd w:id="37"/>
    <w:p>
      <w:pPr>
        <w:ind w:left="64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Direct</w:t>
            </w: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Assumed</w:t>
            </w:r>
          </w:p>
        </w:tc>
        <w:tc>
          <w:tcPr>
            <w:tcW w:w="18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Ceded</w:t>
            </w:r>
          </w:p>
        </w:tc>
        <w:tc>
          <w:tcPr>
            <w:tcW w:w="1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69"/>
        </w:trPr>
        <w:tc>
          <w:tcPr>
            <w:tcW w:w="4420" w:type="dxa"/>
            <w:vAlign w:val="bottom"/>
          </w:tcPr>
          <w:p>
            <w:pPr>
              <w:spacing w:after="0"/>
              <w:rPr>
                <w:sz w:val="20"/>
                <w:szCs w:val="20"/>
                <w:color w:val="auto"/>
              </w:rPr>
            </w:pPr>
            <w:r>
              <w:rPr>
                <w:rFonts w:ascii="Arial" w:cs="Arial" w:eastAsia="Arial" w:hAnsi="Arial"/>
                <w:sz w:val="17"/>
                <w:szCs w:val="17"/>
                <w:b w:val="1"/>
                <w:bCs w:val="1"/>
                <w:color w:val="auto"/>
              </w:rPr>
              <w:t>Year ended December 31, 2019</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Written premiums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7"/>
              </w:rPr>
              <w:t>171,214,091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(45,635,899)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125,579,131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60"/>
              <w:spacing w:after="0"/>
              <w:rPr>
                <w:sz w:val="20"/>
                <w:szCs w:val="20"/>
                <w:color w:val="auto"/>
              </w:rPr>
            </w:pPr>
            <w:r>
              <w:rPr>
                <w:rFonts w:ascii="Arial" w:cs="Arial" w:eastAsia="Arial" w:hAnsi="Arial"/>
                <w:sz w:val="17"/>
                <w:szCs w:val="17"/>
                <w:color w:val="auto"/>
              </w:rPr>
              <w:t>Change in unearned premiums</w:t>
            </w: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(11,350,864)</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13,395,418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2,044,311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Earned premiums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7"/>
              </w:rPr>
              <w:t>159,863,227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(32,240,481)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127,623,442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4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and loss adjustment expenses exluding</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the effect of catastrophes</w:t>
            </w:r>
          </w:p>
        </w:tc>
        <w:tc>
          <w:tcPr>
            <w:tcW w:w="17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94,776,624</w:t>
            </w:r>
          </w:p>
        </w:tc>
        <w:tc>
          <w:tcPr>
            <w:tcW w:w="1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7"/>
              </w:rPr>
              <w:t>(12,287,304)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82,487,507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8,176,529</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(481,712)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7,694,817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Loss and loss adjustment expenses</w:t>
            </w:r>
          </w:p>
        </w:tc>
        <w:tc>
          <w:tcPr>
            <w:tcW w:w="17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w w:val="97"/>
              </w:rPr>
              <w:t>102,953,153</w:t>
            </w:r>
          </w:p>
        </w:tc>
        <w:tc>
          <w:tcPr>
            <w:tcW w:w="1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7"/>
              </w:rPr>
              <w:t>(12,769,016)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90,182,324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Loss ratio excluding the effect of catastrophes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59.3%</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-260.5%</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38.1%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Loss ratio</w:t>
            </w: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64.3%</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-260.5%</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39.6%</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7"/>
                <w:szCs w:val="17"/>
                <w:b w:val="1"/>
                <w:bCs w:val="1"/>
                <w:color w:val="auto"/>
              </w:rPr>
              <w:t>Year ended December 31, 2018</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Written premiums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7"/>
              </w:rPr>
              <w:t>146,716,468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(26,923,679)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119,793,793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60"/>
              <w:spacing w:after="0"/>
              <w:rPr>
                <w:sz w:val="20"/>
                <w:szCs w:val="20"/>
                <w:color w:val="auto"/>
              </w:rPr>
            </w:pPr>
            <w:r>
              <w:rPr>
                <w:rFonts w:ascii="Arial" w:cs="Arial" w:eastAsia="Arial" w:hAnsi="Arial"/>
                <w:sz w:val="17"/>
                <w:szCs w:val="17"/>
                <w:color w:val="auto"/>
              </w:rPr>
              <w:t>Change in unearned premiums</w:t>
            </w: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(13,388,535)</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4,067</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(2,994,610)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(16,379,078)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Earned premiums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7"/>
              </w:rPr>
              <w:t>133,327,933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5,071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(29,918,289)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103,414,715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4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and loss adjustment expenses exluding</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the effect of catastrophes</w:t>
            </w:r>
          </w:p>
        </w:tc>
        <w:tc>
          <w:tcPr>
            <w:tcW w:w="17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61,921,559</w:t>
            </w:r>
          </w:p>
        </w:tc>
        <w:tc>
          <w:tcPr>
            <w:tcW w:w="1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28,237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(9,882,474)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52,067,322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10,828,121</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(4,600,238)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6,227,883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Loss and loss adjustment expenses</w:t>
            </w:r>
          </w:p>
        </w:tc>
        <w:tc>
          <w:tcPr>
            <w:tcW w:w="17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72,749,680</w:t>
            </w:r>
          </w:p>
        </w:tc>
        <w:tc>
          <w:tcPr>
            <w:tcW w:w="1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28,237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7"/>
              </w:rPr>
              <w:t>(14,482,712)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58,295,205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Loss ratio excluding the effect of catastrophes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46.4%</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556.8%</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33.0%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60"/>
              <w:spacing w:after="0"/>
              <w:rPr>
                <w:sz w:val="20"/>
                <w:szCs w:val="20"/>
                <w:color w:val="auto"/>
              </w:rPr>
            </w:pPr>
            <w:r>
              <w:rPr>
                <w:rFonts w:ascii="Arial" w:cs="Arial" w:eastAsia="Arial" w:hAnsi="Arial"/>
                <w:sz w:val="17"/>
                <w:szCs w:val="17"/>
                <w:color w:val="auto"/>
              </w:rPr>
              <w:t>Loss ratio</w:t>
            </w: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54.6%</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556.8%</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48.4%</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40" w:type="dxa"/>
            <w:vAlign w:val="bottom"/>
            <w:vMerge w:val="restart"/>
          </w:tcPr>
          <w:p>
            <w:pPr>
              <w:jc w:val="right"/>
              <w:ind w:right="75"/>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31" w:right="319" w:bottom="1440" w:gutter="0" w:footer="0" w:header="0"/>
        </w:sectPr>
      </w:pPr>
    </w:p>
    <w:bookmarkStart w:id="38" w:name="page39"/>
    <w:bookmarkEnd w:id="38"/>
    <w:p>
      <w:pPr>
        <w:ind w:left="640"/>
        <w:spacing w:after="0"/>
        <w:rPr>
          <w:sz w:val="20"/>
          <w:szCs w:val="20"/>
          <w:color w:val="auto"/>
        </w:rPr>
      </w:pPr>
      <w:r>
        <w:rPr>
          <w:rFonts w:ascii="Arial" w:cs="Arial" w:eastAsia="Arial" w:hAnsi="Arial"/>
          <w:sz w:val="17"/>
          <w:szCs w:val="17"/>
          <w:color w:val="auto"/>
        </w:rPr>
        <w:t>The key measures for our insurance underwriting business for the years ended December 31, 2019 and 2018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 ended</w:t>
            </w:r>
          </w:p>
        </w:tc>
        <w:tc>
          <w:tcPr>
            <w:tcW w:w="980" w:type="dxa"/>
            <w:vAlign w:val="bottom"/>
          </w:tcPr>
          <w:p>
            <w:pPr>
              <w:spacing w:after="0"/>
              <w:rPr>
                <w:sz w:val="16"/>
                <w:szCs w:val="16"/>
                <w:color w:val="auto"/>
              </w:rPr>
            </w:pPr>
          </w:p>
        </w:tc>
      </w:tr>
      <w:tr>
        <w:trPr>
          <w:trHeight w:val="226"/>
        </w:trPr>
        <w:tc>
          <w:tcPr>
            <w:tcW w:w="8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9"/>
                <w:szCs w:val="19"/>
                <w:color w:val="auto"/>
              </w:rPr>
            </w:pPr>
          </w:p>
        </w:tc>
      </w:tr>
      <w:tr>
        <w:trPr>
          <w:trHeight w:val="241"/>
        </w:trPr>
        <w:tc>
          <w:tcPr>
            <w:tcW w:w="8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r>
      <w:tr>
        <w:trPr>
          <w:trHeight w:val="235"/>
        </w:trPr>
        <w:tc>
          <w:tcPr>
            <w:tcW w:w="8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95"/>
              </w:rPr>
              <w:t>127,623,442</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6"/>
              </w:rPr>
              <w:t>103,414,715</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2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7"/>
                <w:szCs w:val="17"/>
                <w:color w:val="auto"/>
              </w:rPr>
              <w:t>4,650,851</w:t>
            </w:r>
          </w:p>
        </w:tc>
        <w:tc>
          <w:tcPr>
            <w:tcW w:w="34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5,332,630</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1,306,820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1,266,654</w:t>
            </w:r>
          </w:p>
        </w:tc>
      </w:tr>
      <w:tr>
        <w:trPr>
          <w:trHeight w:val="209"/>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90,182,324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6"/>
              </w:rPr>
              <w:t>58,295,205</w:t>
            </w:r>
          </w:p>
        </w:tc>
      </w:tr>
      <w:tr>
        <w:trPr>
          <w:trHeight w:val="209"/>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Acquisition costs and other underwriting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Commission expense</w:t>
            </w:r>
          </w:p>
        </w:tc>
        <w:tc>
          <w:tcPr>
            <w:tcW w:w="2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7"/>
                <w:szCs w:val="17"/>
                <w:color w:val="auto"/>
              </w:rPr>
              <w:t>30,193,175</w:t>
            </w:r>
          </w:p>
        </w:tc>
        <w:tc>
          <w:tcPr>
            <w:tcW w:w="34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w w:val="96"/>
              </w:rPr>
              <w:t>25,342,137</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24,420,208</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6"/>
              </w:rPr>
              <w:t>20,943,342</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acquisition costs and other</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54,613,383</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6"/>
              </w:rPr>
              <w:t>46,285,479</w:t>
            </w:r>
          </w:p>
        </w:tc>
      </w:tr>
      <w:tr>
        <w:trPr>
          <w:trHeight w:val="209"/>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Underwriting (loss) income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9"/>
              </w:rPr>
              <w:t>(11,214,594)</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5,433,315</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Key Measures: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Net loss ratio excluding the effect of catastrophes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catastrophe loss on net loss ratio (1)</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Net loss ratio</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Net underwriting expense ratio excluding the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 of catastrophes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Effect of catastrophe loss on net underwriting</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expense ratio (2)</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Net combined ratio excluding the effect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of catastrophes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Effect of catastrophe loss on net combined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ratio (1) (2)</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Net combined ratio</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Reconciliation of net underwriting expense ratio:</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Acquisition costs and other</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underwriting expenses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54,613,383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46,285,479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Ceding commission revenue (2)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(4,650,851)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Less: Other income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(1,306,820)</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48,655,712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39,686,195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earned premium</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95"/>
              </w:rPr>
              <w:t>127,623,442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5"/>
              </w:rPr>
              <w:t>103,414,715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Underwriting Expense Ratio</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right="20" w:hanging="322"/>
        <w:spacing w:after="0" w:line="26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year ended December 31, 2019 and 2018, includes the sum of net catastrophe losses and loss adjustment expenses of $7,694,817 and $6,227,883, respectively.</w:t>
      </w:r>
    </w:p>
    <w:p>
      <w:pPr>
        <w:ind w:left="640" w:right="20" w:hanging="322"/>
        <w:spacing w:after="0" w:line="30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year ended December 31, 2018, the effect of catastrophe loss on our net underwriting expense ratio includes the direct effect of reduced contingent ceding commission revenue by $459,068 and does not include the indirect effects of a $124,817 decrease in other underwriting expenses.</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Investments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a breakdown of the amortized cost, aggregate estimated fair value and unrealized gains and losses by investment type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and 2018:</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Available-for-Sale Securities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Gross Unrealized Losses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4"/>
                <w:szCs w:val="2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More than</w:t>
            </w: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13"/>
                <w:szCs w:val="13"/>
                <w:color w:val="auto"/>
              </w:rPr>
            </w:pPr>
          </w:p>
        </w:tc>
        <w:tc>
          <w:tcPr>
            <w:tcW w:w="100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20"/>
              <w:spacing w:after="0" w:line="157"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260"/>
              <w:spacing w:after="0" w:line="157" w:lineRule="exact"/>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68"/>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450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0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  7,037,856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23,244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  7,061,100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120" w:type="dxa"/>
            <w:vAlign w:val="bottom"/>
            <w:gridSpan w:val="2"/>
          </w:tcPr>
          <w:p>
            <w:pPr>
              <w:jc w:val="right"/>
              <w:ind w:right="28"/>
              <w:spacing w:after="0"/>
              <w:rPr>
                <w:sz w:val="20"/>
                <w:szCs w:val="20"/>
                <w:color w:val="auto"/>
              </w:rPr>
            </w:pPr>
            <w:r>
              <w:rPr>
                <w:rFonts w:ascii="Arial" w:cs="Arial" w:eastAsia="Arial" w:hAnsi="Arial"/>
                <w:sz w:val="17"/>
                <w:szCs w:val="17"/>
                <w:color w:val="auto"/>
              </w:rPr>
              <w:t>9,151,293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181,835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7"/>
                <w:szCs w:val="17"/>
                <w:color w:val="auto"/>
                <w:w w:val="97"/>
              </w:rPr>
              <w:t>(11,316)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
              <w:spacing w:after="0"/>
              <w:rPr>
                <w:sz w:val="20"/>
                <w:szCs w:val="20"/>
                <w:color w:val="auto"/>
              </w:rPr>
            </w:pPr>
            <w:r>
              <w:rPr>
                <w:rFonts w:ascii="Arial" w:cs="Arial" w:eastAsia="Arial" w:hAnsi="Arial"/>
                <w:sz w:val="17"/>
                <w:szCs w:val="17"/>
                <w:color w:val="auto"/>
              </w:rPr>
              <w:t>9,321,812</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119,874,573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5,777,624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7"/>
              </w:rPr>
              <w:t>(16,685)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(13,473)</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125,622,039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1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7"/>
                <w:szCs w:val="17"/>
                <w:color w:val="auto"/>
              </w:rPr>
              <w:t>26,138,633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437,841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7"/>
              </w:rPr>
              <w:t>(68,793)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(276,451)</w:t>
            </w:r>
          </w:p>
        </w:tc>
        <w:tc>
          <w:tcPr>
            <w:tcW w:w="11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7"/>
                <w:szCs w:val="17"/>
                <w:color w:val="auto"/>
              </w:rPr>
              <w:t>26,231,230</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fixed-maturity securities</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7"/>
                <w:szCs w:val="17"/>
                <w:color w:val="auto"/>
                <w:w w:val="96"/>
              </w:rPr>
              <w:t>$162,202,355</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6,420,544</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7"/>
              </w:rPr>
              <w:t>(96,794)</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(289,924)</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7"/>
                <w:szCs w:val="17"/>
                <w:color w:val="auto"/>
                <w:w w:val="96"/>
              </w:rPr>
              <w:t>$168,236,181</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57"/>
        <w:spacing w:after="0" w:line="264" w:lineRule="auto"/>
        <w:tabs>
          <w:tab w:leader="none" w:pos="3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FHLBNY. As of December 31, 2019, the estimated fair value of the eligible investments was $7,284,000. KICO will retain all rights regarding all securities if pledged as collateral. As of December 31, 2019, there was no outstanding balance on the FHLBNY credit line.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2018</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More than</w:t>
            </w:r>
          </w:p>
        </w:tc>
        <w:tc>
          <w:tcPr>
            <w:tcW w:w="12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7"/>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13"/>
                <w:szCs w:val="13"/>
                <w:color w:val="auto"/>
              </w:rPr>
            </w:pPr>
          </w:p>
        </w:tc>
        <w:tc>
          <w:tcPr>
            <w:tcW w:w="100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20"/>
              <w:spacing w:after="0" w:line="157"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w w:val="89"/>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12</w:t>
            </w:r>
          </w:p>
        </w:tc>
        <w:tc>
          <w:tcPr>
            <w:tcW w:w="120" w:type="dxa"/>
            <w:vAlign w:val="bottom"/>
          </w:tcPr>
          <w:p>
            <w:pPr>
              <w:spacing w:after="0"/>
              <w:rPr>
                <w:sz w:val="13"/>
                <w:szCs w:val="13"/>
                <w:color w:val="auto"/>
              </w:rPr>
            </w:pPr>
          </w:p>
        </w:tc>
        <w:tc>
          <w:tcPr>
            <w:tcW w:w="1000" w:type="dxa"/>
            <w:vAlign w:val="bottom"/>
          </w:tcPr>
          <w:p>
            <w:pPr>
              <w:jc w:val="center"/>
              <w:ind w:right="68"/>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450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0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  8,222,050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26,331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  8,220,381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120" w:type="dxa"/>
            <w:vAlign w:val="bottom"/>
            <w:gridSpan w:val="2"/>
          </w:tcPr>
          <w:p>
            <w:pPr>
              <w:jc w:val="right"/>
              <w:ind w:right="28"/>
              <w:spacing w:after="0"/>
              <w:rPr>
                <w:sz w:val="20"/>
                <w:szCs w:val="20"/>
                <w:color w:val="auto"/>
              </w:rPr>
            </w:pPr>
            <w:r>
              <w:rPr>
                <w:rFonts w:ascii="Arial" w:cs="Arial" w:eastAsia="Arial" w:hAnsi="Arial"/>
                <w:sz w:val="17"/>
                <w:szCs w:val="17"/>
                <w:color w:val="auto"/>
              </w:rPr>
              <w:t>6,339,540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50,903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(36,508)</w:t>
            </w:r>
          </w:p>
        </w:tc>
        <w:tc>
          <w:tcPr>
            <w:tcW w:w="1120" w:type="dxa"/>
            <w:vAlign w:val="bottom"/>
            <w:gridSpan w:val="2"/>
          </w:tcPr>
          <w:p>
            <w:pPr>
              <w:jc w:val="right"/>
              <w:ind w:right="48"/>
              <w:spacing w:after="0"/>
              <w:rPr>
                <w:sz w:val="20"/>
                <w:szCs w:val="20"/>
                <w:color w:val="auto"/>
              </w:rPr>
            </w:pPr>
            <w:r>
              <w:rPr>
                <w:rFonts w:ascii="Arial" w:cs="Arial" w:eastAsia="Arial" w:hAnsi="Arial"/>
                <w:sz w:val="17"/>
                <w:szCs w:val="17"/>
                <w:color w:val="auto"/>
              </w:rPr>
              <w:t>6,341,608</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119,078,698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123,740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(2,775,540)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(676,605)</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115,750,293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1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7"/>
                <w:szCs w:val="17"/>
                <w:color w:val="auto"/>
              </w:rPr>
              <w:t>21,790,973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236,502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(331,012)</w:t>
            </w:r>
          </w:p>
        </w:tc>
        <w:tc>
          <w:tcPr>
            <w:tcW w:w="11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7"/>
                <w:szCs w:val="17"/>
                <w:color w:val="auto"/>
              </w:rPr>
              <w:t>21,465,234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fixed-maturity securities</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7"/>
                <w:szCs w:val="17"/>
                <w:color w:val="auto"/>
                <w:w w:val="96"/>
              </w:rPr>
              <w:t>$155,431,261</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437,476</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(3,047,096)</w:t>
            </w:r>
          </w:p>
        </w:tc>
        <w:tc>
          <w:tcPr>
            <w:tcW w:w="2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(1,044,125)</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7"/>
                <w:szCs w:val="17"/>
                <w:color w:val="auto"/>
                <w:w w:val="96"/>
              </w:rPr>
              <w:t>$151,777,516</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5"/>
        <w:spacing w:after="0" w:line="264" w:lineRule="auto"/>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FHLBNY. As of December 31, 2018, the estimated fair value of the eligible investments was $5,116,000. KICO will retain all rights regarding all securities if pledged as collateral. As of December 31, 2018, there was no outstanding balance on the FHLBNY credit line.</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80"/>
          </w:cols>
          <w:pgMar w:left="320" w:top="428" w:right="299" w:bottom="1440" w:gutter="0" w:footer="0" w:header="0"/>
        </w:sectPr>
      </w:pPr>
    </w:p>
    <w:bookmarkStart w:id="40" w:name="page41"/>
    <w:bookmarkEnd w:id="40"/>
    <w:p>
      <w:pPr>
        <w:ind w:left="640"/>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jc w:val="both"/>
        <w:ind w:right="40" w:firstLine="627"/>
        <w:spacing w:after="0" w:line="281" w:lineRule="auto"/>
        <w:rPr>
          <w:sz w:val="20"/>
          <w:szCs w:val="20"/>
          <w:color w:val="auto"/>
        </w:rPr>
      </w:pPr>
      <w:r>
        <w:rPr>
          <w:rFonts w:ascii="Arial" w:cs="Arial" w:eastAsia="Arial" w:hAnsi="Arial"/>
          <w:sz w:val="17"/>
          <w:szCs w:val="17"/>
          <w:color w:val="auto"/>
        </w:rPr>
        <w:t>The following table presents a breakdown of the cost, estimated fair value, and gross gains and losses of investments in equity securities as of December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35"/>
        </w:trPr>
        <w:tc>
          <w:tcPr>
            <w:tcW w:w="56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226"/>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8,374,424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339,257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8,701,887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7"/>
                <w:szCs w:val="17"/>
                <w:color w:val="auto"/>
              </w:rPr>
              <w:t>Common stocks and exchange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traded mutual funds</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14,250,244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95"/>
              </w:rPr>
              <w:t>1,982,878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(273,627)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89"/>
              </w:rPr>
              <w:t>15,959,495</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1"/>
              </w:rPr>
              <w:t>22,624,668</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95"/>
              </w:rPr>
              <w:t>2,322,135</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(285,421)</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89"/>
              </w:rPr>
              <w:t>24,661,382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35"/>
        </w:trPr>
        <w:tc>
          <w:tcPr>
            <w:tcW w:w="56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226"/>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6,694,754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(541,798)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6,152,956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60"/>
              <w:spacing w:after="0"/>
              <w:rPr>
                <w:sz w:val="20"/>
                <w:szCs w:val="20"/>
                <w:color w:val="auto"/>
              </w:rPr>
            </w:pPr>
            <w:r>
              <w:rPr>
                <w:rFonts w:ascii="Arial" w:cs="Arial" w:eastAsia="Arial" w:hAnsi="Arial"/>
                <w:sz w:val="17"/>
                <w:szCs w:val="17"/>
                <w:color w:val="auto"/>
              </w:rPr>
              <w:t>Common stocks and exchange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traded mutual funds</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11,611,232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99,817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(1,291,389)</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89"/>
              </w:rPr>
              <w:t>10,419,660</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1"/>
              </w:rPr>
              <w:t>18,305,986</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99,817</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(1,833,187)</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89"/>
              </w:rPr>
              <w:t>16,572,616</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940"/>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jc w:val="both"/>
        <w:ind w:right="40" w:firstLine="941"/>
        <w:spacing w:after="0" w:line="264" w:lineRule="auto"/>
        <w:rPr>
          <w:sz w:val="20"/>
          <w:szCs w:val="20"/>
          <w:color w:val="auto"/>
        </w:rPr>
      </w:pPr>
      <w:r>
        <w:rPr>
          <w:rFonts w:ascii="Arial" w:cs="Arial" w:eastAsia="Arial" w:hAnsi="Arial"/>
          <w:sz w:val="17"/>
          <w:szCs w:val="17"/>
          <w:color w:val="auto"/>
        </w:rPr>
        <w:t>Pursuant to the definition of “Fair Value Measurement,” set forth in the Accounting Standards Codification 820 “Fair Value Measurement” (“ASC 820”)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losses of our other investments as of December 31, 2019 and 2018:</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9"/>
              </w:rPr>
              <w:t>December 31, 2018</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8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Estimated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226"/>
        </w:trPr>
        <w:tc>
          <w:tcPr>
            <w:tcW w:w="4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469"/>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4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585,532</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2,584,913</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95"/>
              </w:rPr>
              <w:t>1,999,381</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6"/>
              </w:rPr>
              <w:t>(144,156)</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1,855,225</w:t>
            </w: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1,999,381</w:t>
            </w: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585,532</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2,584,913</w:t>
            </w: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95"/>
              </w:rPr>
              <w:t>1,999,381</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6"/>
              </w:rPr>
              <w:t>(144,156)</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1,855,225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40</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497" w:right="299" w:bottom="1440" w:gutter="0" w:footer="0" w:header="0"/>
        </w:sectPr>
      </w:pPr>
    </w:p>
    <w:bookmarkStart w:id="41" w:name="page42"/>
    <w:bookmarkEnd w:id="41"/>
    <w:p>
      <w:pPr>
        <w:ind w:left="640"/>
        <w:spacing w:after="0"/>
        <w:rPr>
          <w:sz w:val="20"/>
          <w:szCs w:val="20"/>
          <w:color w:val="auto"/>
        </w:rPr>
      </w:pPr>
      <w:r>
        <w:rPr>
          <w:rFonts w:ascii="Arial" w:cs="Arial" w:eastAsia="Arial" w:hAnsi="Arial"/>
          <w:sz w:val="17"/>
          <w:szCs w:val="17"/>
          <w:u w:val="single" w:color="auto"/>
          <w:color w:val="auto"/>
        </w:rPr>
        <w:t>Held-to-Maturity Securities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0"/>
              </w:rPr>
              <w:t>Gross Unrealized Losses</w:t>
            </w:r>
          </w:p>
        </w:tc>
        <w:tc>
          <w:tcPr>
            <w:tcW w:w="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4"/>
                <w:szCs w:val="2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More than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41"/>
              <w:spacing w:after="0" w:line="157"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21"/>
              <w:spacing w:after="0" w:line="157"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42"/>
              <w:spacing w:after="0" w:line="157" w:lineRule="exact"/>
              <w:rPr>
                <w:sz w:val="20"/>
                <w:szCs w:val="20"/>
                <w:color w:val="auto"/>
              </w:rPr>
            </w:pPr>
            <w:r>
              <w:rPr>
                <w:rFonts w:ascii="Arial" w:cs="Arial" w:eastAsia="Arial" w:hAnsi="Arial"/>
                <w:sz w:val="14"/>
                <w:szCs w:val="14"/>
                <w:b w:val="1"/>
                <w:bCs w:val="1"/>
                <w:color w:val="auto"/>
                <w:w w:val="89"/>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12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729,550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151,002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880,552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998,619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51,021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1,049,640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2,097,783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97,627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2,194,575</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3,825,952</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299,650</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4,124,767</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4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Gross Unrealized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8"/>
                <w:szCs w:val="18"/>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More than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41"/>
              <w:spacing w:after="0" w:line="157"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21"/>
              <w:spacing w:after="0" w:line="157"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42"/>
              <w:spacing w:after="0" w:line="157" w:lineRule="exact"/>
              <w:rPr>
                <w:sz w:val="20"/>
                <w:szCs w:val="20"/>
                <w:color w:val="auto"/>
              </w:rPr>
            </w:pPr>
            <w:r>
              <w:rPr>
                <w:rFonts w:ascii="Arial" w:cs="Arial" w:eastAsia="Arial" w:hAnsi="Arial"/>
                <w:sz w:val="14"/>
                <w:szCs w:val="14"/>
                <w:b w:val="1"/>
                <w:bCs w:val="1"/>
                <w:color w:val="auto"/>
                <w:w w:val="89"/>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12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729,507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147,532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873,075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998,803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33,862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1,032,665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2,494,545</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38,461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(10,905)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2,520,676</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4,222,855</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219,855</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(10,905)</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4,426,416</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Held-to-maturity U.S. Treasury securities are held in trust pursuant to various states’ minimum fund requirements.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80"/>
          </w:cols>
          <w:pgMar w:left="320" w:top="497" w:right="299" w:bottom="1440" w:gutter="0" w:footer="0" w:header="0"/>
        </w:sectPr>
      </w:pPr>
    </w:p>
    <w:bookmarkStart w:id="42" w:name="page43"/>
    <w:bookmarkEnd w:id="42"/>
    <w:p>
      <w:pPr>
        <w:ind w:right="40" w:firstLine="627"/>
        <w:spacing w:after="0" w:line="281" w:lineRule="auto"/>
        <w:rPr>
          <w:sz w:val="20"/>
          <w:szCs w:val="20"/>
          <w:color w:val="auto"/>
        </w:rPr>
      </w:pPr>
      <w:r>
        <w:rPr>
          <w:rFonts w:ascii="Arial" w:cs="Arial" w:eastAsia="Arial" w:hAnsi="Arial"/>
          <w:sz w:val="17"/>
          <w:szCs w:val="17"/>
          <w:color w:val="auto"/>
        </w:rPr>
        <w:t>A summary of the amortized cost and estimated fair value of our investments in held-to-maturity securities by contractual maturity as of December 31, 2019 and 2018 is shown below:</w:t>
      </w:r>
    </w:p>
    <w:p>
      <w:pPr>
        <w:sectPr>
          <w:pgSz w:w="11900" w:h="16838" w:orient="portrait"/>
          <w:cols w:equalWidth="0" w:num="1">
            <w:col w:w="11260"/>
          </w:cols>
          <w:pgMar w:left="320" w:top="49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Remaining Time to Maturit</w:t>
      </w:r>
      <w:r>
        <w:rPr>
          <w:rFonts w:ascii="Arial" w:cs="Arial" w:eastAsia="Arial" w:hAnsi="Arial"/>
          <w:sz w:val="17"/>
          <w:szCs w:val="17"/>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71792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17925" cy="1651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More than 10 years</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75" w:lineRule="exact"/>
        <w:rPr>
          <w:sz w:val="20"/>
          <w:szCs w:val="20"/>
          <w:color w:val="auto"/>
        </w:rPr>
      </w:pPr>
    </w:p>
    <w:p>
      <w:pPr>
        <w:jc w:val="right"/>
        <w:ind w:right="152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December 31, 2018</w:t>
            </w:r>
          </w:p>
        </w:tc>
      </w:tr>
      <w:tr>
        <w:trPr>
          <w:trHeight w:val="27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w w:val="98"/>
              </w:rPr>
              <w:t>Estimated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Estimated</w:t>
            </w:r>
          </w:p>
        </w:tc>
      </w:tr>
      <w:tr>
        <w:trPr>
          <w:trHeight w:val="226"/>
        </w:trPr>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r>
      <w:tr>
        <w:trPr>
          <w:trHeight w:val="436"/>
        </w:trPr>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500,000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499,165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09"/>
        </w:trPr>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2,099,268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2,215,640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2,996,685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3,036,531</w:t>
            </w:r>
          </w:p>
        </w:tc>
      </w:tr>
      <w:tr>
        <w:trPr>
          <w:trHeight w:val="209"/>
        </w:trPr>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620,134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655,923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619,663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635,846</w:t>
            </w:r>
          </w:p>
        </w:tc>
      </w:tr>
      <w:tr>
        <w:trPr>
          <w:trHeight w:val="224"/>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606,550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754,039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606,507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754,039</w:t>
            </w:r>
          </w:p>
        </w:tc>
      </w:tr>
      <w:tr>
        <w:trPr>
          <w:trHeight w:val="209"/>
        </w:trPr>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3,825,952</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4,124,767</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4,222,855</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4,426,416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-713105</wp:posOffset>
            </wp:positionV>
            <wp:extent cx="7136765" cy="132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-447675</wp:posOffset>
            </wp:positionV>
            <wp:extent cx="7136765" cy="132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-165100</wp:posOffset>
            </wp:positionV>
            <wp:extent cx="7136765" cy="165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5140" w:space="720"/>
            <w:col w:w="5400"/>
          </w:cols>
          <w:pgMar w:left="320" w:top="497" w:right="319" w:bottom="1440" w:gutter="0" w:footer="0" w:header="0"/>
          <w:type w:val="continuous"/>
        </w:sectPr>
      </w:pPr>
    </w:p>
    <w:p>
      <w:pPr>
        <w:ind w:right="20" w:firstLine="627"/>
        <w:spacing w:after="0" w:line="281" w:lineRule="auto"/>
        <w:rPr>
          <w:sz w:val="20"/>
          <w:szCs w:val="20"/>
          <w:color w:val="auto"/>
        </w:rPr>
      </w:pPr>
      <w:r>
        <w:rPr>
          <w:rFonts w:ascii="Arial" w:cs="Arial" w:eastAsia="Arial" w:hAnsi="Arial"/>
          <w:sz w:val="17"/>
          <w:szCs w:val="17"/>
          <w:color w:val="auto"/>
        </w:rPr>
        <w:t>The table below summarizes the credit quality of our available-for-sale fixed-maturity securities as of December 31, 2019 and 2018 as rated by Standard and Poor’s (or, if unavailable from Standard and Poor’s, then Moody’s or Fitch):</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21"/>
                <w:szCs w:val="21"/>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235"/>
        </w:trPr>
        <w:tc>
          <w:tcPr>
            <w:tcW w:w="4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rPr>
              <w:t>Fair Market</w:t>
            </w:r>
          </w:p>
        </w:tc>
        <w:tc>
          <w:tcPr>
            <w:tcW w:w="1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Market</w:t>
            </w:r>
          </w:p>
        </w:tc>
        <w:tc>
          <w:tcPr>
            <w:tcW w:w="140" w:type="dxa"/>
            <w:vAlign w:val="bottom"/>
          </w:tcPr>
          <w:p>
            <w:pPr>
              <w:spacing w:after="0"/>
              <w:rPr>
                <w:sz w:val="20"/>
                <w:szCs w:val="20"/>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rPr>
              <w:t>Fair Market</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226"/>
        </w:trPr>
        <w:tc>
          <w:tcPr>
            <w:tcW w:w="4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9"/>
                <w:szCs w:val="19"/>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3"/>
        </w:trPr>
        <w:tc>
          <w:tcPr>
            <w:tcW w:w="44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Rating</w:t>
            </w: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7,061,100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8,220,381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municipal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AAA</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1,996,676</w:t>
            </w:r>
          </w:p>
        </w:tc>
        <w:tc>
          <w:tcPr>
            <w:tcW w:w="1480" w:type="dxa"/>
            <w:vAlign w:val="bottom"/>
            <w:gridSpan w:val="3"/>
          </w:tcPr>
          <w:p>
            <w:pPr>
              <w:jc w:val="right"/>
              <w:ind w:right="12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979,123</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8,809,480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8,350,910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34,636,236</w:t>
            </w:r>
          </w:p>
        </w:tc>
        <w:tc>
          <w:tcPr>
            <w:tcW w:w="1480" w:type="dxa"/>
            <w:vAlign w:val="bottom"/>
            <w:gridSpan w:val="3"/>
          </w:tcPr>
          <w:p>
            <w:pPr>
              <w:jc w:val="right"/>
              <w:ind w:right="120"/>
              <w:spacing w:after="0"/>
              <w:rPr>
                <w:sz w:val="20"/>
                <w:szCs w:val="20"/>
                <w:color w:val="auto"/>
              </w:rPr>
            </w:pPr>
            <w:r>
              <w:rPr>
                <w:rFonts w:ascii="Arial" w:cs="Arial" w:eastAsia="Arial" w:hAnsi="Arial"/>
                <w:sz w:val="17"/>
                <w:szCs w:val="17"/>
                <w:color w:val="auto"/>
              </w:rPr>
              <w:t>20.6%</w:t>
            </w:r>
          </w:p>
        </w:tc>
        <w:tc>
          <w:tcPr>
            <w:tcW w:w="14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27,665,961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BBB</w:t>
            </w: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89,501,460</w:t>
            </w:r>
          </w:p>
        </w:tc>
        <w:tc>
          <w:tcPr>
            <w:tcW w:w="14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53.2%</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85,095,907</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360"/>
              <w:spacing w:after="0"/>
              <w:rPr>
                <w:sz w:val="20"/>
                <w:szCs w:val="20"/>
                <w:color w:val="auto"/>
              </w:rPr>
            </w:pPr>
            <w:r>
              <w:rPr>
                <w:rFonts w:ascii="Arial" w:cs="Arial" w:eastAsia="Arial" w:hAnsi="Arial"/>
                <w:sz w:val="17"/>
                <w:szCs w:val="17"/>
                <w:color w:val="auto"/>
              </w:rPr>
              <w:t>Total corporate and municipal bonds</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9"/>
              </w:rPr>
              <w:t>134,943,852</w:t>
            </w: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80.2%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97"/>
              </w:rPr>
              <w:t>122,091,901</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AAA</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2,976,306</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999,640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AA</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18,440,382</w:t>
            </w:r>
          </w:p>
        </w:tc>
        <w:tc>
          <w:tcPr>
            <w:tcW w:w="1480" w:type="dxa"/>
            <w:vAlign w:val="bottom"/>
            <w:gridSpan w:val="3"/>
          </w:tcPr>
          <w:p>
            <w:pPr>
              <w:jc w:val="right"/>
              <w:ind w:right="12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12,743,906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2,471,761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4,777,356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CCC</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1,174,273</w:t>
            </w:r>
          </w:p>
        </w:tc>
        <w:tc>
          <w:tcPr>
            <w:tcW w:w="1480" w:type="dxa"/>
            <w:vAlign w:val="bottom"/>
            <w:gridSpan w:val="3"/>
          </w:tcPr>
          <w:p>
            <w:pPr>
              <w:jc w:val="right"/>
              <w:ind w:right="120"/>
              <w:spacing w:after="0"/>
              <w:rPr>
                <w:sz w:val="20"/>
                <w:szCs w:val="20"/>
                <w:color w:val="auto"/>
              </w:rPr>
            </w:pPr>
            <w:r>
              <w:rPr>
                <w:rFonts w:ascii="Arial" w:cs="Arial" w:eastAsia="Arial" w:hAnsi="Arial"/>
                <w:sz w:val="17"/>
                <w:szCs w:val="17"/>
                <w:color w:val="auto"/>
              </w:rPr>
              <w:t>0.7%</w:t>
            </w:r>
          </w:p>
        </w:tc>
        <w:tc>
          <w:tcPr>
            <w:tcW w:w="14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1,440,825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CC</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86,461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109,648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C</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17,813</w:t>
            </w:r>
          </w:p>
        </w:tc>
        <w:tc>
          <w:tcPr>
            <w:tcW w:w="1480" w:type="dxa"/>
            <w:vAlign w:val="bottom"/>
            <w:gridSpan w:val="3"/>
          </w:tcPr>
          <w:p>
            <w:pPr>
              <w:jc w:val="right"/>
              <w:ind w:right="120"/>
              <w:spacing w:after="0"/>
              <w:rPr>
                <w:sz w:val="20"/>
                <w:szCs w:val="20"/>
                <w:color w:val="auto"/>
              </w:rPr>
            </w:pPr>
            <w:r>
              <w:rPr>
                <w:rFonts w:ascii="Arial" w:cs="Arial" w:eastAsia="Arial" w:hAnsi="Arial"/>
                <w:sz w:val="17"/>
                <w:szCs w:val="17"/>
                <w:color w:val="auto"/>
              </w:rPr>
              <w:t>0.0%</w:t>
            </w:r>
          </w:p>
        </w:tc>
        <w:tc>
          <w:tcPr>
            <w:tcW w:w="14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24,050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215,015</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390,542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200"/>
              <w:spacing w:after="0"/>
              <w:rPr>
                <w:sz w:val="20"/>
                <w:szCs w:val="20"/>
                <w:color w:val="auto"/>
              </w:rPr>
            </w:pPr>
            <w:r>
              <w:rPr>
                <w:rFonts w:ascii="Arial" w:cs="Arial" w:eastAsia="Arial" w:hAnsi="Arial"/>
                <w:sz w:val="17"/>
                <w:szCs w:val="17"/>
                <w:color w:val="auto"/>
              </w:rPr>
              <w:t>Non rated</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849,218</w:t>
            </w: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0.5%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979,267</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residential mortgage backed securities</w:t>
            </w: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26,231,229</w:t>
            </w:r>
          </w:p>
        </w:tc>
        <w:tc>
          <w:tcPr>
            <w:tcW w:w="14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15.6%</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21,465,234</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Total</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99"/>
              </w:rPr>
              <w:t>168,236,181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97"/>
              </w:rPr>
              <w:t>151,777,516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6"/>
        </w:trPr>
        <w:tc>
          <w:tcPr>
            <w:tcW w:w="444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jc w:val="right"/>
              <w:ind w:right="75"/>
              <w:spacing w:after="0"/>
              <w:rPr>
                <w:sz w:val="20"/>
                <w:szCs w:val="20"/>
                <w:color w:val="auto"/>
              </w:rPr>
            </w:pPr>
            <w:r>
              <w:rPr>
                <w:rFonts w:ascii="Arial" w:cs="Arial" w:eastAsia="Arial" w:hAnsi="Arial"/>
                <w:sz w:val="17"/>
                <w:szCs w:val="17"/>
                <w:color w:val="auto"/>
              </w:rPr>
              <w:t>42</w:t>
            </w: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97" w:right="319" w:bottom="1440" w:gutter="0" w:footer="0" w:header="0"/>
          <w:type w:val="continuous"/>
        </w:sectPr>
      </w:pPr>
    </w:p>
    <w:bookmarkStart w:id="43" w:name="page44"/>
    <w:bookmarkEnd w:id="43"/>
    <w:p>
      <w:pPr>
        <w:ind w:left="640"/>
        <w:spacing w:after="0"/>
        <w:rPr>
          <w:sz w:val="20"/>
          <w:szCs w:val="20"/>
          <w:color w:val="auto"/>
        </w:rPr>
      </w:pPr>
      <w:r>
        <w:rPr>
          <w:rFonts w:ascii="Arial" w:cs="Arial" w:eastAsia="Arial" w:hAnsi="Arial"/>
          <w:sz w:val="17"/>
          <w:szCs w:val="17"/>
          <w:color w:val="auto"/>
        </w:rPr>
        <w:t>The table below details the average yield by type of fixed-maturity security as of December 31,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vMerge w:val="restart"/>
          </w:tcPr>
          <w:p>
            <w:pPr>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60" w:type="dxa"/>
            <w:vAlign w:val="bottom"/>
            <w:vMerge w:val="continue"/>
          </w:tcPr>
          <w:p>
            <w:pPr>
              <w:spacing w:after="0"/>
              <w:rPr>
                <w:sz w:val="15"/>
                <w:szCs w:val="15"/>
                <w:color w:val="auto"/>
              </w:rPr>
            </w:pP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5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56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460" w:type="dxa"/>
            <w:vAlign w:val="bottom"/>
            <w:gridSpan w:val="3"/>
          </w:tcPr>
          <w:p>
            <w:pPr>
              <w:jc w:val="right"/>
              <w:ind w:right="120"/>
              <w:spacing w:after="0"/>
              <w:rPr>
                <w:sz w:val="20"/>
                <w:szCs w:val="20"/>
                <w:color w:val="auto"/>
              </w:rPr>
            </w:pPr>
            <w:r>
              <w:rPr>
                <w:rFonts w:ascii="Arial" w:cs="Arial" w:eastAsia="Arial" w:hAnsi="Arial"/>
                <w:sz w:val="17"/>
                <w:szCs w:val="17"/>
                <w:color w:val="auto"/>
              </w:rPr>
              <w:t>3.26%</w:t>
            </w:r>
          </w:p>
        </w:tc>
        <w:tc>
          <w:tcPr>
            <w:tcW w:w="1220" w:type="dxa"/>
            <w:vAlign w:val="bottom"/>
          </w:tcPr>
          <w:p>
            <w:pPr>
              <w:jc w:val="right"/>
              <w:spacing w:after="0"/>
              <w:rPr>
                <w:sz w:val="20"/>
                <w:szCs w:val="20"/>
                <w:color w:val="auto"/>
              </w:rPr>
            </w:pPr>
            <w:r>
              <w:rPr>
                <w:rFonts w:ascii="Arial" w:cs="Arial" w:eastAsia="Arial" w:hAnsi="Arial"/>
                <w:sz w:val="17"/>
                <w:szCs w:val="17"/>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3.73%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2.01%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3.37%</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December 31,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effective maturity</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4.8</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5.6</w:t>
            </w: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final maturity</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6.3</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6.9</w:t>
            </w: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Effective duration</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4.3</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4.6</w:t>
            </w: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57" w:lineRule="exact"/>
        <w:rPr>
          <w:sz w:val="20"/>
          <w:szCs w:val="20"/>
          <w:color w:val="auto"/>
        </w:rPr>
      </w:pPr>
    </w:p>
    <w:p>
      <w:pPr>
        <w:jc w:val="both"/>
        <w:ind w:right="20" w:firstLine="627"/>
        <w:spacing w:after="0" w:line="29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2019 and December 31, 2018, 80% and 81%, respectively, of the investment portfolio recorded at fair value was priced based upon quoted market prices.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sectPr>
      </w:pPr>
    </w:p>
    <w:bookmarkStart w:id="44" w:name="page45"/>
    <w:bookmarkEnd w:id="44"/>
    <w:p>
      <w:pPr>
        <w:ind w:right="520" w:firstLine="627"/>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December 31, 2019 and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w w:val="99"/>
              </w:rPr>
              <w:t>Less than 12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12 months or more</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2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226"/>
        </w:trPr>
        <w:tc>
          <w:tcPr>
            <w:tcW w:w="2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486"/>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4"/>
                <w:szCs w:val="14"/>
                <w:color w:val="auto"/>
              </w:rPr>
              <w:t>U.S. Treasury 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4"/>
                <w:szCs w:val="14"/>
                <w:color w:val="auto"/>
              </w:rPr>
              <w:t>and obligations of 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60" w:type="dxa"/>
            <w:vAlign w:val="bottom"/>
          </w:tcPr>
          <w:p>
            <w:pPr>
              <w:ind w:left="40"/>
              <w:spacing w:after="0"/>
              <w:rPr>
                <w:sz w:val="20"/>
                <w:szCs w:val="20"/>
                <w:color w:val="auto"/>
              </w:rPr>
            </w:pPr>
            <w:r>
              <w:rPr>
                <w:rFonts w:ascii="Arial" w:cs="Arial" w:eastAsia="Arial" w:hAnsi="Arial"/>
                <w:sz w:val="14"/>
                <w:szCs w:val="14"/>
                <w:color w:val="auto"/>
              </w:rPr>
              <w:t>government corporations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and agencies</w:t>
            </w:r>
          </w:p>
        </w:tc>
        <w:tc>
          <w:tcPr>
            <w:tcW w:w="2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Political subdivisions of</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States, Territories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Possessions</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3,067,428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(11,316)</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3,067,428</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(11,316)</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Corporate and other</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bonds industrial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miscellaneous</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3,730,478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(16,685)</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1,300,915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(13,473)</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5,031,393</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(30,158)</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Residential mortgage and other</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asset backed 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5,862,636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(68,793)</w:t>
            </w:r>
          </w:p>
        </w:tc>
        <w:tc>
          <w:tcPr>
            <w:tcW w:w="120" w:type="dxa"/>
            <w:vAlign w:val="bottom"/>
          </w:tcPr>
          <w:p>
            <w:pPr>
              <w:spacing w:after="0"/>
              <w:rPr>
                <w:sz w:val="14"/>
                <w:szCs w:val="14"/>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13,534,768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(276,451)</w:t>
            </w:r>
          </w:p>
        </w:tc>
        <w:tc>
          <w:tcPr>
            <w:tcW w:w="100" w:type="dxa"/>
            <w:vAlign w:val="bottom"/>
          </w:tcPr>
          <w:p>
            <w:pPr>
              <w:spacing w:after="0"/>
              <w:rPr>
                <w:sz w:val="14"/>
                <w:szCs w:val="14"/>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19,397,404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(345,244)</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Total fixed-maturity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securities</w:t>
            </w: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12,660,542</w:t>
            </w:r>
          </w:p>
        </w:tc>
        <w:tc>
          <w:tcPr>
            <w:tcW w:w="3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(96,794)</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15</w:t>
            </w:r>
          </w:p>
        </w:tc>
        <w:tc>
          <w:tcPr>
            <w:tcW w:w="3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14,835,683</w:t>
            </w:r>
          </w:p>
        </w:tc>
        <w:tc>
          <w:tcPr>
            <w:tcW w:w="32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(289,924)</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24</w:t>
            </w:r>
          </w:p>
        </w:tc>
        <w:tc>
          <w:tcPr>
            <w:tcW w:w="3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27,496,225</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(386,718)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Less than 12 months</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6"/>
              </w:rPr>
              <w:t>12 months or more</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2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226"/>
        </w:trPr>
        <w:tc>
          <w:tcPr>
            <w:tcW w:w="2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83"/>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U.S. Treasury securities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and obligations of 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60" w:type="dxa"/>
            <w:vAlign w:val="bottom"/>
          </w:tcPr>
          <w:p>
            <w:pPr>
              <w:ind w:left="40"/>
              <w:spacing w:after="0"/>
              <w:rPr>
                <w:sz w:val="20"/>
                <w:szCs w:val="20"/>
                <w:color w:val="auto"/>
              </w:rPr>
            </w:pPr>
            <w:r>
              <w:rPr>
                <w:rFonts w:ascii="Arial" w:cs="Arial" w:eastAsia="Arial" w:hAnsi="Arial"/>
                <w:sz w:val="14"/>
                <w:szCs w:val="14"/>
                <w:color w:val="auto"/>
              </w:rPr>
              <w:t>government corporations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and agencies</w:t>
            </w:r>
          </w:p>
        </w:tc>
        <w:tc>
          <w:tcPr>
            <w:tcW w:w="2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4,948,530</w:t>
            </w:r>
          </w:p>
        </w:tc>
        <w:tc>
          <w:tcPr>
            <w:tcW w:w="3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(28,000)</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3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4,948,530</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Political subdivisions of</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States, Territories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Possessions</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555,375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(12,327)</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1,436,242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(36,508)</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1,991,617</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(48,835)</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Corporate and other</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bonds industrial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miscellaneous</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81,004,459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(2,775,540)</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13,424,888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(676,605)</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94,429,347</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(3,452,145)</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Residential mortgage and other</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asset backed securities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7,002,713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(231,229)</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11,928,425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(331,012)</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18,931,138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(562,241)</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40"/>
              <w:spacing w:after="0" w:line="157" w:lineRule="exact"/>
              <w:rPr>
                <w:sz w:val="20"/>
                <w:szCs w:val="20"/>
                <w:color w:val="auto"/>
              </w:rPr>
            </w:pPr>
            <w:r>
              <w:rPr>
                <w:rFonts w:ascii="Arial" w:cs="Arial" w:eastAsia="Arial" w:hAnsi="Arial"/>
                <w:sz w:val="14"/>
                <w:szCs w:val="14"/>
                <w:color w:val="auto"/>
              </w:rPr>
              <w:t>Total fixed-maturity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260" w:type="dxa"/>
            <w:vAlign w:val="bottom"/>
            <w:tcBorders>
              <w:bottom w:val="single" w:sz="8" w:color="CCEEFF"/>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securities</w:t>
            </w:r>
          </w:p>
        </w:tc>
        <w:tc>
          <w:tcPr>
            <w:tcW w:w="22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93,511,077</w:t>
            </w:r>
          </w:p>
        </w:tc>
        <w:tc>
          <w:tcPr>
            <w:tcW w:w="320" w:type="dxa"/>
            <w:vAlign w:val="bottom"/>
            <w:tcBorders>
              <w:bottom w:val="single" w:sz="8" w:color="auto"/>
            </w:tcBorders>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(3,047,096)</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110</w:t>
            </w:r>
          </w:p>
        </w:tc>
        <w:tc>
          <w:tcPr>
            <w:tcW w:w="340" w:type="dxa"/>
            <w:vAlign w:val="bottom"/>
            <w:tcBorders>
              <w:bottom w:val="single" w:sz="8" w:color="auto"/>
            </w:tcBorders>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26,789,555</w:t>
            </w:r>
          </w:p>
        </w:tc>
        <w:tc>
          <w:tcPr>
            <w:tcW w:w="320" w:type="dxa"/>
            <w:vAlign w:val="bottom"/>
            <w:tcBorders>
              <w:bottom w:val="single" w:sz="8" w:color="auto"/>
            </w:tcBorders>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(1,044,125)</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46</w:t>
            </w:r>
          </w:p>
        </w:tc>
        <w:tc>
          <w:tcPr>
            <w:tcW w:w="320" w:type="dxa"/>
            <w:vAlign w:val="bottom"/>
            <w:tcBorders>
              <w:bottom w:val="single" w:sz="8" w:color="auto"/>
            </w:tcBorders>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7"/>
              </w:rPr>
              <w:t>120,300,632</w:t>
            </w: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(4,091,221)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jc w:val="both"/>
        <w:ind w:firstLine="627"/>
        <w:spacing w:after="0" w:line="282" w:lineRule="auto"/>
        <w:rPr>
          <w:sz w:val="20"/>
          <w:szCs w:val="20"/>
          <w:color w:val="auto"/>
        </w:rPr>
      </w:pPr>
      <w:r>
        <w:rPr>
          <w:rFonts w:ascii="Arial" w:cs="Arial" w:eastAsia="Arial" w:hAnsi="Arial"/>
          <w:sz w:val="16"/>
          <w:szCs w:val="16"/>
          <w:color w:val="auto"/>
        </w:rPr>
        <w:t>There were 39 securities at December 31, 2019 that accounted for the gross unrealized loss, none of which were deemed by us to be other than temporarily impaired. There were 156 securities at December 31, 2018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2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For the year ended December 31, 2019, the primary source of cash flow for our holding company was the dividends received from KICO, subject to statutory restrictions. For the year ended December 31, 2019, KICO paid dividends of $7,000,000 to us.</w:t>
      </w:r>
    </w:p>
    <w:p>
      <w:pPr>
        <w:spacing w:after="0" w:line="10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the end of the previous quarter, which is September 30, 2019, and are due and payable within one year of borrowing. The maximum allowable advance as of December 31, 2019, based on the net admitted assets as of September 30, 2019, was approximately $11,888,000. Advances are limited to 90% of the amount of available collateral, which was approximately $6,556,000 as of December 31, 2019. There were no borrowings under this facility for the year ended December 31, 2019.</w:t>
      </w:r>
    </w:p>
    <w:p>
      <w:pPr>
        <w:spacing w:after="0" w:line="17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As of December 31, 2019, invested assets and cash in our holding company was approximately $939,000. 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104"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240"/>
          </w:cols>
          <w:pgMar w:left="320" w:top="549"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flows provided by (used in):</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Operating activities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94"/>
        <w:spacing w:after="0"/>
        <w:tabs>
          <w:tab w:leader="none" w:pos="1714"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5715</wp:posOffset>
            </wp:positionV>
            <wp:extent cx="713676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14" w:hanging="314"/>
        <w:spacing w:after="0"/>
        <w:tabs>
          <w:tab w:leader="none" w:pos="3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29,859,049   $   22,295,366</w:t>
      </w:r>
    </w:p>
    <w:p>
      <w:pPr>
        <w:spacing w:after="0" w:line="19" w:lineRule="exact"/>
        <w:rPr>
          <w:rFonts w:ascii="Arial" w:cs="Arial" w:eastAsia="Arial" w:hAnsi="Arial"/>
          <w:sz w:val="17"/>
          <w:szCs w:val="17"/>
          <w:color w:val="auto"/>
        </w:rPr>
      </w:pPr>
    </w:p>
    <w:p>
      <w:pPr>
        <w:ind w:left="254"/>
        <w:spacing w:after="0"/>
        <w:rPr>
          <w:rFonts w:ascii="Arial" w:cs="Arial" w:eastAsia="Arial" w:hAnsi="Arial"/>
          <w:sz w:val="17"/>
          <w:szCs w:val="17"/>
          <w:color w:val="auto"/>
        </w:rPr>
      </w:pPr>
      <w:r>
        <w:rPr>
          <w:rFonts w:ascii="Arial" w:cs="Arial" w:eastAsia="Arial" w:hAnsi="Arial"/>
          <w:sz w:val="17"/>
          <w:szCs w:val="17"/>
          <w:color w:val="auto"/>
        </w:rPr>
        <w:t>(14,973,699)</w:t>
      </w:r>
      <w:r>
        <w:rPr>
          <w:rFonts w:ascii="Arial" w:cs="Arial" w:eastAsia="Arial" w:hAnsi="Arial"/>
          <w:sz w:val="15"/>
          <w:szCs w:val="15"/>
          <w:color w:val="auto"/>
        </w:rPr>
        <w:t>(43,401,314)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-254635</wp:posOffset>
            </wp:positionV>
            <wp:extent cx="7136765" cy="132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966" w:space="720"/>
            <w:col w:w="2554"/>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Financing activities</w:t>
            </w:r>
          </w:p>
        </w:tc>
        <w:tc>
          <w:tcPr>
            <w:tcW w:w="38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(3,632,268)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(6,137,282)</w:t>
            </w:r>
          </w:p>
        </w:tc>
        <w:tc>
          <w:tcPr>
            <w:tcW w:w="0" w:type="dxa"/>
            <w:vAlign w:val="bottom"/>
          </w:tcPr>
          <w:p>
            <w:pPr>
              <w:spacing w:after="0"/>
              <w:rPr>
                <w:sz w:val="1"/>
                <w:szCs w:val="1"/>
                <w:color w:val="auto"/>
              </w:rPr>
            </w:pPr>
          </w:p>
        </w:tc>
      </w:tr>
      <w:tr>
        <w:trPr>
          <w:trHeight w:val="209"/>
        </w:trPr>
        <w:tc>
          <w:tcPr>
            <w:tcW w:w="4680" w:type="dxa"/>
            <w:vAlign w:val="bottom"/>
          </w:tcPr>
          <w:p>
            <w:pPr>
              <w:ind w:left="4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5240" w:type="dxa"/>
            <w:vAlign w:val="bottom"/>
            <w:gridSpan w:val="2"/>
          </w:tcPr>
          <w:p>
            <w:pPr>
              <w:jc w:val="right"/>
              <w:ind w:right="75"/>
              <w:spacing w:after="0"/>
              <w:rPr>
                <w:sz w:val="20"/>
                <w:szCs w:val="20"/>
                <w:color w:val="auto"/>
              </w:rPr>
            </w:pPr>
            <w:r>
              <w:rPr>
                <w:rFonts w:ascii="Arial" w:cs="Arial" w:eastAsia="Arial" w:hAnsi="Arial"/>
                <w:sz w:val="17"/>
                <w:szCs w:val="17"/>
                <w:color w:val="auto"/>
              </w:rPr>
              <w:t>11,253,082</w:t>
            </w:r>
          </w:p>
        </w:tc>
        <w:tc>
          <w:tcPr>
            <w:tcW w:w="1320" w:type="dxa"/>
            <w:vAlign w:val="bottom"/>
          </w:tcPr>
          <w:p>
            <w:pPr>
              <w:jc w:val="right"/>
              <w:spacing w:after="0"/>
              <w:rPr>
                <w:sz w:val="20"/>
                <w:szCs w:val="20"/>
                <w:color w:val="auto"/>
              </w:rPr>
            </w:pPr>
            <w:r>
              <w:rPr>
                <w:rFonts w:ascii="Arial" w:cs="Arial" w:eastAsia="Arial" w:hAnsi="Arial"/>
                <w:sz w:val="17"/>
                <w:szCs w:val="17"/>
                <w:color w:val="auto"/>
              </w:rPr>
              <w:t>(27,243,230)</w:t>
            </w:r>
          </w:p>
        </w:tc>
        <w:tc>
          <w:tcPr>
            <w:tcW w:w="0" w:type="dxa"/>
            <w:vAlign w:val="bottom"/>
          </w:tcPr>
          <w:p>
            <w:pPr>
              <w:spacing w:after="0"/>
              <w:rPr>
                <w:sz w:val="1"/>
                <w:szCs w:val="1"/>
                <w:color w:val="auto"/>
              </w:rPr>
            </w:pPr>
          </w:p>
        </w:tc>
      </w:tr>
      <w:tr>
        <w:trPr>
          <w:trHeight w:val="21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8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21,138,403</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48,381,633</w:t>
            </w:r>
          </w:p>
        </w:tc>
        <w:tc>
          <w:tcPr>
            <w:tcW w:w="0" w:type="dxa"/>
            <w:vAlign w:val="bottom"/>
          </w:tcPr>
          <w:p>
            <w:pPr>
              <w:spacing w:after="0"/>
              <w:rPr>
                <w:sz w:val="1"/>
                <w:szCs w:val="1"/>
                <w:color w:val="auto"/>
              </w:rPr>
            </w:pPr>
          </w:p>
        </w:tc>
      </w:tr>
      <w:tr>
        <w:trPr>
          <w:trHeight w:val="209"/>
        </w:trPr>
        <w:tc>
          <w:tcPr>
            <w:tcW w:w="468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5240" w:type="dxa"/>
            <w:vAlign w:val="bottom"/>
            <w:gridSpan w:val="2"/>
          </w:tcPr>
          <w:p>
            <w:pPr>
              <w:jc w:val="right"/>
              <w:ind w:right="75"/>
              <w:spacing w:after="0"/>
              <w:rPr>
                <w:sz w:val="20"/>
                <w:szCs w:val="20"/>
                <w:color w:val="auto"/>
              </w:rPr>
            </w:pPr>
            <w:r>
              <w:rPr>
                <w:rFonts w:ascii="Arial" w:cs="Arial" w:eastAsia="Arial" w:hAnsi="Arial"/>
                <w:sz w:val="17"/>
                <w:szCs w:val="17"/>
                <w:color w:val="auto"/>
              </w:rPr>
              <w:t>$   32,391,485</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   21,138,403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80" w:type="dxa"/>
            <w:vAlign w:val="bottom"/>
            <w:vMerge w:val="restart"/>
          </w:tcPr>
          <w:p>
            <w:pPr>
              <w:jc w:val="right"/>
              <w:ind w:right="2775"/>
              <w:spacing w:after="0"/>
              <w:rPr>
                <w:sz w:val="20"/>
                <w:szCs w:val="20"/>
                <w:color w:val="auto"/>
              </w:rPr>
            </w:pPr>
            <w:r>
              <w:rPr>
                <w:rFonts w:ascii="Arial" w:cs="Arial" w:eastAsia="Arial" w:hAnsi="Arial"/>
                <w:sz w:val="17"/>
                <w:szCs w:val="17"/>
                <w:color w:val="auto"/>
              </w:rPr>
              <w:t>45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type w:val="continuous"/>
        </w:sectPr>
      </w:pPr>
    </w:p>
    <w:bookmarkStart w:id="46" w:name="page47"/>
    <w:bookmarkEnd w:id="46"/>
    <w:p>
      <w:pPr>
        <w:jc w:val="both"/>
        <w:ind w:right="20" w:firstLine="627"/>
        <w:spacing w:after="0" w:line="264" w:lineRule="auto"/>
        <w:rPr>
          <w:sz w:val="20"/>
          <w:szCs w:val="20"/>
          <w:color w:val="auto"/>
        </w:rPr>
      </w:pPr>
      <w:r>
        <w:rPr>
          <w:rFonts w:ascii="Arial" w:cs="Arial" w:eastAsia="Arial" w:hAnsi="Arial"/>
          <w:sz w:val="17"/>
          <w:szCs w:val="17"/>
          <w:color w:val="auto"/>
        </w:rPr>
        <w:t>Net cash provided by operating activities was $29,859,000 in Year Ended 2019 as compared to $22,295,000 in Year Ended 2018. The $7,564,000 increase in cash flows provided by operating activities in Year Ended 2019 was primarily a result of a decrease in net income (adjusted for non-cash items) of $16,383,000, increases in other assets, accounts payable, accrued expenses and other liabilities of $5,924,000, offset by an increase in net cash arising from insurance related items from KICO of $18,023,000.</w:t>
      </w:r>
    </w:p>
    <w:p>
      <w:pPr>
        <w:spacing w:after="0" w:line="120" w:lineRule="exact"/>
        <w:rPr>
          <w:sz w:val="20"/>
          <w:szCs w:val="20"/>
          <w:color w:val="auto"/>
        </w:rPr>
      </w:pPr>
    </w:p>
    <w:p>
      <w:pPr>
        <w:jc w:val="both"/>
        <w:ind w:right="20" w:firstLine="627"/>
        <w:spacing w:after="0" w:line="268" w:lineRule="auto"/>
        <w:rPr>
          <w:sz w:val="20"/>
          <w:szCs w:val="20"/>
          <w:color w:val="auto"/>
        </w:rPr>
      </w:pPr>
      <w:r>
        <w:rPr>
          <w:rFonts w:ascii="Arial" w:cs="Arial" w:eastAsia="Arial" w:hAnsi="Arial"/>
          <w:sz w:val="17"/>
          <w:szCs w:val="17"/>
          <w:color w:val="auto"/>
        </w:rPr>
        <w:t>Net cash used in investing activities was $14,974,000 in Year Ended 2019 compared to $43,401,000 in Year Ended 2018. The $28,427,000 decrease in net cash used in investing activities was the result of a $38,463,000 decrease in acquisitions of invested assets and a $8,827,000 decrease in sales or maturities of invested assets.</w:t>
      </w:r>
    </w:p>
    <w:p>
      <w:pPr>
        <w:spacing w:after="0" w:line="116" w:lineRule="exact"/>
        <w:rPr>
          <w:sz w:val="20"/>
          <w:szCs w:val="20"/>
          <w:color w:val="auto"/>
        </w:rPr>
      </w:pPr>
    </w:p>
    <w:p>
      <w:pPr>
        <w:jc w:val="both"/>
        <w:ind w:right="20" w:firstLine="627"/>
        <w:spacing w:after="0" w:line="293" w:lineRule="auto"/>
        <w:rPr>
          <w:sz w:val="20"/>
          <w:szCs w:val="20"/>
          <w:color w:val="auto"/>
        </w:rPr>
      </w:pPr>
      <w:r>
        <w:rPr>
          <w:rFonts w:ascii="Arial" w:cs="Arial" w:eastAsia="Arial" w:hAnsi="Arial"/>
          <w:sz w:val="16"/>
          <w:szCs w:val="16"/>
          <w:color w:val="auto"/>
        </w:rPr>
        <w:t>Net cash used in financing activities was $3,632,000 in Year Ended 2019 compared to $6,137,000 used in Year Ended 2018. The $2,505,000 decrease in net cash used in financing activities was attributable to higher withholding taxes paid on net exercises of stock options, a purchase of $540,000 in treasury stock in Year Ended 2018 as compared to none in Year Ended 2019 and a decrease in dividends paid to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1"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The following table provides summary information with respect to each reinsurer that accounted for more than 10% of our reinsurance recoverables on paid and unpaid losses and loss adjustment expenses as of December 31,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Recoverable</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440"/>
              <w:spacing w:after="0"/>
              <w:rPr>
                <w:sz w:val="20"/>
                <w:szCs w:val="20"/>
                <w:color w:val="auto"/>
              </w:rPr>
            </w:pPr>
            <w:r>
              <w:rPr>
                <w:rFonts w:ascii="Arial" w:cs="Arial" w:eastAsia="Arial" w:hAnsi="Arial"/>
                <w:sz w:val="14"/>
                <w:szCs w:val="14"/>
                <w:b w:val="1"/>
                <w:bCs w:val="1"/>
                <w:color w:val="auto"/>
              </w:rPr>
              <w:t>A.M.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21"/>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2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 in thousands)</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Best Rating</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Cavello Bay Reinsurance Limited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6,463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Swiss Reinsurance America Corporation</w:t>
            </w:r>
          </w:p>
        </w:tc>
        <w:tc>
          <w:tcPr>
            <w:tcW w:w="14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7"/>
                <w:szCs w:val="17"/>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7"/>
                <w:szCs w:val="17"/>
                <w:color w:val="auto"/>
              </w:rPr>
              <w:t>5,754</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Hannover Rueck SE</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A+</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3,678</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7"/>
                <w:szCs w:val="17"/>
                <w:color w:val="auto"/>
              </w:rPr>
              <w:t>15,895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Others</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5,218</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21,113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Reinsurance recoverable from Cavello Bay Reinsurance Limited is secured pursuant to a collateralized trust agreement. Assets held in the trust are not included in our invested assets and investment income earned on this asset is credited to the reinsurer.</w:t>
      </w:r>
    </w:p>
    <w:p>
      <w:pPr>
        <w:spacing w:after="0" w:line="104" w:lineRule="exact"/>
        <w:rPr>
          <w:sz w:val="20"/>
          <w:szCs w:val="20"/>
          <w:color w:val="auto"/>
        </w:rPr>
      </w:pPr>
    </w:p>
    <w:p>
      <w:pPr>
        <w:jc w:val="both"/>
        <w:ind w:right="20" w:firstLine="627"/>
        <w:spacing w:after="0" w:line="350" w:lineRule="auto"/>
        <w:rPr>
          <w:sz w:val="20"/>
          <w:szCs w:val="20"/>
          <w:color w:val="auto"/>
        </w:rPr>
      </w:pPr>
      <w:r>
        <w:rPr>
          <w:rFonts w:ascii="Arial" w:cs="Arial" w:eastAsia="Arial" w:hAnsi="Arial"/>
          <w:sz w:val="15"/>
          <w:szCs w:val="15"/>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w:t>
      </w:r>
    </w:p>
    <w:p>
      <w:pPr>
        <w:spacing w:after="0" w:line="124" w:lineRule="exact"/>
        <w:rPr>
          <w:sz w:val="20"/>
          <w:szCs w:val="20"/>
          <w:color w:val="auto"/>
        </w:rPr>
      </w:pPr>
    </w:p>
    <w:p>
      <w:pPr>
        <w:jc w:val="both"/>
        <w:ind w:right="20" w:firstLine="627"/>
        <w:spacing w:after="0" w:line="262" w:lineRule="auto"/>
        <w:rPr>
          <w:sz w:val="20"/>
          <w:szCs w:val="20"/>
          <w:color w:val="auto"/>
        </w:rPr>
      </w:pPr>
      <w:r>
        <w:rPr>
          <w:rFonts w:ascii="Arial" w:cs="Arial" w:eastAsia="Arial" w:hAnsi="Arial"/>
          <w:sz w:val="17"/>
          <w:szCs w:val="17"/>
          <w:color w:val="auto"/>
        </w:rPr>
        <w:t>Our quota share reinsurance treaties in effect during Years Ended 2019 and 2018 for our personal lines business, which primarily consists of homeowners’ policies, were covered under the 2019/2020 Treaty and under a treaty covering a two-year period from July 1, 2017 through June 30, 2019 (“2017/2019 Treaty”). The treaty in effect during Year Ended 2019 was covered under the July 1, 2018 through June 30, 2019 treaty year (“2018/2019 Treaty Year”) and since December 15, 2019, the 2019/2020 Treaty. The treaty in effect during Year Ended 2018 was covered under the July 1, 2017 through June 30, 2018 treaty year (“2017/2018 Treaty Year”) and the 2018/2019 Treaty Year that began on July 1, 2018.</w:t>
      </w:r>
    </w:p>
    <w:p>
      <w:pPr>
        <w:spacing w:after="0" w:line="188" w:lineRule="exact"/>
        <w:rPr>
          <w:sz w:val="20"/>
          <w:szCs w:val="20"/>
          <w:color w:val="auto"/>
        </w:rPr>
      </w:pPr>
    </w:p>
    <w:p>
      <w:pPr>
        <w:jc w:val="both"/>
        <w:ind w:right="20" w:firstLine="627"/>
        <w:spacing w:after="0" w:line="313" w:lineRule="auto"/>
        <w:rPr>
          <w:sz w:val="20"/>
          <w:szCs w:val="20"/>
          <w:color w:val="auto"/>
        </w:rPr>
      </w:pPr>
      <w:r>
        <w:rPr>
          <w:rFonts w:ascii="Arial" w:cs="Arial" w:eastAsia="Arial" w:hAnsi="Arial"/>
          <w:sz w:val="16"/>
          <w:szCs w:val="16"/>
          <w:color w:val="auto"/>
        </w:rPr>
        <w:t>In August 2018, we terminated our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47" w:name="page48"/>
    <w:bookmarkEnd w:id="47"/>
    <w:p>
      <w:pPr>
        <w:jc w:val="both"/>
        <w:ind w:firstLine="627"/>
        <w:spacing w:after="0" w:line="268" w:lineRule="auto"/>
        <w:rPr>
          <w:sz w:val="20"/>
          <w:szCs w:val="20"/>
          <w:color w:val="auto"/>
        </w:rPr>
      </w:pPr>
      <w:r>
        <w:rPr>
          <w:rFonts w:ascii="Arial" w:cs="Arial" w:eastAsia="Arial" w:hAnsi="Arial"/>
          <w:sz w:val="17"/>
          <w:szCs w:val="17"/>
          <w:color w:val="auto"/>
        </w:rPr>
        <w:t>Effective July 1, 2019, our 2017/2019 Treaty and commercial umbrella treaty expired on a run-off basis; these treaties were not renewed. We entered into new excess of loss and catastrophe reinsurance treaties effective July 1, 2019. Material terms for our reinsurance treaties in effect for the treaty years shown below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Treaty Year</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3"/>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5"/>
          </w:tcPr>
          <w:p>
            <w:pPr>
              <w:jc w:val="center"/>
              <w:ind w:right="128"/>
              <w:spacing w:after="0" w:line="143" w:lineRule="exact"/>
              <w:rPr>
                <w:sz w:val="20"/>
                <w:szCs w:val="20"/>
                <w:color w:val="auto"/>
              </w:rPr>
            </w:pPr>
            <w:r>
              <w:rPr>
                <w:rFonts w:ascii="Arial" w:cs="Arial" w:eastAsia="Arial" w:hAnsi="Arial"/>
                <w:sz w:val="14"/>
                <w:szCs w:val="14"/>
                <w:b w:val="1"/>
                <w:bCs w:val="1"/>
                <w:color w:val="auto"/>
                <w:w w:val="91"/>
              </w:rPr>
              <w:t>December 15, 2019</w:t>
            </w:r>
          </w:p>
        </w:tc>
        <w:tc>
          <w:tcPr>
            <w:tcW w:w="140" w:type="dxa"/>
            <w:vAlign w:val="bottom"/>
          </w:tcPr>
          <w:p>
            <w:pPr>
              <w:spacing w:after="0"/>
              <w:rPr>
                <w:sz w:val="12"/>
                <w:szCs w:val="12"/>
                <w:color w:val="auto"/>
              </w:rPr>
            </w:pPr>
          </w:p>
        </w:tc>
        <w:tc>
          <w:tcPr>
            <w:tcW w:w="1380" w:type="dxa"/>
            <w:vAlign w:val="bottom"/>
            <w:gridSpan w:val="5"/>
          </w:tcPr>
          <w:p>
            <w:pPr>
              <w:jc w:val="center"/>
              <w:ind w:right="140"/>
              <w:spacing w:after="0" w:line="143" w:lineRule="exact"/>
              <w:rPr>
                <w:sz w:val="20"/>
                <w:szCs w:val="20"/>
                <w:color w:val="auto"/>
              </w:rPr>
            </w:pPr>
            <w:r>
              <w:rPr>
                <w:rFonts w:ascii="Arial" w:cs="Arial" w:eastAsia="Arial" w:hAnsi="Arial"/>
                <w:sz w:val="14"/>
                <w:szCs w:val="14"/>
                <w:b w:val="1"/>
                <w:bCs w:val="1"/>
                <w:color w:val="auto"/>
                <w:w w:val="91"/>
              </w:rPr>
              <w:t>July 1, 2019</w:t>
            </w:r>
          </w:p>
        </w:tc>
        <w:tc>
          <w:tcPr>
            <w:tcW w:w="180" w:type="dxa"/>
            <w:vAlign w:val="bottom"/>
          </w:tcPr>
          <w:p>
            <w:pPr>
              <w:spacing w:after="0"/>
              <w:rPr>
                <w:sz w:val="12"/>
                <w:szCs w:val="12"/>
                <w:color w:val="auto"/>
              </w:rPr>
            </w:pPr>
          </w:p>
        </w:tc>
        <w:tc>
          <w:tcPr>
            <w:tcW w:w="1060" w:type="dxa"/>
            <w:vAlign w:val="bottom"/>
            <w:gridSpan w:val="2"/>
          </w:tcPr>
          <w:p>
            <w:pPr>
              <w:jc w:val="center"/>
              <w:ind w:left="123"/>
              <w:spacing w:after="0" w:line="143" w:lineRule="exact"/>
              <w:rPr>
                <w:sz w:val="20"/>
                <w:szCs w:val="20"/>
                <w:color w:val="auto"/>
              </w:rPr>
            </w:pPr>
            <w:r>
              <w:rPr>
                <w:rFonts w:ascii="Arial" w:cs="Arial" w:eastAsia="Arial" w:hAnsi="Arial"/>
                <w:sz w:val="14"/>
                <w:szCs w:val="14"/>
                <w:b w:val="1"/>
                <w:bCs w:val="1"/>
                <w:color w:val="auto"/>
                <w:w w:val="94"/>
              </w:rPr>
              <w:t>July 1, 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40"/>
              <w:spacing w:after="0" w:line="143" w:lineRule="exact"/>
              <w:rPr>
                <w:sz w:val="20"/>
                <w:szCs w:val="20"/>
                <w:color w:val="auto"/>
              </w:rPr>
            </w:pPr>
            <w:r>
              <w:rPr>
                <w:rFonts w:ascii="Arial" w:cs="Arial" w:eastAsia="Arial" w:hAnsi="Arial"/>
                <w:sz w:val="14"/>
                <w:szCs w:val="14"/>
                <w:b w:val="1"/>
                <w:bCs w:val="1"/>
                <w:color w:val="auto"/>
                <w:w w:val="91"/>
              </w:rPr>
              <w:t>July 1, 2017</w:t>
            </w:r>
          </w:p>
        </w:tc>
        <w:tc>
          <w:tcPr>
            <w:tcW w:w="120" w:type="dxa"/>
            <w:vAlign w:val="bottom"/>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left="343"/>
              <w:spacing w:after="0" w:line="157"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left="143"/>
              <w:spacing w:after="0" w:line="157" w:lineRule="exact"/>
              <w:rPr>
                <w:sz w:val="20"/>
                <w:szCs w:val="20"/>
                <w:color w:val="auto"/>
              </w:rPr>
            </w:pPr>
            <w:r>
              <w:rPr>
                <w:rFonts w:ascii="Arial" w:cs="Arial" w:eastAsia="Arial" w:hAnsi="Arial"/>
                <w:sz w:val="14"/>
                <w:szCs w:val="14"/>
                <w:b w:val="1"/>
                <w:bCs w:val="1"/>
                <w:color w:val="auto"/>
                <w:w w:val="90"/>
              </w:rPr>
              <w:t>to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5"/>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6"/>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Line of Business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5"/>
          </w:tcPr>
          <w:p>
            <w:pPr>
              <w:jc w:val="center"/>
              <w:ind w:right="128"/>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5"/>
                <w:szCs w:val="15"/>
                <w:color w:val="auto"/>
              </w:rPr>
            </w:pP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14, 2019</w:t>
            </w:r>
          </w:p>
        </w:tc>
        <w:tc>
          <w:tcPr>
            <w:tcW w:w="180" w:type="dxa"/>
            <w:vAlign w:val="bottom"/>
          </w:tcPr>
          <w:p>
            <w:pPr>
              <w:spacing w:after="0"/>
              <w:rPr>
                <w:sz w:val="15"/>
                <w:szCs w:val="15"/>
                <w:color w:val="auto"/>
              </w:rPr>
            </w:pPr>
          </w:p>
        </w:tc>
        <w:tc>
          <w:tcPr>
            <w:tcW w:w="1060" w:type="dxa"/>
            <w:vAlign w:val="bottom"/>
            <w:gridSpan w:val="2"/>
          </w:tcPr>
          <w:p>
            <w:pPr>
              <w:jc w:val="center"/>
              <w:ind w:left="123"/>
              <w:spacing w:after="0"/>
              <w:rPr>
                <w:sz w:val="20"/>
                <w:szCs w:val="20"/>
                <w:color w:val="auto"/>
              </w:rPr>
            </w:pPr>
            <w:r>
              <w:rPr>
                <w:rFonts w:ascii="Arial" w:cs="Arial" w:eastAsia="Arial" w:hAnsi="Arial"/>
                <w:sz w:val="14"/>
                <w:szCs w:val="14"/>
                <w:b w:val="1"/>
                <w:bCs w:val="1"/>
                <w:color w:val="auto"/>
                <w:w w:val="90"/>
              </w:rPr>
              <w:t>June 30, 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 2018</w:t>
            </w:r>
          </w:p>
        </w:tc>
      </w:tr>
      <w:tr>
        <w:trPr>
          <w:trHeight w:val="235"/>
        </w:trPr>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10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w w:val="88"/>
              </w:rPr>
              <w:t>Personal Lines:</w:t>
            </w:r>
          </w:p>
        </w:tc>
        <w:tc>
          <w:tcPr>
            <w:tcW w:w="300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09"/>
        </w:trPr>
        <w:tc>
          <w:tcPr>
            <w:tcW w:w="4060" w:type="dxa"/>
            <w:vAlign w:val="bottom"/>
            <w:gridSpan w:val="3"/>
          </w:tcPr>
          <w:p>
            <w:pPr>
              <w:spacing w:after="0"/>
              <w:rPr>
                <w:sz w:val="20"/>
                <w:szCs w:val="20"/>
                <w:color w:val="auto"/>
              </w:rPr>
            </w:pPr>
            <w:r>
              <w:rPr>
                <w:rFonts w:ascii="Arial" w:cs="Arial" w:eastAsia="Arial" w:hAnsi="Arial"/>
                <w:sz w:val="17"/>
                <w:szCs w:val="17"/>
                <w:color w:val="auto"/>
              </w:rPr>
              <w:t>Homeowners, dwelling fire and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and canine legal liability</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Percent ceded</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None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3"/>
              </w:rPr>
              <w:t>10%</w:t>
            </w:r>
          </w:p>
        </w:tc>
        <w:tc>
          <w:tcPr>
            <w:tcW w:w="14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r>
      <w:tr>
        <w:trPr>
          <w:trHeight w:val="372"/>
        </w:trPr>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9"/>
              </w:rPr>
              <w:t>Treaty Year</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3"/>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268"/>
              <w:spacing w:after="0" w:line="143" w:lineRule="exact"/>
              <w:rPr>
                <w:sz w:val="20"/>
                <w:szCs w:val="20"/>
                <w:color w:val="auto"/>
              </w:rPr>
            </w:pPr>
            <w:r>
              <w:rPr>
                <w:rFonts w:ascii="Arial" w:cs="Arial" w:eastAsia="Arial" w:hAnsi="Arial"/>
                <w:sz w:val="14"/>
                <w:szCs w:val="14"/>
                <w:b w:val="1"/>
                <w:bCs w:val="1"/>
                <w:color w:val="auto"/>
                <w:w w:val="91"/>
              </w:rPr>
              <w:t>December 15, 2019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4"/>
          </w:tcPr>
          <w:p>
            <w:pPr>
              <w:jc w:val="center"/>
              <w:ind w:right="380"/>
              <w:spacing w:after="0" w:line="143" w:lineRule="exact"/>
              <w:rPr>
                <w:sz w:val="20"/>
                <w:szCs w:val="20"/>
                <w:color w:val="auto"/>
              </w:rPr>
            </w:pPr>
            <w:r>
              <w:rPr>
                <w:rFonts w:ascii="Arial" w:cs="Arial" w:eastAsia="Arial" w:hAnsi="Arial"/>
                <w:sz w:val="14"/>
                <w:szCs w:val="14"/>
                <w:b w:val="1"/>
                <w:bCs w:val="1"/>
                <w:color w:val="auto"/>
                <w:w w:val="91"/>
              </w:rPr>
              <w:t>July 1, 2019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w w:val="91"/>
              </w:rPr>
              <w:t>July 1, 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w w:val="94"/>
              </w:rPr>
              <w:t>July 1, 2017</w:t>
            </w:r>
          </w:p>
        </w:tc>
        <w:tc>
          <w:tcPr>
            <w:tcW w:w="140" w:type="dxa"/>
            <w:vAlign w:val="bottom"/>
            <w:gridSpan w:val="2"/>
          </w:tcPr>
          <w:p>
            <w:pPr>
              <w:spacing w:after="0"/>
              <w:rPr>
                <w:sz w:val="12"/>
                <w:szCs w:val="12"/>
                <w:color w:val="auto"/>
              </w:rPr>
            </w:pPr>
          </w:p>
        </w:tc>
      </w:tr>
      <w:tr>
        <w:trPr>
          <w:trHeight w:val="157"/>
        </w:trPr>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268"/>
              <w:spacing w:after="0" w:line="157"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700"/>
              <w:spacing w:after="0" w:line="157"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0"/>
              </w:rPr>
              <w:t>to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5"/>
          </w:tcPr>
          <w:p>
            <w:pPr>
              <w:jc w:val="center"/>
              <w:ind w:right="40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6"/>
        </w:trPr>
        <w:tc>
          <w:tcPr>
            <w:tcW w:w="4060" w:type="dxa"/>
            <w:vAlign w:val="bottom"/>
            <w:gridSpan w:val="3"/>
          </w:tcPr>
          <w:p>
            <w:pPr>
              <w:ind w:left="40"/>
              <w:spacing w:after="0"/>
              <w:rPr>
                <w:sz w:val="20"/>
                <w:szCs w:val="20"/>
                <w:color w:val="auto"/>
              </w:rPr>
            </w:pPr>
            <w:r>
              <w:rPr>
                <w:rFonts w:ascii="Arial" w:cs="Arial" w:eastAsia="Arial" w:hAnsi="Arial"/>
                <w:sz w:val="14"/>
                <w:szCs w:val="14"/>
                <w:b w:val="1"/>
                <w:bCs w:val="1"/>
                <w:color w:val="auto"/>
              </w:rPr>
              <w:t>Line of Business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5"/>
                <w:szCs w:val="15"/>
                <w:color w:val="auto"/>
              </w:rPr>
            </w:pPr>
          </w:p>
        </w:tc>
        <w:tc>
          <w:tcPr>
            <w:tcW w:w="14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14, 2019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June 30, 2018</w:t>
            </w:r>
          </w:p>
        </w:tc>
      </w:tr>
      <w:tr>
        <w:trPr>
          <w:trHeight w:val="379"/>
        </w:trPr>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8"/>
              </w:rPr>
              <w:t>Personal Lines:</w:t>
            </w:r>
          </w:p>
        </w:tc>
        <w:tc>
          <w:tcPr>
            <w:tcW w:w="3000" w:type="dxa"/>
            <w:vAlign w:val="bottom"/>
            <w:tcBorders>
              <w:top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4060" w:type="dxa"/>
            <w:vAlign w:val="bottom"/>
            <w:gridSpan w:val="3"/>
          </w:tcPr>
          <w:p>
            <w:pPr>
              <w:spacing w:after="0"/>
              <w:rPr>
                <w:sz w:val="20"/>
                <w:szCs w:val="20"/>
                <w:color w:val="auto"/>
              </w:rPr>
            </w:pPr>
            <w:r>
              <w:rPr>
                <w:rFonts w:ascii="Arial" w:cs="Arial" w:eastAsia="Arial" w:hAnsi="Arial"/>
                <w:sz w:val="17"/>
                <w:szCs w:val="17"/>
                <w:color w:val="auto"/>
              </w:rPr>
              <w:t>Homeowners, dwelling fire and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7"/>
                <w:szCs w:val="17"/>
                <w:color w:val="auto"/>
              </w:rPr>
              <w:t>and canine legal liability</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Quota share treaty:</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4060" w:type="dxa"/>
            <w:vAlign w:val="bottom"/>
            <w:gridSpan w:val="3"/>
          </w:tcPr>
          <w:p>
            <w:pPr>
              <w:ind w:left="520"/>
              <w:spacing w:after="0"/>
              <w:rPr>
                <w:sz w:val="20"/>
                <w:szCs w:val="20"/>
                <w:color w:val="auto"/>
              </w:rPr>
            </w:pPr>
            <w:r>
              <w:rPr>
                <w:rFonts w:ascii="Arial" w:cs="Arial" w:eastAsia="Arial" w:hAnsi="Arial"/>
                <w:sz w:val="17"/>
                <w:szCs w:val="17"/>
                <w:color w:val="auto"/>
              </w:rPr>
              <w:t>Risk retained on intial $1,000,000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06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of losses</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750,000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900,000</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520"/>
              <w:spacing w:after="0"/>
              <w:rPr>
                <w:sz w:val="20"/>
                <w:szCs w:val="20"/>
                <w:color w:val="auto"/>
              </w:rPr>
            </w:pPr>
            <w:r>
              <w:rPr>
                <w:rFonts w:ascii="Arial" w:cs="Arial" w:eastAsia="Arial" w:hAnsi="Arial"/>
                <w:sz w:val="17"/>
                <w:szCs w:val="17"/>
                <w:color w:val="auto"/>
              </w:rPr>
              <w:t>Losses per occurrence subject to</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quota share reinsurance coverage</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1,000,000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None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1,000,000</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Excess of loss coverage and facultative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facility coverage (1)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9,000,000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9,000,000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5"/>
          </w:tcPr>
          <w:p>
            <w:pPr>
              <w:jc w:val="right"/>
              <w:ind w:right="168"/>
              <w:spacing w:after="0"/>
              <w:rPr>
                <w:sz w:val="20"/>
                <w:szCs w:val="20"/>
                <w:color w:val="auto"/>
              </w:rPr>
            </w:pPr>
            <w:r>
              <w:rPr>
                <w:rFonts w:ascii="Arial" w:cs="Arial" w:eastAsia="Arial" w:hAnsi="Arial"/>
                <w:sz w:val="17"/>
                <w:szCs w:val="17"/>
                <w:color w:val="auto"/>
              </w:rPr>
              <w:t>in excess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in excess of</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left="103"/>
              <w:spacing w:after="0"/>
              <w:rPr>
                <w:sz w:val="20"/>
                <w:szCs w:val="20"/>
                <w:color w:val="auto"/>
              </w:rPr>
            </w:pPr>
            <w:r>
              <w:rPr>
                <w:rFonts w:ascii="Arial" w:cs="Arial" w:eastAsia="Arial" w:hAnsi="Arial"/>
                <w:sz w:val="17"/>
                <w:szCs w:val="17"/>
                <w:color w:val="auto"/>
                <w:w w:val="89"/>
              </w:rPr>
              <w:t>in excess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5"/>
          </w:tcPr>
          <w:p>
            <w:pPr>
              <w:jc w:val="right"/>
              <w:ind w:right="180"/>
              <w:spacing w:after="0"/>
              <w:rPr>
                <w:sz w:val="20"/>
                <w:szCs w:val="20"/>
                <w:color w:val="auto"/>
              </w:rPr>
            </w:pPr>
            <w:r>
              <w:rPr>
                <w:rFonts w:ascii="Arial" w:cs="Arial" w:eastAsia="Arial" w:hAnsi="Arial"/>
                <w:sz w:val="17"/>
                <w:szCs w:val="17"/>
                <w:color w:val="auto"/>
              </w:rPr>
              <w:t>in excess of</w:t>
            </w:r>
          </w:p>
        </w:tc>
      </w:tr>
      <w:tr>
        <w:trPr>
          <w:trHeight w:val="209"/>
        </w:trPr>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1,000,000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5"/>
          </w:tcPr>
          <w:p>
            <w:pPr>
              <w:jc w:val="right"/>
              <w:ind w:right="168"/>
              <w:spacing w:after="0"/>
              <w:rPr>
                <w:sz w:val="20"/>
                <w:szCs w:val="20"/>
                <w:color w:val="auto"/>
              </w:rPr>
            </w:pPr>
            <w:r>
              <w:rPr>
                <w:rFonts w:ascii="Arial" w:cs="Arial" w:eastAsia="Arial" w:hAnsi="Arial"/>
                <w:sz w:val="17"/>
                <w:szCs w:val="17"/>
                <w:color w:val="auto"/>
              </w:rPr>
              <w:t>9,250,000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9,000,000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9,100,000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9,200,000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Losses per occurrence subject to</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360"/>
              <w:spacing w:after="0"/>
              <w:rPr>
                <w:sz w:val="20"/>
                <w:szCs w:val="20"/>
                <w:color w:val="auto"/>
              </w:rPr>
            </w:pPr>
            <w:r>
              <w:rPr>
                <w:rFonts w:ascii="Arial" w:cs="Arial" w:eastAsia="Arial" w:hAnsi="Arial"/>
                <w:sz w:val="17"/>
                <w:szCs w:val="17"/>
                <w:color w:val="auto"/>
              </w:rPr>
              <w:t>reinsurance coverage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5"/>
          </w:tcPr>
          <w:p>
            <w:pPr>
              <w:jc w:val="right"/>
              <w:ind w:right="168"/>
              <w:spacing w:after="0"/>
              <w:rPr>
                <w:sz w:val="20"/>
                <w:szCs w:val="20"/>
                <w:color w:val="auto"/>
              </w:rPr>
            </w:pPr>
            <w:r>
              <w:rPr>
                <w:rFonts w:ascii="Arial" w:cs="Arial" w:eastAsia="Arial" w:hAnsi="Arial"/>
                <w:sz w:val="17"/>
                <w:szCs w:val="17"/>
                <w:color w:val="auto"/>
              </w:rPr>
              <w:t>10,000,000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10,000,000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10,000,000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10,000,000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Expiration date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ind w:left="420"/>
              <w:spacing w:after="0"/>
              <w:rPr>
                <w:sz w:val="20"/>
                <w:szCs w:val="20"/>
                <w:color w:val="auto"/>
              </w:rPr>
            </w:pPr>
            <w:r>
              <w:rPr>
                <w:rFonts w:ascii="Arial" w:cs="Arial" w:eastAsia="Arial" w:hAnsi="Arial"/>
                <w:sz w:val="16"/>
                <w:szCs w:val="16"/>
                <w:color w:val="auto"/>
              </w:rPr>
              <w:t>June 30, 2020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88"/>
              </w:rPr>
              <w:t>June 30, 2020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June 30, 2019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June 30, 2018</w:t>
            </w:r>
          </w:p>
        </w:tc>
      </w:tr>
      <w:tr>
        <w:trPr>
          <w:trHeight w:val="209"/>
        </w:trPr>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0"/>
        </w:trPr>
        <w:tc>
          <w:tcPr>
            <w:tcW w:w="406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9"/>
        </w:trPr>
        <w:tc>
          <w:tcPr>
            <w:tcW w:w="10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Initial loss subject to personal lines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quota share treaty</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7,500,000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None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5,000,000</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Risk retained per catastrophe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occurrence (2)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5,625,000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7,500,000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4,500,000</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Catastrophe loss coverage in excess of</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quota share coverage (3)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8"/>
              <w:spacing w:after="0"/>
              <w:rPr>
                <w:sz w:val="20"/>
                <w:szCs w:val="20"/>
                <w:color w:val="auto"/>
              </w:rPr>
            </w:pPr>
            <w:r>
              <w:rPr>
                <w:rFonts w:ascii="Arial" w:cs="Arial" w:eastAsia="Arial" w:hAnsi="Arial"/>
                <w:sz w:val="17"/>
                <w:szCs w:val="17"/>
                <w:color w:val="auto"/>
              </w:rPr>
              <w:t>602,500,000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5"/>
              </w:rPr>
              <w:t>602,500,000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445,000,000</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315,000,000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4060" w:type="dxa"/>
            <w:vAlign w:val="bottom"/>
            <w:gridSpan w:val="3"/>
          </w:tcPr>
          <w:p>
            <w:pPr>
              <w:ind w:left="200"/>
              <w:spacing w:after="0"/>
              <w:rPr>
                <w:sz w:val="20"/>
                <w:szCs w:val="20"/>
                <w:color w:val="auto"/>
              </w:rPr>
            </w:pPr>
            <w:r>
              <w:rPr>
                <w:rFonts w:ascii="Arial" w:cs="Arial" w:eastAsia="Arial" w:hAnsi="Arial"/>
                <w:sz w:val="17"/>
                <w:szCs w:val="17"/>
                <w:color w:val="auto"/>
              </w:rPr>
              <w:t>Reinstatement premium</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protection (4) (5) (6)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Yes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Yes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Yes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Yes</w:t>
            </w:r>
          </w:p>
        </w:tc>
      </w:tr>
    </w:tbl>
    <w:p>
      <w:pPr>
        <w:spacing w:after="0" w:line="200" w:lineRule="exact"/>
        <w:rPr>
          <w:sz w:val="20"/>
          <w:szCs w:val="20"/>
          <w:color w:val="auto"/>
        </w:rPr>
      </w:pPr>
    </w:p>
    <w:p>
      <w:pPr>
        <w:spacing w:after="0" w:line="210" w:lineRule="exact"/>
        <w:rPr>
          <w:sz w:val="20"/>
          <w:szCs w:val="20"/>
          <w:color w:val="auto"/>
        </w:rPr>
      </w:pPr>
    </w:p>
    <w:p>
      <w:pPr>
        <w:ind w:left="640" w:hanging="322"/>
        <w:spacing w:after="0" w:line="260"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$10,000,000 in total insured value, which covers direct losses from $3,500,000 to $10,000,000.</w:t>
      </w:r>
    </w:p>
    <w:p>
      <w:pPr>
        <w:ind w:left="640" w:hanging="32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640" w:hanging="322"/>
        <w:spacing w:after="0" w:line="25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7"/>
          <w:szCs w:val="17"/>
          <w:color w:val="auto"/>
        </w:rPr>
      </w:pPr>
    </w:p>
    <w:p>
      <w:pPr>
        <w:ind w:left="640" w:hanging="32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July 1, 2017, reinstatement premium protection for $145,000,000 of catastrophe coverage in excess of $5,000,000.</w:t>
      </w:r>
    </w:p>
    <w:p>
      <w:pPr>
        <w:spacing w:after="0" w:line="13" w:lineRule="exact"/>
        <w:rPr>
          <w:rFonts w:ascii="Arial" w:cs="Arial" w:eastAsia="Arial" w:hAnsi="Arial"/>
          <w:sz w:val="17"/>
          <w:szCs w:val="17"/>
          <w:color w:val="auto"/>
        </w:rPr>
      </w:pPr>
    </w:p>
    <w:p>
      <w:pPr>
        <w:ind w:left="640" w:hanging="32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July 1, 2018, reinstatement premium protection for $210,000,000 of catastrophe coverage in excess of $5,000,000.</w:t>
      </w:r>
    </w:p>
    <w:p>
      <w:pPr>
        <w:spacing w:after="0" w:line="13" w:lineRule="exact"/>
        <w:rPr>
          <w:rFonts w:ascii="Arial" w:cs="Arial" w:eastAsia="Arial" w:hAnsi="Arial"/>
          <w:sz w:val="17"/>
          <w:szCs w:val="17"/>
          <w:color w:val="auto"/>
        </w:rPr>
      </w:pPr>
    </w:p>
    <w:p>
      <w:pPr>
        <w:ind w:left="640" w:hanging="32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July 1, 2019, reinstatement premium protection for $292,500,000 of catastrophe coverage in excess of $7,500,000.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Treaty Year</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5"/>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July 1, 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July 1, 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July 1, 2017</w:t>
            </w:r>
          </w:p>
        </w:tc>
      </w:tr>
      <w:tr>
        <w:trPr>
          <w:trHeight w:val="180"/>
        </w:trPr>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to</w:t>
            </w:r>
          </w:p>
        </w:tc>
      </w:tr>
      <w:tr>
        <w:trPr>
          <w:trHeight w:val="176"/>
        </w:trPr>
        <w:tc>
          <w:tcPr>
            <w:tcW w:w="6660" w:type="dxa"/>
            <w:vAlign w:val="bottom"/>
            <w:gridSpan w:val="3"/>
          </w:tcPr>
          <w:p>
            <w:pPr>
              <w:ind w:left="40"/>
              <w:spacing w:after="0"/>
              <w:rPr>
                <w:sz w:val="20"/>
                <w:szCs w:val="20"/>
                <w:color w:val="auto"/>
              </w:rPr>
            </w:pPr>
            <w:r>
              <w:rPr>
                <w:rFonts w:ascii="Arial" w:cs="Arial" w:eastAsia="Arial" w:hAnsi="Arial"/>
                <w:sz w:val="14"/>
                <w:szCs w:val="14"/>
                <w:b w:val="1"/>
                <w:bCs w:val="1"/>
                <w:color w:val="auto"/>
              </w:rPr>
              <w:t>Line of Business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r>
      <w:tr>
        <w:trPr>
          <w:trHeight w:val="40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Personal Lines:</w:t>
            </w:r>
          </w:p>
        </w:tc>
        <w:tc>
          <w:tcPr>
            <w:tcW w:w="56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6660" w:type="dxa"/>
            <w:vAlign w:val="bottom"/>
            <w:gridSpan w:val="3"/>
          </w:tcPr>
          <w:p>
            <w:pPr>
              <w:ind w:left="40"/>
              <w:spacing w:after="0"/>
              <w:rPr>
                <w:sz w:val="20"/>
                <w:szCs w:val="20"/>
                <w:color w:val="auto"/>
              </w:rPr>
            </w:pPr>
            <w:r>
              <w:rPr>
                <w:rFonts w:ascii="Arial" w:cs="Arial" w:eastAsia="Arial" w:hAnsi="Arial"/>
                <w:sz w:val="17"/>
                <w:szCs w:val="17"/>
                <w:color w:val="auto"/>
              </w:rPr>
              <w:t>Personal Umbrella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6660" w:type="dxa"/>
            <w:vAlign w:val="bottom"/>
            <w:gridSpan w:val="3"/>
          </w:tcPr>
          <w:p>
            <w:pPr>
              <w:ind w:left="200"/>
              <w:spacing w:after="0"/>
              <w:rPr>
                <w:sz w:val="20"/>
                <w:szCs w:val="20"/>
                <w:color w:val="auto"/>
              </w:rPr>
            </w:pPr>
            <w:r>
              <w:rPr>
                <w:rFonts w:ascii="Arial" w:cs="Arial" w:eastAsia="Arial" w:hAnsi="Arial"/>
                <w:sz w:val="17"/>
                <w:szCs w:val="17"/>
                <w:color w:val="auto"/>
              </w:rPr>
              <w:t>Quota share treaty: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66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Percent ceded - first $1,000,000 of coverage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r>
      <w:tr>
        <w:trPr>
          <w:trHeight w:val="209"/>
        </w:trPr>
        <w:tc>
          <w:tcPr>
            <w:tcW w:w="6660" w:type="dxa"/>
            <w:vAlign w:val="bottom"/>
            <w:gridSpan w:val="3"/>
          </w:tcPr>
          <w:p>
            <w:pPr>
              <w:ind w:left="520"/>
              <w:spacing w:after="0"/>
              <w:rPr>
                <w:sz w:val="20"/>
                <w:szCs w:val="20"/>
                <w:color w:val="auto"/>
              </w:rPr>
            </w:pPr>
            <w:r>
              <w:rPr>
                <w:rFonts w:ascii="Arial" w:cs="Arial" w:eastAsia="Arial" w:hAnsi="Arial"/>
                <w:sz w:val="17"/>
                <w:szCs w:val="17"/>
                <w:color w:val="auto"/>
              </w:rPr>
              <w:t>Percent ceded - excess of $1,000,000 dollars of coverage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100%</w:t>
            </w:r>
          </w:p>
        </w:tc>
      </w:tr>
      <w:tr>
        <w:trPr>
          <w:trHeight w:val="209"/>
        </w:trPr>
        <w:tc>
          <w:tcPr>
            <w:tcW w:w="666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Risk retained</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520"/>
              <w:spacing w:after="0"/>
              <w:rPr>
                <w:sz w:val="20"/>
                <w:szCs w:val="20"/>
                <w:color w:val="auto"/>
              </w:rPr>
            </w:pPr>
            <w:r>
              <w:rPr>
                <w:rFonts w:ascii="Arial" w:cs="Arial" w:eastAsia="Arial" w:hAnsi="Arial"/>
                <w:sz w:val="17"/>
                <w:szCs w:val="17"/>
                <w:color w:val="auto"/>
              </w:rPr>
              <w:t>Total reinsurance coverage per occurrence</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4,900,000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6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200"/>
              <w:spacing w:after="0"/>
              <w:rPr>
                <w:sz w:val="20"/>
                <w:szCs w:val="20"/>
                <w:color w:val="auto"/>
              </w:rPr>
            </w:pPr>
            <w:r>
              <w:rPr>
                <w:rFonts w:ascii="Arial" w:cs="Arial" w:eastAsia="Arial" w:hAnsi="Arial"/>
                <w:sz w:val="17"/>
                <w:szCs w:val="17"/>
                <w:color w:val="auto"/>
              </w:rPr>
              <w:t>Expiration date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June 30, 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June 30,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June 30, 2018</w:t>
            </w:r>
          </w:p>
        </w:tc>
      </w:tr>
      <w:tr>
        <w:trPr>
          <w:trHeight w:val="209"/>
        </w:trPr>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0"/>
        </w:trPr>
        <w:tc>
          <w:tcPr>
            <w:tcW w:w="6660" w:type="dxa"/>
            <w:vAlign w:val="bottom"/>
            <w:gridSpan w:val="3"/>
          </w:tcPr>
          <w:p>
            <w:pPr>
              <w:spacing w:after="0" w:line="170" w:lineRule="exact"/>
              <w:rPr>
                <w:sz w:val="20"/>
                <w:szCs w:val="20"/>
                <w:color w:val="auto"/>
              </w:rPr>
            </w:pPr>
            <w:r>
              <w:rPr>
                <w:rFonts w:ascii="Arial" w:cs="Arial" w:eastAsia="Arial" w:hAnsi="Arial"/>
                <w:sz w:val="17"/>
                <w:szCs w:val="17"/>
                <w:color w:val="auto"/>
              </w:rPr>
              <w:t>Commercial Lines: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
        </w:trPr>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9"/>
        </w:trPr>
        <w:tc>
          <w:tcPr>
            <w:tcW w:w="66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General liability commercial policies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9"/>
        </w:trPr>
        <w:tc>
          <w:tcPr>
            <w:tcW w:w="6660" w:type="dxa"/>
            <w:vAlign w:val="bottom"/>
            <w:gridSpan w:val="3"/>
          </w:tcPr>
          <w:p>
            <w:pPr>
              <w:ind w:left="200"/>
              <w:spacing w:after="0"/>
              <w:rPr>
                <w:sz w:val="20"/>
                <w:szCs w:val="20"/>
                <w:color w:val="auto"/>
              </w:rPr>
            </w:pPr>
            <w:r>
              <w:rPr>
                <w:rFonts w:ascii="Arial" w:cs="Arial" w:eastAsia="Arial" w:hAnsi="Arial"/>
                <w:sz w:val="17"/>
                <w:szCs w:val="17"/>
                <w:color w:val="auto"/>
              </w:rPr>
              <w:t>Quota share treaty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None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None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None</w:t>
            </w:r>
          </w:p>
        </w:tc>
      </w:tr>
      <w:tr>
        <w:trPr>
          <w:trHeight w:val="209"/>
        </w:trPr>
        <w:tc>
          <w:tcPr>
            <w:tcW w:w="6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Risk retained</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200"/>
              <w:spacing w:after="0"/>
              <w:rPr>
                <w:sz w:val="20"/>
                <w:szCs w:val="20"/>
                <w:color w:val="auto"/>
              </w:rPr>
            </w:pPr>
            <w:r>
              <w:rPr>
                <w:rFonts w:ascii="Arial" w:cs="Arial" w:eastAsia="Arial" w:hAnsi="Arial"/>
                <w:sz w:val="17"/>
                <w:szCs w:val="17"/>
                <w:color w:val="auto"/>
              </w:rPr>
              <w:t>Excess of loss coverage above risk retained</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200"/>
              <w:spacing w:after="0"/>
              <w:rPr>
                <w:sz w:val="20"/>
                <w:szCs w:val="20"/>
                <w:color w:val="auto"/>
              </w:rPr>
            </w:pPr>
            <w:r>
              <w:rPr>
                <w:rFonts w:ascii="Arial" w:cs="Arial" w:eastAsia="Arial" w:hAnsi="Arial"/>
                <w:sz w:val="17"/>
                <w:szCs w:val="17"/>
                <w:color w:val="auto"/>
              </w:rPr>
              <w:t>Losses per occurrence subject to reinsurance coverage</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4,500,000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4,500,000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40"/>
              <w:spacing w:after="0"/>
              <w:rPr>
                <w:sz w:val="20"/>
                <w:szCs w:val="20"/>
                <w:color w:val="auto"/>
              </w:rPr>
            </w:pPr>
            <w:r>
              <w:rPr>
                <w:rFonts w:ascii="Arial" w:cs="Arial" w:eastAsia="Arial" w:hAnsi="Arial"/>
                <w:sz w:val="17"/>
                <w:szCs w:val="17"/>
                <w:color w:val="auto"/>
              </w:rPr>
              <w:t>Commercial Umbrella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520"/>
              <w:spacing w:after="0"/>
              <w:rPr>
                <w:sz w:val="20"/>
                <w:szCs w:val="20"/>
                <w:color w:val="auto"/>
              </w:rPr>
            </w:pPr>
            <w:r>
              <w:rPr>
                <w:rFonts w:ascii="Arial" w:cs="Arial" w:eastAsia="Arial" w:hAnsi="Arial"/>
                <w:sz w:val="17"/>
                <w:szCs w:val="17"/>
                <w:color w:val="auto"/>
              </w:rPr>
              <w:t>Percent ceded - first $1,000,000 of coverage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None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90%</w:t>
            </w:r>
          </w:p>
        </w:tc>
      </w:tr>
      <w:tr>
        <w:trPr>
          <w:trHeight w:val="209"/>
        </w:trPr>
        <w:tc>
          <w:tcPr>
            <w:tcW w:w="666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Percent ceded - excess of $1,000,000 of coverage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r>
      <w:tr>
        <w:trPr>
          <w:trHeight w:val="209"/>
        </w:trPr>
        <w:tc>
          <w:tcPr>
            <w:tcW w:w="6660" w:type="dxa"/>
            <w:vAlign w:val="bottom"/>
            <w:gridSpan w:val="3"/>
          </w:tcPr>
          <w:p>
            <w:pPr>
              <w:ind w:left="520"/>
              <w:spacing w:after="0"/>
              <w:rPr>
                <w:sz w:val="20"/>
                <w:szCs w:val="20"/>
                <w:color w:val="auto"/>
              </w:rPr>
            </w:pPr>
            <w:r>
              <w:rPr>
                <w:rFonts w:ascii="Arial" w:cs="Arial" w:eastAsia="Arial" w:hAnsi="Arial"/>
                <w:sz w:val="17"/>
                <w:szCs w:val="17"/>
                <w:color w:val="auto"/>
              </w:rPr>
              <w:t>Risk retained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6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Total reinsurance coverage per occurrence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6660" w:type="dxa"/>
            <w:vAlign w:val="bottom"/>
            <w:gridSpan w:val="3"/>
          </w:tcPr>
          <w:p>
            <w:pPr>
              <w:ind w:left="5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Expiration date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June 30, 2019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June 30, 2018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16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20" w:lineRule="exact"/>
        <w:rPr>
          <w:sz w:val="20"/>
          <w:szCs w:val="20"/>
          <w:color w:val="auto"/>
        </w:rPr>
      </w:pPr>
    </w:p>
    <w:p>
      <w:pPr>
        <w:jc w:val="both"/>
        <w:ind w:firstLine="697"/>
        <w:spacing w:after="0" w:line="281" w:lineRule="auto"/>
        <w:rPr>
          <w:sz w:val="20"/>
          <w:szCs w:val="20"/>
          <w:color w:val="auto"/>
        </w:rPr>
      </w:pPr>
      <w:r>
        <w:rPr>
          <w:rFonts w:ascii="Arial" w:cs="Arial" w:eastAsia="Arial" w:hAnsi="Arial"/>
          <w:sz w:val="17"/>
          <w:szCs w:val="17"/>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1"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spacing w:after="0" w:line="10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7A</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This item is not applicable to smaller reporting companies.</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r>
        <w:rPr>
          <w:rFonts w:ascii="Arial" w:cs="Arial" w:eastAsia="Arial" w:hAnsi="Arial"/>
          <w:sz w:val="16"/>
          <w:szCs w:val="16"/>
          <w:color w:val="auto"/>
        </w:rPr>
        <w:t>.</w:t>
      </w:r>
    </w:p>
    <w:p>
      <w:pPr>
        <w:spacing w:after="0" w:line="161"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financial statements required by this Item 8 are included in this Annual Report following Item 16 hereof. As a smaller reporting company, we are not required to provide supplementary financial information.</w:t>
      </w:r>
    </w:p>
    <w:p>
      <w:pPr>
        <w:spacing w:after="0" w:line="10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9.</w:t>
      </w:r>
      <w:r>
        <w:rPr>
          <w:sz w:val="20"/>
          <w:szCs w:val="20"/>
          <w:color w:val="auto"/>
        </w:rPr>
        <w:tab/>
      </w:r>
      <w:r>
        <w:rPr>
          <w:rFonts w:ascii="Arial" w:cs="Arial" w:eastAsia="Arial" w:hAnsi="Arial"/>
          <w:sz w:val="17"/>
          <w:szCs w:val="17"/>
          <w:b w:val="1"/>
          <w:bCs w:val="1"/>
          <w:u w:val="single" w:color="auto"/>
          <w:color w:val="auto"/>
        </w:rPr>
        <w:t>CHANGES IN AND DISAGREEMENTS WITH ACCOUNTANTS ON ACCOUNTING AND FINANCIAL DISCLOSURE</w:t>
      </w:r>
      <w:r>
        <w:rPr>
          <w:rFonts w:ascii="Arial" w:cs="Arial" w:eastAsia="Arial" w:hAnsi="Arial"/>
          <w:sz w:val="17"/>
          <w:szCs w:val="17"/>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9A.</w:t>
      </w:r>
      <w:r>
        <w:rPr>
          <w:sz w:val="20"/>
          <w:szCs w:val="20"/>
          <w:color w:val="auto"/>
        </w:rPr>
        <w:tab/>
      </w:r>
      <w:r>
        <w:rPr>
          <w:rFonts w:ascii="Arial" w:cs="Arial" w:eastAsia="Arial" w:hAnsi="Arial"/>
          <w:sz w:val="16"/>
          <w:szCs w:val="16"/>
          <w:b w:val="1"/>
          <w:bCs w:val="1"/>
          <w:u w:val="single" w:color="auto"/>
          <w:color w:val="auto"/>
        </w:rPr>
        <w:t>CONTROLS AND PROCEDURES</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57"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We maintain a system of disclosure controls and procedures (as defined in Rule 13a-15(e) under the Securities Exchange Act of 1934, as amended (the “Exchange Act”) that is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89" w:lineRule="exact"/>
        <w:rPr>
          <w:sz w:val="20"/>
          <w:szCs w:val="20"/>
          <w:color w:val="auto"/>
        </w:rPr>
      </w:pPr>
    </w:p>
    <w:p>
      <w:pPr>
        <w:jc w:val="both"/>
        <w:ind w:firstLine="627"/>
        <w:spacing w:after="0" w:line="320"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we conducted an evaluation of our disclosure controls and procedures pursuant to Rule 13a-15 under the Exchange Act. Based on this evaluation, our Chief Executive Officer and Chief Financial Officer have concluded that, as of December 31, 2019, our disclosure controls and procedures were not effective at the reasonable assurance level.</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361" w:right="339" w:bottom="461" w:gutter="0" w:footer="0" w:header="0"/>
        </w:sectPr>
      </w:pPr>
    </w:p>
    <w:bookmarkStart w:id="49" w:name="page50"/>
    <w:bookmarkEnd w:id="49"/>
    <w:p>
      <w:pPr>
        <w:ind w:left="64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Except for the steps taken to remediate the material weakness identified below, there have not been any changes in our internal control over financial reporting (as such term is defined in Rules 13a-15(f) and 15d-15(f) under the Exchange Act) during the fourth fiscal quarter to which this report relates that materially affected, or are reasonably likely to materially affect, our internal control over financial reporting.</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Exchange Act. Under the supervision and with the participation of management, including our Chief Executive Officer and Chief Financial Officer, we conducted an evaluation of the effectiveness of our internal control over financial reporting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our evaluation, our management concluded that our internal control over financial reporting was not effective as of December 31, 2019.</w:t>
      </w:r>
    </w:p>
    <w:p>
      <w:pPr>
        <w:spacing w:after="0" w:line="188"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7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December 31, 2019 using criteria set forth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this assessment,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there is a material weakness in internal control over financial reporting as December 31, 2019 related to the operation of controls related to the establishment and ongoing monitoring of case reserves for losses and loss adjustment expenses.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Remediation</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Management has been implementing and continues to implement measures designed to ensure that the control deficiency contributing to the material weakness is remediated, such that the controls are designed, implemented, and operating effectively. The remediation actions include:</w:t>
      </w:r>
    </w:p>
    <w:p>
      <w:pPr>
        <w:spacing w:after="0" w:line="170" w:lineRule="exact"/>
        <w:rPr>
          <w:sz w:val="20"/>
          <w:szCs w:val="20"/>
          <w:color w:val="auto"/>
        </w:rPr>
      </w:pPr>
    </w:p>
    <w:p>
      <w:pPr>
        <w:ind w:left="1260" w:hanging="315"/>
        <w:spacing w:after="0" w:line="260"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Engaged external resources to perform a comprehensive review of our claims operations surrounding the establishment and monitoring of liability case reserves;</w:t>
      </w:r>
    </w:p>
    <w:p>
      <w:pPr>
        <w:ind w:left="1260" w:hanging="315"/>
        <w:spacing w:after="0" w:line="256"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Hired a new Chief Claims Officer whose role includes a review of the entire population of case reserves to the policy level to ensure proper valuation, existence, and completeness;</w:t>
      </w:r>
    </w:p>
    <w:p>
      <w:pPr>
        <w:spacing w:after="0" w:line="1" w:lineRule="exact"/>
        <w:rPr>
          <w:rFonts w:ascii="Arial" w:cs="Arial" w:eastAsia="Arial" w:hAnsi="Arial"/>
          <w:sz w:val="17"/>
          <w:szCs w:val="17"/>
          <w:color w:val="auto"/>
        </w:rPr>
      </w:pPr>
    </w:p>
    <w:p>
      <w:pPr>
        <w:ind w:left="1260" w:hanging="315"/>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the number, experience level and skill of the personnel involved in our claims function through hiring and improved training;</w:t>
      </w:r>
    </w:p>
    <w:p>
      <w:pPr>
        <w:spacing w:after="0" w:line="25" w:lineRule="exact"/>
        <w:rPr>
          <w:rFonts w:ascii="Arial" w:cs="Arial" w:eastAsia="Arial" w:hAnsi="Arial"/>
          <w:sz w:val="16"/>
          <w:szCs w:val="16"/>
          <w:color w:val="auto"/>
        </w:rPr>
      </w:pPr>
    </w:p>
    <w:p>
      <w:pPr>
        <w:jc w:val="both"/>
        <w:ind w:left="1260" w:hanging="315"/>
        <w:spacing w:after="0" w:line="256"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Performed a thorough review of existing policies and procedures in place to facilitate the development and documentation of controls over financial reporting regarding liability case reserves. This review led to the addition of multiple controls including a quality assurance process as well as enhanced documentation of our existing controls in place;</w:t>
      </w:r>
    </w:p>
    <w:p>
      <w:pPr>
        <w:spacing w:after="0" w:line="1" w:lineRule="exact"/>
        <w:rPr>
          <w:rFonts w:ascii="Arial" w:cs="Arial" w:eastAsia="Arial" w:hAnsi="Arial"/>
          <w:sz w:val="17"/>
          <w:szCs w:val="17"/>
          <w:color w:val="auto"/>
        </w:rPr>
      </w:pPr>
    </w:p>
    <w:p>
      <w:pPr>
        <w:ind w:left="1260" w:hanging="315"/>
        <w:spacing w:after="0" w:line="273"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Enhanced testing procedures performed by our outsourced internal audit to ensure adequate design and operating effectiveness of new and existing internal controls.</w:t>
      </w:r>
    </w:p>
    <w:p>
      <w:pPr>
        <w:spacing w:after="0" w:line="17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prior to the end of fiscal 2020.</w:t>
      </w:r>
    </w:p>
    <w:p>
      <w:pPr>
        <w:spacing w:after="0" w:line="18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independent registered public accounting firm, Marcum LLP, has audited the consolidated financial statements and has issued an adverse attestation report on the effectiveness of our internal control over financial reporting as of December 31, 2019, as stated in their report which is included in the Financial Statements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Inherent Limitation on Effectiveness of Controls</w:t>
      </w:r>
    </w:p>
    <w:p>
      <w:pPr>
        <w:spacing w:after="0" w:line="223"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Kingstone Companies,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Opinion on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have audited Kingstone Companies,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In our opinion, because of the effect of the material weakness described in the following paragraph on the achievement of the objectives of the control criteria, the Company has not maintained effective internal control over financial reporting as of December 31, 2019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 A material weakness in the operation of controls related to the establishment and ongoing monitoring of case reserves for losses and loss adjustment expenses has been identified and included in “Management's Annual Report on Internal Control over Financial Reporting”.</w:t>
      </w:r>
    </w:p>
    <w:p>
      <w:pPr>
        <w:spacing w:after="0" w:line="185"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This material weakness was considered in determining the nature, timing and extent of audit tests applied in our audit of the consolidated financial statements for the year ended December 31, 2019, and this report does not affect our report dated March 16, 2020 on those consolidated financial statements.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“PCAOB”), the consolidated balance sheets as of December 31, 2019 and 2018 and the related consolidated statements of operations and comprehensive income (loss), stockholders’ equity, and cash flows for each of the two years in the period ended December 31, 2019, and our report dated March 16, 2020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1"/>
          <w:szCs w:val="11"/>
          <w:color w:val="auto"/>
        </w:rPr>
        <w:t>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Hartford, CT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16, 2020</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9B.</w:t>
      </w:r>
      <w:r>
        <w:rPr>
          <w:sz w:val="20"/>
          <w:szCs w:val="20"/>
          <w:color w:val="auto"/>
        </w:rPr>
        <w:tab/>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u w:val="single" w:color="auto"/>
          <w:color w:val="auto"/>
        </w:rPr>
        <w:t>PART III</w:t>
      </w:r>
    </w:p>
    <w:p>
      <w:pPr>
        <w:spacing w:after="0" w:line="366"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r>
        <w:rPr>
          <w:rFonts w:ascii="Arial" w:cs="Arial" w:eastAsia="Arial" w:hAnsi="Arial"/>
          <w:sz w:val="17"/>
          <w:szCs w:val="17"/>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Executive Officers and Directors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positions and offices presently held by each of our current directors and executive officers and their 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040" w:type="dxa"/>
            <w:vAlign w:val="bottom"/>
            <w:tcBorders>
              <w:bottom w:val="single" w:sz="8" w:color="auto"/>
            </w:tcBorders>
          </w:tcPr>
          <w:p>
            <w:pPr>
              <w:jc w:val="center"/>
              <w:ind w:left="835"/>
              <w:spacing w:after="0"/>
              <w:rPr>
                <w:sz w:val="20"/>
                <w:szCs w:val="20"/>
                <w:color w:val="auto"/>
              </w:rPr>
            </w:pPr>
            <w:r>
              <w:rPr>
                <w:rFonts w:ascii="Arial" w:cs="Arial" w:eastAsia="Arial" w:hAnsi="Arial"/>
                <w:sz w:val="17"/>
                <w:szCs w:val="17"/>
                <w:b w:val="1"/>
                <w:bCs w:val="1"/>
                <w:color w:val="auto"/>
                <w:w w:val="87"/>
              </w:rPr>
              <w:t>Age</w:t>
            </w:r>
          </w:p>
        </w:tc>
        <w:tc>
          <w:tcPr>
            <w:tcW w:w="6340" w:type="dxa"/>
            <w:vAlign w:val="bottom"/>
            <w:tcBorders>
              <w:bottom w:val="single" w:sz="8" w:color="auto"/>
            </w:tcBorders>
          </w:tcPr>
          <w:p>
            <w:pPr>
              <w:ind w:left="2420"/>
              <w:spacing w:after="0"/>
              <w:rPr>
                <w:sz w:val="20"/>
                <w:szCs w:val="20"/>
                <w:color w:val="auto"/>
              </w:rPr>
            </w:pPr>
            <w:r>
              <w:rPr>
                <w:rFonts w:ascii="Arial" w:cs="Arial" w:eastAsia="Arial" w:hAnsi="Arial"/>
                <w:sz w:val="17"/>
                <w:szCs w:val="17"/>
                <w:b w:val="1"/>
                <w:bCs w:val="1"/>
                <w:color w:val="auto"/>
              </w:rPr>
              <w:t>Positions and Offices Held</w:t>
            </w:r>
          </w:p>
        </w:tc>
      </w:tr>
      <w:tr>
        <w:trPr>
          <w:trHeight w:val="209"/>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Barry B. Goldstein</w:t>
            </w:r>
          </w:p>
        </w:tc>
        <w:tc>
          <w:tcPr>
            <w:tcW w:w="204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66</w:t>
            </w:r>
          </w:p>
        </w:tc>
        <w:tc>
          <w:tcPr>
            <w:tcW w:w="634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Chief Executive Officer, President, Executive Chairman of the Board and Director</w:t>
            </w: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Meryl S. Golden</w:t>
            </w:r>
          </w:p>
        </w:tc>
        <w:tc>
          <w:tcPr>
            <w:tcW w:w="2040" w:type="dxa"/>
            <w:vAlign w:val="bottom"/>
          </w:tcPr>
          <w:p>
            <w:pPr>
              <w:jc w:val="center"/>
              <w:ind w:left="835"/>
              <w:spacing w:after="0"/>
              <w:rPr>
                <w:sz w:val="20"/>
                <w:szCs w:val="20"/>
                <w:color w:val="auto"/>
              </w:rPr>
            </w:pPr>
            <w:r>
              <w:rPr>
                <w:rFonts w:ascii="Arial" w:cs="Arial" w:eastAsia="Arial" w:hAnsi="Arial"/>
                <w:sz w:val="17"/>
                <w:szCs w:val="17"/>
                <w:color w:val="auto"/>
                <w:w w:val="84"/>
              </w:rPr>
              <w:t>60</w:t>
            </w:r>
          </w:p>
        </w:tc>
        <w:tc>
          <w:tcPr>
            <w:tcW w:w="6340" w:type="dxa"/>
            <w:vAlign w:val="bottom"/>
          </w:tcPr>
          <w:p>
            <w:pPr>
              <w:ind w:left="400"/>
              <w:spacing w:after="0"/>
              <w:rPr>
                <w:sz w:val="20"/>
                <w:szCs w:val="20"/>
                <w:color w:val="auto"/>
              </w:rPr>
            </w:pPr>
            <w:r>
              <w:rPr>
                <w:rFonts w:ascii="Arial" w:cs="Arial" w:eastAsia="Arial" w:hAnsi="Arial"/>
                <w:sz w:val="17"/>
                <w:szCs w:val="17"/>
                <w:color w:val="auto"/>
              </w:rPr>
              <w:t>Chief Operating Officer and Director</w:t>
            </w: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Victor J. Brodsky</w:t>
            </w:r>
          </w:p>
        </w:tc>
        <w:tc>
          <w:tcPr>
            <w:tcW w:w="204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62</w:t>
            </w:r>
          </w:p>
        </w:tc>
        <w:tc>
          <w:tcPr>
            <w:tcW w:w="6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Chief Financial Officer and Treasurer</w:t>
            </w:r>
          </w:p>
        </w:tc>
      </w:tr>
      <w:tr>
        <w:trPr>
          <w:trHeight w:val="201"/>
        </w:trPr>
        <w:tc>
          <w:tcPr>
            <w:tcW w:w="2860" w:type="dxa"/>
            <w:vAlign w:val="bottom"/>
          </w:tcPr>
          <w:p>
            <w:pPr>
              <w:spacing w:after="0"/>
              <w:rPr>
                <w:sz w:val="20"/>
                <w:szCs w:val="20"/>
                <w:color w:val="auto"/>
              </w:rPr>
            </w:pPr>
            <w:r>
              <w:rPr>
                <w:rFonts w:ascii="Arial" w:cs="Arial" w:eastAsia="Arial" w:hAnsi="Arial"/>
                <w:sz w:val="17"/>
                <w:szCs w:val="17"/>
                <w:color w:val="auto"/>
              </w:rPr>
              <w:t>Benjamin Walden</w:t>
            </w:r>
          </w:p>
        </w:tc>
        <w:tc>
          <w:tcPr>
            <w:tcW w:w="2040" w:type="dxa"/>
            <w:vAlign w:val="bottom"/>
          </w:tcPr>
          <w:p>
            <w:pPr>
              <w:jc w:val="center"/>
              <w:ind w:left="835"/>
              <w:spacing w:after="0"/>
              <w:rPr>
                <w:sz w:val="20"/>
                <w:szCs w:val="20"/>
                <w:color w:val="auto"/>
              </w:rPr>
            </w:pPr>
            <w:r>
              <w:rPr>
                <w:rFonts w:ascii="Arial" w:cs="Arial" w:eastAsia="Arial" w:hAnsi="Arial"/>
                <w:sz w:val="17"/>
                <w:szCs w:val="17"/>
                <w:color w:val="auto"/>
                <w:w w:val="84"/>
              </w:rPr>
              <w:t>52</w:t>
            </w:r>
          </w:p>
        </w:tc>
        <w:tc>
          <w:tcPr>
            <w:tcW w:w="6340" w:type="dxa"/>
            <w:vAlign w:val="bottom"/>
          </w:tcPr>
          <w:p>
            <w:pPr>
              <w:ind w:left="400"/>
              <w:spacing w:after="0"/>
              <w:rPr>
                <w:sz w:val="20"/>
                <w:szCs w:val="20"/>
                <w:color w:val="auto"/>
              </w:rPr>
            </w:pPr>
            <w:r>
              <w:rPr>
                <w:rFonts w:ascii="Arial" w:cs="Arial" w:eastAsia="Arial" w:hAnsi="Arial"/>
                <w:sz w:val="17"/>
                <w:szCs w:val="17"/>
                <w:color w:val="auto"/>
              </w:rPr>
              <w:t>Executive Vice President and Chief Actuary,</w:t>
            </w:r>
          </w:p>
        </w:tc>
      </w:tr>
      <w:tr>
        <w:trPr>
          <w:trHeight w:val="217"/>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340" w:type="dxa"/>
            <w:vAlign w:val="bottom"/>
          </w:tcPr>
          <w:p>
            <w:pPr>
              <w:ind w:left="400"/>
              <w:spacing w:after="0"/>
              <w:rPr>
                <w:sz w:val="20"/>
                <w:szCs w:val="20"/>
                <w:color w:val="auto"/>
              </w:rPr>
            </w:pPr>
            <w:r>
              <w:rPr>
                <w:rFonts w:ascii="Arial" w:cs="Arial" w:eastAsia="Arial" w:hAnsi="Arial"/>
                <w:sz w:val="17"/>
                <w:szCs w:val="17"/>
                <w:color w:val="auto"/>
              </w:rPr>
              <w:t>Kingstone Insurance Company</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Floyd R. Tupper</w:t>
            </w:r>
          </w:p>
        </w:tc>
        <w:tc>
          <w:tcPr>
            <w:tcW w:w="204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65</w:t>
            </w:r>
          </w:p>
        </w:tc>
        <w:tc>
          <w:tcPr>
            <w:tcW w:w="6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Secretary and Director</w:t>
            </w: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Timothy P. McFadden</w:t>
            </w:r>
          </w:p>
        </w:tc>
        <w:tc>
          <w:tcPr>
            <w:tcW w:w="2040" w:type="dxa"/>
            <w:vAlign w:val="bottom"/>
          </w:tcPr>
          <w:p>
            <w:pPr>
              <w:jc w:val="center"/>
              <w:ind w:left="835"/>
              <w:spacing w:after="0"/>
              <w:rPr>
                <w:sz w:val="20"/>
                <w:szCs w:val="20"/>
                <w:color w:val="auto"/>
              </w:rPr>
            </w:pPr>
            <w:r>
              <w:rPr>
                <w:rFonts w:ascii="Arial" w:cs="Arial" w:eastAsia="Arial" w:hAnsi="Arial"/>
                <w:sz w:val="17"/>
                <w:szCs w:val="17"/>
                <w:color w:val="auto"/>
                <w:w w:val="84"/>
              </w:rPr>
              <w:t>57</w:t>
            </w:r>
          </w:p>
        </w:tc>
        <w:tc>
          <w:tcPr>
            <w:tcW w:w="6340" w:type="dxa"/>
            <w:vAlign w:val="bottom"/>
          </w:tcPr>
          <w:p>
            <w:pPr>
              <w:ind w:left="400"/>
              <w:spacing w:after="0"/>
              <w:rPr>
                <w:sz w:val="20"/>
                <w:szCs w:val="20"/>
                <w:color w:val="auto"/>
              </w:rPr>
            </w:pPr>
            <w:r>
              <w:rPr>
                <w:rFonts w:ascii="Arial" w:cs="Arial" w:eastAsia="Arial" w:hAnsi="Arial"/>
                <w:sz w:val="17"/>
                <w:szCs w:val="17"/>
                <w:color w:val="auto"/>
              </w:rPr>
              <w:t>Assistant Secretary and Director</w:t>
            </w: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Jay M. Haft</w:t>
            </w:r>
          </w:p>
        </w:tc>
        <w:tc>
          <w:tcPr>
            <w:tcW w:w="204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84</w:t>
            </w:r>
          </w:p>
        </w:tc>
        <w:tc>
          <w:tcPr>
            <w:tcW w:w="6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Director</w:t>
            </w:r>
          </w:p>
        </w:tc>
      </w:tr>
      <w:tr>
        <w:trPr>
          <w:trHeight w:val="209"/>
        </w:trPr>
        <w:tc>
          <w:tcPr>
            <w:tcW w:w="2860" w:type="dxa"/>
            <w:vAlign w:val="bottom"/>
          </w:tcPr>
          <w:p>
            <w:pPr>
              <w:spacing w:after="0"/>
              <w:rPr>
                <w:sz w:val="20"/>
                <w:szCs w:val="20"/>
                <w:color w:val="auto"/>
              </w:rPr>
            </w:pPr>
            <w:r>
              <w:rPr>
                <w:rFonts w:ascii="Arial" w:cs="Arial" w:eastAsia="Arial" w:hAnsi="Arial"/>
                <w:sz w:val="17"/>
                <w:szCs w:val="17"/>
                <w:color w:val="auto"/>
              </w:rPr>
              <w:t>William L. Yankus</w:t>
            </w:r>
          </w:p>
        </w:tc>
        <w:tc>
          <w:tcPr>
            <w:tcW w:w="2040" w:type="dxa"/>
            <w:vAlign w:val="bottom"/>
          </w:tcPr>
          <w:p>
            <w:pPr>
              <w:jc w:val="center"/>
              <w:ind w:left="835"/>
              <w:spacing w:after="0"/>
              <w:rPr>
                <w:sz w:val="20"/>
                <w:szCs w:val="20"/>
                <w:color w:val="auto"/>
              </w:rPr>
            </w:pPr>
            <w:r>
              <w:rPr>
                <w:rFonts w:ascii="Arial" w:cs="Arial" w:eastAsia="Arial" w:hAnsi="Arial"/>
                <w:sz w:val="17"/>
                <w:szCs w:val="17"/>
                <w:color w:val="auto"/>
                <w:w w:val="84"/>
              </w:rPr>
              <w:t>60</w:t>
            </w:r>
          </w:p>
        </w:tc>
        <w:tc>
          <w:tcPr>
            <w:tcW w:w="6340" w:type="dxa"/>
            <w:vAlign w:val="bottom"/>
          </w:tcPr>
          <w:p>
            <w:pPr>
              <w:ind w:left="400"/>
              <w:spacing w:after="0"/>
              <w:rPr>
                <w:sz w:val="20"/>
                <w:szCs w:val="20"/>
                <w:color w:val="auto"/>
              </w:rPr>
            </w:pPr>
            <w:r>
              <w:rPr>
                <w:rFonts w:ascii="Arial" w:cs="Arial" w:eastAsia="Arial" w:hAnsi="Arial"/>
                <w:sz w:val="17"/>
                <w:szCs w:val="17"/>
                <w:color w:val="auto"/>
              </w:rPr>
              <w:t>Director</w:t>
            </w: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Carla A. D’Andre</w:t>
            </w:r>
          </w:p>
        </w:tc>
        <w:tc>
          <w:tcPr>
            <w:tcW w:w="204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64</w:t>
            </w:r>
          </w:p>
        </w:tc>
        <w:tc>
          <w:tcPr>
            <w:tcW w:w="6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Director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Barry B. Goldstein</w:t>
      </w:r>
    </w:p>
    <w:p>
      <w:pPr>
        <w:spacing w:after="0" w:line="157" w:lineRule="exact"/>
        <w:rPr>
          <w:sz w:val="20"/>
          <w:szCs w:val="20"/>
          <w:color w:val="auto"/>
        </w:rPr>
      </w:pPr>
    </w:p>
    <w:p>
      <w:pPr>
        <w:jc w:val="both"/>
        <w:ind w:firstLine="627"/>
        <w:spacing w:after="0" w:line="296" w:lineRule="auto"/>
        <w:rPr>
          <w:sz w:val="20"/>
          <w:szCs w:val="20"/>
          <w:color w:val="auto"/>
        </w:rPr>
      </w:pPr>
      <w:r>
        <w:rPr>
          <w:rFonts w:ascii="Arial" w:cs="Arial" w:eastAsia="Arial" w:hAnsi="Arial"/>
          <w:sz w:val="15"/>
          <w:szCs w:val="15"/>
          <w:color w:val="auto"/>
        </w:rPr>
        <w:t>Mr. Goldstein has served as our Chief Executive Officer and President, as well as Chief Executive Officer and President of Kingstone Insurance Company, our wholly owned New York property and casualty insurer (“KICO”), since July 19, 2019. He previously served as our Chief Executive Officer, President and Chairman of the Board from March 2001 through December 31, 2018 and as Chief Executive Officer and President of KICO from January 2012 through December 31, 2018. Mr. Goldstein has served as our Executive Chairman of the Board since January 1,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is a certified public accountant (inactive).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Meryl S. Golden</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Ms. Golden has served as our Chief Operating Officer since September 25, 2019 and as one of our directors since March 11, 2020. She has also served as Chief Operating Officer, a director and a member of the Executive Committee of KICO since September 25, 2019.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52" w:name="page53"/>
    <w:bookmarkEnd w:id="52"/>
    <w:p>
      <w:pPr>
        <w:ind w:left="40"/>
        <w:spacing w:after="0"/>
        <w:rPr>
          <w:sz w:val="20"/>
          <w:szCs w:val="20"/>
          <w:color w:val="auto"/>
        </w:rPr>
      </w:pPr>
      <w:r>
        <w:rPr>
          <w:rFonts w:ascii="Arial" w:cs="Arial" w:eastAsia="Arial" w:hAnsi="Arial"/>
          <w:sz w:val="17"/>
          <w:szCs w:val="17"/>
          <w:i w:val="1"/>
          <w:iCs w:val="1"/>
          <w:color w:val="auto"/>
        </w:rPr>
        <w:t>Victor J. Brodsky</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Mr. Brodsky has served as our Chief Financial Officer since August 2009 and as our Treasurer since August 2013. He served as our Chief Accounting Officer from August 2007 through July 2009, as our Principal Financial Officer for Securities and Exchange Commission (“SEC”) reporting purposes from November 2007 through July 2009 and as our Secretary from December 2008 to August 2013. In addition, Mr. Brodsky has served as a director of KICO since February 2008, as Chief Financial Officer of KICO since September 2010 and as Executive Vice President of KICO since February 2017. He also served as Senior Vice President of KICO from January 2012 to February 2017 and as Treasurer of KICO from September 2010 through December 2011. Mr. Brodsky served from May 2008 through March 15, 2010 as Vice President of Financial Reporting and Principal Financial Officer for SEC reporting purposes of Vertical Branding Inc. Mr. Brodsky served as Chief Financial Officer of Vertical Branding from March 1998 through May 2008 and as a director of Vertical Branding from May 2002 through November 2005. He served as its Secretary from November 2005 through May 2008 and from April 2009 to March 15, 2010. Prior to joining Vertical Branding, Mr. Brodsky spent 16 years at the CPA firm of Michael &amp; Adest in New York. Mr. Brodsky earned a Bachelor of Business Administration degree from Hofstra University, with a major in accounting, and is a licensed CPA in New York.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Benjamin Walden</w:t>
      </w:r>
    </w:p>
    <w:p>
      <w:pPr>
        <w:spacing w:after="0" w:line="223"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color w:val="auto"/>
        </w:rPr>
        <w:t>Mr. Walden has served as Executive Vice President of KICO since February 2017 and as Chief Actuary of KICO since December 2013. From January 2015 to February 2017, he served as Senior Vice President of KICO and from December 2013 to January 2015, he served as Vice President of KICO. From February 2010 to November 2013, Mr. Walden served as Chief Actuary for Interboro Insurance Company, a personal lines carrier. From July 2008 to February 2010, Mr. Walden was President of Assigned Risk Consulting, Inc., an independent actuarial consulting firm. From October 2001 to April 2009, he served as Vice President and Chief Actuary of AutoOne Insurance, an assigned risk automobile servicing carrier. Mr. Walden was also an actuarial consultant at Milliman, Inc., an independent provider of actuarial and consulting services, from January 1998 to October 2001. Mr. Walden has been a Fellow of the Casualty Actuarial Society since 1999 and holds a Bachelor of Science Degree in Mathematics from Villanova University. Mr. Walden tendered his resignation effective May 31, 2020.</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Floyd R. Tupper</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(including his service as Chairman of its Audit Committee), give him the qualifications and skills to serve as one of our directors.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Jay M. Haft</w:t>
      </w:r>
    </w:p>
    <w:p>
      <w:pPr>
        <w:spacing w:after="0" w:line="223" w:lineRule="exact"/>
        <w:rPr>
          <w:sz w:val="20"/>
          <w:szCs w:val="20"/>
          <w:color w:val="auto"/>
        </w:rPr>
      </w:pPr>
    </w:p>
    <w:p>
      <w:pPr>
        <w:jc w:val="both"/>
        <w:ind w:firstLine="627"/>
        <w:spacing w:after="0" w:line="275" w:lineRule="auto"/>
        <w:rPr>
          <w:sz w:val="20"/>
          <w:szCs w:val="20"/>
          <w:color w:val="auto"/>
        </w:rPr>
      </w:pPr>
      <w:r>
        <w:rPr>
          <w:rFonts w:ascii="Arial" w:cs="Arial" w:eastAsia="Arial" w:hAnsi="Arial"/>
          <w:sz w:val="16"/>
          <w:szCs w:val="16"/>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The Link of Times Foundation and The Mariinski Foundation and is an advisor to Montezemolo &amp; Partners. He has been instrumental in strategic planning and fundraising for a variety of Internet and high-tech, leading edge medical technology and marketing companies over the years. Mr. Haft served as counsel to Reed Smith, an international law firm.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(serving as Chairman of our Nominating and Corporate Governance Committee from 2010 to 2018). Mr. Haft received B.A. and LL.B. degrees from Yale University. We believe that Mr. Haft’s corporate finance, business consultation, legal and executive-level experience, as well as his service on the Board of KICO, give him the qualifications and skills to serve as one of our directors.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auto"/>
        </w:rPr>
        <w:t>William L. Yankus</w:t>
      </w:r>
    </w:p>
    <w:p>
      <w:pPr>
        <w:spacing w:after="0" w:line="223"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Chairman of our Compensation Committee since April 2017 and Chairman of our Investment Committee since February 2020.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Carla A. D’Andre</w:t>
      </w:r>
    </w:p>
    <w:p>
      <w:pPr>
        <w:spacing w:after="0" w:line="223" w:lineRule="exact"/>
        <w:rPr>
          <w:sz w:val="20"/>
          <w:szCs w:val="20"/>
          <w:color w:val="auto"/>
        </w:rPr>
      </w:pPr>
    </w:p>
    <w:p>
      <w:pPr>
        <w:jc w:val="both"/>
        <w:ind w:firstLine="627"/>
        <w:spacing w:after="0" w:line="295" w:lineRule="auto"/>
        <w:rPr>
          <w:sz w:val="20"/>
          <w:szCs w:val="20"/>
          <w:color w:val="auto"/>
        </w:rPr>
      </w:pPr>
      <w:r>
        <w:rPr>
          <w:rFonts w:ascii="Arial" w:cs="Arial" w:eastAsia="Arial" w:hAnsi="Arial"/>
          <w:sz w:val="15"/>
          <w:szCs w:val="15"/>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Co-Chair of our Finance Committee.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Timothy P. McFadden</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Mr. McFadden has more than 28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He is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and Chair of our Nominating and Corporate Governance Committee since August 2018. We believe that Mr. McFadden's executive level experience in the insurance industry gives him the qualifications and skills to serve as one of our directors.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Family Relationships</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There are no family relationships among any of our executive officers and directors; however, see Item 13 (“Certain Relationships and Related Transactions, and Director Independence - Other”) of this Annual Report.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Term of Office</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The Audit Committee of the Board of Directors is responsible for overseeing our accounting and financial reporting processes, the audits of our financial statements and the appointment of our Independent Registered Public Accounting Firm. The members of the Audit Committee are Messrs. Tupper, Yankus and McFadden.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54" w:name="page55"/>
    <w:bookmarkEnd w:id="54"/>
    <w:p>
      <w:pPr>
        <w:ind w:left="640"/>
        <w:spacing w:after="0"/>
        <w:rPr>
          <w:sz w:val="20"/>
          <w:szCs w:val="20"/>
          <w:color w:val="auto"/>
        </w:rPr>
      </w:pPr>
      <w:r>
        <w:rPr>
          <w:rFonts w:ascii="Arial" w:cs="Arial" w:eastAsia="Arial" w:hAnsi="Arial"/>
          <w:sz w:val="17"/>
          <w:szCs w:val="17"/>
          <w:b w:val="1"/>
          <w:bCs w:val="1"/>
          <w:i w:val="1"/>
          <w:iCs w:val="1"/>
          <w:color w:val="auto"/>
        </w:rPr>
        <w:t>Audit Committee Financial Expert</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Board of Directors has determined that Mr. Tupper qualifies as an “audit committee financial expert,” as defined in applicable Nasdaq listing standards and federal securities rules and regulations, and that Mr. Tupper is independent under applicable and federal securities rules and regulations on independence of Audit Committee members.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Delinquent Section 16(a) Reports</w:t>
      </w:r>
    </w:p>
    <w:p>
      <w:pPr>
        <w:spacing w:after="0" w:line="223"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Section 16 of the Exchange Act requires that reports of beneficial ownership of common shares and changes in such ownership be filed with the SEC by Section 16 “reporting persons,” including directors, certain officers, holders of more than 10% of the outstanding common shares and certain trusts of which reporting persons are trustees. We are required to disclose in this Annual Report each reporting person whom we know to have failed to file any required reports under Section 16 on a timely basis during the fiscal year ended December 31, 2019. To our knowledge, based solely on a review of copies of Forms 3, 4 and 5 filed with the SEC and written representations that no other reports were required, during the fiscal year ended December 31, 2019, our officers, directors and 10% stockholders complied with all Section 16(a) filing requirements applicable to them, except that Mr. Brodsky filed two Forms 4 one day late, each reporting one transaction.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Code of Ethics; Officer and Director Trading Restrictions Policy</w:t>
      </w:r>
    </w:p>
    <w:p>
      <w:pPr>
        <w:spacing w:after="0" w:line="223"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t>
      </w:r>
      <w:r>
        <w:rPr>
          <w:rFonts w:ascii="Arial" w:cs="Arial" w:eastAsia="Arial" w:hAnsi="Arial"/>
          <w:sz w:val="16"/>
          <w:szCs w:val="16"/>
          <w:u w:val="single" w:color="auto"/>
          <w:color w:val="0000FF"/>
        </w:rPr>
        <w:t>www.kingstonecompanies.com</w:t>
      </w:r>
      <w:r>
        <w:rPr>
          <w:rFonts w:ascii="Arial" w:cs="Arial" w:eastAsia="Arial" w:hAnsi="Arial"/>
          <w:sz w:val="16"/>
          <w:szCs w:val="16"/>
          <w:color w:val="000000"/>
        </w:rPr>
        <w:t>. We intend to satisfy the disclosure requirement under Item 5.05(c) of Form 8-K regarding an amendment to, or a waiver from, our</w:t>
      </w:r>
      <w:r>
        <w:rPr>
          <w:rFonts w:ascii="Arial" w:cs="Arial" w:eastAsia="Arial" w:hAnsi="Arial"/>
          <w:sz w:val="16"/>
          <w:szCs w:val="16"/>
          <w:color w:val="0000FF"/>
        </w:rPr>
        <w:t xml:space="preserve"> </w:t>
      </w:r>
      <w:r>
        <w:rPr>
          <w:rFonts w:ascii="Arial" w:cs="Arial" w:eastAsia="Arial" w:hAnsi="Arial"/>
          <w:sz w:val="16"/>
          <w:szCs w:val="16"/>
          <w:color w:val="000000"/>
        </w:rPr>
        <w:t xml:space="preserve">Code of Ethics or Officer and Director Trading Restrictions Policy by posting such information on our website, </w:t>
      </w:r>
      <w:r>
        <w:rPr>
          <w:rFonts w:ascii="Arial" w:cs="Arial" w:eastAsia="Arial" w:hAnsi="Arial"/>
          <w:sz w:val="16"/>
          <w:szCs w:val="16"/>
          <w:u w:val="single" w:color="auto"/>
          <w:color w:val="0000FF"/>
        </w:rPr>
        <w:t>www.kingstonecompanies.com</w:t>
      </w:r>
      <w:r>
        <w:rPr>
          <w:rFonts w:ascii="Arial" w:cs="Arial" w:eastAsia="Arial" w:hAnsi="Arial"/>
          <w:sz w:val="16"/>
          <w:szCs w:val="16"/>
          <w:color w:val="000000"/>
        </w:rPr>
        <w:t>.</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u w:val="single" w:color="auto"/>
          <w:color w:val="auto"/>
        </w:rPr>
        <w:t>ITEM 11.</w:t>
      </w:r>
      <w:r>
        <w:rPr>
          <w:sz w:val="20"/>
          <w:szCs w:val="20"/>
          <w:color w:val="auto"/>
        </w:rPr>
        <w:tab/>
      </w:r>
      <w:r>
        <w:rPr>
          <w:rFonts w:ascii="Arial" w:cs="Arial" w:eastAsia="Arial" w:hAnsi="Arial"/>
          <w:sz w:val="17"/>
          <w:szCs w:val="17"/>
          <w:b w:val="1"/>
          <w:bCs w:val="1"/>
          <w:u w:val="single" w:color="auto"/>
          <w:color w:val="auto"/>
        </w:rPr>
        <w:t>EXECUTIVE COMPENSATION</w:t>
      </w:r>
      <w:r>
        <w:rPr>
          <w:rFonts w:ascii="Arial" w:cs="Arial" w:eastAsia="Arial" w:hAnsi="Arial"/>
          <w:sz w:val="17"/>
          <w:szCs w:val="17"/>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following table sets forth certain information concerning the compensation for the fiscal years ended December 31, 2019 and 2018 for certain executive officers, including our Chief Executive Officer:</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center"/>
              <w:ind w:right="146"/>
              <w:spacing w:after="0"/>
              <w:rPr>
                <w:sz w:val="20"/>
                <w:szCs w:val="20"/>
                <w:color w:val="auto"/>
              </w:rPr>
            </w:pPr>
            <w:r>
              <w:rPr>
                <w:rFonts w:ascii="Arial" w:cs="Arial" w:eastAsia="Arial" w:hAnsi="Arial"/>
                <w:sz w:val="17"/>
                <w:szCs w:val="17"/>
                <w:b w:val="1"/>
                <w:bCs w:val="1"/>
                <w:color w:val="auto"/>
                <w:w w:val="94"/>
              </w:rPr>
              <w:t>Non-Equity</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1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346"/>
              <w:spacing w:after="0"/>
              <w:rPr>
                <w:sz w:val="20"/>
                <w:szCs w:val="20"/>
                <w:color w:val="auto"/>
              </w:rPr>
            </w:pPr>
            <w:r>
              <w:rPr>
                <w:rFonts w:ascii="Arial" w:cs="Arial" w:eastAsia="Arial" w:hAnsi="Arial"/>
                <w:sz w:val="17"/>
                <w:szCs w:val="17"/>
                <w:b w:val="1"/>
                <w:bCs w:val="1"/>
                <w:color w:val="auto"/>
                <w:w w:val="89"/>
              </w:rPr>
              <w:t>Incentive</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1980" w:type="dxa"/>
            <w:vAlign w:val="bottom"/>
          </w:tcPr>
          <w:p>
            <w:pPr>
              <w:ind w:left="100"/>
              <w:spacing w:after="0"/>
              <w:rPr>
                <w:sz w:val="20"/>
                <w:szCs w:val="20"/>
                <w:color w:val="auto"/>
              </w:rPr>
            </w:pPr>
            <w:r>
              <w:rPr>
                <w:rFonts w:ascii="Arial" w:cs="Arial" w:eastAsia="Arial" w:hAnsi="Arial"/>
                <w:sz w:val="17"/>
                <w:szCs w:val="17"/>
                <w:b w:val="1"/>
                <w:bCs w:val="1"/>
                <w:color w:val="auto"/>
              </w:rPr>
              <w:t>Name and Principal</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26"/>
              <w:spacing w:after="0"/>
              <w:rPr>
                <w:sz w:val="20"/>
                <w:szCs w:val="20"/>
                <w:color w:val="auto"/>
              </w:rPr>
            </w:pPr>
            <w:r>
              <w:rPr>
                <w:rFonts w:ascii="Arial" w:cs="Arial" w:eastAsia="Arial" w:hAnsi="Arial"/>
                <w:sz w:val="17"/>
                <w:szCs w:val="17"/>
                <w:b w:val="1"/>
                <w:bCs w:val="1"/>
                <w:color w:val="auto"/>
              </w:rPr>
              <w:t>Stock</w:t>
            </w:r>
          </w:p>
        </w:tc>
        <w:tc>
          <w:tcPr>
            <w:tcW w:w="240" w:type="dxa"/>
            <w:vAlign w:val="bottom"/>
          </w:tcPr>
          <w:p>
            <w:pPr>
              <w:spacing w:after="0"/>
              <w:rPr>
                <w:sz w:val="18"/>
                <w:szCs w:val="18"/>
                <w:color w:val="auto"/>
              </w:rPr>
            </w:pPr>
          </w:p>
        </w:tc>
        <w:tc>
          <w:tcPr>
            <w:tcW w:w="900" w:type="dxa"/>
            <w:vAlign w:val="bottom"/>
          </w:tcPr>
          <w:p>
            <w:pPr>
              <w:jc w:val="right"/>
              <w:ind w:right="186"/>
              <w:spacing w:after="0"/>
              <w:rPr>
                <w:sz w:val="20"/>
                <w:szCs w:val="20"/>
                <w:color w:val="auto"/>
              </w:rPr>
            </w:pPr>
            <w:r>
              <w:rPr>
                <w:rFonts w:ascii="Arial" w:cs="Arial" w:eastAsia="Arial" w:hAnsi="Arial"/>
                <w:sz w:val="17"/>
                <w:szCs w:val="17"/>
                <w:b w:val="1"/>
                <w:bCs w:val="1"/>
                <w:color w:val="auto"/>
              </w:rPr>
              <w:t>Option</w:t>
            </w:r>
          </w:p>
        </w:tc>
        <w:tc>
          <w:tcPr>
            <w:tcW w:w="200" w:type="dxa"/>
            <w:vAlign w:val="bottom"/>
          </w:tcPr>
          <w:p>
            <w:pPr>
              <w:spacing w:after="0"/>
              <w:rPr>
                <w:sz w:val="18"/>
                <w:szCs w:val="18"/>
                <w:color w:val="auto"/>
              </w:rPr>
            </w:pPr>
          </w:p>
        </w:tc>
        <w:tc>
          <w:tcPr>
            <w:tcW w:w="1120" w:type="dxa"/>
            <w:vAlign w:val="bottom"/>
          </w:tcPr>
          <w:p>
            <w:pPr>
              <w:jc w:val="center"/>
              <w:ind w:right="346"/>
              <w:spacing w:after="0"/>
              <w:rPr>
                <w:sz w:val="20"/>
                <w:szCs w:val="20"/>
                <w:color w:val="auto"/>
              </w:rPr>
            </w:pPr>
            <w:r>
              <w:rPr>
                <w:rFonts w:ascii="Arial" w:cs="Arial" w:eastAsia="Arial" w:hAnsi="Arial"/>
                <w:sz w:val="17"/>
                <w:szCs w:val="17"/>
                <w:b w:val="1"/>
                <w:bCs w:val="1"/>
                <w:color w:val="auto"/>
                <w:w w:val="94"/>
              </w:rPr>
              <w:t>Plan</w:t>
            </w:r>
          </w:p>
        </w:tc>
        <w:tc>
          <w:tcPr>
            <w:tcW w:w="1220" w:type="dxa"/>
            <w:vAlign w:val="bottom"/>
          </w:tcPr>
          <w:p>
            <w:pPr>
              <w:jc w:val="right"/>
              <w:ind w:right="447"/>
              <w:spacing w:after="0"/>
              <w:rPr>
                <w:sz w:val="20"/>
                <w:szCs w:val="20"/>
                <w:color w:val="auto"/>
              </w:rPr>
            </w:pPr>
            <w:r>
              <w:rPr>
                <w:rFonts w:ascii="Arial" w:cs="Arial" w:eastAsia="Arial" w:hAnsi="Arial"/>
                <w:sz w:val="17"/>
                <w:szCs w:val="17"/>
                <w:b w:val="1"/>
                <w:bCs w:val="1"/>
                <w:color w:val="auto"/>
                <w:w w:val="94"/>
              </w:rPr>
              <w:t>All Other</w:t>
            </w:r>
          </w:p>
        </w:tc>
        <w:tc>
          <w:tcPr>
            <w:tcW w:w="820" w:type="dxa"/>
            <w:vAlign w:val="bottom"/>
          </w:tcPr>
          <w:p>
            <w:pPr>
              <w:spacing w:after="0"/>
              <w:rPr>
                <w:sz w:val="18"/>
                <w:szCs w:val="18"/>
                <w:color w:val="auto"/>
              </w:rPr>
            </w:pPr>
          </w:p>
        </w:tc>
      </w:tr>
      <w:tr>
        <w:trPr>
          <w:trHeight w:val="228"/>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w:t>
            </w:r>
          </w:p>
        </w:tc>
        <w:tc>
          <w:tcPr>
            <w:tcW w:w="1140" w:type="dxa"/>
            <w:vAlign w:val="bottom"/>
            <w:tcBorders>
              <w:bottom w:val="single" w:sz="8" w:color="auto"/>
            </w:tcBorders>
          </w:tcPr>
          <w:p>
            <w:pPr>
              <w:jc w:val="right"/>
              <w:ind w:right="287"/>
              <w:spacing w:after="0"/>
              <w:rPr>
                <w:sz w:val="20"/>
                <w:szCs w:val="20"/>
                <w:color w:val="auto"/>
              </w:rPr>
            </w:pPr>
            <w:r>
              <w:rPr>
                <w:rFonts w:ascii="Arial" w:cs="Arial" w:eastAsia="Arial" w:hAnsi="Arial"/>
                <w:sz w:val="17"/>
                <w:szCs w:val="17"/>
                <w:b w:val="1"/>
                <w:bCs w:val="1"/>
                <w:color w:val="auto"/>
              </w:rPr>
              <w:t>Year</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7"/>
              <w:spacing w:after="0"/>
              <w:rPr>
                <w:sz w:val="20"/>
                <w:szCs w:val="20"/>
                <w:color w:val="auto"/>
              </w:rPr>
            </w:pPr>
            <w:r>
              <w:rPr>
                <w:rFonts w:ascii="Arial" w:cs="Arial" w:eastAsia="Arial" w:hAnsi="Arial"/>
                <w:sz w:val="17"/>
                <w:szCs w:val="17"/>
                <w:b w:val="1"/>
                <w:bCs w:val="1"/>
                <w:color w:val="auto"/>
              </w:rPr>
              <w:t>Salary</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7"/>
              <w:spacing w:after="0"/>
              <w:rPr>
                <w:sz w:val="20"/>
                <w:szCs w:val="20"/>
                <w:color w:val="auto"/>
              </w:rPr>
            </w:pPr>
            <w:r>
              <w:rPr>
                <w:rFonts w:ascii="Arial" w:cs="Arial" w:eastAsia="Arial" w:hAnsi="Arial"/>
                <w:sz w:val="17"/>
                <w:szCs w:val="17"/>
                <w:b w:val="1"/>
                <w:bCs w:val="1"/>
                <w:color w:val="auto"/>
              </w:rPr>
              <w:t>Bonus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7"/>
                <w:szCs w:val="17"/>
                <w:b w:val="1"/>
                <w:bCs w:val="1"/>
                <w:color w:val="auto"/>
                <w:w w:val="89"/>
              </w:rPr>
              <w:t>Awards(3)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7"/>
                <w:szCs w:val="17"/>
                <w:b w:val="1"/>
                <w:bCs w:val="1"/>
                <w:color w:val="auto"/>
                <w:w w:val="94"/>
              </w:rPr>
              <w:t>Awards</w:t>
            </w:r>
          </w:p>
        </w:tc>
        <w:tc>
          <w:tcPr>
            <w:tcW w:w="254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Compensation Compensation</w:t>
            </w:r>
          </w:p>
        </w:tc>
        <w:tc>
          <w:tcPr>
            <w:tcW w:w="820" w:type="dxa"/>
            <w:vAlign w:val="bottom"/>
            <w:tcBorders>
              <w:bottom w:val="single" w:sz="8" w:color="auto"/>
            </w:tcBorders>
          </w:tcPr>
          <w:p>
            <w:pPr>
              <w:jc w:val="right"/>
              <w:ind w:right="247"/>
              <w:spacing w:after="0"/>
              <w:rPr>
                <w:sz w:val="20"/>
                <w:szCs w:val="20"/>
                <w:color w:val="auto"/>
              </w:rPr>
            </w:pPr>
            <w:r>
              <w:rPr>
                <w:rFonts w:ascii="Arial" w:cs="Arial" w:eastAsia="Arial" w:hAnsi="Arial"/>
                <w:sz w:val="17"/>
                <w:szCs w:val="17"/>
                <w:b w:val="1"/>
                <w:bCs w:val="1"/>
                <w:color w:val="auto"/>
              </w:rPr>
              <w:t>Total</w:t>
            </w:r>
          </w:p>
        </w:tc>
      </w:tr>
      <w:tr>
        <w:trPr>
          <w:trHeight w:val="157"/>
        </w:trPr>
        <w:tc>
          <w:tcPr>
            <w:tcW w:w="198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Barry B. Goldstein (1)</w:t>
            </w:r>
          </w:p>
        </w:tc>
        <w:tc>
          <w:tcPr>
            <w:tcW w:w="1140" w:type="dxa"/>
            <w:vAlign w:val="bottom"/>
            <w:shd w:val="clear" w:color="auto" w:fill="CCEEFF"/>
          </w:tcPr>
          <w:p>
            <w:pPr>
              <w:jc w:val="right"/>
              <w:ind w:right="327"/>
              <w:spacing w:after="0" w:line="157" w:lineRule="exact"/>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636,500</w:t>
            </w:r>
          </w:p>
        </w:tc>
        <w:tc>
          <w:tcPr>
            <w:tcW w:w="2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   $</w:t>
            </w:r>
          </w:p>
        </w:tc>
        <w:tc>
          <w:tcPr>
            <w:tcW w:w="122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37,520(5) $</w:t>
            </w:r>
          </w:p>
        </w:tc>
        <w:tc>
          <w:tcPr>
            <w:tcW w:w="82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674,020</w:t>
            </w:r>
          </w:p>
        </w:tc>
      </w:tr>
      <w:tr>
        <w:trPr>
          <w:trHeight w:val="147"/>
        </w:trPr>
        <w:tc>
          <w:tcPr>
            <w:tcW w:w="1980" w:type="dxa"/>
            <w:vAlign w:val="bottom"/>
          </w:tcPr>
          <w:p>
            <w:pPr>
              <w:ind w:left="160"/>
              <w:spacing w:after="0" w:line="147" w:lineRule="exact"/>
              <w:rPr>
                <w:sz w:val="20"/>
                <w:szCs w:val="20"/>
                <w:color w:val="auto"/>
              </w:rPr>
            </w:pPr>
            <w:r>
              <w:rPr>
                <w:rFonts w:ascii="Arial" w:cs="Arial" w:eastAsia="Arial" w:hAnsi="Arial"/>
                <w:sz w:val="14"/>
                <w:szCs w:val="14"/>
                <w:color w:val="auto"/>
              </w:rPr>
              <w:t>Chief Executive Officer;</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7"/>
        </w:trPr>
        <w:tc>
          <w:tcPr>
            <w:tcW w:w="1980" w:type="dxa"/>
            <w:vAlign w:val="bottom"/>
          </w:tcPr>
          <w:p>
            <w:pPr>
              <w:ind w:left="160"/>
              <w:spacing w:after="0" w:line="157" w:lineRule="exact"/>
              <w:rPr>
                <w:sz w:val="20"/>
                <w:szCs w:val="20"/>
                <w:color w:val="auto"/>
              </w:rPr>
            </w:pPr>
            <w:r>
              <w:rPr>
                <w:rFonts w:ascii="Arial" w:cs="Arial" w:eastAsia="Arial" w:hAnsi="Arial"/>
                <w:sz w:val="14"/>
                <w:szCs w:val="14"/>
                <w:color w:val="auto"/>
              </w:rPr>
              <w:t>Executive Chairman of</w:t>
            </w: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6"/>
        </w:trPr>
        <w:tc>
          <w:tcPr>
            <w:tcW w:w="1980" w:type="dxa"/>
            <w:vAlign w:val="bottom"/>
          </w:tcPr>
          <w:p>
            <w:pPr>
              <w:ind w:left="160"/>
              <w:spacing w:after="0"/>
              <w:rPr>
                <w:sz w:val="20"/>
                <w:szCs w:val="20"/>
                <w:color w:val="auto"/>
              </w:rPr>
            </w:pPr>
            <w:r>
              <w:rPr>
                <w:rFonts w:ascii="Arial" w:cs="Arial" w:eastAsia="Arial" w:hAnsi="Arial"/>
                <w:sz w:val="14"/>
                <w:szCs w:val="14"/>
                <w:color w:val="auto"/>
              </w:rPr>
              <w:t>the Board</w:t>
            </w:r>
          </w:p>
        </w:tc>
        <w:tc>
          <w:tcPr>
            <w:tcW w:w="1140" w:type="dxa"/>
            <w:vAlign w:val="bottom"/>
          </w:tcPr>
          <w:p>
            <w:pPr>
              <w:jc w:val="right"/>
              <w:ind w:right="387"/>
              <w:spacing w:after="0"/>
              <w:rPr>
                <w:sz w:val="20"/>
                <w:szCs w:val="20"/>
                <w:color w:val="auto"/>
              </w:rPr>
            </w:pPr>
            <w:r>
              <w:rPr>
                <w:rFonts w:ascii="Arial" w:cs="Arial" w:eastAsia="Arial" w:hAnsi="Arial"/>
                <w:sz w:val="14"/>
                <w:szCs w:val="14"/>
                <w:color w:val="auto"/>
              </w:rPr>
              <w:t>2018</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630,000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21,887(4) $</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43,784(6) $</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695,671</w:t>
            </w:r>
          </w:p>
        </w:tc>
      </w:tr>
      <w:tr>
        <w:trPr>
          <w:trHeight w:val="157"/>
        </w:trPr>
        <w:tc>
          <w:tcPr>
            <w:tcW w:w="1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Dale A. Thatcher (2)</w:t>
            </w:r>
          </w:p>
        </w:tc>
        <w:tc>
          <w:tcPr>
            <w:tcW w:w="1140" w:type="dxa"/>
            <w:vAlign w:val="bottom"/>
            <w:shd w:val="clear" w:color="auto" w:fill="CCEEFF"/>
          </w:tcPr>
          <w:p>
            <w:pPr>
              <w:jc w:val="right"/>
              <w:ind w:right="367"/>
              <w:spacing w:after="0" w:line="157" w:lineRule="exact"/>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625,000</w:t>
            </w:r>
          </w:p>
        </w:tc>
        <w:tc>
          <w:tcPr>
            <w:tcW w:w="2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750,000</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5,000(4) $</w:t>
            </w:r>
          </w:p>
        </w:tc>
        <w:tc>
          <w:tcPr>
            <w:tcW w:w="122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38,200(7) $</w:t>
            </w:r>
          </w:p>
        </w:tc>
        <w:tc>
          <w:tcPr>
            <w:tcW w:w="82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1,418,200</w:t>
            </w:r>
          </w:p>
        </w:tc>
      </w:tr>
      <w:tr>
        <w:trPr>
          <w:trHeight w:val="147"/>
        </w:trPr>
        <w:tc>
          <w:tcPr>
            <w:tcW w:w="1980" w:type="dxa"/>
            <w:vAlign w:val="bottom"/>
          </w:tcPr>
          <w:p>
            <w:pPr>
              <w:ind w:left="160"/>
              <w:spacing w:after="0" w:line="147" w:lineRule="exact"/>
              <w:rPr>
                <w:sz w:val="20"/>
                <w:szCs w:val="20"/>
                <w:color w:val="auto"/>
              </w:rPr>
            </w:pPr>
            <w:r>
              <w:rPr>
                <w:rFonts w:ascii="Arial" w:cs="Arial" w:eastAsia="Arial" w:hAnsi="Arial"/>
                <w:sz w:val="14"/>
                <w:szCs w:val="14"/>
                <w:color w:val="auto"/>
              </w:rPr>
              <w:t>Chief Executive Officer;</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6"/>
        </w:trPr>
        <w:tc>
          <w:tcPr>
            <w:tcW w:w="1980" w:type="dxa"/>
            <w:vAlign w:val="bottom"/>
          </w:tcPr>
          <w:p>
            <w:pPr>
              <w:ind w:left="160"/>
              <w:spacing w:after="0"/>
              <w:rPr>
                <w:sz w:val="20"/>
                <w:szCs w:val="20"/>
                <w:color w:val="auto"/>
              </w:rPr>
            </w:pPr>
            <w:r>
              <w:rPr>
                <w:rFonts w:ascii="Arial" w:cs="Arial" w:eastAsia="Arial" w:hAnsi="Arial"/>
                <w:sz w:val="14"/>
                <w:szCs w:val="14"/>
                <w:color w:val="auto"/>
              </w:rPr>
              <w:t>Chief Operating Officer</w:t>
            </w:r>
          </w:p>
        </w:tc>
        <w:tc>
          <w:tcPr>
            <w:tcW w:w="1140" w:type="dxa"/>
            <w:vAlign w:val="bottom"/>
          </w:tcPr>
          <w:p>
            <w:pPr>
              <w:jc w:val="right"/>
              <w:ind w:right="367"/>
              <w:spacing w:after="0"/>
              <w:rPr>
                <w:sz w:val="20"/>
                <w:szCs w:val="20"/>
                <w:color w:val="auto"/>
              </w:rPr>
            </w:pPr>
            <w:r>
              <w:rPr>
                <w:rFonts w:ascii="Arial" w:cs="Arial" w:eastAsia="Arial" w:hAnsi="Arial"/>
                <w:sz w:val="14"/>
                <w:szCs w:val="14"/>
                <w:color w:val="auto"/>
              </w:rPr>
              <w:t>2018</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398,630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750,000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59,795(4) $</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79,157(8) $</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1,287,582</w:t>
            </w:r>
          </w:p>
        </w:tc>
      </w:tr>
      <w:tr>
        <w:trPr>
          <w:trHeight w:val="157"/>
        </w:trPr>
        <w:tc>
          <w:tcPr>
            <w:tcW w:w="1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Victor J. Brodsky</w:t>
            </w:r>
          </w:p>
        </w:tc>
        <w:tc>
          <w:tcPr>
            <w:tcW w:w="1140" w:type="dxa"/>
            <w:vAlign w:val="bottom"/>
            <w:shd w:val="clear" w:color="auto" w:fill="CCEEFF"/>
          </w:tcPr>
          <w:p>
            <w:pPr>
              <w:jc w:val="right"/>
              <w:ind w:right="367"/>
              <w:spacing w:after="0" w:line="157" w:lineRule="exact"/>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369,666</w:t>
            </w:r>
          </w:p>
        </w:tc>
        <w:tc>
          <w:tcPr>
            <w:tcW w:w="2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150,000</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34,508(4) $</w:t>
            </w:r>
          </w:p>
        </w:tc>
        <w:tc>
          <w:tcPr>
            <w:tcW w:w="122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22,042(9) $</w:t>
            </w:r>
          </w:p>
        </w:tc>
        <w:tc>
          <w:tcPr>
            <w:tcW w:w="82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576,217</w:t>
            </w:r>
          </w:p>
        </w:tc>
      </w:tr>
      <w:tr>
        <w:trPr>
          <w:trHeight w:val="157"/>
        </w:trPr>
        <w:tc>
          <w:tcPr>
            <w:tcW w:w="1980" w:type="dxa"/>
            <w:vAlign w:val="bottom"/>
          </w:tcPr>
          <w:p>
            <w:pPr>
              <w:ind w:left="160"/>
              <w:spacing w:after="0" w:line="157" w:lineRule="exact"/>
              <w:rPr>
                <w:sz w:val="20"/>
                <w:szCs w:val="20"/>
                <w:color w:val="auto"/>
              </w:rPr>
            </w:pPr>
            <w:r>
              <w:rPr>
                <w:rFonts w:ascii="Arial" w:cs="Arial" w:eastAsia="Arial" w:hAnsi="Arial"/>
                <w:sz w:val="14"/>
                <w:szCs w:val="14"/>
                <w:color w:val="auto"/>
              </w:rPr>
              <w:t>Chief Financial Officer</w:t>
            </w:r>
          </w:p>
        </w:tc>
        <w:tc>
          <w:tcPr>
            <w:tcW w:w="1140" w:type="dxa"/>
            <w:vAlign w:val="bottom"/>
          </w:tcPr>
          <w:p>
            <w:pPr>
              <w:jc w:val="right"/>
              <w:ind w:right="367"/>
              <w:spacing w:after="0" w:line="157" w:lineRule="exact"/>
              <w:rPr>
                <w:sz w:val="20"/>
                <w:szCs w:val="20"/>
                <w:color w:val="auto"/>
              </w:rPr>
            </w:pPr>
            <w:r>
              <w:rPr>
                <w:rFonts w:ascii="Arial" w:cs="Arial" w:eastAsia="Arial" w:hAnsi="Arial"/>
                <w:sz w:val="14"/>
                <w:szCs w:val="14"/>
                <w:color w:val="auto"/>
              </w:rPr>
              <w:t>2018</w:t>
            </w:r>
          </w:p>
        </w:tc>
        <w:tc>
          <w:tcPr>
            <w:tcW w:w="5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7"/>
              <w:spacing w:after="0" w:line="157" w:lineRule="exact"/>
              <w:rPr>
                <w:sz w:val="20"/>
                <w:szCs w:val="20"/>
                <w:color w:val="auto"/>
              </w:rPr>
            </w:pPr>
            <w:r>
              <w:rPr>
                <w:rFonts w:ascii="Arial" w:cs="Arial" w:eastAsia="Arial" w:hAnsi="Arial"/>
                <w:sz w:val="14"/>
                <w:szCs w:val="14"/>
                <w:color w:val="auto"/>
              </w:rPr>
              <w:t>350,000</w:t>
            </w:r>
          </w:p>
        </w:tc>
        <w:tc>
          <w:tcPr>
            <w:tcW w:w="2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7"/>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6"/>
              <w:spacing w:after="0" w:line="157" w:lineRule="exact"/>
              <w:rPr>
                <w:sz w:val="20"/>
                <w:szCs w:val="20"/>
                <w:color w:val="auto"/>
              </w:rPr>
            </w:pPr>
            <w:r>
              <w:rPr>
                <w:rFonts w:ascii="Arial" w:cs="Arial" w:eastAsia="Arial" w:hAnsi="Arial"/>
                <w:sz w:val="14"/>
                <w:szCs w:val="14"/>
                <w:color w:val="auto"/>
              </w:rPr>
              <w:t>140,009</w:t>
            </w:r>
          </w:p>
        </w:tc>
        <w:tc>
          <w:tcPr>
            <w:tcW w:w="2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6"/>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17,573(4) $</w:t>
            </w:r>
          </w:p>
        </w:tc>
        <w:tc>
          <w:tcPr>
            <w:tcW w:w="1220" w:type="dxa"/>
            <w:vAlign w:val="bottom"/>
          </w:tcPr>
          <w:p>
            <w:pPr>
              <w:jc w:val="right"/>
              <w:ind w:right="47"/>
              <w:spacing w:after="0" w:line="157" w:lineRule="exact"/>
              <w:rPr>
                <w:sz w:val="20"/>
                <w:szCs w:val="20"/>
                <w:color w:val="auto"/>
              </w:rPr>
            </w:pPr>
            <w:r>
              <w:rPr>
                <w:rFonts w:ascii="Arial" w:cs="Arial" w:eastAsia="Arial" w:hAnsi="Arial"/>
                <w:sz w:val="14"/>
                <w:szCs w:val="14"/>
                <w:color w:val="auto"/>
              </w:rPr>
              <w:t>27,759(10)$</w:t>
            </w:r>
          </w:p>
        </w:tc>
        <w:tc>
          <w:tcPr>
            <w:tcW w:w="820" w:type="dxa"/>
            <w:vAlign w:val="bottom"/>
          </w:tcPr>
          <w:p>
            <w:pPr>
              <w:jc w:val="right"/>
              <w:ind w:right="27"/>
              <w:spacing w:after="0" w:line="157" w:lineRule="exact"/>
              <w:rPr>
                <w:sz w:val="20"/>
                <w:szCs w:val="20"/>
                <w:color w:val="auto"/>
              </w:rPr>
            </w:pPr>
            <w:r>
              <w:rPr>
                <w:rFonts w:ascii="Arial" w:cs="Arial" w:eastAsia="Arial" w:hAnsi="Arial"/>
                <w:sz w:val="14"/>
                <w:szCs w:val="14"/>
                <w:color w:val="auto"/>
              </w:rPr>
              <w:t>535,341</w:t>
            </w:r>
          </w:p>
        </w:tc>
      </w:tr>
      <w:tr>
        <w:trPr>
          <w:trHeight w:val="157"/>
        </w:trPr>
        <w:tc>
          <w:tcPr>
            <w:tcW w:w="1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Benjamin Walden</w:t>
            </w:r>
          </w:p>
        </w:tc>
        <w:tc>
          <w:tcPr>
            <w:tcW w:w="1140" w:type="dxa"/>
            <w:vAlign w:val="bottom"/>
            <w:shd w:val="clear" w:color="auto" w:fill="CCEEFF"/>
          </w:tcPr>
          <w:p>
            <w:pPr>
              <w:jc w:val="right"/>
              <w:ind w:right="367"/>
              <w:spacing w:after="0" w:line="157" w:lineRule="exact"/>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339,025</w:t>
            </w:r>
          </w:p>
        </w:tc>
        <w:tc>
          <w:tcPr>
            <w:tcW w:w="2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135,000</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31,601(4) $</w:t>
            </w:r>
          </w:p>
        </w:tc>
        <w:tc>
          <w:tcPr>
            <w:tcW w:w="1220" w:type="dxa"/>
            <w:vAlign w:val="bottom"/>
            <w:shd w:val="clear" w:color="auto" w:fill="CCEEFF"/>
          </w:tcPr>
          <w:p>
            <w:pPr>
              <w:jc w:val="right"/>
              <w:ind w:right="47"/>
              <w:spacing w:after="0" w:line="157" w:lineRule="exact"/>
              <w:rPr>
                <w:sz w:val="20"/>
                <w:szCs w:val="20"/>
                <w:color w:val="auto"/>
              </w:rPr>
            </w:pPr>
            <w:r>
              <w:rPr>
                <w:rFonts w:ascii="Arial" w:cs="Arial" w:eastAsia="Arial" w:hAnsi="Arial"/>
                <w:sz w:val="14"/>
                <w:szCs w:val="14"/>
                <w:color w:val="auto"/>
              </w:rPr>
              <w:t>11,200(11)$</w:t>
            </w:r>
          </w:p>
        </w:tc>
        <w:tc>
          <w:tcPr>
            <w:tcW w:w="820" w:type="dxa"/>
            <w:vAlign w:val="bottom"/>
            <w:shd w:val="clear" w:color="auto" w:fill="CCEEFF"/>
          </w:tcPr>
          <w:p>
            <w:pPr>
              <w:jc w:val="right"/>
              <w:ind w:right="27"/>
              <w:spacing w:after="0" w:line="157" w:lineRule="exact"/>
              <w:rPr>
                <w:sz w:val="20"/>
                <w:szCs w:val="20"/>
                <w:color w:val="auto"/>
              </w:rPr>
            </w:pPr>
            <w:r>
              <w:rPr>
                <w:rFonts w:ascii="Arial" w:cs="Arial" w:eastAsia="Arial" w:hAnsi="Arial"/>
                <w:sz w:val="14"/>
                <w:szCs w:val="14"/>
                <w:color w:val="auto"/>
              </w:rPr>
              <w:t>516,825</w:t>
            </w:r>
          </w:p>
        </w:tc>
      </w:tr>
      <w:tr>
        <w:trPr>
          <w:trHeight w:val="147"/>
        </w:trPr>
        <w:tc>
          <w:tcPr>
            <w:tcW w:w="1980" w:type="dxa"/>
            <w:vAlign w:val="bottom"/>
          </w:tcPr>
          <w:p>
            <w:pPr>
              <w:ind w:left="160"/>
              <w:spacing w:after="0" w:line="147" w:lineRule="exact"/>
              <w:rPr>
                <w:sz w:val="20"/>
                <w:szCs w:val="20"/>
                <w:color w:val="auto"/>
              </w:rPr>
            </w:pPr>
            <w:r>
              <w:rPr>
                <w:rFonts w:ascii="Arial" w:cs="Arial" w:eastAsia="Arial" w:hAnsi="Arial"/>
                <w:sz w:val="14"/>
                <w:szCs w:val="14"/>
                <w:color w:val="auto"/>
              </w:rPr>
              <w:t>Executive Vice President</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7"/>
        </w:trPr>
        <w:tc>
          <w:tcPr>
            <w:tcW w:w="1980" w:type="dxa"/>
            <w:vAlign w:val="bottom"/>
          </w:tcPr>
          <w:p>
            <w:pPr>
              <w:ind w:left="160"/>
              <w:spacing w:after="0" w:line="157" w:lineRule="exact"/>
              <w:rPr>
                <w:sz w:val="20"/>
                <w:szCs w:val="20"/>
                <w:color w:val="auto"/>
              </w:rPr>
            </w:pPr>
            <w:r>
              <w:rPr>
                <w:rFonts w:ascii="Arial" w:cs="Arial" w:eastAsia="Arial" w:hAnsi="Arial"/>
                <w:sz w:val="14"/>
                <w:szCs w:val="14"/>
                <w:color w:val="auto"/>
              </w:rPr>
              <w:t>and Chief Actuary,</w:t>
            </w: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1980" w:type="dxa"/>
            <w:vAlign w:val="bottom"/>
          </w:tcPr>
          <w:p>
            <w:pPr>
              <w:ind w:left="160"/>
              <w:spacing w:after="0" w:line="157" w:lineRule="exact"/>
              <w:rPr>
                <w:sz w:val="20"/>
                <w:szCs w:val="20"/>
                <w:color w:val="auto"/>
              </w:rPr>
            </w:pPr>
            <w:r>
              <w:rPr>
                <w:rFonts w:ascii="Arial" w:cs="Arial" w:eastAsia="Arial" w:hAnsi="Arial"/>
                <w:sz w:val="14"/>
                <w:szCs w:val="14"/>
                <w:color w:val="auto"/>
              </w:rPr>
              <w:t>Kingstone Insurance</w:t>
            </w: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2"/>
        </w:trPr>
        <w:tc>
          <w:tcPr>
            <w:tcW w:w="1980" w:type="dxa"/>
            <w:vAlign w:val="bottom"/>
          </w:tcPr>
          <w:p>
            <w:pPr>
              <w:ind w:left="160"/>
              <w:spacing w:after="0"/>
              <w:rPr>
                <w:sz w:val="20"/>
                <w:szCs w:val="20"/>
                <w:color w:val="auto"/>
              </w:rPr>
            </w:pPr>
            <w:r>
              <w:rPr>
                <w:rFonts w:ascii="Arial" w:cs="Arial" w:eastAsia="Arial" w:hAnsi="Arial"/>
                <w:sz w:val="14"/>
                <w:szCs w:val="14"/>
                <w:color w:val="auto"/>
              </w:rPr>
              <w:t>Company</w:t>
            </w:r>
          </w:p>
        </w:tc>
        <w:tc>
          <w:tcPr>
            <w:tcW w:w="1140" w:type="dxa"/>
            <w:vAlign w:val="bottom"/>
          </w:tcPr>
          <w:p>
            <w:pPr>
              <w:jc w:val="right"/>
              <w:ind w:right="367"/>
              <w:spacing w:after="0"/>
              <w:rPr>
                <w:sz w:val="20"/>
                <w:szCs w:val="20"/>
                <w:color w:val="auto"/>
              </w:rPr>
            </w:pPr>
            <w:r>
              <w:rPr>
                <w:rFonts w:ascii="Arial" w:cs="Arial" w:eastAsia="Arial" w:hAnsi="Arial"/>
                <w:sz w:val="14"/>
                <w:szCs w:val="14"/>
                <w:color w:val="auto"/>
              </w:rPr>
              <w:t>2018</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315,000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110,856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15,760(4) $</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16,000(12)$</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457,616</w:t>
            </w: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5" w:name="page56"/>
    <w:bookmarkEnd w:id="55"/>
    <w:p>
      <w:pPr>
        <w:ind w:left="640" w:hanging="635"/>
        <w:spacing w:after="0" w:line="28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Goldstein has served as our Chief Executive Officer since July 19, 2019 and Executive Chairman of the Board since January 1, 2019. He previously served as Chief Executive Officer from March 2001 through December 31, 2018.</w:t>
      </w:r>
    </w:p>
    <w:p>
      <w:pPr>
        <w:spacing w:after="0" w:line="169" w:lineRule="exact"/>
        <w:rPr>
          <w:rFonts w:ascii="Arial" w:cs="Arial" w:eastAsia="Arial" w:hAnsi="Arial"/>
          <w:sz w:val="17"/>
          <w:szCs w:val="17"/>
          <w:color w:val="auto"/>
        </w:rPr>
      </w:pPr>
    </w:p>
    <w:p>
      <w:pPr>
        <w:ind w:left="640" w:hanging="635"/>
        <w:spacing w:after="0" w:line="28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Thatcher served as our Chief Executive Officer from January 1, 2019 to July 19, 2019. He previously served as our Chief Operating Officer from March 15, 2018 through December 31, 2018.</w:t>
      </w:r>
    </w:p>
    <w:p>
      <w:pPr>
        <w:spacing w:after="0" w:line="169" w:lineRule="exact"/>
        <w:rPr>
          <w:rFonts w:ascii="Arial" w:cs="Arial" w:eastAsia="Arial" w:hAnsi="Arial"/>
          <w:sz w:val="17"/>
          <w:szCs w:val="17"/>
          <w:color w:val="auto"/>
        </w:rPr>
      </w:pPr>
    </w:p>
    <w:p>
      <w:pPr>
        <w:jc w:val="both"/>
        <w:ind w:left="720" w:hanging="715"/>
        <w:spacing w:after="0" w:line="26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81" w:lineRule="exact"/>
        <w:rPr>
          <w:rFonts w:ascii="Arial" w:cs="Arial" w:eastAsia="Arial" w:hAnsi="Arial"/>
          <w:sz w:val="17"/>
          <w:szCs w:val="17"/>
          <w:color w:val="auto"/>
        </w:rPr>
      </w:pPr>
    </w:p>
    <w:p>
      <w:pPr>
        <w:ind w:left="720" w:hanging="715"/>
        <w:spacing w:after="0"/>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amounts earned pursuant to the KICO employee bonus plan for 2019 and profit sharing plan for 2018.</w:t>
      </w:r>
    </w:p>
    <w:p>
      <w:pPr>
        <w:spacing w:after="0" w:line="222" w:lineRule="exact"/>
        <w:rPr>
          <w:rFonts w:ascii="Arial" w:cs="Arial" w:eastAsia="Arial" w:hAnsi="Arial"/>
          <w:sz w:val="17"/>
          <w:szCs w:val="17"/>
          <w:color w:val="auto"/>
        </w:rPr>
      </w:pPr>
    </w:p>
    <w:p>
      <w:pPr>
        <w:ind w:left="640" w:hanging="635"/>
        <w:spacing w:after="0" w:line="28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employer matching contributions under our deferred compensation plan of $17,025, employer matching contributions under our defined contribution plan of $8,495 and a car allowance of $12,000.</w:t>
      </w:r>
    </w:p>
    <w:p>
      <w:pPr>
        <w:spacing w:after="0" w:line="169" w:lineRule="exact"/>
        <w:rPr>
          <w:rFonts w:ascii="Arial" w:cs="Arial" w:eastAsia="Arial" w:hAnsi="Arial"/>
          <w:sz w:val="17"/>
          <w:szCs w:val="17"/>
          <w:color w:val="auto"/>
        </w:rPr>
      </w:pPr>
    </w:p>
    <w:p>
      <w:pPr>
        <w:ind w:left="640" w:hanging="635"/>
        <w:spacing w:after="0" w:line="28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employer matching contributions under our deferred compensation plan of $15,018, employer matching contributions under our defined contribution plan of $10,266, a car allowance of $12,000 and KICO director fees.</w:t>
      </w:r>
    </w:p>
    <w:p>
      <w:pPr>
        <w:spacing w:after="0" w:line="169" w:lineRule="exact"/>
        <w:rPr>
          <w:rFonts w:ascii="Arial" w:cs="Arial" w:eastAsia="Arial" w:hAnsi="Arial"/>
          <w:sz w:val="17"/>
          <w:szCs w:val="17"/>
          <w:color w:val="auto"/>
        </w:rPr>
      </w:pPr>
    </w:p>
    <w:p>
      <w:pPr>
        <w:ind w:left="640" w:hanging="635"/>
        <w:spacing w:after="0" w:line="28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employer matching contributions under our deferred compensation plan of $2,090, employer matching contributions under our defined contribution plan of $9,110, severance payment of $20,000 and a car allowance of $7,000.</w:t>
      </w:r>
    </w:p>
    <w:p>
      <w:pPr>
        <w:spacing w:after="0" w:line="169" w:lineRule="exact"/>
        <w:rPr>
          <w:rFonts w:ascii="Arial" w:cs="Arial" w:eastAsia="Arial" w:hAnsi="Arial"/>
          <w:sz w:val="17"/>
          <w:szCs w:val="17"/>
          <w:color w:val="auto"/>
        </w:rPr>
      </w:pPr>
    </w:p>
    <w:p>
      <w:pPr>
        <w:jc w:val="both"/>
        <w:ind w:left="640" w:hanging="635"/>
        <w:spacing w:after="0" w:line="26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compensation paid for services as a non-employee director during 2018 comprised of a cash retainer of $11,458 and restricted shares of our common stock with a grant date fair value of $41,300, matching contributions under our defined contribution plan of $10,615, a car allowance of $9,567 and KICO director fees.</w:t>
      </w:r>
    </w:p>
    <w:p>
      <w:pPr>
        <w:spacing w:after="0" w:line="181" w:lineRule="exact"/>
        <w:rPr>
          <w:rFonts w:ascii="Arial" w:cs="Arial" w:eastAsia="Arial" w:hAnsi="Arial"/>
          <w:sz w:val="17"/>
          <w:szCs w:val="17"/>
          <w:color w:val="auto"/>
        </w:rPr>
      </w:pPr>
    </w:p>
    <w:p>
      <w:pPr>
        <w:ind w:left="640" w:hanging="635"/>
        <w:spacing w:after="0" w:line="28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employer matching contributions under our deferred compensation plan of $4,090, employer matching contributions under our defined contribution plan of $10,752 and a car allowance of $7,200.</w:t>
      </w:r>
    </w:p>
    <w:p>
      <w:pPr>
        <w:spacing w:after="0" w:line="169" w:lineRule="exact"/>
        <w:rPr>
          <w:rFonts w:ascii="Arial" w:cs="Arial" w:eastAsia="Arial" w:hAnsi="Arial"/>
          <w:sz w:val="17"/>
          <w:szCs w:val="17"/>
          <w:color w:val="auto"/>
        </w:rPr>
      </w:pPr>
    </w:p>
    <w:p>
      <w:pPr>
        <w:ind w:left="800" w:hanging="795"/>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employer matching contributions under our defined contribution plan of $10,847, a car allowance of $7,200 and KICO director fees.</w:t>
      </w:r>
    </w:p>
    <w:p>
      <w:pPr>
        <w:spacing w:after="0" w:line="234" w:lineRule="exact"/>
        <w:rPr>
          <w:rFonts w:ascii="Arial" w:cs="Arial" w:eastAsia="Arial" w:hAnsi="Arial"/>
          <w:sz w:val="16"/>
          <w:szCs w:val="16"/>
          <w:color w:val="auto"/>
        </w:rPr>
      </w:pPr>
    </w:p>
    <w:p>
      <w:pPr>
        <w:ind w:left="800" w:hanging="795"/>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employer matching contributions under our defined contribution plan of $11,200.</w:t>
      </w:r>
    </w:p>
    <w:p>
      <w:pPr>
        <w:spacing w:after="0" w:line="222" w:lineRule="exact"/>
        <w:rPr>
          <w:rFonts w:ascii="Arial" w:cs="Arial" w:eastAsia="Arial" w:hAnsi="Arial"/>
          <w:sz w:val="17"/>
          <w:szCs w:val="17"/>
          <w:color w:val="auto"/>
        </w:rPr>
      </w:pPr>
    </w:p>
    <w:p>
      <w:pPr>
        <w:ind w:left="800" w:hanging="795"/>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employer matching contributions under our defined contribution plan of $11,000 and $5,000 of KICO director fees.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Employment Contracts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Barry B. Goldstein</w:t>
      </w:r>
    </w:p>
    <w:p>
      <w:pPr>
        <w:spacing w:after="0" w:line="223" w:lineRule="exact"/>
        <w:rPr>
          <w:sz w:val="20"/>
          <w:szCs w:val="20"/>
          <w:color w:val="auto"/>
        </w:rPr>
      </w:pPr>
    </w:p>
    <w:p>
      <w:pPr>
        <w:ind w:left="940" w:hanging="308"/>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Agreement in effect for the year ended December 31, 2018</w:t>
      </w:r>
    </w:p>
    <w:p>
      <w:pPr>
        <w:spacing w:after="0" w:line="223"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During the year ended December 31, 2018, Mr. Goldstein was employed as our President, Chairman of the Board and Chief Executive Officer pursuant to an employment agreement, dated January 20, 2017 (the “2017 Goldstein Employment Agreement”), that was scheduled to expire on December 31, 2019. Pursuant to the 2017 Goldstein Employment Agreement, Mr. Goldstein was entitled to receive an annual base salary of $630,000 (an increase from $575,000 per annum in effect through December 31, 2016) and an annual bonus equal to 6% of our consolidated income from operations before taxes, exclusive of our consolidated net investment income (loss) and net realized gains (losses) on investments (consistent with the bonus payable to Mr. Goldstein through December 31, 2016). In addition, pursuant to the 2017 Goldstein Employment Agreement, Mr. Goldstein was entitled to a long-term compensation ("LTC") payment of between $945,000 and $2,835,000 in the event our adjusted book value per share (as defined in the 2017 Goldstein Employment Agreement) increased by at least an average of 8% per annum as of December 31, 2019 as compared to December 31, 2016 (with the maximum LTC payment being due if the average per annum increase was at least 14%). Accrued LTC compensation credit of $247,311 for the year ended December 31, 2018 is included in other operating expenses in the Consolidated Statements of Income and Comprehensive (Loss) Income included in this Annual Report.</w:t>
      </w:r>
    </w:p>
    <w:p>
      <w:pPr>
        <w:spacing w:after="0" w:line="177" w:lineRule="exact"/>
        <w:rPr>
          <w:sz w:val="20"/>
          <w:szCs w:val="20"/>
          <w:color w:val="auto"/>
        </w:rPr>
      </w:pPr>
    </w:p>
    <w:p>
      <w:pPr>
        <w:ind w:left="940" w:hanging="30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Agreement in effect for the year ended December 31, 2019</w:t>
      </w:r>
    </w:p>
    <w:p>
      <w:pPr>
        <w:spacing w:after="0" w:line="223"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On October 16, 2018, we entered into an amended and restated employment agreement with Mr. Goldstein which took effect as of January 1, 2019 and which was scheduled to expire on December 31, 2021 (the “Amended and Restated Goldstein Employment Agreement”). Pursuant to the Amended and Restated Goldstein Employment Agreement, Mr. Goldstein stepped down as our Chief Executive Officer on January 1, 2019 and was named Executive Chairman of the Board.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6" w:name="page57"/>
    <w:bookmarkEnd w:id="56"/>
    <w:p>
      <w:pPr>
        <w:jc w:val="both"/>
        <w:ind w:firstLine="627"/>
        <w:spacing w:after="0" w:line="295" w:lineRule="auto"/>
        <w:rPr>
          <w:sz w:val="20"/>
          <w:szCs w:val="20"/>
          <w:color w:val="auto"/>
        </w:rPr>
      </w:pPr>
      <w:r>
        <w:rPr>
          <w:rFonts w:ascii="Arial" w:cs="Arial" w:eastAsia="Arial" w:hAnsi="Arial"/>
          <w:sz w:val="15"/>
          <w:szCs w:val="15"/>
          <w:color w:val="auto"/>
        </w:rPr>
        <w:t>Pursuant to the Amended and Restated Goldstein Employment Agreement, Mr. Goldstein was entitled to receive an annual base salary of $636,500 for the calendar year 2019. In addition, Mr. Goldstein was eligible to receive an annual performance bonus equal to 3% of our consolidated income from operations before taxes, exclusive of our consolidated net investment income (loss) and net realized gains (losses) on investments. In addition, pursuant to the Amended and Restated Goldstein Employment Agreement, Mr. Goldstein was entitled to an LTC payment (which was a continuation of the previous terms under the 2017 Goldstein Employment Agreement) of between $945,000 and $2,835,000 based on a specified minimum increase in our adjusted book value per share (as defined in the Amended and Restated Goldstein Employment Agreement) as of December 31, 2019 as compared to December 31, 2016 (with the maximum LTC payment being due if the average per annum increase was at least 14%). Pursuant to the Amended and Restated Goldstein Employment Agreement, Mr. Goldstein was entitled to receive a grant, under the terms of our 2014 Equity Participation Plan (the “2014 Plan”), during the first 30 days of January 2020, with respect to a number of shares of restricted stock determined by dividing $436,500 by the fair market value of our common stock on the date of grant. The January 2020 grant was to vest with respect to 50% of the award on each of December 31, 2020 and December 31, 2021 based on the continued provision of services through the applicable vesting date. Also, pursuant to the Amended and Restated Goldstein Employment Agreement, Mr. Goldstein was entitled to receive a grant, under the 2014 Plan, during the first 30 days of 2021, with respect to a number of shares of restricted stock determined by dividing $236,500 by the fair market value of our common stock on the date of grant. The January 2021 grant was to vest on December 31, 2021 based on the continued provision of services through such date. The above stock grant provisions were superseded by the provisions of the Second Amended and Restated Goldstein Employment Agreement as discussed below.</w:t>
      </w:r>
    </w:p>
    <w:p>
      <w:pPr>
        <w:spacing w:after="0" w:line="168" w:lineRule="exact"/>
        <w:rPr>
          <w:sz w:val="20"/>
          <w:szCs w:val="20"/>
          <w:color w:val="auto"/>
        </w:rPr>
      </w:pPr>
    </w:p>
    <w:p>
      <w:pPr>
        <w:ind w:left="940" w:hanging="308"/>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Agreement in effect as of January 1, 2020</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On October 14, 2019, we entered into a second amended and restated employment agreement with Mr. Goldstein which took effect as of January 1, 2020 and expires on December 31, 2022 (the “Second Amended and Restated Goldstein Employment Agreement”).</w:t>
      </w:r>
    </w:p>
    <w:p>
      <w:pPr>
        <w:spacing w:after="0" w:line="170"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color w:val="auto"/>
        </w:rPr>
        <w:t>Pursuant to the Second Amended and Restated Goldstein Employment Agreement, Mr. Goldstein is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and Restated Goldstein Employment Agreement, Mr. Goldstein is entitled to receive an LTC payment of between $945,000 and $2,835,000 based on a specified minimum increase in our adjusted book value per share (as defined in the Second Amended and Restated Goldstein Employment Agreement) as of December 31, 2022 as compared to December 31, 2019 (with the maximum LTC payment being due if the average per annum increase is at least 14%).</w:t>
      </w:r>
    </w:p>
    <w:p>
      <w:pPr>
        <w:spacing w:after="0" w:line="161" w:lineRule="exact"/>
        <w:rPr>
          <w:sz w:val="20"/>
          <w:szCs w:val="20"/>
          <w:color w:val="auto"/>
        </w:rPr>
      </w:pPr>
    </w:p>
    <w:p>
      <w:pPr>
        <w:jc w:val="both"/>
        <w:ind w:firstLine="627"/>
        <w:spacing w:after="0" w:line="275" w:lineRule="auto"/>
        <w:rPr>
          <w:sz w:val="20"/>
          <w:szCs w:val="20"/>
          <w:color w:val="auto"/>
        </w:rPr>
      </w:pPr>
      <w:r>
        <w:rPr>
          <w:rFonts w:ascii="Arial" w:cs="Arial" w:eastAsia="Arial" w:hAnsi="Arial"/>
          <w:sz w:val="16"/>
          <w:szCs w:val="16"/>
          <w:color w:val="auto"/>
        </w:rPr>
        <w:t>Pursuant to the Second Amended and Restated Goldstein Employment Agreement, Mr. Goldstein is entitled to receive a grant, under the terms of the 2014 Plan, during January 2020, of a number of shares of restricted stock determined by dividing $1,250,000 by the fair market value of our common stock on the date of grant. The January 2020 grant will become vested with respect to one-third of the award on each of the first and second anniversaries of the grant date and on December 31, 2022 based on the continued provision of services through the applicable vesting date. Also pursuant to the Second Amended and Restated Goldstein Employment Agreement, Mr. Goldstein will be entitled to receive a grant, under the terms of the 2014 Plan, during January 2021, of a number of shares of restricted stock determined by dividing $1,500,000 by the fair market value of our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Second Amended and Restated Goldstein Employment Agreement, Mr. Goldstein will be entitled to receive a grant, under the terms of the 2014 Plan, during each of 2020, 2021 and 2022, of a number of shares of restricted stock determined by dividing $136,500 by the fair market value of our common stock on the date of grant. The 2020 grant will become vested with respect to one-third of the award on each of the first and second anniversaries of the grant date and on December 31, 2022 based on the continued provision of services through the applicable 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spacing w:after="0" w:line="185"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6"/>
          <w:szCs w:val="16"/>
          <w:color w:val="auto"/>
        </w:rPr>
        <w:t>See “Termination of Employment and Change-in-Control Arrangements–Barry B. Goldstein” below for a discussion of the provisions of the Second Amended and Restated Goldstein Employment Agreement with regard to payments due in the event of the termination of Mr. Goldstein’s employment.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Dale A. Thatcher</w:t>
      </w:r>
    </w:p>
    <w:p>
      <w:pPr>
        <w:spacing w:after="0" w:line="223" w:lineRule="exact"/>
        <w:rPr>
          <w:sz w:val="20"/>
          <w:szCs w:val="20"/>
          <w:color w:val="auto"/>
        </w:rPr>
      </w:pPr>
    </w:p>
    <w:p>
      <w:pPr>
        <w:ind w:left="940" w:hanging="308"/>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Agreement in effect for the year ended December 31, 2018</w:t>
      </w:r>
    </w:p>
    <w:p>
      <w:pPr>
        <w:spacing w:after="0" w:line="22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On March 14, 2018, we and Dale A. Thatcher, then one of our directors, entered into an employment agreement (the “2018 Thatcher Employment Agreement”) pursuant to which Mr. Thatcher become our Chief Operating Officer. The 2018 Thatcher Employment Agreement became effective as of March 15, 2018 and expired on December 31, 2018. Pursuant the 2018 Thatcher Employment Agreement, Mr. Thatcher was entitled to receive a base salary of $500,000 per annum and a minimum bonus equal to 15% of his base salary. Concurrently with the execution of the 2018 Thatcher Employment Agreement, we granted to Mr. Thatcher 35,715 shares of restricted common stock under the 2014 Plan. Such shares vest to the extent of one-third of the award on each of the first, second and third anniversaries of the grant date.</w:t>
      </w:r>
    </w:p>
    <w:p>
      <w:pPr>
        <w:spacing w:after="0" w:line="188" w:lineRule="exact"/>
        <w:rPr>
          <w:sz w:val="20"/>
          <w:szCs w:val="20"/>
          <w:color w:val="auto"/>
        </w:rPr>
      </w:pPr>
    </w:p>
    <w:p>
      <w:pPr>
        <w:ind w:left="940" w:hanging="308"/>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Agreement in effect from January 1, 2019 through July 19, 2019</w:t>
      </w:r>
    </w:p>
    <w:p>
      <w:pPr>
        <w:spacing w:after="0" w:line="223" w:lineRule="exact"/>
        <w:rPr>
          <w:sz w:val="20"/>
          <w:szCs w:val="20"/>
          <w:color w:val="auto"/>
        </w:rPr>
      </w:pPr>
    </w:p>
    <w:p>
      <w:pPr>
        <w:jc w:val="both"/>
        <w:ind w:firstLine="627"/>
        <w:spacing w:after="0" w:line="299" w:lineRule="auto"/>
        <w:rPr>
          <w:sz w:val="20"/>
          <w:szCs w:val="20"/>
          <w:color w:val="auto"/>
        </w:rPr>
      </w:pPr>
      <w:r>
        <w:rPr>
          <w:rFonts w:ascii="Arial" w:cs="Arial" w:eastAsia="Arial" w:hAnsi="Arial"/>
          <w:sz w:val="15"/>
          <w:szCs w:val="15"/>
          <w:color w:val="auto"/>
        </w:rPr>
        <w:t>On October 16, 2018, we and Mr. Thatcher entered into an employment agreement effective as of January 1, 2019 (the “2019 Thatcher Employment Agreement”). Pursuant to the 2019 Thatcher Employment Agreement, Mr. Thatcher succeeded Mr. Goldstein as our Chief Executive Officer and was entitled to receive an annual base salary of $500,000 for 2019 and $630,000 for each of 2020 and 2021. In addition, Mr. Thatcher was eligible to receive an annual performance bonus equal to 3% of our consolidated income from operations before taxes, exclusive of our consolidated net investment income (loss) and net realized gains (losses) on investments. Pursuant to the 2019 Thatcher Employment Agreement, Mr. Thatcher was entitled to receive a grant, under the terms of the 2014 Plan, of a number of shares of restricted stock in each of 2019, 2020 and 2021 determined by dividing $750,000, $1,250,000 and $1,500,000, respectively, by the fair market value of our common stock on the date of grant. See Item 13 (“Certain Relationships and Related Transactions, and Director Independence–Dale A. Thatcher”) of this Annual Report for a discussion of an agreement entered into with Mr. Thatcher in July 2019 with regard to the termination of his employment.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sets forth certain information concerning unexercised options held by the above named executive officers as of December 31,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0"/>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Equity</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3"/>
                <w:szCs w:val="13"/>
                <w:color w:val="auto"/>
              </w:rPr>
            </w:pPr>
          </w:p>
        </w:tc>
        <w:tc>
          <w:tcPr>
            <w:tcW w:w="1100" w:type="dxa"/>
            <w:vAlign w:val="bottom"/>
            <w:gridSpan w:val="4"/>
          </w:tcPr>
          <w:p>
            <w:pPr>
              <w:jc w:val="center"/>
              <w:ind w:right="120"/>
              <w:spacing w:after="0" w:line="157" w:lineRule="exact"/>
              <w:rPr>
                <w:sz w:val="20"/>
                <w:szCs w:val="20"/>
                <w:color w:val="auto"/>
              </w:rPr>
            </w:pPr>
            <w:r>
              <w:rPr>
                <w:rFonts w:ascii="Arial" w:cs="Arial" w:eastAsia="Arial" w:hAnsi="Arial"/>
                <w:sz w:val="14"/>
                <w:szCs w:val="14"/>
                <w:b w:val="1"/>
                <w:bCs w:val="1"/>
                <w:color w:val="auto"/>
                <w:w w:val="95"/>
              </w:rPr>
              <w:t>Incentive Plan</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0"/>
              </w:rPr>
              <w:t>Awards:</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Market or</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3"/>
                <w:szCs w:val="13"/>
                <w:color w:val="auto"/>
              </w:rPr>
            </w:pPr>
          </w:p>
        </w:tc>
        <w:tc>
          <w:tcPr>
            <w:tcW w:w="110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Payout Value of</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248"/>
              <w:spacing w:after="0" w:line="157"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of Shares of</w:t>
            </w: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Unearned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5"/>
              </w:rPr>
              <w:t>Unearned</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268"/>
              <w:spacing w:after="0" w:line="157" w:lineRule="exact"/>
              <w:rPr>
                <w:sz w:val="20"/>
                <w:szCs w:val="20"/>
                <w:color w:val="auto"/>
              </w:rPr>
            </w:pPr>
            <w:r>
              <w:rPr>
                <w:rFonts w:ascii="Arial" w:cs="Arial" w:eastAsia="Arial" w:hAnsi="Arial"/>
                <w:sz w:val="14"/>
                <w:szCs w:val="14"/>
                <w:b w:val="1"/>
                <w:bCs w:val="1"/>
                <w:color w:val="auto"/>
                <w:w w:val="90"/>
              </w:rPr>
              <w:t>Shares of Stock</w:t>
            </w:r>
          </w:p>
        </w:tc>
        <w:tc>
          <w:tcPr>
            <w:tcW w:w="88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w w:val="92"/>
              </w:rPr>
              <w:t>Stock That</w:t>
            </w: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Shares That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2"/>
              </w:rPr>
              <w:t>Shares That</w:t>
            </w: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Options</w:t>
            </w:r>
          </w:p>
        </w:tc>
        <w:tc>
          <w:tcPr>
            <w:tcW w:w="1260" w:type="dxa"/>
            <w:vAlign w:val="bottom"/>
            <w:gridSpan w:val="3"/>
          </w:tcPr>
          <w:p>
            <w:pPr>
              <w:ind w:left="260"/>
              <w:spacing w:after="0" w:line="157" w:lineRule="exact"/>
              <w:rPr>
                <w:sz w:val="20"/>
                <w:szCs w:val="20"/>
                <w:color w:val="auto"/>
              </w:rPr>
            </w:pPr>
            <w:r>
              <w:rPr>
                <w:rFonts w:ascii="Arial" w:cs="Arial" w:eastAsia="Arial" w:hAnsi="Arial"/>
                <w:sz w:val="14"/>
                <w:szCs w:val="14"/>
                <w:b w:val="1"/>
                <w:bCs w:val="1"/>
                <w:color w:val="auto"/>
                <w:w w:val="91"/>
              </w:rPr>
              <w:t>Option Exercise</w:t>
            </w:r>
          </w:p>
        </w:tc>
        <w:tc>
          <w:tcPr>
            <w:tcW w:w="240" w:type="dxa"/>
            <w:vAlign w:val="bottom"/>
          </w:tcPr>
          <w:p>
            <w:pPr>
              <w:spacing w:after="0"/>
              <w:rPr>
                <w:sz w:val="13"/>
                <w:szCs w:val="13"/>
                <w:color w:val="auto"/>
              </w:rPr>
            </w:pPr>
          </w:p>
        </w:tc>
        <w:tc>
          <w:tcPr>
            <w:tcW w:w="1000" w:type="dxa"/>
            <w:vAlign w:val="bottom"/>
          </w:tcPr>
          <w:p>
            <w:pPr>
              <w:jc w:val="right"/>
              <w:ind w:right="222"/>
              <w:spacing w:after="0" w:line="157" w:lineRule="exact"/>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3"/>
                <w:szCs w:val="13"/>
                <w:color w:val="auto"/>
              </w:rPr>
            </w:pPr>
          </w:p>
        </w:tc>
        <w:tc>
          <w:tcPr>
            <w:tcW w:w="1340" w:type="dxa"/>
            <w:vAlign w:val="bottom"/>
            <w:gridSpan w:val="3"/>
          </w:tcPr>
          <w:p>
            <w:pPr>
              <w:jc w:val="center"/>
              <w:ind w:right="268"/>
              <w:spacing w:after="0" w:line="157" w:lineRule="exact"/>
              <w:rPr>
                <w:sz w:val="20"/>
                <w:szCs w:val="20"/>
                <w:color w:val="auto"/>
              </w:rPr>
            </w:pPr>
            <w:r>
              <w:rPr>
                <w:rFonts w:ascii="Arial" w:cs="Arial" w:eastAsia="Arial" w:hAnsi="Arial"/>
                <w:sz w:val="14"/>
                <w:szCs w:val="14"/>
                <w:b w:val="1"/>
                <w:bCs w:val="1"/>
                <w:color w:val="auto"/>
                <w:w w:val="97"/>
              </w:rPr>
              <w:t>That Have Not</w:t>
            </w:r>
          </w:p>
        </w:tc>
        <w:tc>
          <w:tcPr>
            <w:tcW w:w="880" w:type="dxa"/>
            <w:vAlign w:val="bottom"/>
          </w:tcPr>
          <w:p>
            <w:pPr>
              <w:jc w:val="center"/>
              <w:ind w:right="20"/>
              <w:spacing w:after="0" w:line="157" w:lineRule="exact"/>
              <w:rPr>
                <w:sz w:val="20"/>
                <w:szCs w:val="20"/>
                <w:color w:val="auto"/>
              </w:rPr>
            </w:pPr>
            <w:r>
              <w:rPr>
                <w:rFonts w:ascii="Arial" w:cs="Arial" w:eastAsia="Arial" w:hAnsi="Arial"/>
                <w:sz w:val="14"/>
                <w:szCs w:val="14"/>
                <w:b w:val="1"/>
                <w:bCs w:val="1"/>
                <w:color w:val="auto"/>
                <w:w w:val="95"/>
              </w:rPr>
              <w:t>Have Not</w:t>
            </w:r>
          </w:p>
        </w:tc>
        <w:tc>
          <w:tcPr>
            <w:tcW w:w="2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 Not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5"/>
              </w:rPr>
              <w:t>Have Not</w:t>
            </w:r>
          </w:p>
        </w:tc>
      </w:tr>
      <w:tr>
        <w:trPr>
          <w:trHeight w:val="170"/>
        </w:trPr>
        <w:tc>
          <w:tcPr>
            <w:tcW w:w="13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6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Expiration Date</w:t>
            </w:r>
          </w:p>
        </w:tc>
        <w:tc>
          <w:tcPr>
            <w:tcW w:w="220" w:type="dxa"/>
            <w:vAlign w:val="bottom"/>
          </w:tcPr>
          <w:p>
            <w:pPr>
              <w:spacing w:after="0"/>
              <w:rPr>
                <w:sz w:val="14"/>
                <w:szCs w:val="14"/>
                <w:color w:val="auto"/>
              </w:rPr>
            </w:pPr>
          </w:p>
        </w:tc>
        <w:tc>
          <w:tcPr>
            <w:tcW w:w="134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w w:val="87"/>
              </w:rPr>
              <w:t>Vested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Vested</w:t>
            </w:r>
          </w:p>
        </w:tc>
      </w:tr>
      <w:tr>
        <w:trPr>
          <w:trHeight w:val="26"/>
        </w:trPr>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Dale A. Thatcher</w:t>
            </w:r>
          </w:p>
        </w:tc>
        <w:tc>
          <w:tcPr>
            <w:tcW w:w="140" w:type="dxa"/>
            <w:vAlign w:val="bottom"/>
            <w:gridSpan w:val="2"/>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42,230(1)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7"/>
                <w:szCs w:val="17"/>
                <w:color w:val="auto"/>
              </w:rPr>
              <w:t>23,810(2) $</w:t>
            </w:r>
          </w:p>
        </w:tc>
        <w:tc>
          <w:tcPr>
            <w:tcW w:w="880" w:type="dxa"/>
            <w:vAlign w:val="bottom"/>
          </w:tcPr>
          <w:p>
            <w:pPr>
              <w:jc w:val="right"/>
              <w:spacing w:after="0"/>
              <w:rPr>
                <w:sz w:val="20"/>
                <w:szCs w:val="20"/>
                <w:color w:val="auto"/>
              </w:rPr>
            </w:pPr>
            <w:r>
              <w:rPr>
                <w:rFonts w:ascii="Arial" w:cs="Arial" w:eastAsia="Arial" w:hAnsi="Arial"/>
                <w:sz w:val="17"/>
                <w:szCs w:val="17"/>
                <w:color w:val="auto"/>
              </w:rPr>
              <w:t>184,528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Victor J. Brodsky</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555(3)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7"/>
                <w:szCs w:val="17"/>
                <w:color w:val="auto"/>
              </w:rPr>
              <w:t>4,655(4) $</w:t>
            </w:r>
          </w:p>
        </w:tc>
        <w:tc>
          <w:tcPr>
            <w:tcW w:w="880" w:type="dxa"/>
            <w:vAlign w:val="bottom"/>
          </w:tcPr>
          <w:p>
            <w:pPr>
              <w:jc w:val="right"/>
              <w:spacing w:after="0"/>
              <w:rPr>
                <w:sz w:val="20"/>
                <w:szCs w:val="20"/>
                <w:color w:val="auto"/>
              </w:rPr>
            </w:pPr>
            <w:r>
              <w:rPr>
                <w:rFonts w:ascii="Arial" w:cs="Arial" w:eastAsia="Arial" w:hAnsi="Arial"/>
                <w:sz w:val="17"/>
                <w:szCs w:val="17"/>
                <w:color w:val="auto"/>
              </w:rPr>
              <w:t>36,076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10,933(5)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7"/>
                <w:szCs w:val="17"/>
                <w:color w:val="auto"/>
              </w:rPr>
              <w:t>Benjamin Walden</w:t>
            </w: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7,000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0"/>
              </w:rPr>
              <w:t>7.85</w:t>
            </w:r>
          </w:p>
        </w:tc>
        <w:tc>
          <w:tcPr>
            <w:tcW w:w="1240" w:type="dxa"/>
            <w:vAlign w:val="bottom"/>
            <w:gridSpan w:val="2"/>
          </w:tcPr>
          <w:p>
            <w:pPr>
              <w:jc w:val="right"/>
              <w:ind w:right="182"/>
              <w:spacing w:after="0"/>
              <w:rPr>
                <w:sz w:val="20"/>
                <w:szCs w:val="20"/>
                <w:color w:val="auto"/>
              </w:rPr>
            </w:pPr>
            <w:r>
              <w:rPr>
                <w:rFonts w:ascii="Arial" w:cs="Arial" w:eastAsia="Arial" w:hAnsi="Arial"/>
                <w:sz w:val="17"/>
                <w:szCs w:val="17"/>
                <w:color w:val="auto"/>
              </w:rPr>
              <w:t>3/11/21</w:t>
            </w:r>
          </w:p>
        </w:tc>
        <w:tc>
          <w:tcPr>
            <w:tcW w:w="1560" w:type="dxa"/>
            <w:vAlign w:val="bottom"/>
            <w:gridSpan w:val="4"/>
          </w:tcPr>
          <w:p>
            <w:pPr>
              <w:jc w:val="right"/>
              <w:spacing w:after="0"/>
              <w:rPr>
                <w:sz w:val="20"/>
                <w:szCs w:val="20"/>
                <w:color w:val="auto"/>
              </w:rPr>
            </w:pPr>
            <w:r>
              <w:rPr>
                <w:rFonts w:ascii="Arial" w:cs="Arial" w:eastAsia="Arial" w:hAnsi="Arial"/>
                <w:sz w:val="17"/>
                <w:szCs w:val="17"/>
                <w:color w:val="auto"/>
              </w:rPr>
              <w:t>333(3) $</w:t>
            </w:r>
          </w:p>
        </w:tc>
        <w:tc>
          <w:tcPr>
            <w:tcW w:w="880" w:type="dxa"/>
            <w:vAlign w:val="bottom"/>
          </w:tcPr>
          <w:p>
            <w:pPr>
              <w:jc w:val="right"/>
              <w:spacing w:after="0"/>
              <w:rPr>
                <w:sz w:val="20"/>
                <w:szCs w:val="20"/>
                <w:color w:val="auto"/>
              </w:rPr>
            </w:pPr>
            <w:r>
              <w:rPr>
                <w:rFonts w:ascii="Arial" w:cs="Arial" w:eastAsia="Arial" w:hAnsi="Arial"/>
                <w:sz w:val="17"/>
                <w:szCs w:val="17"/>
                <w:color w:val="auto"/>
              </w:rPr>
              <w:t>2,583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3,686(6)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7"/>
                <w:szCs w:val="17"/>
                <w:color w:val="auto"/>
              </w:rPr>
              <w:t>9,840(7) $</w:t>
            </w:r>
          </w:p>
        </w:tc>
        <w:tc>
          <w:tcPr>
            <w:tcW w:w="880" w:type="dxa"/>
            <w:vAlign w:val="bottom"/>
          </w:tcPr>
          <w:p>
            <w:pPr>
              <w:jc w:val="right"/>
              <w:spacing w:after="0"/>
              <w:rPr>
                <w:sz w:val="20"/>
                <w:szCs w:val="20"/>
                <w:color w:val="auto"/>
              </w:rPr>
            </w:pPr>
            <w:r>
              <w:rPr>
                <w:rFonts w:ascii="Arial" w:cs="Arial" w:eastAsia="Arial" w:hAnsi="Arial"/>
                <w:sz w:val="17"/>
                <w:szCs w:val="17"/>
                <w:color w:val="auto"/>
              </w:rPr>
              <w:t>76,260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40"/>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20" w:lineRule="exact"/>
        <w:rPr>
          <w:sz w:val="20"/>
          <w:szCs w:val="20"/>
          <w:color w:val="auto"/>
        </w:rPr>
      </w:pPr>
    </w:p>
    <w:p>
      <w:pPr>
        <w:ind w:left="420" w:hanging="415"/>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to the extent of 14,077 shares on each of January 2, 2020 and 2021, and 14,076 shares on January 2, 2022.</w:t>
      </w:r>
    </w:p>
    <w:p>
      <w:pPr>
        <w:spacing w:after="0" w:line="248" w:lineRule="exact"/>
        <w:rPr>
          <w:rFonts w:ascii="Arial" w:cs="Arial" w:eastAsia="Arial" w:hAnsi="Arial"/>
          <w:sz w:val="17"/>
          <w:szCs w:val="17"/>
          <w:color w:val="auto"/>
        </w:rPr>
      </w:pPr>
    </w:p>
    <w:p>
      <w:pPr>
        <w:ind w:left="420" w:hanging="415"/>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to the extent of 11,905 shares on each of March 14, 2020 and 2021.</w:t>
      </w:r>
    </w:p>
    <w:p>
      <w:pPr>
        <w:spacing w:after="0" w:line="248" w:lineRule="exact"/>
        <w:rPr>
          <w:rFonts w:ascii="Arial" w:cs="Arial" w:eastAsia="Arial" w:hAnsi="Arial"/>
          <w:sz w:val="17"/>
          <w:szCs w:val="17"/>
          <w:color w:val="auto"/>
        </w:rPr>
      </w:pPr>
    </w:p>
    <w:p>
      <w:pPr>
        <w:ind w:left="420" w:hanging="415"/>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in two as nearly equal as possible monthly installments through February 23, 2020.</w:t>
      </w:r>
    </w:p>
    <w:p>
      <w:pPr>
        <w:spacing w:after="0" w:line="248" w:lineRule="exact"/>
        <w:rPr>
          <w:rFonts w:ascii="Arial" w:cs="Arial" w:eastAsia="Arial" w:hAnsi="Arial"/>
          <w:sz w:val="17"/>
          <w:szCs w:val="17"/>
          <w:color w:val="auto"/>
        </w:rPr>
      </w:pPr>
    </w:p>
    <w:p>
      <w:pPr>
        <w:ind w:left="420" w:hanging="415"/>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to the extent of 2,328 shares on February 22, 2020 and 2,327 shares on February 22, 2021.</w:t>
      </w:r>
    </w:p>
    <w:p>
      <w:pPr>
        <w:spacing w:after="0" w:line="248" w:lineRule="exact"/>
        <w:rPr>
          <w:rFonts w:ascii="Arial" w:cs="Arial" w:eastAsia="Arial" w:hAnsi="Arial"/>
          <w:sz w:val="17"/>
          <w:szCs w:val="17"/>
          <w:color w:val="auto"/>
        </w:rPr>
      </w:pPr>
    </w:p>
    <w:p>
      <w:pPr>
        <w:ind w:left="420" w:hanging="415"/>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to the extent of 3,645 shares on April 10, 2020 and 3,644 shares on each of April 10, 2021 and 2022.</w:t>
      </w:r>
    </w:p>
    <w:p>
      <w:pPr>
        <w:spacing w:after="0" w:line="248" w:lineRule="exact"/>
        <w:rPr>
          <w:rFonts w:ascii="Arial" w:cs="Arial" w:eastAsia="Arial" w:hAnsi="Arial"/>
          <w:sz w:val="17"/>
          <w:szCs w:val="17"/>
          <w:color w:val="auto"/>
        </w:rPr>
      </w:pPr>
    </w:p>
    <w:p>
      <w:pPr>
        <w:ind w:left="420" w:hanging="415"/>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to the extent of 1,843 shares on each of February 22, 2020 and 2021.</w:t>
      </w:r>
    </w:p>
    <w:p>
      <w:pPr>
        <w:spacing w:after="0" w:line="222" w:lineRule="exact"/>
        <w:rPr>
          <w:rFonts w:ascii="Arial" w:cs="Arial" w:eastAsia="Arial" w:hAnsi="Arial"/>
          <w:sz w:val="17"/>
          <w:szCs w:val="17"/>
          <w:color w:val="auto"/>
        </w:rPr>
      </w:pPr>
    </w:p>
    <w:p>
      <w:pPr>
        <w:ind w:left="240" w:hanging="235"/>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shares vest to the extent of 3,280 shares on each of April 10, 2020, 2021 and 2022.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58" w:name="page59"/>
    <w:bookmarkEnd w:id="58"/>
    <w:p>
      <w:pPr>
        <w:ind w:left="640"/>
        <w:spacing w:after="0"/>
        <w:rPr>
          <w:sz w:val="20"/>
          <w:szCs w:val="20"/>
          <w:color w:val="auto"/>
        </w:rPr>
      </w:pPr>
      <w:r>
        <w:rPr>
          <w:rFonts w:ascii="Arial" w:cs="Arial" w:eastAsia="Arial" w:hAnsi="Arial"/>
          <w:sz w:val="17"/>
          <w:szCs w:val="17"/>
          <w:b w:val="1"/>
          <w:bCs w:val="1"/>
          <w:i w:val="1"/>
          <w:iCs w:val="1"/>
          <w:color w:val="auto"/>
        </w:rPr>
        <w:t>Termination of Employment and Change-in-Control Arrangements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Barry B. Goldstein</w:t>
      </w:r>
    </w:p>
    <w:p>
      <w:pPr>
        <w:spacing w:after="0" w:line="223"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Pursuant to the Second Amended and Restated Goldstein Employment Agreement, in the event that Mr. Goldstein's employment is terminated by us without cause or he resigns for good reason (each as defined in the Second Amended and Restated Goldstein Employment Agreement), Mr. Goldstein would be entitled to receive his base salary, bonus and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w:t>
      </w:r>
    </w:p>
    <w:p>
      <w:pPr>
        <w:spacing w:after="0" w:line="176" w:lineRule="exact"/>
        <w:rPr>
          <w:sz w:val="20"/>
          <w:szCs w:val="20"/>
          <w:color w:val="auto"/>
        </w:rPr>
      </w:pPr>
    </w:p>
    <w:p>
      <w:pPr>
        <w:jc w:val="both"/>
        <w:ind w:firstLine="627"/>
        <w:spacing w:after="0" w:line="350" w:lineRule="auto"/>
        <w:rPr>
          <w:sz w:val="20"/>
          <w:szCs w:val="20"/>
          <w:color w:val="auto"/>
        </w:rPr>
      </w:pPr>
      <w:r>
        <w:rPr>
          <w:rFonts w:ascii="Arial" w:cs="Arial" w:eastAsia="Arial" w:hAnsi="Arial"/>
          <w:sz w:val="15"/>
          <w:szCs w:val="15"/>
          <w:color w:val="auto"/>
        </w:rPr>
        <w:t>Mr. Goldstein would be entitled to receive, under certain circumstances, a payment equal to 3.82 times his then annual salary, the target LTC payment of $1,890,000 and his accrued bonus in the event of the termination of his employment within eighteen months following a change of control of our company.</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Dale A. Thatcher</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See Item 13 (“Certain Relationships and Related Transactions, and Director Independence–Dale A. Thatcher”) for a discussion of an agreement entered into with Mr. Thatcher in July 2019 with regard to the termination of his employment.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Compensation of Directors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certain information concerning the compensation of our directors for the fiscal year ended December 31,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w w:val="98"/>
              </w:rPr>
              <w:t>Fees Earned or</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Paid in Cash</w:t>
            </w:r>
          </w:p>
        </w:tc>
        <w:tc>
          <w:tcPr>
            <w:tcW w:w="1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w w:val="92"/>
              </w:rPr>
              <w:t>Stock Awards(1)</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Option Awards</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35"/>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Jay M. Haft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75,000</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40,000</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115,000</w:t>
            </w: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Floyd R. Tupper</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85,000</w:t>
            </w:r>
          </w:p>
        </w:tc>
        <w:tc>
          <w:tcPr>
            <w:tcW w:w="4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40,000</w:t>
            </w:r>
          </w:p>
        </w:tc>
        <w:tc>
          <w:tcPr>
            <w:tcW w:w="114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125,000</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William L. Yankus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80,000</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40,000</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120,000</w:t>
            </w: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Carla A. D’Andre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75,000</w:t>
            </w:r>
          </w:p>
        </w:tc>
        <w:tc>
          <w:tcPr>
            <w:tcW w:w="4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40,000</w:t>
            </w:r>
          </w:p>
        </w:tc>
        <w:tc>
          <w:tcPr>
            <w:tcW w:w="114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115,000</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Timothy P. McFadden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75,000</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40,000</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115,000</w:t>
            </w:r>
          </w:p>
        </w:tc>
      </w:tr>
    </w:tbl>
    <w:p>
      <w:pPr>
        <w:jc w:val="both"/>
        <w:ind w:left="720" w:hanging="715"/>
        <w:spacing w:after="0" w:line="261"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 The aggregate number of unvested restricted stock awards outstanding as of fiscal year end for each non-employee director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5460" w:type="dxa"/>
            <w:vAlign w:val="bottom"/>
          </w:tcPr>
          <w:p>
            <w:pPr>
              <w:jc w:val="center"/>
              <w:ind w:left="4040"/>
              <w:spacing w:after="0"/>
              <w:rPr>
                <w:sz w:val="20"/>
                <w:szCs w:val="20"/>
                <w:color w:val="auto"/>
              </w:rPr>
            </w:pPr>
            <w:r>
              <w:rPr>
                <w:rFonts w:ascii="Arial" w:cs="Arial" w:eastAsia="Arial" w:hAnsi="Arial"/>
                <w:sz w:val="14"/>
                <w:szCs w:val="14"/>
                <w:b w:val="1"/>
                <w:bCs w:val="1"/>
                <w:color w:val="auto"/>
                <w:w w:val="91"/>
              </w:rPr>
              <w:t>Unvested</w:t>
            </w:r>
          </w:p>
        </w:tc>
      </w:tr>
      <w:tr>
        <w:trPr>
          <w:trHeight w:val="157"/>
        </w:trPr>
        <w:tc>
          <w:tcPr>
            <w:tcW w:w="5780" w:type="dxa"/>
            <w:vAlign w:val="bottom"/>
          </w:tcPr>
          <w:p>
            <w:pPr>
              <w:spacing w:after="0"/>
              <w:rPr>
                <w:sz w:val="13"/>
                <w:szCs w:val="13"/>
                <w:color w:val="auto"/>
              </w:rPr>
            </w:pPr>
          </w:p>
        </w:tc>
        <w:tc>
          <w:tcPr>
            <w:tcW w:w="5460" w:type="dxa"/>
            <w:vAlign w:val="bottom"/>
          </w:tcPr>
          <w:p>
            <w:pPr>
              <w:jc w:val="center"/>
              <w:ind w:left="4040"/>
              <w:spacing w:after="0" w:line="157" w:lineRule="exact"/>
              <w:rPr>
                <w:sz w:val="20"/>
                <w:szCs w:val="20"/>
                <w:color w:val="auto"/>
              </w:rPr>
            </w:pPr>
            <w:r>
              <w:rPr>
                <w:rFonts w:ascii="Arial" w:cs="Arial" w:eastAsia="Arial" w:hAnsi="Arial"/>
                <w:sz w:val="14"/>
                <w:szCs w:val="14"/>
                <w:b w:val="1"/>
                <w:bCs w:val="1"/>
                <w:color w:val="auto"/>
                <w:w w:val="92"/>
              </w:rPr>
              <w:t>Restricted Stock</w:t>
            </w:r>
          </w:p>
        </w:tc>
      </w:tr>
      <w:tr>
        <w:trPr>
          <w:trHeight w:val="176"/>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460" w:type="dxa"/>
            <w:vAlign w:val="bottom"/>
            <w:tcBorders>
              <w:bottom w:val="single" w:sz="8" w:color="auto"/>
            </w:tcBorders>
          </w:tcPr>
          <w:p>
            <w:pPr>
              <w:jc w:val="center"/>
              <w:ind w:left="4040"/>
              <w:spacing w:after="0"/>
              <w:rPr>
                <w:sz w:val="20"/>
                <w:szCs w:val="20"/>
                <w:color w:val="auto"/>
              </w:rPr>
            </w:pPr>
            <w:r>
              <w:rPr>
                <w:rFonts w:ascii="Arial" w:cs="Arial" w:eastAsia="Arial" w:hAnsi="Arial"/>
                <w:sz w:val="14"/>
                <w:szCs w:val="14"/>
                <w:b w:val="1"/>
                <w:bCs w:val="1"/>
                <w:color w:val="auto"/>
                <w:w w:val="92"/>
              </w:rPr>
              <w:t>Awards (#)</w:t>
            </w:r>
          </w:p>
        </w:tc>
      </w:tr>
      <w:tr>
        <w:trPr>
          <w:trHeight w:val="235"/>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Jay M. Haft</w:t>
            </w:r>
          </w:p>
        </w:tc>
        <w:tc>
          <w:tcPr>
            <w:tcW w:w="54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1,999</w:t>
            </w: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Floyd R. Tupper</w:t>
            </w:r>
          </w:p>
        </w:tc>
        <w:tc>
          <w:tcPr>
            <w:tcW w:w="5460" w:type="dxa"/>
            <w:vAlign w:val="bottom"/>
          </w:tcPr>
          <w:p>
            <w:pPr>
              <w:jc w:val="right"/>
              <w:ind w:right="60"/>
              <w:spacing w:after="0"/>
              <w:rPr>
                <w:sz w:val="20"/>
                <w:szCs w:val="20"/>
                <w:color w:val="auto"/>
              </w:rPr>
            </w:pPr>
            <w:r>
              <w:rPr>
                <w:rFonts w:ascii="Arial" w:cs="Arial" w:eastAsia="Arial" w:hAnsi="Arial"/>
                <w:sz w:val="17"/>
                <w:szCs w:val="17"/>
                <w:color w:val="auto"/>
              </w:rPr>
              <w:t>1,999</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William L. Yankus</w:t>
            </w:r>
          </w:p>
        </w:tc>
        <w:tc>
          <w:tcPr>
            <w:tcW w:w="54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1,999</w:t>
            </w: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Carla A. D’Andre</w:t>
            </w:r>
          </w:p>
        </w:tc>
        <w:tc>
          <w:tcPr>
            <w:tcW w:w="5460" w:type="dxa"/>
            <w:vAlign w:val="bottom"/>
          </w:tcPr>
          <w:p>
            <w:pPr>
              <w:jc w:val="right"/>
              <w:ind w:right="60"/>
              <w:spacing w:after="0"/>
              <w:rPr>
                <w:sz w:val="20"/>
                <w:szCs w:val="20"/>
                <w:color w:val="auto"/>
              </w:rPr>
            </w:pPr>
            <w:r>
              <w:rPr>
                <w:rFonts w:ascii="Arial" w:cs="Arial" w:eastAsia="Arial" w:hAnsi="Arial"/>
                <w:sz w:val="17"/>
                <w:szCs w:val="17"/>
                <w:color w:val="auto"/>
              </w:rPr>
              <w:t>1,749</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Timothy P. McFadden</w:t>
            </w:r>
          </w:p>
        </w:tc>
        <w:tc>
          <w:tcPr>
            <w:tcW w:w="54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530</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2019, our non-employee directors are entitled to receive annual compensation for their services as directors as follows:</w:t>
      </w:r>
    </w:p>
    <w:p>
      <w:pPr>
        <w:spacing w:after="0" w:line="223" w:lineRule="exact"/>
        <w:rPr>
          <w:sz w:val="20"/>
          <w:szCs w:val="20"/>
          <w:color w:val="auto"/>
        </w:rPr>
      </w:pPr>
    </w:p>
    <w:p>
      <w:pPr>
        <w:ind w:left="1200" w:hanging="568"/>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$60,000;</w:t>
      </w:r>
    </w:p>
    <w:p>
      <w:pPr>
        <w:spacing w:after="0" w:line="19" w:lineRule="exact"/>
        <w:rPr>
          <w:rFonts w:ascii="Arial" w:cs="Arial" w:eastAsia="Arial" w:hAnsi="Arial"/>
          <w:sz w:val="17"/>
          <w:szCs w:val="17"/>
          <w:color w:val="auto"/>
        </w:rPr>
      </w:pPr>
    </w:p>
    <w:p>
      <w:pPr>
        <w:ind w:firstLine="632"/>
        <w:spacing w:after="0" w:line="256"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additional $25,000 for service as audit committee chair, an additional $20,000 for service as compensation committee chair, an additional $10,000 for service as investment committee chair, and an additional $15,000 for service as chair of other committees; and</w:t>
      </w:r>
    </w:p>
    <w:p>
      <w:pPr>
        <w:spacing w:after="0" w:line="1" w:lineRule="exact"/>
        <w:rPr>
          <w:rFonts w:ascii="Arial" w:cs="Arial" w:eastAsia="Arial" w:hAnsi="Arial"/>
          <w:sz w:val="17"/>
          <w:szCs w:val="17"/>
          <w:color w:val="auto"/>
        </w:rPr>
      </w:pPr>
    </w:p>
    <w:p>
      <w:pPr>
        <w:ind w:left="1220" w:hanging="588"/>
        <w:spacing w:after="0"/>
        <w:tabs>
          <w:tab w:leader="none" w:pos="1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$40,000 of our common stock determined by the closing stock price on the first business day of the year, which vest on the first anniversary of the</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grant 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59" w:name="page60"/>
    <w:bookmarkEnd w:id="59"/>
    <w:p>
      <w:pPr>
        <w:jc w:val="both"/>
        <w:ind w:left="1580" w:hanging="1567"/>
        <w:spacing w:after="0" w:line="286" w:lineRule="auto"/>
        <w:tabs>
          <w:tab w:leader="none" w:pos="1560" w:val="left"/>
        </w:tabs>
        <w:rPr>
          <w:sz w:val="20"/>
          <w:szCs w:val="20"/>
          <w:color w:val="auto"/>
        </w:rPr>
      </w:pPr>
      <w:r>
        <w:rPr>
          <w:rFonts w:ascii="Arial" w:cs="Arial" w:eastAsia="Arial" w:hAnsi="Arial"/>
          <w:sz w:val="17"/>
          <w:szCs w:val="17"/>
          <w:b w:val="1"/>
          <w:bCs w:val="1"/>
          <w:u w:val="single" w:color="auto"/>
          <w:color w:val="auto"/>
        </w:rPr>
        <w:t>ITEM 12.</w:t>
      </w:r>
      <w:r>
        <w:rPr>
          <w:sz w:val="20"/>
          <w:szCs w:val="20"/>
          <w:color w:val="auto"/>
        </w:rPr>
        <w:tab/>
      </w:r>
      <w:r>
        <w:rPr>
          <w:rFonts w:ascii="Arial" w:cs="Arial" w:eastAsia="Arial" w:hAnsi="Arial"/>
          <w:sz w:val="17"/>
          <w:szCs w:val="17"/>
          <w:b w:val="1"/>
          <w:bCs w:val="1"/>
          <w:u w:val="single" w:color="auto"/>
          <w:color w:val="auto"/>
        </w:rPr>
        <w:t>SECURITY OWNERSHIP OF CERTAIN BENEFICIAL OWNERS AND MANAGEMENT AND RELATED STOCKHOLDER MATTERS</w:t>
      </w:r>
      <w:r>
        <w:rPr>
          <w:rFonts w:ascii="Arial" w:cs="Arial" w:eastAsia="Arial" w:hAnsi="Arial"/>
          <w:sz w:val="17"/>
          <w:szCs w:val="17"/>
          <w:color w:val="auto"/>
        </w:rPr>
        <w: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Security Ownership</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The following table sets forth certain information as of March 9, 2020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Address</w:t>
            </w:r>
          </w:p>
        </w:tc>
        <w:tc>
          <w:tcPr>
            <w:tcW w:w="390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Number of Shares</w:t>
            </w:r>
          </w:p>
        </w:tc>
        <w:tc>
          <w:tcPr>
            <w:tcW w:w="332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auto"/>
              </w:rPr>
              <w:t>Approximate</w:t>
            </w:r>
          </w:p>
        </w:tc>
      </w:tr>
      <w:tr>
        <w:trPr>
          <w:trHeight w:val="241"/>
        </w:trPr>
        <w:tc>
          <w:tcPr>
            <w:tcW w:w="4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of Beneficial Owner</w:t>
            </w:r>
          </w:p>
        </w:tc>
        <w:tc>
          <w:tcPr>
            <w:tcW w:w="390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Beneficially Owned</w:t>
            </w:r>
          </w:p>
        </w:tc>
        <w:tc>
          <w:tcPr>
            <w:tcW w:w="332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auto"/>
              </w:rPr>
              <w:t>Percent of Class</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Barry B. Goldstein</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15 Joys Lane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Kingston, New York</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2"/>
              </w:rPr>
              <w:t>707,158(1)</w:t>
            </w:r>
          </w:p>
        </w:tc>
        <w:tc>
          <w:tcPr>
            <w:tcW w:w="33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6.5 %</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Jay M. Haft</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69 Beaver Dam Road</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Salisbury, Connecticut</w:t>
            </w:r>
          </w:p>
        </w:tc>
        <w:tc>
          <w:tcPr>
            <w:tcW w:w="3900" w:type="dxa"/>
            <w:vAlign w:val="bottom"/>
            <w:shd w:val="clear" w:color="auto" w:fill="CCEEFF"/>
          </w:tcPr>
          <w:p>
            <w:pPr>
              <w:jc w:val="center"/>
              <w:ind w:right="415"/>
              <w:spacing w:after="0"/>
              <w:rPr>
                <w:sz w:val="20"/>
                <w:szCs w:val="20"/>
                <w:color w:val="auto"/>
              </w:rPr>
            </w:pPr>
            <w:r>
              <w:rPr>
                <w:rFonts w:ascii="Arial" w:cs="Arial" w:eastAsia="Arial" w:hAnsi="Arial"/>
                <w:sz w:val="17"/>
                <w:szCs w:val="17"/>
                <w:color w:val="auto"/>
                <w:w w:val="92"/>
              </w:rPr>
              <w:t>98,010</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Floyd R. Tupper</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220 East 57th Street</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New York, New York</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3"/>
              </w:rPr>
              <w:t>67,388(2)</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Dale A. Thatcher</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212 Third Street</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Milford, Pennsylvania</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3"/>
              </w:rPr>
              <w:t>59,882(3)</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Victor J. Brodsky</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15 Joys Lane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Kingston, New York</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3"/>
              </w:rPr>
              <w:t>36,457(4)</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Benjamin Walden</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15 Joys Lane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Kingston, New York</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3"/>
              </w:rPr>
              <w:t>32,966(5)</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Carla A. D’Andre</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3561 Avocado Avenue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Miami, Florida</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3"/>
              </w:rPr>
              <w:t>15,821(6)</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William L. Yankus</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10 Pheasant Hill Road</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Farmington, Connecticut</w:t>
            </w:r>
          </w:p>
        </w:tc>
        <w:tc>
          <w:tcPr>
            <w:tcW w:w="3900" w:type="dxa"/>
            <w:vAlign w:val="bottom"/>
            <w:shd w:val="clear" w:color="auto" w:fill="CCEEFF"/>
          </w:tcPr>
          <w:p>
            <w:pPr>
              <w:jc w:val="center"/>
              <w:ind w:right="415"/>
              <w:spacing w:after="0"/>
              <w:rPr>
                <w:sz w:val="20"/>
                <w:szCs w:val="20"/>
                <w:color w:val="auto"/>
              </w:rPr>
            </w:pPr>
            <w:r>
              <w:rPr>
                <w:rFonts w:ascii="Arial" w:cs="Arial" w:eastAsia="Arial" w:hAnsi="Arial"/>
                <w:sz w:val="17"/>
                <w:szCs w:val="17"/>
                <w:color w:val="auto"/>
                <w:w w:val="92"/>
              </w:rPr>
              <w:t>13,086</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Meryl S. Golden</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15 Joys Lane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Kingston, New York</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3"/>
              </w:rPr>
              <w:t>12,500(7)</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Timothy P. McFadden</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310 8th Avenue N.</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Saint Petersburg, Florida</w:t>
            </w:r>
          </w:p>
        </w:tc>
        <w:tc>
          <w:tcPr>
            <w:tcW w:w="3900" w:type="dxa"/>
            <w:vAlign w:val="bottom"/>
            <w:shd w:val="clear" w:color="auto" w:fill="CCEEFF"/>
          </w:tcPr>
          <w:p>
            <w:pPr>
              <w:jc w:val="center"/>
              <w:ind w:right="415"/>
              <w:spacing w:after="0"/>
              <w:rPr>
                <w:sz w:val="20"/>
                <w:szCs w:val="20"/>
                <w:color w:val="auto"/>
              </w:rPr>
            </w:pPr>
            <w:r>
              <w:rPr>
                <w:rFonts w:ascii="Arial" w:cs="Arial" w:eastAsia="Arial" w:hAnsi="Arial"/>
                <w:sz w:val="17"/>
                <w:szCs w:val="17"/>
                <w:color w:val="auto"/>
                <w:w w:val="93"/>
              </w:rPr>
              <w:t>7,518</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The TCW Group, Inc.</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on behalf of the TCW Business Unit</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865 South Figueroa Street</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Los Angeles, California</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2"/>
              </w:rPr>
              <w:t>673,170(8)</w:t>
            </w:r>
          </w:p>
        </w:tc>
        <w:tc>
          <w:tcPr>
            <w:tcW w:w="3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6.2%</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RenaissanceRe Ventures Ltd.</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Renaissance Other Investments</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09"/>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Holding II Ltd.</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RenaissanceRe Holdings Ltd.</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Renaissance House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12 Crow Lane</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Pembrooke HM19</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Bermuda</w:t>
            </w:r>
          </w:p>
        </w:tc>
        <w:tc>
          <w:tcPr>
            <w:tcW w:w="390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2"/>
              </w:rPr>
              <w:t>595,238(9)</w:t>
            </w:r>
          </w:p>
        </w:tc>
        <w:tc>
          <w:tcPr>
            <w:tcW w:w="33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5.5%</w:t>
            </w:r>
          </w:p>
        </w:tc>
      </w:tr>
      <w:tr>
        <w:trPr>
          <w:trHeight w:val="209"/>
        </w:trPr>
        <w:tc>
          <w:tcPr>
            <w:tcW w:w="40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All executive officers</w:t>
            </w:r>
          </w:p>
        </w:tc>
        <w:tc>
          <w:tcPr>
            <w:tcW w:w="39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and directors as a group</w:t>
            </w:r>
          </w:p>
        </w:tc>
        <w:tc>
          <w:tcPr>
            <w:tcW w:w="39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24"/>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(9 persons)</w:t>
            </w:r>
          </w:p>
        </w:tc>
        <w:tc>
          <w:tcPr>
            <w:tcW w:w="39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7"/>
                <w:szCs w:val="17"/>
                <w:color w:val="auto"/>
              </w:rPr>
              <w:t>990,904(1)(2)(4)(5)(6)(7)</w:t>
            </w:r>
          </w:p>
        </w:tc>
        <w:tc>
          <w:tcPr>
            <w:tcW w:w="33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9.1%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Less than 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265" w:gutter="0" w:footer="0" w:header="0"/>
        </w:sectPr>
      </w:pPr>
    </w:p>
    <w:bookmarkStart w:id="60" w:name="page61"/>
    <w:bookmarkEnd w:id="60"/>
    <w:p>
      <w:pPr>
        <w:jc w:val="both"/>
        <w:ind w:left="460" w:hanging="455"/>
        <w:spacing w:after="0" w:line="262"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regarding Mr. Goldstein is based solely on publicly available information filed with the SEC. Includes (i) 73,168 shares of common stock owned by Mr. Goldstein's wife and (ii) 2,000 shares held in a retirement trust for the benefit of Mr. Goldstein. Mr. Goldstein has sole voting and dispositive power over 638,890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87" w:lineRule="exact"/>
        <w:rPr>
          <w:rFonts w:ascii="Arial" w:cs="Arial" w:eastAsia="Arial" w:hAnsi="Arial"/>
          <w:sz w:val="17"/>
          <w:szCs w:val="17"/>
          <w:color w:val="auto"/>
        </w:rPr>
      </w:pPr>
    </w:p>
    <w:p>
      <w:pPr>
        <w:jc w:val="both"/>
        <w:ind w:left="460" w:hanging="455"/>
        <w:spacing w:after="0" w:line="262"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(i) 32,065 shares owned by Mr. Tupper’s wife (ii) 6,675 shares held in a retirement trust for the benefit of Mr. Tupper and (iii) 810 shares held in a retirement trust for the benefit of Mr. Tupper's wife. Mr. Tupper has sole voting and dispositive power over 34,513 shares of common stock and shared voting and dispositive power over 32,875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187" w:lineRule="exact"/>
        <w:rPr>
          <w:rFonts w:ascii="Arial" w:cs="Arial" w:eastAsia="Arial" w:hAnsi="Arial"/>
          <w:sz w:val="17"/>
          <w:szCs w:val="17"/>
          <w:color w:val="auto"/>
        </w:rPr>
      </w:pPr>
    </w:p>
    <w:p>
      <w:pPr>
        <w:ind w:left="460" w:hanging="455"/>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11,905 shares issuable upon the vesting of restricted stock within 60 days.</w:t>
      </w:r>
    </w:p>
    <w:p>
      <w:pPr>
        <w:spacing w:after="0" w:line="222" w:lineRule="exact"/>
        <w:rPr>
          <w:rFonts w:ascii="Arial" w:cs="Arial" w:eastAsia="Arial" w:hAnsi="Arial"/>
          <w:sz w:val="17"/>
          <w:szCs w:val="17"/>
          <w:color w:val="auto"/>
        </w:rPr>
      </w:pPr>
    </w:p>
    <w:p>
      <w:pPr>
        <w:ind w:left="460" w:hanging="455"/>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3,644 shares issuable upon the vesting of restricted stock within 60 days.</w:t>
      </w:r>
    </w:p>
    <w:p>
      <w:pPr>
        <w:spacing w:after="0" w:line="222" w:lineRule="exact"/>
        <w:rPr>
          <w:rFonts w:ascii="Arial" w:cs="Arial" w:eastAsia="Arial" w:hAnsi="Arial"/>
          <w:sz w:val="17"/>
          <w:szCs w:val="17"/>
          <w:color w:val="auto"/>
        </w:rPr>
      </w:pPr>
    </w:p>
    <w:p>
      <w:pPr>
        <w:ind w:left="460" w:hanging="455"/>
        <w:spacing w:after="0" w:line="281"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7,000 shares issuable upon the exercise of options that are exercisable currently and 3,280 shares issuable upon the vesting of restricted stock within 60 days.</w:t>
      </w:r>
    </w:p>
    <w:p>
      <w:pPr>
        <w:spacing w:after="0" w:line="169" w:lineRule="exact"/>
        <w:rPr>
          <w:rFonts w:ascii="Arial" w:cs="Arial" w:eastAsia="Arial" w:hAnsi="Arial"/>
          <w:sz w:val="17"/>
          <w:szCs w:val="17"/>
          <w:color w:val="auto"/>
        </w:rPr>
      </w:pPr>
    </w:p>
    <w:p>
      <w:pPr>
        <w:jc w:val="both"/>
        <w:ind w:left="460" w:hanging="455"/>
        <w:spacing w:after="0" w:line="264"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10,000 shares held in a retirement trust for the benefit of Ms. D’Andre’s husband. Ms. D’Andre has sole voting and dispositive power over 5,821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p>
      <w:pPr>
        <w:spacing w:after="0" w:line="185" w:lineRule="exact"/>
        <w:rPr>
          <w:rFonts w:ascii="Arial" w:cs="Arial" w:eastAsia="Arial" w:hAnsi="Arial"/>
          <w:sz w:val="17"/>
          <w:szCs w:val="17"/>
          <w:color w:val="auto"/>
        </w:rPr>
      </w:pPr>
    </w:p>
    <w:p>
      <w:pPr>
        <w:ind w:left="460" w:hanging="455"/>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shares issuable upon the exercise of options that are exercisable currently.</w:t>
      </w:r>
    </w:p>
    <w:p>
      <w:pPr>
        <w:spacing w:after="0" w:line="222" w:lineRule="exact"/>
        <w:rPr>
          <w:rFonts w:ascii="Arial" w:cs="Arial" w:eastAsia="Arial" w:hAnsi="Arial"/>
          <w:sz w:val="17"/>
          <w:szCs w:val="17"/>
          <w:color w:val="auto"/>
        </w:rPr>
      </w:pPr>
    </w:p>
    <w:p>
      <w:pPr>
        <w:jc w:val="both"/>
        <w:ind w:left="460" w:hanging="455"/>
        <w:spacing w:after="0" w:line="26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regarding The TCW Group, Inc. on behalf of the TCW Business Unit is based solely on a Schedule 13G filed by such reporting person with the SEC on February 7, 2020 (the “TCW 13G”). According to the TCW 13G, such reporting person has shared voting and dispositive power over the 673,170 shares of common stock.</w:t>
      </w:r>
    </w:p>
    <w:p>
      <w:pPr>
        <w:spacing w:after="0" w:line="181" w:lineRule="exact"/>
        <w:rPr>
          <w:rFonts w:ascii="Arial" w:cs="Arial" w:eastAsia="Arial" w:hAnsi="Arial"/>
          <w:sz w:val="17"/>
          <w:szCs w:val="17"/>
          <w:color w:val="auto"/>
        </w:rPr>
      </w:pPr>
    </w:p>
    <w:p>
      <w:pPr>
        <w:jc w:val="both"/>
        <w:ind w:left="460" w:hanging="455"/>
        <w:spacing w:after="0" w:line="264"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regarding RenaissanceRe Ventures Ltd. (“RenaissanceRe Ventures”), Renaissance Other Investments Holding II Ltd. (“ROIHL II”) and RenaissanceRe Holdings Ltd. (“RenaissanceRe Holdings”) is based solely on a Schedule 13G/A filed by such reporting persons with the SEC on February 14, 2019 (the “Renaissance 13G/A”). According to the Renaissance 13G/A, RenaissanceRe Ventures, ROIHL II and RenaissanceRe Holdings each has shared voting and dispositive power over the 595,238 shares of common stock.</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Securities Authorized for Issuance Under Equity Compensation Plans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sets forth information as of December 31, 2019 with respect to compensation plans (including individual compensation arrangements)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under which our common shares are authorized for issuance, aggregated as follows:</w:t>
      </w:r>
    </w:p>
    <w:p>
      <w:pPr>
        <w:spacing w:after="0" w:line="216" w:lineRule="exact"/>
        <w:rPr>
          <w:sz w:val="20"/>
          <w:szCs w:val="20"/>
          <w:color w:val="auto"/>
        </w:rPr>
      </w:pPr>
    </w:p>
    <w:p>
      <w:pPr>
        <w:ind w:left="1040" w:hanging="408"/>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compensation plans previously approved by security holders; and</w:t>
      </w:r>
    </w:p>
    <w:p>
      <w:pPr>
        <w:spacing w:after="0" w:line="19" w:lineRule="exact"/>
        <w:rPr>
          <w:rFonts w:ascii="Arial" w:cs="Arial" w:eastAsia="Arial" w:hAnsi="Arial"/>
          <w:sz w:val="17"/>
          <w:szCs w:val="17"/>
          <w:color w:val="auto"/>
        </w:rPr>
      </w:pPr>
    </w:p>
    <w:p>
      <w:pPr>
        <w:ind w:left="1040" w:hanging="408"/>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compensation plans not previously approved by security holders.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57"/>
        </w:trPr>
        <w:tc>
          <w:tcPr>
            <w:tcW w:w="5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securities</w:t>
            </w:r>
          </w:p>
        </w:tc>
      </w:tr>
      <w:tr>
        <w:trPr>
          <w:trHeight w:val="157"/>
        </w:trPr>
        <w:tc>
          <w:tcPr>
            <w:tcW w:w="5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remaining</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44"/>
              <w:spacing w:after="0" w:line="157"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available for</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64"/>
              <w:spacing w:after="0" w:line="157" w:lineRule="exact"/>
              <w:rPr>
                <w:sz w:val="20"/>
                <w:szCs w:val="20"/>
                <w:color w:val="auto"/>
              </w:rPr>
            </w:pPr>
            <w:r>
              <w:rPr>
                <w:rFonts w:ascii="Arial" w:cs="Arial" w:eastAsia="Arial" w:hAnsi="Arial"/>
                <w:sz w:val="14"/>
                <w:szCs w:val="14"/>
                <w:b w:val="1"/>
                <w:bCs w:val="1"/>
                <w:color w:val="auto"/>
                <w:w w:val="89"/>
              </w:rPr>
              <w:t>securities to be</w:t>
            </w:r>
          </w:p>
        </w:tc>
        <w:tc>
          <w:tcPr>
            <w:tcW w:w="240" w:type="dxa"/>
            <w:vAlign w:val="bottom"/>
          </w:tcPr>
          <w:p>
            <w:pPr>
              <w:spacing w:after="0"/>
              <w:rPr>
                <w:sz w:val="13"/>
                <w:szCs w:val="13"/>
                <w:color w:val="auto"/>
              </w:rPr>
            </w:pPr>
          </w:p>
        </w:tc>
        <w:tc>
          <w:tcPr>
            <w:tcW w:w="1120" w:type="dxa"/>
            <w:vAlign w:val="bottom"/>
          </w:tcPr>
          <w:p>
            <w:pPr>
              <w:jc w:val="center"/>
              <w:ind w:right="183"/>
              <w:spacing w:after="0" w:line="157" w:lineRule="exact"/>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future issuance</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64"/>
              <w:spacing w:after="0" w:line="157" w:lineRule="exact"/>
              <w:rPr>
                <w:sz w:val="20"/>
                <w:szCs w:val="20"/>
                <w:color w:val="auto"/>
              </w:rPr>
            </w:pPr>
            <w:r>
              <w:rPr>
                <w:rFonts w:ascii="Arial" w:cs="Arial" w:eastAsia="Arial" w:hAnsi="Arial"/>
                <w:sz w:val="14"/>
                <w:szCs w:val="14"/>
                <w:b w:val="1"/>
                <w:bCs w:val="1"/>
                <w:color w:val="auto"/>
                <w:w w:val="87"/>
              </w:rPr>
              <w:t>issued upon</w:t>
            </w:r>
          </w:p>
        </w:tc>
        <w:tc>
          <w:tcPr>
            <w:tcW w:w="13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8"/>
              </w:rPr>
              <w:t>average exercise</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under equity</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64"/>
              <w:spacing w:after="0" w:line="157" w:lineRule="exact"/>
              <w:rPr>
                <w:sz w:val="20"/>
                <w:szCs w:val="20"/>
                <w:color w:val="auto"/>
              </w:rPr>
            </w:pPr>
            <w:r>
              <w:rPr>
                <w:rFonts w:ascii="Arial" w:cs="Arial" w:eastAsia="Arial" w:hAnsi="Arial"/>
                <w:sz w:val="14"/>
                <w:szCs w:val="14"/>
                <w:b w:val="1"/>
                <w:bCs w:val="1"/>
                <w:color w:val="auto"/>
                <w:w w:val="87"/>
              </w:rPr>
              <w:t>exercise of</w:t>
            </w:r>
          </w:p>
        </w:tc>
        <w:tc>
          <w:tcPr>
            <w:tcW w:w="240" w:type="dxa"/>
            <w:vAlign w:val="bottom"/>
          </w:tcPr>
          <w:p>
            <w:pPr>
              <w:spacing w:after="0"/>
              <w:rPr>
                <w:sz w:val="13"/>
                <w:szCs w:val="13"/>
                <w:color w:val="auto"/>
              </w:rPr>
            </w:pPr>
          </w:p>
        </w:tc>
        <w:tc>
          <w:tcPr>
            <w:tcW w:w="1120" w:type="dxa"/>
            <w:vAlign w:val="bottom"/>
          </w:tcPr>
          <w:p>
            <w:pPr>
              <w:jc w:val="center"/>
              <w:ind w:right="183"/>
              <w:spacing w:after="0" w:line="157" w:lineRule="exact"/>
              <w:rPr>
                <w:sz w:val="20"/>
                <w:szCs w:val="20"/>
                <w:color w:val="auto"/>
              </w:rPr>
            </w:pPr>
            <w:r>
              <w:rPr>
                <w:rFonts w:ascii="Arial" w:cs="Arial" w:eastAsia="Arial" w:hAnsi="Arial"/>
                <w:sz w:val="14"/>
                <w:szCs w:val="14"/>
                <w:b w:val="1"/>
                <w:bCs w:val="1"/>
                <w:color w:val="auto"/>
                <w:w w:val="90"/>
              </w:rPr>
              <w:t>price of</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compensation</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64"/>
              <w:spacing w:after="0" w:line="157" w:lineRule="exact"/>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3"/>
                <w:szCs w:val="13"/>
                <w:color w:val="auto"/>
              </w:rPr>
            </w:pPr>
          </w:p>
        </w:tc>
        <w:tc>
          <w:tcPr>
            <w:tcW w:w="1120" w:type="dxa"/>
            <w:vAlign w:val="bottom"/>
          </w:tcPr>
          <w:p>
            <w:pPr>
              <w:jc w:val="center"/>
              <w:ind w:right="203"/>
              <w:spacing w:after="0" w:line="157" w:lineRule="exact"/>
              <w:rPr>
                <w:sz w:val="20"/>
                <w:szCs w:val="20"/>
                <w:color w:val="auto"/>
              </w:rPr>
            </w:pPr>
            <w:r>
              <w:rPr>
                <w:rFonts w:ascii="Arial" w:cs="Arial" w:eastAsia="Arial" w:hAnsi="Arial"/>
                <w:sz w:val="14"/>
                <w:szCs w:val="14"/>
                <w:b w:val="1"/>
                <w:bCs w:val="1"/>
                <w:color w:val="auto"/>
                <w:w w:val="89"/>
              </w:rPr>
              <w:t>outstanding</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plans (excluding</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64"/>
              <w:spacing w:after="0" w:line="157" w:lineRule="exact"/>
              <w:rPr>
                <w:sz w:val="20"/>
                <w:szCs w:val="20"/>
                <w:color w:val="auto"/>
              </w:rPr>
            </w:pPr>
            <w:r>
              <w:rPr>
                <w:rFonts w:ascii="Arial" w:cs="Arial" w:eastAsia="Arial" w:hAnsi="Arial"/>
                <w:sz w:val="14"/>
                <w:szCs w:val="14"/>
                <w:b w:val="1"/>
                <w:bCs w:val="1"/>
                <w:color w:val="auto"/>
                <w:w w:val="88"/>
              </w:rPr>
              <w:t>options,</w:t>
            </w:r>
          </w:p>
        </w:tc>
        <w:tc>
          <w:tcPr>
            <w:tcW w:w="240" w:type="dxa"/>
            <w:vAlign w:val="bottom"/>
          </w:tcPr>
          <w:p>
            <w:pPr>
              <w:spacing w:after="0"/>
              <w:rPr>
                <w:sz w:val="13"/>
                <w:szCs w:val="13"/>
                <w:color w:val="auto"/>
              </w:rPr>
            </w:pPr>
          </w:p>
        </w:tc>
        <w:tc>
          <w:tcPr>
            <w:tcW w:w="1120" w:type="dxa"/>
            <w:vAlign w:val="bottom"/>
          </w:tcPr>
          <w:p>
            <w:pPr>
              <w:jc w:val="center"/>
              <w:ind w:right="203"/>
              <w:spacing w:after="0" w:line="157" w:lineRule="exact"/>
              <w:rPr>
                <w:sz w:val="20"/>
                <w:szCs w:val="20"/>
                <w:color w:val="auto"/>
              </w:rPr>
            </w:pPr>
            <w:r>
              <w:rPr>
                <w:rFonts w:ascii="Arial" w:cs="Arial" w:eastAsia="Arial" w:hAnsi="Arial"/>
                <w:sz w:val="14"/>
                <w:szCs w:val="14"/>
                <w:b w:val="1"/>
                <w:bCs w:val="1"/>
                <w:color w:val="auto"/>
                <w:w w:val="88"/>
              </w:rPr>
              <w:t>options,</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securities</w:t>
            </w:r>
          </w:p>
        </w:tc>
      </w:tr>
      <w:tr>
        <w:trPr>
          <w:trHeight w:val="157"/>
        </w:trPr>
        <w:tc>
          <w:tcPr>
            <w:tcW w:w="5760" w:type="dxa"/>
            <w:vAlign w:val="bottom"/>
          </w:tcPr>
          <w:p>
            <w:pPr>
              <w:spacing w:after="0"/>
              <w:rPr>
                <w:sz w:val="13"/>
                <w:szCs w:val="13"/>
                <w:color w:val="auto"/>
              </w:rPr>
            </w:pPr>
          </w:p>
        </w:tc>
        <w:tc>
          <w:tcPr>
            <w:tcW w:w="2800" w:type="dxa"/>
            <w:vAlign w:val="bottom"/>
          </w:tcPr>
          <w:p>
            <w:pPr>
              <w:jc w:val="center"/>
              <w:ind w:left="1364"/>
              <w:spacing w:after="0" w:line="157" w:lineRule="exact"/>
              <w:rPr>
                <w:sz w:val="20"/>
                <w:szCs w:val="20"/>
                <w:color w:val="auto"/>
              </w:rPr>
            </w:pPr>
            <w:r>
              <w:rPr>
                <w:rFonts w:ascii="Arial" w:cs="Arial" w:eastAsia="Arial" w:hAnsi="Arial"/>
                <w:sz w:val="14"/>
                <w:szCs w:val="14"/>
                <w:b w:val="1"/>
                <w:bCs w:val="1"/>
                <w:color w:val="auto"/>
                <w:w w:val="96"/>
              </w:rPr>
              <w:t>warrants and</w:t>
            </w:r>
          </w:p>
        </w:tc>
        <w:tc>
          <w:tcPr>
            <w:tcW w:w="240" w:type="dxa"/>
            <w:vAlign w:val="bottom"/>
          </w:tcPr>
          <w:p>
            <w:pPr>
              <w:spacing w:after="0"/>
              <w:rPr>
                <w:sz w:val="13"/>
                <w:szCs w:val="13"/>
                <w:color w:val="auto"/>
              </w:rPr>
            </w:pPr>
          </w:p>
        </w:tc>
        <w:tc>
          <w:tcPr>
            <w:tcW w:w="1120" w:type="dxa"/>
            <w:vAlign w:val="bottom"/>
          </w:tcPr>
          <w:p>
            <w:pPr>
              <w:jc w:val="center"/>
              <w:ind w:right="183"/>
              <w:spacing w:after="0" w:line="157" w:lineRule="exact"/>
              <w:rPr>
                <w:sz w:val="20"/>
                <w:szCs w:val="20"/>
                <w:color w:val="auto"/>
              </w:rPr>
            </w:pPr>
            <w:r>
              <w:rPr>
                <w:rFonts w:ascii="Arial" w:cs="Arial" w:eastAsia="Arial" w:hAnsi="Arial"/>
                <w:sz w:val="14"/>
                <w:szCs w:val="14"/>
                <w:b w:val="1"/>
                <w:bCs w:val="1"/>
                <w:color w:val="auto"/>
                <w:w w:val="94"/>
              </w:rPr>
              <w:t>warrants and</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reflected in</w:t>
            </w:r>
          </w:p>
        </w:tc>
      </w:tr>
      <w:tr>
        <w:trPr>
          <w:trHeight w:val="158"/>
        </w:trPr>
        <w:tc>
          <w:tcPr>
            <w:tcW w:w="5760" w:type="dxa"/>
            <w:vAlign w:val="bottom"/>
          </w:tcPr>
          <w:p>
            <w:pPr>
              <w:spacing w:after="0"/>
              <w:rPr>
                <w:sz w:val="13"/>
                <w:szCs w:val="13"/>
                <w:color w:val="auto"/>
              </w:rPr>
            </w:pPr>
          </w:p>
        </w:tc>
        <w:tc>
          <w:tcPr>
            <w:tcW w:w="2800" w:type="dxa"/>
            <w:vAlign w:val="bottom"/>
          </w:tcPr>
          <w:p>
            <w:pPr>
              <w:jc w:val="center"/>
              <w:ind w:left="1364"/>
              <w:spacing w:after="0" w:line="158" w:lineRule="exact"/>
              <w:rPr>
                <w:sz w:val="20"/>
                <w:szCs w:val="20"/>
                <w:color w:val="auto"/>
              </w:rPr>
            </w:pPr>
            <w:r>
              <w:rPr>
                <w:rFonts w:ascii="Arial" w:cs="Arial" w:eastAsia="Arial" w:hAnsi="Arial"/>
                <w:sz w:val="14"/>
                <w:szCs w:val="14"/>
                <w:b w:val="1"/>
                <w:bCs w:val="1"/>
                <w:color w:val="auto"/>
                <w:w w:val="92"/>
              </w:rPr>
              <w:t>rights</w:t>
            </w:r>
          </w:p>
        </w:tc>
        <w:tc>
          <w:tcPr>
            <w:tcW w:w="240" w:type="dxa"/>
            <w:vAlign w:val="bottom"/>
          </w:tcPr>
          <w:p>
            <w:pPr>
              <w:spacing w:after="0"/>
              <w:rPr>
                <w:sz w:val="13"/>
                <w:szCs w:val="13"/>
                <w:color w:val="auto"/>
              </w:rPr>
            </w:pPr>
          </w:p>
        </w:tc>
        <w:tc>
          <w:tcPr>
            <w:tcW w:w="1120" w:type="dxa"/>
            <w:vAlign w:val="bottom"/>
          </w:tcPr>
          <w:p>
            <w:pPr>
              <w:jc w:val="center"/>
              <w:ind w:right="203"/>
              <w:spacing w:after="0" w:line="158" w:lineRule="exact"/>
              <w:rPr>
                <w:sz w:val="20"/>
                <w:szCs w:val="20"/>
                <w:color w:val="auto"/>
              </w:rPr>
            </w:pPr>
            <w:r>
              <w:rPr>
                <w:rFonts w:ascii="Arial" w:cs="Arial" w:eastAsia="Arial" w:hAnsi="Arial"/>
                <w:sz w:val="14"/>
                <w:szCs w:val="14"/>
                <w:b w:val="1"/>
                <w:bCs w:val="1"/>
                <w:color w:val="auto"/>
                <w:w w:val="92"/>
              </w:rPr>
              <w:t>rights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column (a))</w:t>
            </w:r>
          </w:p>
        </w:tc>
      </w:tr>
      <w:tr>
        <w:trPr>
          <w:trHeight w:val="219"/>
        </w:trPr>
        <w:tc>
          <w:tcPr>
            <w:tcW w:w="5760" w:type="dxa"/>
            <w:vAlign w:val="bottom"/>
          </w:tcPr>
          <w:p>
            <w:pPr>
              <w:spacing w:after="0"/>
              <w:rPr>
                <w:sz w:val="19"/>
                <w:szCs w:val="19"/>
                <w:color w:val="auto"/>
              </w:rPr>
            </w:pPr>
          </w:p>
        </w:tc>
        <w:tc>
          <w:tcPr>
            <w:tcW w:w="2800" w:type="dxa"/>
            <w:vAlign w:val="bottom"/>
          </w:tcPr>
          <w:p>
            <w:pPr>
              <w:jc w:val="center"/>
              <w:ind w:left="1364"/>
              <w:spacing w:after="0"/>
              <w:rPr>
                <w:sz w:val="20"/>
                <w:szCs w:val="20"/>
                <w:color w:val="auto"/>
              </w:rPr>
            </w:pPr>
            <w:r>
              <w:rPr>
                <w:rFonts w:ascii="Arial" w:cs="Arial" w:eastAsia="Arial" w:hAnsi="Arial"/>
                <w:sz w:val="17"/>
                <w:szCs w:val="17"/>
                <w:b w:val="1"/>
                <w:bCs w:val="1"/>
                <w:color w:val="auto"/>
                <w:w w:val="96"/>
              </w:rPr>
              <w:t>(a)</w:t>
            </w:r>
          </w:p>
        </w:tc>
        <w:tc>
          <w:tcPr>
            <w:tcW w:w="240" w:type="dxa"/>
            <w:vAlign w:val="bottom"/>
          </w:tcPr>
          <w:p>
            <w:pPr>
              <w:spacing w:after="0"/>
              <w:rPr>
                <w:sz w:val="19"/>
                <w:szCs w:val="19"/>
                <w:color w:val="auto"/>
              </w:rPr>
            </w:pPr>
          </w:p>
        </w:tc>
        <w:tc>
          <w:tcPr>
            <w:tcW w:w="1120" w:type="dxa"/>
            <w:vAlign w:val="bottom"/>
          </w:tcPr>
          <w:p>
            <w:pPr>
              <w:jc w:val="center"/>
              <w:ind w:right="203"/>
              <w:spacing w:after="0"/>
              <w:rPr>
                <w:sz w:val="20"/>
                <w:szCs w:val="20"/>
                <w:color w:val="auto"/>
              </w:rPr>
            </w:pPr>
            <w:r>
              <w:rPr>
                <w:rFonts w:ascii="Arial" w:cs="Arial" w:eastAsia="Arial" w:hAnsi="Arial"/>
                <w:sz w:val="17"/>
                <w:szCs w:val="17"/>
                <w:b w:val="1"/>
                <w:bCs w:val="1"/>
                <w:color w:val="auto"/>
                <w:w w:val="91"/>
              </w:rPr>
              <w:t>(b)</w:t>
            </w: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86"/>
              </w:rPr>
              <w:t>(c)</w:t>
            </w:r>
          </w:p>
        </w:tc>
      </w:tr>
      <w:tr>
        <w:trPr>
          <w:trHeight w:val="211"/>
        </w:trPr>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 approved by security holders</w:t>
            </w:r>
          </w:p>
        </w:tc>
        <w:tc>
          <w:tcPr>
            <w:tcW w:w="280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82,000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8.61</w:t>
            </w: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327,900</w:t>
            </w:r>
          </w:p>
        </w:tc>
      </w:tr>
      <w:tr>
        <w:trPr>
          <w:trHeight w:val="209"/>
        </w:trPr>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280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w:t>
            </w:r>
          </w:p>
        </w:tc>
      </w:tr>
      <w:tr>
        <w:trPr>
          <w:trHeight w:val="209"/>
        </w:trPr>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80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82,000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8.61</w:t>
            </w: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327,900</w:t>
            </w:r>
          </w:p>
        </w:tc>
      </w:tr>
    </w:tbl>
    <w:p>
      <w:pPr>
        <w:spacing w:after="0" w:line="223"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b w:val="1"/>
          <w:bCs w:val="1"/>
          <w:u w:val="single" w:color="auto"/>
          <w:color w:val="auto"/>
        </w:rPr>
        <w:t>ITEM 13.</w:t>
      </w:r>
      <w:r>
        <w:rPr>
          <w:sz w:val="20"/>
          <w:szCs w:val="20"/>
          <w:color w:val="auto"/>
        </w:rPr>
        <w:tab/>
      </w:r>
      <w:r>
        <w:rPr>
          <w:rFonts w:ascii="Arial" w:cs="Arial" w:eastAsia="Arial" w:hAnsi="Arial"/>
          <w:sz w:val="17"/>
          <w:szCs w:val="17"/>
          <w:b w:val="1"/>
          <w:bCs w:val="1"/>
          <w:u w:val="single" w:color="auto"/>
          <w:color w:val="auto"/>
        </w:rPr>
        <w:t>CERTAIN RELATIONSHIPS AND RELATED TRANSACTIONS, AND DIRECTOR INDEPENDENCE</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Board of Directors</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Our Board of Directors is currently comprised of Barry B. Goldstein, Jay M. Haft, Floyd R. Tupper, William L. Yankus, Carla A. D’Andre, Timothy P. McFadden and Meryl S. Golden. Our board of directors has determined that each of Messrs. Haft, Tupper, Yankus and McFadden and Ms. D’Andre are independent under applicable Nasdaq listing standards and federal securities rules and regulations.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Audit Committee</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members of our Board’s Audit Committee currently are Messrs. Tupper, Yankus and McFadden, each of whom is independent under applicable Nasdaq listing standards and federal securities rules and regulations on independence of Audit Committee members.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Nominating and Corporate Governance Committee</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members of our Board’s Nominating and Corporate Governance Committee currently are Messrs. McFadden and Tupper and Ms. D’Andre, each of whom is independent under applicable Nasdaq listing standards and federal securities rules and regulations on independence.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Compensation Committee</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members of our Board’s Compensation Committee currently are Messrs. Yankus, Haft and Tupper and Ms. D’Andre, each of whom is independent under applicable Nasdaq listing standards and federal securities rules and regulations on independence.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62" w:name="page63"/>
    <w:bookmarkEnd w:id="62"/>
    <w:p>
      <w:pPr>
        <w:ind w:left="640"/>
        <w:spacing w:after="0"/>
        <w:rPr>
          <w:sz w:val="20"/>
          <w:szCs w:val="20"/>
          <w:color w:val="auto"/>
        </w:rPr>
      </w:pPr>
      <w:r>
        <w:rPr>
          <w:rFonts w:ascii="Arial" w:cs="Arial" w:eastAsia="Arial" w:hAnsi="Arial"/>
          <w:sz w:val="17"/>
          <w:szCs w:val="17"/>
          <w:b w:val="1"/>
          <w:bCs w:val="1"/>
          <w:i w:val="1"/>
          <w:iCs w:val="1"/>
          <w:color w:val="auto"/>
        </w:rPr>
        <w:t>Dale A. Thatcher</w:t>
      </w:r>
    </w:p>
    <w:p>
      <w:pPr>
        <w:spacing w:after="0" w:line="223"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5"/>
          <w:szCs w:val="15"/>
          <w:color w:val="auto"/>
        </w:rPr>
        <w:t>In connection with the separation from employment of Dale Thatcher as our Chief Executive Officer and President in July 2019 (the “Separation Date”), each of we and KICO entered into an Agreement and General Release (the “Separation Agreement”) with Mr. Thatcher. Pursuant to the Separation Agreement, we and KICO agreed to collectively provide the following payments and benefits to Mr. Thatcher in full satisfaction of all payments and benefits and other amounts due to him under the terms of the 2019 Thatcher Employment Agreement (and related KICO employment agreement) upon his separation from employment: (i) $381,111 (representing the amount of base salary he would have received had he remained employed through March 31, 2020), (ii) $5,000 in full satisfaction of any bonus payments payable under the 2019 Thatcher Employment Agreement (and related KICO employment agreement), (iii) continuing group health coverage commencing on the Separation Date and ending on March 31, 2020; and (iv) continued vesting of all stock awards previously granted to Mr. Thatcher in his capacity as an executive officer but which were unvested as of the Separation Date. In addition, we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Other</w:t>
      </w:r>
    </w:p>
    <w:p>
      <w:pPr>
        <w:spacing w:after="0" w:line="223"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daughter of Barry Goldstein, Amanda Goldstein, is employed as our Investor Relations Director and serves as Vice President of Cosi Agency, Inc., one of our subsidiaries. For the fiscal year ended December 31, 2019, she earned $155,368 in compensation.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Related Party Transactions</w:t>
      </w:r>
    </w:p>
    <w:p>
      <w:pPr>
        <w:spacing w:after="0" w:line="223"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6"/>
          <w:szCs w:val="16"/>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170"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u w:val="single" w:color="auto"/>
          <w:color w:val="auto"/>
        </w:rPr>
        <w:t>ITEM 14.</w:t>
      </w:r>
      <w:r>
        <w:rPr>
          <w:sz w:val="20"/>
          <w:szCs w:val="20"/>
          <w:color w:val="auto"/>
        </w:rPr>
        <w:tab/>
      </w:r>
      <w:r>
        <w:rPr>
          <w:rFonts w:ascii="Arial" w:cs="Arial" w:eastAsia="Arial" w:hAnsi="Arial"/>
          <w:sz w:val="16"/>
          <w:szCs w:val="16"/>
          <w:b w:val="1"/>
          <w:bCs w:val="1"/>
          <w:u w:val="single" w:color="auto"/>
          <w:color w:val="auto"/>
        </w:rPr>
        <w:t>PRINCIPAL ACCOUNTANT FEES AND SERVICES</w:t>
      </w:r>
      <w:r>
        <w:rPr>
          <w:rFonts w:ascii="Arial" w:cs="Arial" w:eastAsia="Arial" w:hAnsi="Arial"/>
          <w:sz w:val="16"/>
          <w:szCs w:val="16"/>
          <w:color w:val="auto"/>
        </w:rPr>
        <w:t>.</w:t>
      </w:r>
    </w:p>
    <w:p>
      <w:pPr>
        <w:spacing w:after="0" w:line="22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following is a summary of the fees billed to us by Marcum LLP, our independent auditors, for professional services rendered for the fiscal years ended December 31, 2019 and 2018.</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59"/>
              <w:spacing w:after="0"/>
              <w:rPr>
                <w:sz w:val="20"/>
                <w:szCs w:val="20"/>
                <w:color w:val="auto"/>
              </w:rPr>
            </w:pPr>
            <w:r>
              <w:rPr>
                <w:rFonts w:ascii="Arial" w:cs="Arial" w:eastAsia="Arial" w:hAnsi="Arial"/>
                <w:sz w:val="14"/>
                <w:szCs w:val="14"/>
                <w:b w:val="1"/>
                <w:bCs w:val="1"/>
                <w:color w:val="auto"/>
                <w:w w:val="96"/>
              </w:rPr>
              <w:t>Fiscal 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39"/>
              <w:spacing w:after="0"/>
              <w:rPr>
                <w:sz w:val="20"/>
                <w:szCs w:val="20"/>
                <w:color w:val="auto"/>
              </w:rPr>
            </w:pPr>
            <w:r>
              <w:rPr>
                <w:rFonts w:ascii="Arial" w:cs="Arial" w:eastAsia="Arial" w:hAnsi="Arial"/>
                <w:sz w:val="14"/>
                <w:szCs w:val="14"/>
                <w:b w:val="1"/>
                <w:bCs w:val="1"/>
                <w:color w:val="auto"/>
                <w:w w:val="96"/>
              </w:rPr>
              <w:t>Fiscal 2018</w:t>
            </w:r>
          </w:p>
        </w:tc>
      </w:tr>
      <w:tr>
        <w:trPr>
          <w:trHeight w:val="176"/>
        </w:trPr>
        <w:tc>
          <w:tcPr>
            <w:tcW w:w="2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Fee Category</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Fees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Fees</w:t>
            </w: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Audit Fees(1)</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306,940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309,684</w:t>
            </w: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Tax Fees(2)</w:t>
            </w:r>
          </w:p>
        </w:tc>
        <w:tc>
          <w:tcPr>
            <w:tcW w:w="61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Audit-Related Fees(3)</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All Other Fees(4)</w:t>
            </w:r>
          </w:p>
        </w:tc>
        <w:tc>
          <w:tcPr>
            <w:tcW w:w="61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61"/>
        </w:trPr>
        <w:tc>
          <w:tcPr>
            <w:tcW w:w="2700" w:type="dxa"/>
            <w:vAlign w:val="bottom"/>
            <w:shd w:val="clear" w:color="auto" w:fill="CCEEFF"/>
          </w:tcPr>
          <w:p>
            <w:pPr>
              <w:spacing w:after="0"/>
              <w:rPr>
                <w:sz w:val="22"/>
                <w:szCs w:val="22"/>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306,940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309,684</w:t>
            </w:r>
          </w:p>
        </w:tc>
      </w:tr>
    </w:tbl>
    <w:p>
      <w:pPr>
        <w:spacing w:after="0" w:line="201" w:lineRule="exact"/>
        <w:rPr>
          <w:sz w:val="20"/>
          <w:szCs w:val="20"/>
          <w:color w:val="auto"/>
        </w:rPr>
      </w:pPr>
    </w:p>
    <w:p>
      <w:pPr>
        <w:ind w:left="720" w:hanging="715"/>
        <w:spacing w:after="0" w:line="295" w:lineRule="auto"/>
        <w:tabs>
          <w:tab w:leader="none" w:pos="7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Audit Fees consist of fees billed for services rendered for the audit of our consolidated financial statements and review of our condensed consolidated financial statements included in our Quarterly Reports on Form 10-Q, and services provided in connection with other statutory or regulatory filings.</w:t>
      </w:r>
    </w:p>
    <w:p>
      <w:pPr>
        <w:ind w:left="720" w:hanging="715"/>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Marcum did not provide any tax services during the fiscal year.</w:t>
      </w:r>
    </w:p>
    <w:p>
      <w:pPr>
        <w:spacing w:after="0" w:line="13" w:lineRule="exact"/>
        <w:rPr>
          <w:rFonts w:ascii="Arial" w:cs="Arial" w:eastAsia="Arial" w:hAnsi="Arial"/>
          <w:sz w:val="17"/>
          <w:szCs w:val="17"/>
          <w:color w:val="auto"/>
        </w:rPr>
      </w:pPr>
    </w:p>
    <w:p>
      <w:pPr>
        <w:ind w:left="720" w:hanging="715"/>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Marcum did not provide any “Audit-Related” services during the fiscal year.</w:t>
      </w:r>
    </w:p>
    <w:p>
      <w:pPr>
        <w:spacing w:after="0" w:line="13" w:lineRule="exact"/>
        <w:rPr>
          <w:rFonts w:ascii="Arial" w:cs="Arial" w:eastAsia="Arial" w:hAnsi="Arial"/>
          <w:sz w:val="17"/>
          <w:szCs w:val="17"/>
          <w:color w:val="auto"/>
        </w:rPr>
      </w:pPr>
    </w:p>
    <w:p>
      <w:pPr>
        <w:ind w:left="720" w:hanging="715"/>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Marcum did not provide any other services during the fiscal year.</w:t>
      </w:r>
    </w:p>
    <w:p>
      <w:pPr>
        <w:spacing w:after="0" w:line="21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Arial" w:cs="Arial" w:eastAsia="Arial" w:hAnsi="Arial"/>
                <w:sz w:val="17"/>
                <w:szCs w:val="17"/>
                <w:b w:val="1"/>
                <w:bCs w:val="1"/>
                <w:color w:val="auto"/>
              </w:rPr>
              <w:t>PART IV</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333"/>
        </w:trPr>
        <w:tc>
          <w:tcPr>
            <w:tcW w:w="720" w:type="dxa"/>
            <w:vAlign w:val="bottom"/>
            <w:gridSpan w:val="5"/>
          </w:tcPr>
          <w:p>
            <w:pPr>
              <w:spacing w:after="0"/>
              <w:rPr>
                <w:sz w:val="20"/>
                <w:szCs w:val="20"/>
                <w:color w:val="auto"/>
              </w:rPr>
            </w:pPr>
            <w:r>
              <w:rPr>
                <w:rFonts w:ascii="Arial" w:cs="Arial" w:eastAsia="Arial" w:hAnsi="Arial"/>
                <w:sz w:val="17"/>
                <w:szCs w:val="17"/>
                <w:b w:val="1"/>
                <w:bCs w:val="1"/>
                <w:color w:val="auto"/>
              </w:rPr>
              <w:t>ITEM 15.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Arial" w:cs="Arial" w:eastAsia="Arial" w:hAnsi="Arial"/>
                <w:sz w:val="17"/>
                <w:szCs w:val="17"/>
                <w:b w:val="1"/>
                <w:bCs w:val="1"/>
                <w:color w:val="auto"/>
              </w:rPr>
              <w:t>EXHIBITS AND FINANCIAL STATEMENT SCHEDULES</w:t>
            </w:r>
            <w:r>
              <w:rPr>
                <w:rFonts w:ascii="Arial" w:cs="Arial" w:eastAsia="Arial" w:hAnsi="Arial"/>
                <w:sz w:val="17"/>
                <w:szCs w:val="17"/>
                <w:color w:val="auto"/>
              </w:rPr>
              <w:t>.</w:t>
            </w:r>
          </w:p>
        </w:tc>
      </w:tr>
      <w:tr>
        <w:trPr>
          <w:trHeight w:val="360"/>
        </w:trPr>
        <w:tc>
          <w:tcPr>
            <w:tcW w:w="720" w:type="dxa"/>
            <w:vAlign w:val="bottom"/>
            <w:tcBorders>
              <w:top w:val="single" w:sz="8" w:color="auto"/>
            </w:tcBorders>
            <w:gridSpan w:val="5"/>
          </w:tcPr>
          <w:p>
            <w:pPr>
              <w:spacing w:after="0"/>
              <w:rPr>
                <w:sz w:val="20"/>
                <w:szCs w:val="20"/>
                <w:color w:val="auto"/>
              </w:rPr>
            </w:pPr>
            <w:r>
              <w:rPr>
                <w:rFonts w:ascii="Arial" w:cs="Arial" w:eastAsia="Arial" w:hAnsi="Arial"/>
                <w:sz w:val="17"/>
                <w:szCs w:val="17"/>
                <w:b w:val="1"/>
                <w:bCs w:val="1"/>
                <w:color w:val="auto"/>
              </w:rPr>
              <w:t>Exhibit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960" w:type="dxa"/>
            <w:vAlign w:val="bottom"/>
            <w:gridSpan w:val="6"/>
          </w:tcPr>
          <w:p>
            <w:pPr>
              <w:spacing w:after="0"/>
              <w:rPr>
                <w:sz w:val="20"/>
                <w:szCs w:val="20"/>
                <w:color w:val="auto"/>
              </w:rPr>
            </w:pPr>
            <w:r>
              <w:rPr>
                <w:rFonts w:ascii="Arial" w:cs="Arial" w:eastAsia="Arial" w:hAnsi="Arial"/>
                <w:sz w:val="17"/>
                <w:szCs w:val="17"/>
                <w:b w:val="1"/>
                <w:bCs w:val="1"/>
                <w:color w:val="auto"/>
              </w:rPr>
              <w:t>Number</w:t>
            </w:r>
          </w:p>
        </w:tc>
        <w:tc>
          <w:tcPr>
            <w:tcW w:w="10280" w:type="dxa"/>
            <w:vAlign w:val="bottom"/>
            <w:gridSpan w:val="6"/>
          </w:tcPr>
          <w:p>
            <w:pPr>
              <w:ind w:left="260"/>
              <w:spacing w:after="0"/>
              <w:rPr>
                <w:sz w:val="20"/>
                <w:szCs w:val="20"/>
                <w:color w:val="auto"/>
              </w:rPr>
            </w:pPr>
            <w:r>
              <w:rPr>
                <w:rFonts w:ascii="Arial" w:cs="Arial" w:eastAsia="Arial" w:hAnsi="Arial"/>
                <w:sz w:val="17"/>
                <w:szCs w:val="17"/>
                <w:b w:val="1"/>
                <w:bCs w:val="1"/>
                <w:color w:val="auto"/>
              </w:rPr>
              <w:t>Description of Exhibit</w:t>
            </w:r>
          </w:p>
        </w:tc>
      </w:tr>
      <w:tr>
        <w:trPr>
          <w:trHeight w:val="209"/>
        </w:trPr>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0">
              <w:r>
                <w:rPr>
                  <w:rFonts w:ascii="Arial" w:cs="Arial" w:eastAsia="Arial" w:hAnsi="Arial"/>
                  <w:sz w:val="17"/>
                  <w:szCs w:val="17"/>
                  <w:color w:val="0000FF"/>
                </w:rPr>
                <w:t>3(a)</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1"/>
              </w:rPr>
              <w:t>Restated Certificate of Incorporation, as amended (incorporated by reference to Exhibit 3(a) to the Company’s Quarterly Report on Form 10-Q for</w:t>
            </w:r>
          </w:p>
        </w:tc>
      </w:tr>
      <w:tr>
        <w:trPr>
          <w:trHeight w:val="228"/>
        </w:trPr>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gridSpan w:val="6"/>
            <w:shd w:val="clear" w:color="auto" w:fill="CCEEFF"/>
          </w:tcPr>
          <w:p>
            <w:pPr>
              <w:ind w:left="260"/>
              <w:spacing w:after="0"/>
              <w:rPr>
                <w:sz w:val="20"/>
                <w:szCs w:val="20"/>
                <w:color w:val="auto"/>
              </w:rPr>
            </w:pPr>
            <w:r>
              <w:rPr>
                <w:rFonts w:ascii="Arial" w:cs="Arial" w:eastAsia="Arial" w:hAnsi="Arial"/>
                <w:sz w:val="17"/>
                <w:szCs w:val="17"/>
                <w:color w:val="auto"/>
              </w:rPr>
              <w:t>the period ended March 31, 2014 filed on May 15, 2014).</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1">
              <w:r>
                <w:rPr>
                  <w:rFonts w:ascii="Arial" w:cs="Arial" w:eastAsia="Arial" w:hAnsi="Arial"/>
                  <w:sz w:val="17"/>
                  <w:szCs w:val="17"/>
                  <w:color w:val="0000FF"/>
                </w:rPr>
                <w:t>3(b)</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6"/>
              </w:rPr>
              <w:t>By-laws, as amended (incorporated by reference to Exhibit 3.1 to the Company’s Current Report on Form 8-K filed on November 9, 2009).</w:t>
            </w:r>
          </w:p>
        </w:tc>
      </w:tr>
      <w:tr>
        <w:trPr>
          <w:trHeight w:val="209"/>
        </w:trPr>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0"/>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2">
              <w:r>
                <w:rPr>
                  <w:rFonts w:ascii="Arial" w:cs="Arial" w:eastAsia="Arial" w:hAnsi="Arial"/>
                  <w:sz w:val="17"/>
                  <w:szCs w:val="17"/>
                  <w:color w:val="0000FF"/>
                </w:rPr>
                <w:t>4(a)</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4"/>
              </w:rPr>
              <w:t>Indenture, dated as of December 19, 2017, between Kingstone Companies, Inc. and Wilmington Trust, National Association (incorporated by</w:t>
            </w:r>
          </w:p>
        </w:tc>
      </w:tr>
      <w:tr>
        <w:trPr>
          <w:trHeight w:val="228"/>
        </w:trPr>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gridSpan w:val="6"/>
            <w:shd w:val="clear" w:color="auto" w:fill="CCEEFF"/>
          </w:tcPr>
          <w:p>
            <w:pPr>
              <w:ind w:left="260"/>
              <w:spacing w:after="0"/>
              <w:rPr>
                <w:sz w:val="20"/>
                <w:szCs w:val="20"/>
                <w:color w:val="auto"/>
              </w:rPr>
            </w:pPr>
            <w:r>
              <w:rPr>
                <w:rFonts w:ascii="Arial" w:cs="Arial" w:eastAsia="Arial" w:hAnsi="Arial"/>
                <w:sz w:val="17"/>
                <w:szCs w:val="17"/>
                <w:color w:val="auto"/>
              </w:rPr>
              <w:t>reference to Exhibit 4.1 to the Company’s Current Report on Form 8-K filed on December 20, 2017).</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3">
              <w:r>
                <w:rPr>
                  <w:rFonts w:ascii="Arial" w:cs="Arial" w:eastAsia="Arial" w:hAnsi="Arial"/>
                  <w:sz w:val="17"/>
                  <w:szCs w:val="17"/>
                  <w:color w:val="0000FF"/>
                </w:rPr>
                <w:t>4(b)</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2"/>
              </w:rPr>
              <w:t>First Supplemental Indenture, dated as of December 19, 2017, between Kingstone Companies, Inc. and Wilmington Trust, National Association</w:t>
            </w:r>
          </w:p>
        </w:tc>
      </w:tr>
      <w:tr>
        <w:trPr>
          <w:trHeight w:val="228"/>
        </w:trPr>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gridSpan w:val="6"/>
            <w:shd w:val="clear" w:color="auto" w:fill="CCEEFF"/>
          </w:tcPr>
          <w:p>
            <w:pPr>
              <w:ind w:left="260"/>
              <w:spacing w:after="0"/>
              <w:rPr>
                <w:sz w:val="20"/>
                <w:szCs w:val="20"/>
                <w:color w:val="auto"/>
              </w:rPr>
            </w:pPr>
            <w:r>
              <w:rPr>
                <w:rFonts w:ascii="Arial" w:cs="Arial" w:eastAsia="Arial" w:hAnsi="Arial"/>
                <w:sz w:val="17"/>
                <w:szCs w:val="17"/>
                <w:color w:val="auto"/>
              </w:rPr>
              <w:t>(incorporated by reference to Exhibit 4.2 to the Company’s Current Report on Form 8-K filed on December 20, 2017).</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4">
              <w:r>
                <w:rPr>
                  <w:rFonts w:ascii="Arial" w:cs="Arial" w:eastAsia="Arial" w:hAnsi="Arial"/>
                  <w:sz w:val="17"/>
                  <w:szCs w:val="17"/>
                  <w:color w:val="0000FF"/>
                </w:rPr>
                <w:t>4(c)</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7"/>
              </w:rPr>
              <w:t>Form of Global Note representing $30,000,000 aggregate principal amount of 5.50% Senior Unsecured Notes due 2022 (incorporated by</w:t>
            </w:r>
          </w:p>
        </w:tc>
      </w:tr>
      <w:tr>
        <w:trPr>
          <w:trHeight w:val="228"/>
        </w:trPr>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gridSpan w:val="6"/>
            <w:shd w:val="clear" w:color="auto" w:fill="CCEEFF"/>
          </w:tcPr>
          <w:p>
            <w:pPr>
              <w:ind w:left="260"/>
              <w:spacing w:after="0"/>
              <w:rPr>
                <w:sz w:val="20"/>
                <w:szCs w:val="20"/>
                <w:color w:val="auto"/>
              </w:rPr>
            </w:pPr>
            <w:r>
              <w:rPr>
                <w:rFonts w:ascii="Arial" w:cs="Arial" w:eastAsia="Arial" w:hAnsi="Arial"/>
                <w:sz w:val="17"/>
                <w:szCs w:val="17"/>
                <w:color w:val="auto"/>
              </w:rPr>
              <w:t>reference to Exhibit 4.3 to the Company’s Current Report on Form 8-K filed on December 20, 2017).</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5">
              <w:r>
                <w:rPr>
                  <w:rFonts w:ascii="Arial" w:cs="Arial" w:eastAsia="Arial" w:hAnsi="Arial"/>
                  <w:sz w:val="17"/>
                  <w:szCs w:val="17"/>
                  <w:color w:val="0000FF"/>
                </w:rPr>
                <w:t>10(a)</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5"/>
              </w:rPr>
              <w:t>2014 Equity Participation Plan (incorporated by reference to Exhibit 10.1 to the Company’s Current Report on Form 8-K filed on August 14,</w:t>
            </w:r>
          </w:p>
        </w:tc>
      </w:tr>
      <w:tr>
        <w:trPr>
          <w:trHeight w:val="228"/>
        </w:trPr>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2014).</w:t>
            </w:r>
          </w:p>
        </w:tc>
        <w:tc>
          <w:tcPr>
            <w:tcW w:w="5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r:id="rId86">
              <w:r>
                <w:rPr>
                  <w:rFonts w:ascii="Arial" w:cs="Arial" w:eastAsia="Arial" w:hAnsi="Arial"/>
                  <w:sz w:val="17"/>
                  <w:szCs w:val="17"/>
                  <w:color w:val="0000FF"/>
                </w:rPr>
                <w:t>10(b)</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w w:val="94"/>
              </w:rPr>
              <w:t>Second Amended and Restated Employment Agreement, dated October 14, 2019, by and between Kingstone Companies, Inc. and Barry B.</w:t>
            </w:r>
          </w:p>
        </w:tc>
      </w:tr>
      <w:tr>
        <w:trPr>
          <w:trHeight w:val="228"/>
        </w:trPr>
        <w:tc>
          <w:tcPr>
            <w:tcW w:w="2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gridSpan w:val="6"/>
            <w:shd w:val="clear" w:color="auto" w:fill="CCEEFF"/>
          </w:tcPr>
          <w:p>
            <w:pPr>
              <w:ind w:left="260"/>
              <w:spacing w:after="0"/>
              <w:rPr>
                <w:sz w:val="20"/>
                <w:szCs w:val="20"/>
                <w:color w:val="auto"/>
              </w:rPr>
            </w:pPr>
            <w:r>
              <w:rPr>
                <w:rFonts w:ascii="Arial" w:cs="Arial" w:eastAsia="Arial" w:hAnsi="Arial"/>
                <w:sz w:val="17"/>
                <w:szCs w:val="17"/>
                <w:color w:val="auto"/>
              </w:rPr>
              <w:t>Goldstein (incorporated by reference to Exhibit 10.1 to the Company’s Current Report on Form 8-K filed on October 18, 2019).</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960" w:type="dxa"/>
            <w:vAlign w:val="bottom"/>
            <w:gridSpan w:val="6"/>
            <w:shd w:val="clear" w:color="auto" w:fill="CCEEFF"/>
          </w:tcPr>
          <w:p>
            <w:pPr>
              <w:spacing w:after="0" w:line="170" w:lineRule="exact"/>
              <w:rPr>
                <w:rFonts w:ascii="Arial" w:cs="Arial" w:eastAsia="Arial" w:hAnsi="Arial"/>
                <w:sz w:val="17"/>
                <w:szCs w:val="17"/>
                <w:color w:val="0000FF"/>
              </w:rPr>
            </w:pPr>
            <w:hyperlink w:anchor="page121">
              <w:r>
                <w:rPr>
                  <w:rFonts w:ascii="Arial" w:cs="Arial" w:eastAsia="Arial" w:hAnsi="Arial"/>
                  <w:sz w:val="17"/>
                  <w:szCs w:val="17"/>
                  <w:color w:val="0000FF"/>
                </w:rPr>
                <w:t>10(c)</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rPr>
              <w:t>Stock Grant Agreement, dated as of January 3, 2020, between Kingstone Companies, Inc. and Barry B. Goldstein (157,431 shares).</w:t>
            </w:r>
          </w:p>
        </w:tc>
      </w:tr>
      <w:tr>
        <w:trPr>
          <w:trHeight w:val="209"/>
        </w:trPr>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89"/>
        </w:trPr>
        <w:tc>
          <w:tcPr>
            <w:tcW w:w="960" w:type="dxa"/>
            <w:vAlign w:val="bottom"/>
            <w:gridSpan w:val="6"/>
            <w:shd w:val="clear" w:color="auto" w:fill="CCEEFF"/>
          </w:tcPr>
          <w:p>
            <w:pPr>
              <w:spacing w:after="0" w:line="170" w:lineRule="exact"/>
              <w:rPr>
                <w:rFonts w:ascii="Arial" w:cs="Arial" w:eastAsia="Arial" w:hAnsi="Arial"/>
                <w:sz w:val="17"/>
                <w:szCs w:val="17"/>
                <w:color w:val="0000EE"/>
              </w:rPr>
            </w:pPr>
            <w:hyperlink w:anchor="page124">
              <w:r>
                <w:rPr>
                  <w:rFonts w:ascii="Arial" w:cs="Arial" w:eastAsia="Arial" w:hAnsi="Arial"/>
                  <w:sz w:val="17"/>
                  <w:szCs w:val="17"/>
                  <w:color w:val="0000EE"/>
                </w:rPr>
                <w:t>10(d)</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rPr>
              <w:t>Stock Grant Agreement, dated as of January 3, 2020, between Kingstone Companies, Inc. and Barry B. Goldstein (17,191 shares).</w:t>
            </w:r>
          </w:p>
        </w:tc>
      </w:tr>
      <w:tr>
        <w:trPr>
          <w:trHeight w:val="209"/>
        </w:trPr>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1"/>
        </w:trPr>
        <w:tc>
          <w:tcPr>
            <w:tcW w:w="9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10(e)</w:t>
            </w: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w w:val="93"/>
              </w:rPr>
              <w:t>Stock Grant Agreement, dated as of March 14, 2018, between Kingstone Companies, Inc. and Dale A. Thatcher (incorporated by reference to</w:t>
            </w:r>
          </w:p>
        </w:tc>
      </w:tr>
      <w:tr>
        <w:trPr>
          <w:trHeight w:val="218"/>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rPr>
              <w:t>Exhibit 10(k) to the Company’s Annual Report on Form 10-K for the year ended December 31, 2017 filed on March 15, 2018).</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960" w:type="dxa"/>
            <w:vAlign w:val="bottom"/>
            <w:gridSpan w:val="6"/>
            <w:shd w:val="clear" w:color="auto" w:fill="CCEEFF"/>
          </w:tcPr>
          <w:p>
            <w:pPr>
              <w:spacing w:after="0" w:line="170" w:lineRule="exact"/>
              <w:rPr>
                <w:rFonts w:ascii="Arial" w:cs="Arial" w:eastAsia="Arial" w:hAnsi="Arial"/>
                <w:sz w:val="17"/>
                <w:szCs w:val="17"/>
                <w:color w:val="0000EE"/>
              </w:rPr>
            </w:pPr>
            <w:hyperlink w:anchor="page127">
              <w:r>
                <w:rPr>
                  <w:rFonts w:ascii="Arial" w:cs="Arial" w:eastAsia="Arial" w:hAnsi="Arial"/>
                  <w:sz w:val="17"/>
                  <w:szCs w:val="17"/>
                  <w:color w:val="0000EE"/>
                </w:rPr>
                <w:t>10(f)</w:t>
              </w:r>
            </w:hyperlink>
          </w:p>
        </w:tc>
        <w:tc>
          <w:tcPr>
            <w:tcW w:w="10280" w:type="dxa"/>
            <w:vAlign w:val="bottom"/>
            <w:gridSpan w:val="6"/>
            <w:shd w:val="clear" w:color="auto" w:fill="CCEEFF"/>
          </w:tcPr>
          <w:p>
            <w:pPr>
              <w:ind w:left="260"/>
              <w:spacing w:after="0" w:line="170" w:lineRule="exact"/>
              <w:rPr>
                <w:sz w:val="20"/>
                <w:szCs w:val="20"/>
                <w:color w:val="auto"/>
              </w:rPr>
            </w:pPr>
            <w:r>
              <w:rPr>
                <w:rFonts w:ascii="Arial" w:cs="Arial" w:eastAsia="Arial" w:hAnsi="Arial"/>
                <w:sz w:val="17"/>
                <w:szCs w:val="17"/>
                <w:color w:val="auto"/>
              </w:rPr>
              <w:t>Stock Grant Agreement, dated as of January 1, 2019, between Kingstone Companies, Inc. and Dale A. Thatcher.</w:t>
            </w:r>
          </w:p>
        </w:tc>
      </w:tr>
      <w:tr>
        <w:trPr>
          <w:trHeight w:val="209"/>
        </w:trPr>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1"/>
        </w:trPr>
        <w:tc>
          <w:tcPr>
            <w:tcW w:w="9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10(g)</w:t>
            </w: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w w:val="90"/>
              </w:rPr>
              <w:t>Agreement and General Release, dated as of July 19, 2019, by and among Kingstone Companies, Inc., Kingstone Insurance Company and Dale A.</w:t>
            </w:r>
          </w:p>
        </w:tc>
      </w:tr>
      <w:tr>
        <w:trPr>
          <w:trHeight w:val="218"/>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rPr>
              <w:t>Thatcher (incorporated by reference to Exhibit 10.1 to the Company’s Current Report on Form 8-K filed on July 19, 2019).</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9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10(h)</w:t>
            </w: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w w:val="97"/>
              </w:rPr>
              <w:t>Employment Agreement, dated as of August 27, 2019, by and between Kingstone Companies, Inc. and Meryl S. Golden (incorporated by</w:t>
            </w:r>
          </w:p>
        </w:tc>
      </w:tr>
      <w:tr>
        <w:trPr>
          <w:trHeight w:val="218"/>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rPr>
              <w:t>reference to Exhibit 99.1 to the Company’s Current Report on Form 8-K filed on September 17, 2019).</w:t>
            </w: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9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10(i)</w:t>
            </w: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w w:val="91"/>
              </w:rPr>
              <w:t>Deferred Compensation Plan, dated as of June 18, 2018 (incorporated by reference to Exhibit 10.1 to the Company’s Current Report on Form 8-K</w:t>
            </w:r>
          </w:p>
        </w:tc>
      </w:tr>
      <w:tr>
        <w:trPr>
          <w:trHeight w:val="218"/>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80" w:type="dxa"/>
            <w:vAlign w:val="bottom"/>
            <w:gridSpan w:val="6"/>
            <w:shd w:val="clear" w:color="auto" w:fill="CCEEFF"/>
          </w:tcPr>
          <w:p>
            <w:pPr>
              <w:ind w:left="260"/>
              <w:spacing w:after="0"/>
              <w:rPr>
                <w:sz w:val="20"/>
                <w:szCs w:val="20"/>
                <w:color w:val="auto"/>
              </w:rPr>
            </w:pPr>
            <w:r>
              <w:rPr>
                <w:rFonts w:ascii="Arial" w:cs="Arial" w:eastAsia="Arial" w:hAnsi="Arial"/>
                <w:sz w:val="17"/>
                <w:szCs w:val="17"/>
                <w:color w:val="auto"/>
              </w:rPr>
              <w:t>filed on June 20, 2018).</w:t>
            </w:r>
          </w:p>
        </w:tc>
      </w:tr>
    </w:tbl>
    <w:p>
      <w:pPr>
        <w:spacing w:after="0" w:line="201" w:lineRule="exact"/>
        <w:rPr>
          <w:sz w:val="20"/>
          <w:szCs w:val="20"/>
          <w:color w:val="auto"/>
        </w:rPr>
      </w:pPr>
    </w:p>
    <w:p>
      <w:pPr>
        <w:ind w:left="1220" w:right="60" w:hanging="1215"/>
        <w:spacing w:after="0" w:line="281" w:lineRule="auto"/>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Subsidiaries (incorporated by reference to Exhibit 21 to the Company’s Annual Report on Form 10-K for the year ended December 31, 2016 filed on 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36765"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6765" cy="265430"/>
                    </a:xfrm>
                    <a:prstGeom prst="rect">
                      <a:avLst/>
                    </a:prstGeom>
                    <a:noFill/>
                  </pic:spPr>
                </pic:pic>
              </a:graphicData>
            </a:graphic>
          </wp:anchor>
        </w:drawing>
      </w:r>
    </w:p>
    <w:p>
      <w:pPr>
        <w:spacing w:after="0" w:line="150" w:lineRule="exact"/>
        <w:rPr>
          <w:sz w:val="20"/>
          <w:szCs w:val="20"/>
          <w:color w:val="auto"/>
        </w:rPr>
      </w:pPr>
    </w:p>
    <w:p>
      <w:pPr>
        <w:ind w:left="1220" w:hanging="1215"/>
        <w:spacing w:after="0"/>
        <w:tabs>
          <w:tab w:leader="none" w:pos="1220" w:val="left"/>
        </w:tabs>
        <w:numPr>
          <w:ilvl w:val="0"/>
          <w:numId w:val="36"/>
        </w:numPr>
        <w:rPr>
          <w:rFonts w:ascii="Arial" w:cs="Arial" w:eastAsia="Arial" w:hAnsi="Arial"/>
          <w:sz w:val="17"/>
          <w:szCs w:val="17"/>
          <w:u w:val="single" w:color="auto"/>
          <w:color w:val="0000EE"/>
        </w:rPr>
      </w:pPr>
      <w:r>
        <w:rPr>
          <w:rFonts w:ascii="Arial" w:cs="Arial" w:eastAsia="Arial" w:hAnsi="Arial"/>
          <w:sz w:val="17"/>
          <w:szCs w:val="17"/>
          <w:color w:val="auto"/>
        </w:rPr>
        <w:t>Consent of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765" cy="132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gridSpan w:val="3"/>
            <w:shd w:val="clear" w:color="auto" w:fill="CCEEFF"/>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31(a)</w:t>
              </w:r>
            </w:hyperlink>
          </w:p>
        </w:tc>
        <w:tc>
          <w:tcPr>
            <w:tcW w:w="21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Rule 13a-14(a)/15d-14(a)</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Certification of Principal Executive Officer as Adopted Pursuant to Section 302 of the Sarbanes-Oxley Act of 2002.</w:t>
            </w:r>
          </w:p>
        </w:tc>
      </w:tr>
      <w:tr>
        <w:trPr>
          <w:trHeight w:val="209"/>
        </w:trPr>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r>
      <w:tr>
        <w:trPr>
          <w:trHeight w:val="189"/>
        </w:trPr>
        <w:tc>
          <w:tcPr>
            <w:tcW w:w="380" w:type="dxa"/>
            <w:vAlign w:val="bottom"/>
            <w:tcBorders>
              <w:bottom w:val="single" w:sz="8" w:color="0000EE"/>
            </w:tcBorders>
            <w:gridSpan w:val="2"/>
            <w:shd w:val="clear" w:color="auto" w:fill="CCEEFF"/>
          </w:tcPr>
          <w:p>
            <w:pPr>
              <w:spacing w:after="0" w:line="170" w:lineRule="exact"/>
              <w:rPr>
                <w:rFonts w:ascii="Arial" w:cs="Arial" w:eastAsia="Arial" w:hAnsi="Arial"/>
                <w:sz w:val="17"/>
                <w:szCs w:val="17"/>
                <w:color w:val="0000EE"/>
                <w:w w:val="90"/>
              </w:rPr>
            </w:pPr>
            <w:hyperlink w:anchor="page132">
              <w:r>
                <w:rPr>
                  <w:rFonts w:ascii="Arial" w:cs="Arial" w:eastAsia="Arial" w:hAnsi="Arial"/>
                  <w:sz w:val="17"/>
                  <w:szCs w:val="17"/>
                  <w:color w:val="0000EE"/>
                  <w:w w:val="90"/>
                </w:rPr>
                <w:t>31(b)</w:t>
              </w:r>
            </w:hyperlink>
          </w:p>
        </w:tc>
        <w:tc>
          <w:tcPr>
            <w:tcW w:w="42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ind w:left="420"/>
              <w:spacing w:after="0" w:line="170" w:lineRule="exact"/>
              <w:rPr>
                <w:sz w:val="20"/>
                <w:szCs w:val="20"/>
                <w:color w:val="auto"/>
              </w:rPr>
            </w:pPr>
            <w:r>
              <w:rPr>
                <w:rFonts w:ascii="Arial" w:cs="Arial" w:eastAsia="Arial" w:hAnsi="Arial"/>
                <w:sz w:val="17"/>
                <w:szCs w:val="17"/>
                <w:color w:val="auto"/>
                <w:w w:val="90"/>
              </w:rPr>
              <w:t>Rule 13a-14(a)/15d-14(a)</w:t>
            </w:r>
          </w:p>
        </w:tc>
        <w:tc>
          <w:tcPr>
            <w:tcW w:w="826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7"/>
                <w:szCs w:val="17"/>
                <w:color w:val="auto"/>
                <w:w w:val="96"/>
              </w:rPr>
              <w:t>Certification of Principal Financial Officer as Adopted Pursuant to Section 302 of the Sarbanes-Oxley Act of 2002.</w:t>
            </w:r>
          </w:p>
        </w:tc>
      </w:tr>
    </w:tbl>
    <w:p>
      <w:pPr>
        <w:spacing w:after="0" w:line="201" w:lineRule="exact"/>
        <w:rPr>
          <w:sz w:val="20"/>
          <w:szCs w:val="20"/>
          <w:color w:val="auto"/>
        </w:rPr>
      </w:pPr>
    </w:p>
    <w:p>
      <w:pPr>
        <w:ind w:left="1220" w:right="60" w:hanging="1215"/>
        <w:spacing w:after="0" w:line="281" w:lineRule="auto"/>
        <w:tabs>
          <w:tab w:leader="none" w:pos="1220" w:val="left"/>
        </w:tabs>
        <w:numPr>
          <w:ilvl w:val="0"/>
          <w:numId w:val="37"/>
        </w:numPr>
        <w:rPr>
          <w:rFonts w:ascii="Arial" w:cs="Arial" w:eastAsia="Arial" w:hAnsi="Arial"/>
          <w:sz w:val="17"/>
          <w:szCs w:val="17"/>
          <w:u w:val="single" w:color="auto"/>
          <w:color w:val="0000EE"/>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36765"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6765" cy="2654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1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9"/>
        </w:trPr>
        <w:tc>
          <w:tcPr>
            <w:tcW w:w="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101.INS</w:t>
            </w:r>
          </w:p>
        </w:tc>
        <w:tc>
          <w:tcPr>
            <w:tcW w:w="1026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XBRL Instance Document.</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209"/>
        </w:trPr>
        <w:tc>
          <w:tcPr>
            <w:tcW w:w="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101.SCH</w:t>
            </w:r>
          </w:p>
        </w:tc>
        <w:tc>
          <w:tcPr>
            <w:tcW w:w="1026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101.SCH XBRL Taxonomy Extension Schema.</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209"/>
        </w:trPr>
        <w:tc>
          <w:tcPr>
            <w:tcW w:w="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101.CAL</w:t>
            </w:r>
          </w:p>
        </w:tc>
        <w:tc>
          <w:tcPr>
            <w:tcW w:w="1026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101.CAL XBRL Taxonomy Extension Calculation Linkbase.</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209"/>
        </w:trPr>
        <w:tc>
          <w:tcPr>
            <w:tcW w:w="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101.DEF</w:t>
            </w:r>
          </w:p>
        </w:tc>
        <w:tc>
          <w:tcPr>
            <w:tcW w:w="1026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101.DEF XBRL Taxonomy Extension Definition Linkbase.</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209"/>
        </w:trPr>
        <w:tc>
          <w:tcPr>
            <w:tcW w:w="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101.LAB</w:t>
            </w:r>
          </w:p>
        </w:tc>
        <w:tc>
          <w:tcPr>
            <w:tcW w:w="1026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101.LAB XBRL Taxonomy Extension Label Linkbase.</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209"/>
        </w:trPr>
        <w:tc>
          <w:tcPr>
            <w:tcW w:w="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101.PRE</w:t>
            </w:r>
          </w:p>
        </w:tc>
        <w:tc>
          <w:tcPr>
            <w:tcW w:w="1026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101.PRE XBRL Taxonomy Extension Presentation Linkbase.</w:t>
            </w:r>
          </w:p>
        </w:tc>
      </w:tr>
      <w:tr>
        <w:trPr>
          <w:trHeight w:val="614"/>
        </w:trPr>
        <w:tc>
          <w:tcPr>
            <w:tcW w:w="980" w:type="dxa"/>
            <w:vAlign w:val="bottom"/>
            <w:gridSpan w:val="4"/>
          </w:tcPr>
          <w:p>
            <w:pPr>
              <w:spacing w:after="0"/>
              <w:rPr>
                <w:sz w:val="20"/>
                <w:szCs w:val="20"/>
                <w:color w:val="auto"/>
              </w:rPr>
            </w:pPr>
            <w:r>
              <w:rPr>
                <w:rFonts w:ascii="Arial" w:cs="Arial" w:eastAsia="Arial" w:hAnsi="Arial"/>
                <w:sz w:val="17"/>
                <w:szCs w:val="17"/>
                <w:b w:val="1"/>
                <w:bCs w:val="1"/>
                <w:color w:val="auto"/>
              </w:rPr>
              <w:t>ITEM 16.</w:t>
            </w:r>
          </w:p>
        </w:tc>
        <w:tc>
          <w:tcPr>
            <w:tcW w:w="44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7"/>
                <w:szCs w:val="17"/>
                <w:b w:val="1"/>
                <w:bCs w:val="1"/>
                <w:color w:val="auto"/>
              </w:rPr>
              <w:t>FORM 10-K SUMMARY.</w:t>
            </w:r>
          </w:p>
        </w:tc>
      </w:tr>
      <w:tr>
        <w:trPr>
          <w:trHeight w:val="20"/>
        </w:trPr>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370"/>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
          </w:tcPr>
          <w:p>
            <w:pPr>
              <w:ind w:left="280"/>
              <w:spacing w:after="0"/>
              <w:rPr>
                <w:sz w:val="20"/>
                <w:szCs w:val="20"/>
                <w:color w:val="auto"/>
              </w:rPr>
            </w:pPr>
            <w:r>
              <w:rPr>
                <w:rFonts w:ascii="Arial" w:cs="Arial" w:eastAsia="Arial" w:hAnsi="Arial"/>
                <w:sz w:val="17"/>
                <w:szCs w:val="17"/>
                <w:color w:val="auto"/>
              </w:rPr>
              <w:t>Not applicable.</w:t>
            </w: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u w:val="single" w:color="auto"/>
          <w:color w:val="auto"/>
        </w:rPr>
        <w:t>SIGNATURES</w:t>
      </w:r>
    </w:p>
    <w:p>
      <w:pPr>
        <w:spacing w:after="0" w:line="161" w:lineRule="exact"/>
        <w:rPr>
          <w:sz w:val="20"/>
          <w:szCs w:val="20"/>
          <w:color w:val="auto"/>
        </w:rPr>
      </w:pPr>
    </w:p>
    <w:p>
      <w:pPr>
        <w:ind w:firstLine="627"/>
        <w:spacing w:after="0" w:line="28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KINGSTONE COMPANIES, INC.</w:t>
      </w:r>
    </w:p>
    <w:p>
      <w:pPr>
        <w:spacing w:after="0" w:line="227"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March 16, 2020</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30480</wp:posOffset>
            </wp:positionV>
            <wp:extent cx="249809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216" w:lineRule="exact"/>
        <w:rPr>
          <w:sz w:val="20"/>
          <w:szCs w:val="20"/>
          <w:color w:val="auto"/>
        </w:rPr>
      </w:pPr>
    </w:p>
    <w:p>
      <w:pPr>
        <w:ind w:firstLine="627"/>
        <w:spacing w:after="0" w:line="281"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60" w:type="dxa"/>
            <w:vAlign w:val="bottom"/>
            <w:tcBorders>
              <w:bottom w:val="single" w:sz="8" w:color="auto"/>
            </w:tcBorders>
          </w:tcPr>
          <w:p>
            <w:pPr>
              <w:ind w:left="1600"/>
              <w:spacing w:after="0"/>
              <w:rPr>
                <w:sz w:val="20"/>
                <w:szCs w:val="20"/>
                <w:color w:val="auto"/>
              </w:rPr>
            </w:pPr>
            <w:r>
              <w:rPr>
                <w:rFonts w:ascii="Arial" w:cs="Arial" w:eastAsia="Arial" w:hAnsi="Arial"/>
                <w:sz w:val="17"/>
                <w:szCs w:val="17"/>
                <w:b w:val="1"/>
                <w:bCs w:val="1"/>
                <w:color w:val="auto"/>
              </w:rPr>
              <w:t>Signature</w:t>
            </w:r>
          </w:p>
        </w:tc>
        <w:tc>
          <w:tcPr>
            <w:tcW w:w="7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1540"/>
              <w:spacing w:after="0"/>
              <w:rPr>
                <w:sz w:val="20"/>
                <w:szCs w:val="20"/>
                <w:color w:val="auto"/>
              </w:rPr>
            </w:pPr>
            <w:r>
              <w:rPr>
                <w:rFonts w:ascii="Arial" w:cs="Arial" w:eastAsia="Arial" w:hAnsi="Arial"/>
                <w:sz w:val="17"/>
                <w:szCs w:val="17"/>
                <w:b w:val="1"/>
                <w:bCs w:val="1"/>
                <w:color w:val="auto"/>
              </w:rPr>
              <w:t>Capacity</w:t>
            </w:r>
          </w:p>
        </w:tc>
        <w:tc>
          <w:tcPr>
            <w:tcW w:w="3880" w:type="dxa"/>
            <w:vAlign w:val="bottom"/>
            <w:tcBorders>
              <w:bottom w:val="single" w:sz="8" w:color="auto"/>
            </w:tcBorders>
          </w:tcPr>
          <w:p>
            <w:pPr>
              <w:ind w:left="1900"/>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450"/>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Barry B. Goldstein</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60" w:type="dxa"/>
            <w:vAlign w:val="bottom"/>
            <w:vMerge w:val="restart"/>
          </w:tcPr>
          <w:p>
            <w:pPr>
              <w:spacing w:after="0"/>
              <w:rPr>
                <w:sz w:val="20"/>
                <w:szCs w:val="20"/>
                <w:color w:val="auto"/>
              </w:rPr>
            </w:pPr>
            <w:r>
              <w:rPr>
                <w:rFonts w:ascii="Arial" w:cs="Arial" w:eastAsia="Arial" w:hAnsi="Arial"/>
                <w:sz w:val="17"/>
                <w:szCs w:val="17"/>
                <w:color w:val="auto"/>
              </w:rPr>
              <w:t>Barry B. Goldstein</w:t>
            </w:r>
          </w:p>
        </w:tc>
        <w:tc>
          <w:tcPr>
            <w:tcW w:w="78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w w:val="95"/>
              </w:rPr>
              <w:t>Chief Executive Officer, President and Executive</w:t>
            </w:r>
          </w:p>
        </w:tc>
        <w:tc>
          <w:tcPr>
            <w:tcW w:w="3880" w:type="dxa"/>
            <w:vAlign w:val="bottom"/>
            <w:vMerge w:val="restart"/>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111"/>
        </w:trPr>
        <w:tc>
          <w:tcPr>
            <w:tcW w:w="3060" w:type="dxa"/>
            <w:vAlign w:val="bottom"/>
            <w:vMerge w:val="continue"/>
          </w:tcPr>
          <w:p>
            <w:pPr>
              <w:spacing w:after="0"/>
              <w:rPr>
                <w:sz w:val="9"/>
                <w:szCs w:val="9"/>
                <w:color w:val="auto"/>
              </w:rPr>
            </w:pPr>
          </w:p>
        </w:tc>
        <w:tc>
          <w:tcPr>
            <w:tcW w:w="4300" w:type="dxa"/>
            <w:vAlign w:val="bottom"/>
            <w:gridSpan w:val="2"/>
            <w:vMerge w:val="restart"/>
          </w:tcPr>
          <w:p>
            <w:pPr>
              <w:ind w:left="780"/>
              <w:spacing w:after="0"/>
              <w:rPr>
                <w:sz w:val="20"/>
                <w:szCs w:val="20"/>
                <w:color w:val="auto"/>
              </w:rPr>
            </w:pPr>
            <w:r>
              <w:rPr>
                <w:rFonts w:ascii="Arial" w:cs="Arial" w:eastAsia="Arial" w:hAnsi="Arial"/>
                <w:sz w:val="17"/>
                <w:szCs w:val="17"/>
                <w:color w:val="auto"/>
              </w:rPr>
              <w:t>Chairman of the Board</w:t>
            </w: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4300" w:type="dxa"/>
            <w:vAlign w:val="bottom"/>
            <w:gridSpan w:val="2"/>
            <w:vMerge w:val="continue"/>
          </w:tcPr>
          <w:p>
            <w:pPr>
              <w:spacing w:after="0"/>
              <w:rPr>
                <w:sz w:val="9"/>
                <w:szCs w:val="9"/>
                <w:color w:val="auto"/>
              </w:rPr>
            </w:pPr>
          </w:p>
        </w:tc>
        <w:tc>
          <w:tcPr>
            <w:tcW w:w="3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Victor J. Brodsky</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60" w:type="dxa"/>
            <w:vAlign w:val="bottom"/>
            <w:vMerge w:val="restart"/>
          </w:tcPr>
          <w:p>
            <w:pPr>
              <w:spacing w:after="0"/>
              <w:rPr>
                <w:sz w:val="20"/>
                <w:szCs w:val="20"/>
                <w:color w:val="auto"/>
              </w:rPr>
            </w:pPr>
            <w:r>
              <w:rPr>
                <w:rFonts w:ascii="Arial" w:cs="Arial" w:eastAsia="Arial" w:hAnsi="Arial"/>
                <w:sz w:val="17"/>
                <w:szCs w:val="17"/>
                <w:color w:val="auto"/>
              </w:rPr>
              <w:t>Victor J. Brodsky</w:t>
            </w:r>
          </w:p>
        </w:tc>
        <w:tc>
          <w:tcPr>
            <w:tcW w:w="78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Chief Financial Officer and Treasurer</w:t>
            </w:r>
          </w:p>
        </w:tc>
        <w:tc>
          <w:tcPr>
            <w:tcW w:w="3880" w:type="dxa"/>
            <w:vAlign w:val="bottom"/>
            <w:vMerge w:val="restart"/>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111"/>
        </w:trPr>
        <w:tc>
          <w:tcPr>
            <w:tcW w:w="3060" w:type="dxa"/>
            <w:vAlign w:val="bottom"/>
            <w:vMerge w:val="continue"/>
          </w:tcPr>
          <w:p>
            <w:pPr>
              <w:spacing w:after="0"/>
              <w:rPr>
                <w:sz w:val="9"/>
                <w:szCs w:val="9"/>
                <w:color w:val="auto"/>
              </w:rPr>
            </w:pPr>
          </w:p>
        </w:tc>
        <w:tc>
          <w:tcPr>
            <w:tcW w:w="4300" w:type="dxa"/>
            <w:vAlign w:val="bottom"/>
            <w:gridSpan w:val="2"/>
            <w:vMerge w:val="restart"/>
          </w:tcPr>
          <w:p>
            <w:pPr>
              <w:ind w:left="780"/>
              <w:spacing w:after="0"/>
              <w:rPr>
                <w:sz w:val="20"/>
                <w:szCs w:val="20"/>
                <w:color w:val="auto"/>
              </w:rPr>
            </w:pPr>
            <w:r>
              <w:rPr>
                <w:rFonts w:ascii="Arial" w:cs="Arial" w:eastAsia="Arial" w:hAnsi="Arial"/>
                <w:sz w:val="17"/>
                <w:szCs w:val="17"/>
                <w:color w:val="auto"/>
              </w:rPr>
              <w:t>(Principal Financial and Accounting Officer)</w:t>
            </w: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060" w:type="dxa"/>
            <w:vAlign w:val="bottom"/>
          </w:tcPr>
          <w:p>
            <w:pPr>
              <w:spacing w:after="0"/>
              <w:rPr>
                <w:sz w:val="9"/>
                <w:szCs w:val="9"/>
                <w:color w:val="auto"/>
              </w:rPr>
            </w:pPr>
          </w:p>
        </w:tc>
        <w:tc>
          <w:tcPr>
            <w:tcW w:w="4300" w:type="dxa"/>
            <w:vAlign w:val="bottom"/>
            <w:gridSpan w:val="2"/>
            <w:vMerge w:val="continue"/>
          </w:tcPr>
          <w:p>
            <w:pPr>
              <w:spacing w:after="0"/>
              <w:rPr>
                <w:sz w:val="9"/>
                <w:szCs w:val="9"/>
                <w:color w:val="auto"/>
              </w:rPr>
            </w:pPr>
          </w:p>
        </w:tc>
        <w:tc>
          <w:tcPr>
            <w:tcW w:w="3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Meryl S. Golden</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Meryl S. Golden</w:t>
            </w:r>
          </w:p>
        </w:tc>
        <w:tc>
          <w:tcPr>
            <w:tcW w:w="7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Chief Operating Officer and Director</w:t>
            </w:r>
          </w:p>
        </w:tc>
        <w:tc>
          <w:tcPr>
            <w:tcW w:w="3880" w:type="dxa"/>
            <w:vAlign w:val="bottom"/>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444"/>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Floyd R. Tupper</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Floyd R. Tupper</w:t>
            </w:r>
          </w:p>
        </w:tc>
        <w:tc>
          <w:tcPr>
            <w:tcW w:w="7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Director</w:t>
            </w:r>
          </w:p>
        </w:tc>
        <w:tc>
          <w:tcPr>
            <w:tcW w:w="3880" w:type="dxa"/>
            <w:vAlign w:val="bottom"/>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444"/>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L. Yankus</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William L. Yankus</w:t>
            </w:r>
          </w:p>
        </w:tc>
        <w:tc>
          <w:tcPr>
            <w:tcW w:w="7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Director</w:t>
            </w:r>
          </w:p>
        </w:tc>
        <w:tc>
          <w:tcPr>
            <w:tcW w:w="3880" w:type="dxa"/>
            <w:vAlign w:val="bottom"/>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444"/>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Carla A. D’Andre</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Carla A. D’Andre</w:t>
            </w:r>
          </w:p>
        </w:tc>
        <w:tc>
          <w:tcPr>
            <w:tcW w:w="7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Director</w:t>
            </w:r>
          </w:p>
        </w:tc>
        <w:tc>
          <w:tcPr>
            <w:tcW w:w="3880" w:type="dxa"/>
            <w:vAlign w:val="bottom"/>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444"/>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Jay M. Haft</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Jay M. Haft</w:t>
            </w:r>
          </w:p>
        </w:tc>
        <w:tc>
          <w:tcPr>
            <w:tcW w:w="7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Director</w:t>
            </w:r>
          </w:p>
        </w:tc>
        <w:tc>
          <w:tcPr>
            <w:tcW w:w="3880" w:type="dxa"/>
            <w:vAlign w:val="bottom"/>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444"/>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Timothy P. McFadden</w:t>
            </w:r>
          </w:p>
        </w:tc>
        <w:tc>
          <w:tcPr>
            <w:tcW w:w="78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7"/>
                <w:szCs w:val="17"/>
                <w:color w:val="auto"/>
              </w:rPr>
              <w:t>Timothy P. McFadden</w:t>
            </w:r>
          </w:p>
        </w:tc>
        <w:tc>
          <w:tcPr>
            <w:tcW w:w="7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Director</w:t>
            </w:r>
          </w:p>
        </w:tc>
        <w:tc>
          <w:tcPr>
            <w:tcW w:w="3880" w:type="dxa"/>
            <w:vAlign w:val="bottom"/>
          </w:tcPr>
          <w:p>
            <w:pPr>
              <w:ind w:left="180"/>
              <w:spacing w:after="0"/>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777"/>
        </w:trPr>
        <w:tc>
          <w:tcPr>
            <w:tcW w:w="30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2"/>
          </w:tcPr>
          <w:p>
            <w:pPr>
              <w:jc w:val="right"/>
              <w:ind w:right="1575"/>
              <w:spacing w:after="0"/>
              <w:rPr>
                <w:sz w:val="20"/>
                <w:szCs w:val="20"/>
                <w:color w:val="auto"/>
              </w:rPr>
            </w:pPr>
            <w:r>
              <w:rPr>
                <w:rFonts w:ascii="Arial" w:cs="Arial" w:eastAsia="Arial" w:hAnsi="Arial"/>
                <w:sz w:val="17"/>
                <w:szCs w:val="17"/>
                <w:color w:val="auto"/>
              </w:rPr>
              <w:t>65</w:t>
            </w: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5"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40" w:type="dxa"/>
            <w:vAlign w:val="bottom"/>
          </w:tcPr>
          <w:p>
            <w:pPr>
              <w:ind w:left="4040"/>
              <w:spacing w:after="0"/>
              <w:rPr>
                <w:sz w:val="20"/>
                <w:szCs w:val="20"/>
                <w:color w:val="auto"/>
              </w:rPr>
            </w:pPr>
            <w:r>
              <w:rPr>
                <w:rFonts w:ascii="Arial" w:cs="Arial" w:eastAsia="Arial" w:hAnsi="Arial"/>
                <w:sz w:val="17"/>
                <w:szCs w:val="17"/>
                <w:b w:val="1"/>
                <w:bCs w:val="1"/>
                <w:color w:val="auto"/>
              </w:rPr>
              <w:t>Index to Consolidated Financial Statements</w:t>
            </w:r>
          </w:p>
        </w:tc>
        <w:tc>
          <w:tcPr>
            <w:tcW w:w="2200" w:type="dxa"/>
            <w:vAlign w:val="bottom"/>
          </w:tcPr>
          <w:p>
            <w:pPr>
              <w:spacing w:after="0"/>
              <w:rPr>
                <w:sz w:val="19"/>
                <w:szCs w:val="19"/>
                <w:color w:val="auto"/>
              </w:rPr>
            </w:pPr>
          </w:p>
        </w:tc>
      </w:tr>
      <w:tr>
        <w:trPr>
          <w:trHeight w:val="627"/>
        </w:trPr>
        <w:tc>
          <w:tcPr>
            <w:tcW w:w="90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211"/>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F-2</w:t>
            </w:r>
          </w:p>
        </w:tc>
      </w:tr>
      <w:tr>
        <w:trPr>
          <w:trHeight w:val="209"/>
        </w:trPr>
        <w:tc>
          <w:tcPr>
            <w:tcW w:w="9040" w:type="dxa"/>
            <w:vAlign w:val="bottom"/>
          </w:tcPr>
          <w:p>
            <w:pPr>
              <w:spacing w:after="0"/>
              <w:rPr>
                <w:sz w:val="20"/>
                <w:szCs w:val="20"/>
                <w:color w:val="auto"/>
              </w:rPr>
            </w:pPr>
            <w:r>
              <w:rPr>
                <w:rFonts w:ascii="Arial" w:cs="Arial" w:eastAsia="Arial" w:hAnsi="Arial"/>
                <w:sz w:val="17"/>
                <w:szCs w:val="17"/>
                <w:color w:val="auto"/>
              </w:rPr>
              <w:t>Consolidated Balance Sheets as of December 31, 2019 and 2018</w:t>
            </w:r>
          </w:p>
        </w:tc>
        <w:tc>
          <w:tcPr>
            <w:tcW w:w="220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09"/>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 and Comprehensive Income (Loss) for the years</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F-4</w:t>
            </w:r>
          </w:p>
        </w:tc>
      </w:tr>
      <w:tr>
        <w:trPr>
          <w:trHeight w:val="215"/>
        </w:trPr>
        <w:tc>
          <w:tcPr>
            <w:tcW w:w="9040" w:type="dxa"/>
            <w:vAlign w:val="bottom"/>
          </w:tcPr>
          <w:p>
            <w:pPr>
              <w:ind w:left="640"/>
              <w:spacing w:after="0"/>
              <w:rPr>
                <w:sz w:val="20"/>
                <w:szCs w:val="20"/>
                <w:color w:val="auto"/>
              </w:rPr>
            </w:pPr>
            <w:r>
              <w:rPr>
                <w:rFonts w:ascii="Arial" w:cs="Arial" w:eastAsia="Arial" w:hAnsi="Arial"/>
                <w:sz w:val="17"/>
                <w:szCs w:val="17"/>
                <w:color w:val="auto"/>
              </w:rPr>
              <w:t>ended December 31, 2019 and 2018</w:t>
            </w:r>
          </w:p>
        </w:tc>
        <w:tc>
          <w:tcPr>
            <w:tcW w:w="2200" w:type="dxa"/>
            <w:vAlign w:val="bottom"/>
          </w:tcPr>
          <w:p>
            <w:pPr>
              <w:spacing w:after="0"/>
              <w:rPr>
                <w:sz w:val="18"/>
                <w:szCs w:val="18"/>
                <w:color w:val="auto"/>
              </w:rPr>
            </w:pP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Stockholders’ Equity for the years ended December 31, 2019</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F-5</w:t>
            </w:r>
          </w:p>
        </w:tc>
      </w:tr>
      <w:tr>
        <w:trPr>
          <w:trHeight w:val="215"/>
        </w:trPr>
        <w:tc>
          <w:tcPr>
            <w:tcW w:w="9040" w:type="dxa"/>
            <w:vAlign w:val="bottom"/>
          </w:tcPr>
          <w:p>
            <w:pPr>
              <w:ind w:left="640"/>
              <w:spacing w:after="0"/>
              <w:rPr>
                <w:sz w:val="20"/>
                <w:szCs w:val="20"/>
                <w:color w:val="auto"/>
              </w:rPr>
            </w:pPr>
            <w:r>
              <w:rPr>
                <w:rFonts w:ascii="Arial" w:cs="Arial" w:eastAsia="Arial" w:hAnsi="Arial"/>
                <w:sz w:val="17"/>
                <w:szCs w:val="17"/>
                <w:color w:val="auto"/>
              </w:rPr>
              <w:t>and 2018</w:t>
            </w:r>
          </w:p>
        </w:tc>
        <w:tc>
          <w:tcPr>
            <w:tcW w:w="2200" w:type="dxa"/>
            <w:vAlign w:val="bottom"/>
          </w:tcPr>
          <w:p>
            <w:pPr>
              <w:spacing w:after="0"/>
              <w:rPr>
                <w:sz w:val="18"/>
                <w:szCs w:val="18"/>
                <w:color w:val="auto"/>
              </w:rPr>
            </w:pP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 for the years ended December 31, 2019 and 2018</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F-6</w:t>
            </w:r>
          </w:p>
        </w:tc>
      </w:tr>
      <w:tr>
        <w:trPr>
          <w:trHeight w:val="215"/>
        </w:trPr>
        <w:tc>
          <w:tcPr>
            <w:tcW w:w="904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220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360"/>
        </w:trPr>
        <w:tc>
          <w:tcPr>
            <w:tcW w:w="9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3" w:right="339" w:bottom="1440" w:gutter="0" w:footer="0" w:header="0"/>
        </w:sectPr>
      </w:pPr>
    </w:p>
    <w:bookmarkStart w:id="67" w:name="page68"/>
    <w:bookmarkEnd w:id="67"/>
    <w:p>
      <w:pPr>
        <w:ind w:left="2720"/>
        <w:spacing w:after="0"/>
        <w:rPr>
          <w:sz w:val="20"/>
          <w:szCs w:val="20"/>
          <w:color w:val="auto"/>
        </w:rPr>
      </w:pPr>
      <w:r>
        <w:rPr>
          <w:rFonts w:ascii="Arial" w:cs="Arial" w:eastAsia="Arial" w:hAnsi="Arial"/>
          <w:sz w:val="17"/>
          <w:szCs w:val="17"/>
          <w:b w:val="1"/>
          <w:bCs w:val="1"/>
          <w:u w:val="single" w:color="auto"/>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Kingstone Companies,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have audited the accompanying consolidated balance sheets of Kingstone Companies, Inc. and subsidiaries (the “Company”) as of December 31, 2019 and 2018, the related consolidated statements of operations and comprehensive income (loss),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5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"PCAOB"), the Company's internal control over financial reporting as of December 31, 2019 based on the criteria established in Internal Control - Integrated Framework (2013) issued by the Committee of Sponsoring Organizations of the Treadway Commission, and our report dated March 16, 2020 expressed an adverse opinion on the effectiveness of the Company’s internal control over financial reporting because of the existence of a material weakness.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Marcum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Hartford, CT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16, 2020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71" w:lineRule="exact"/>
        <w:rPr>
          <w:sz w:val="20"/>
          <w:szCs w:val="20"/>
          <w:color w:val="auto"/>
        </w:rPr>
      </w:pPr>
    </w:p>
    <w:p>
      <w:pPr>
        <w:ind w:left="8820"/>
        <w:spacing w:after="0"/>
        <w:tabs>
          <w:tab w:leader="none" w:pos="1014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spacing w:after="0" w:line="48" w:lineRule="exact"/>
        <w:rPr>
          <w:sz w:val="20"/>
          <w:szCs w:val="20"/>
          <w:color w:val="auto"/>
        </w:rPr>
      </w:pPr>
    </w:p>
    <w:p>
      <w:pPr>
        <w:ind w:left="9080"/>
        <w:spacing w:after="0"/>
        <w:tabs>
          <w:tab w:leader="none" w:pos="10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3676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Assets</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Fixed-maturity securities, held-to-maturity, at amortized cost (fair value of</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$4,124,767 at December 31, 2019 and $4,426,416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6765" cy="132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Fixed-maturity securities, available-for-sale, at fair value (amortized cost of</w:t>
      </w:r>
    </w:p>
    <w:p>
      <w:pPr>
        <w:spacing w:after="0" w:line="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$162,202,355 at December 31, 2019 and $155,431,261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36765" cy="132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7" w:lineRule="exact"/>
        <w:rPr>
          <w:sz w:val="20"/>
          <w:szCs w:val="20"/>
          <w:color w:val="auto"/>
        </w:rPr>
      </w:pPr>
    </w:p>
    <w:p>
      <w:pPr>
        <w:ind w:left="560" w:right="2320" w:hanging="241"/>
        <w:spacing w:after="0" w:line="256" w:lineRule="auto"/>
        <w:rPr>
          <w:sz w:val="20"/>
          <w:szCs w:val="20"/>
          <w:color w:val="auto"/>
        </w:rPr>
      </w:pPr>
      <w:r>
        <w:rPr>
          <w:rFonts w:ascii="Arial" w:cs="Arial" w:eastAsia="Arial" w:hAnsi="Arial"/>
          <w:sz w:val="17"/>
          <w:szCs w:val="17"/>
          <w:color w:val="auto"/>
        </w:rPr>
        <w:t>Equity securities, at fair value (cost of $22,624,668 at December 31, 2019 and $18,305,986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765" cy="132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Other investments</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765" cy="132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Cash and cash equivalents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Reinsurance receivables, net</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Intangible assets, net</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Deferred income taxes, net</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49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765" cy="132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Liabilities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Loss and loss adjustment expense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Unearned premiums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Advance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Reinsurance balances payable</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Deferred ceding commission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Accounts payable, accrued expenses and other liabilities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765" cy="132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Long-term debt, net</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765" cy="149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765" cy="132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tabs>
          <w:tab w:leader="none" w:pos="380" w:val="left"/>
          <w:tab w:leader="none" w:pos="1340" w:val="left"/>
          <w:tab w:leader="none" w:pos="17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3,825,952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4,222,855</w:t>
      </w:r>
    </w:p>
    <w:p>
      <w:pPr>
        <w:spacing w:after="0" w:line="223"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5"/>
          <w:szCs w:val="15"/>
          <w:color w:val="auto"/>
        </w:rPr>
        <w:t>168,236,181</w:t>
      </w:r>
      <w:r>
        <w:rPr>
          <w:sz w:val="20"/>
          <w:szCs w:val="20"/>
          <w:color w:val="auto"/>
        </w:rPr>
        <w:tab/>
      </w:r>
      <w:r>
        <w:rPr>
          <w:rFonts w:ascii="Arial" w:cs="Arial" w:eastAsia="Arial" w:hAnsi="Arial"/>
          <w:sz w:val="15"/>
          <w:szCs w:val="15"/>
          <w:color w:val="auto"/>
        </w:rPr>
        <w:t>151,777,516</w:t>
      </w:r>
    </w:p>
    <w:p>
      <w:pPr>
        <w:spacing w:after="0" w:line="246"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5"/>
          <w:szCs w:val="15"/>
          <w:color w:val="auto"/>
        </w:rPr>
        <w:t>24,661,382</w:t>
      </w:r>
      <w:r>
        <w:rPr>
          <w:sz w:val="20"/>
          <w:szCs w:val="20"/>
          <w:color w:val="auto"/>
        </w:rPr>
        <w:tab/>
      </w:r>
      <w:r>
        <w:rPr>
          <w:rFonts w:ascii="Arial" w:cs="Arial" w:eastAsia="Arial" w:hAnsi="Arial"/>
          <w:sz w:val="15"/>
          <w:szCs w:val="15"/>
          <w:color w:val="auto"/>
        </w:rPr>
        <w:t>16,572,616</w:t>
      </w:r>
    </w:p>
    <w:p>
      <w:pPr>
        <w:spacing w:after="0" w:line="43"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5"/>
          <w:szCs w:val="15"/>
          <w:color w:val="auto"/>
        </w:rPr>
        <w:t>2,584,913</w:t>
      </w:r>
      <w:r>
        <w:rPr>
          <w:sz w:val="20"/>
          <w:szCs w:val="20"/>
          <w:color w:val="auto"/>
        </w:rPr>
        <w:tab/>
      </w:r>
      <w:r>
        <w:rPr>
          <w:rFonts w:ascii="Arial" w:cs="Arial" w:eastAsia="Arial" w:hAnsi="Arial"/>
          <w:sz w:val="15"/>
          <w:szCs w:val="15"/>
          <w:color w:val="auto"/>
        </w:rPr>
        <w:t>1,855,225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24765</wp:posOffset>
            </wp:positionV>
            <wp:extent cx="170942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pacing w:after="0" w:line="3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5"/>
          <w:szCs w:val="15"/>
          <w:color w:val="auto"/>
        </w:rPr>
        <w:t>199,308,428</w:t>
      </w:r>
      <w:r>
        <w:rPr>
          <w:sz w:val="20"/>
          <w:szCs w:val="20"/>
          <w:color w:val="auto"/>
        </w:rPr>
        <w:tab/>
      </w:r>
      <w:r>
        <w:rPr>
          <w:rFonts w:ascii="Arial" w:cs="Arial" w:eastAsia="Arial" w:hAnsi="Arial"/>
          <w:sz w:val="15"/>
          <w:szCs w:val="15"/>
          <w:color w:val="auto"/>
        </w:rPr>
        <w:t>174,428,212</w:t>
      </w:r>
    </w:p>
    <w:p>
      <w:pPr>
        <w:spacing w:after="0" w:line="43"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5"/>
          <w:szCs w:val="15"/>
          <w:color w:val="auto"/>
        </w:rPr>
        <w:t>32,391,485</w:t>
      </w:r>
      <w:r>
        <w:rPr>
          <w:sz w:val="20"/>
          <w:szCs w:val="20"/>
          <w:color w:val="auto"/>
        </w:rPr>
        <w:tab/>
      </w:r>
      <w:r>
        <w:rPr>
          <w:rFonts w:ascii="Arial" w:cs="Arial" w:eastAsia="Arial" w:hAnsi="Arial"/>
          <w:sz w:val="15"/>
          <w:szCs w:val="15"/>
          <w:color w:val="auto"/>
        </w:rPr>
        <w:t>21,138,403</w:t>
      </w:r>
    </w:p>
    <w:p>
      <w:pPr>
        <w:spacing w:after="0" w:line="37"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5"/>
          <w:szCs w:val="15"/>
          <w:color w:val="auto"/>
        </w:rPr>
        <w:t>12,706,411</w:t>
      </w:r>
      <w:r>
        <w:rPr>
          <w:sz w:val="20"/>
          <w:szCs w:val="20"/>
          <w:color w:val="auto"/>
        </w:rPr>
        <w:tab/>
      </w:r>
      <w:r>
        <w:rPr>
          <w:rFonts w:ascii="Arial" w:cs="Arial" w:eastAsia="Arial" w:hAnsi="Arial"/>
          <w:sz w:val="15"/>
          <w:szCs w:val="15"/>
          <w:color w:val="auto"/>
        </w:rPr>
        <w:t>13,961,599</w:t>
      </w:r>
    </w:p>
    <w:p>
      <w:pPr>
        <w:spacing w:after="0" w:line="37"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7"/>
          <w:szCs w:val="17"/>
          <w:color w:val="auto"/>
        </w:rPr>
        <w:t>40,750,538</w:t>
      </w:r>
      <w:r>
        <w:rPr>
          <w:sz w:val="20"/>
          <w:szCs w:val="20"/>
          <w:color w:val="auto"/>
        </w:rPr>
        <w:tab/>
      </w:r>
      <w:r>
        <w:rPr>
          <w:rFonts w:ascii="Arial" w:cs="Arial" w:eastAsia="Arial" w:hAnsi="Arial"/>
          <w:sz w:val="17"/>
          <w:szCs w:val="17"/>
          <w:color w:val="auto"/>
        </w:rPr>
        <w:t>26,367,115</w:t>
      </w:r>
    </w:p>
    <w:p>
      <w:pPr>
        <w:spacing w:after="0" w:line="14"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5"/>
          <w:szCs w:val="15"/>
          <w:color w:val="auto"/>
        </w:rPr>
        <w:t>20,634,378</w:t>
      </w:r>
      <w:r>
        <w:rPr>
          <w:sz w:val="20"/>
          <w:szCs w:val="20"/>
          <w:color w:val="auto"/>
        </w:rPr>
        <w:tab/>
      </w:r>
      <w:r>
        <w:rPr>
          <w:rFonts w:ascii="Arial" w:cs="Arial" w:eastAsia="Arial" w:hAnsi="Arial"/>
          <w:sz w:val="15"/>
          <w:szCs w:val="15"/>
          <w:color w:val="auto"/>
        </w:rPr>
        <w:t>17,907,737</w:t>
      </w:r>
    </w:p>
    <w:p>
      <w:pPr>
        <w:spacing w:after="0" w:line="37"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4"/>
          <w:szCs w:val="14"/>
          <w:color w:val="auto"/>
        </w:rPr>
        <w:t>500,000</w:t>
      </w:r>
      <w:r>
        <w:rPr>
          <w:sz w:val="20"/>
          <w:szCs w:val="20"/>
          <w:color w:val="auto"/>
        </w:rPr>
        <w:tab/>
      </w:r>
      <w:r>
        <w:rPr>
          <w:rFonts w:ascii="Arial" w:cs="Arial" w:eastAsia="Arial" w:hAnsi="Arial"/>
          <w:sz w:val="14"/>
          <w:szCs w:val="14"/>
          <w:color w:val="auto"/>
        </w:rPr>
        <w:t>670,000</w:t>
      </w:r>
    </w:p>
    <w:p>
      <w:pPr>
        <w:spacing w:after="0" w:line="48"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5"/>
          <w:szCs w:val="15"/>
          <w:color w:val="auto"/>
        </w:rPr>
        <w:t>7,620,636</w:t>
      </w:r>
      <w:r>
        <w:rPr>
          <w:sz w:val="20"/>
          <w:szCs w:val="20"/>
          <w:color w:val="auto"/>
        </w:rPr>
        <w:tab/>
      </w:r>
      <w:r>
        <w:rPr>
          <w:rFonts w:ascii="Arial" w:cs="Arial" w:eastAsia="Arial" w:hAnsi="Arial"/>
          <w:sz w:val="15"/>
          <w:szCs w:val="15"/>
          <w:color w:val="auto"/>
        </w:rPr>
        <w:t>6,056,929</w:t>
      </w:r>
    </w:p>
    <w:p>
      <w:pPr>
        <w:spacing w:after="0" w:line="37"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4"/>
          <w:szCs w:val="14"/>
          <w:color w:val="auto"/>
        </w:rPr>
        <w:t>311,052</w:t>
      </w:r>
      <w:r>
        <w:rPr>
          <w:sz w:val="20"/>
          <w:szCs w:val="20"/>
          <w:color w:val="auto"/>
        </w:rPr>
        <w:tab/>
      </w:r>
      <w:r>
        <w:rPr>
          <w:rFonts w:ascii="Arial" w:cs="Arial" w:eastAsia="Arial" w:hAnsi="Arial"/>
          <w:sz w:val="14"/>
          <w:szCs w:val="14"/>
          <w:color w:val="auto"/>
        </w:rPr>
        <w:t>354,233</w:t>
      </w:r>
    </w:p>
    <w:p>
      <w:pPr>
        <w:spacing w:after="0" w:line="48"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5"/>
          <w:szCs w:val="15"/>
          <w:color w:val="auto"/>
        </w:rPr>
        <w:t>6,979,884</w:t>
      </w:r>
      <w:r>
        <w:rPr>
          <w:sz w:val="20"/>
          <w:szCs w:val="20"/>
          <w:color w:val="auto"/>
        </w:rPr>
        <w:tab/>
      </w:r>
      <w:r>
        <w:rPr>
          <w:rFonts w:ascii="Arial" w:cs="Arial" w:eastAsia="Arial" w:hAnsi="Arial"/>
          <w:sz w:val="15"/>
          <w:szCs w:val="15"/>
          <w:color w:val="auto"/>
        </w:rPr>
        <w:t>5,867,850</w:t>
      </w:r>
    </w:p>
    <w:p>
      <w:pPr>
        <w:spacing w:after="0" w:line="56" w:lineRule="exact"/>
        <w:rPr>
          <w:sz w:val="20"/>
          <w:szCs w:val="20"/>
          <w:color w:val="auto"/>
        </w:rPr>
      </w:pPr>
    </w:p>
    <w:p>
      <w:pPr>
        <w:spacing w:after="0"/>
        <w:tabs>
          <w:tab w:leader="none" w:pos="220" w:val="left"/>
          <w:tab w:leader="none" w:pos="1340" w:val="left"/>
          <w:tab w:leader="none" w:pos="1560" w:val="left"/>
        </w:tabs>
        <w:rPr>
          <w:sz w:val="20"/>
          <w:szCs w:val="20"/>
          <w:color w:val="auto"/>
        </w:rPr>
      </w:pPr>
      <w:r>
        <w:rPr>
          <w:rFonts w:ascii="Arial" w:cs="Arial" w:eastAsia="Arial" w:hAnsi="Arial"/>
          <w:sz w:val="17"/>
          <w:szCs w:val="17"/>
          <w:color w:val="auto"/>
        </w:rPr>
        <w:t>$</w:t>
        <w:tab/>
        <w:t>321,202,812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266,752,078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13970</wp:posOffset>
            </wp:positionV>
            <wp:extent cx="17094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170942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38735</wp:posOffset>
            </wp:positionV>
            <wp:extent cx="17094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17094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80,498,611   $   56,197,106</w:t>
      </w:r>
    </w:p>
    <w:p>
      <w:pPr>
        <w:spacing w:after="0" w:line="20"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5"/>
          <w:szCs w:val="15"/>
          <w:color w:val="auto"/>
        </w:rPr>
        <w:t>90,383,238</w:t>
      </w:r>
      <w:r>
        <w:rPr>
          <w:sz w:val="20"/>
          <w:szCs w:val="20"/>
          <w:color w:val="auto"/>
        </w:rPr>
        <w:tab/>
      </w:r>
      <w:r>
        <w:rPr>
          <w:rFonts w:ascii="Arial" w:cs="Arial" w:eastAsia="Arial" w:hAnsi="Arial"/>
          <w:sz w:val="15"/>
          <w:szCs w:val="15"/>
          <w:color w:val="auto"/>
        </w:rPr>
        <w:t>79,032,131</w:t>
      </w:r>
    </w:p>
    <w:p>
      <w:pPr>
        <w:spacing w:after="0" w:line="37"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5"/>
          <w:szCs w:val="15"/>
          <w:color w:val="auto"/>
        </w:rPr>
        <w:t>3,191,512</w:t>
      </w:r>
      <w:r>
        <w:rPr>
          <w:sz w:val="20"/>
          <w:szCs w:val="20"/>
          <w:color w:val="auto"/>
        </w:rPr>
        <w:tab/>
      </w:r>
      <w:r>
        <w:rPr>
          <w:rFonts w:ascii="Arial" w:cs="Arial" w:eastAsia="Arial" w:hAnsi="Arial"/>
          <w:sz w:val="15"/>
          <w:szCs w:val="15"/>
          <w:color w:val="auto"/>
        </w:rPr>
        <w:t>2,107,629</w:t>
      </w:r>
    </w:p>
    <w:p>
      <w:pPr>
        <w:spacing w:after="0" w:line="37"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5"/>
          <w:szCs w:val="15"/>
          <w:color w:val="auto"/>
        </w:rPr>
        <w:t>11,714,724</w:t>
      </w:r>
      <w:r>
        <w:rPr>
          <w:sz w:val="20"/>
          <w:szCs w:val="20"/>
          <w:color w:val="auto"/>
        </w:rPr>
        <w:tab/>
      </w:r>
      <w:r>
        <w:rPr>
          <w:rFonts w:ascii="Arial" w:cs="Arial" w:eastAsia="Arial" w:hAnsi="Arial"/>
          <w:sz w:val="15"/>
          <w:szCs w:val="15"/>
          <w:color w:val="auto"/>
        </w:rPr>
        <w:t>1,933,376</w:t>
      </w:r>
    </w:p>
    <w:p>
      <w:pPr>
        <w:spacing w:after="0" w:line="37"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5"/>
          <w:szCs w:val="15"/>
          <w:color w:val="auto"/>
        </w:rPr>
        <w:t>7,735,398</w:t>
      </w:r>
      <w:r>
        <w:rPr>
          <w:sz w:val="20"/>
          <w:szCs w:val="20"/>
          <w:color w:val="auto"/>
        </w:rPr>
        <w:tab/>
      </w:r>
      <w:r>
        <w:rPr>
          <w:rFonts w:ascii="Arial" w:cs="Arial" w:eastAsia="Arial" w:hAnsi="Arial"/>
          <w:sz w:val="15"/>
          <w:szCs w:val="15"/>
          <w:color w:val="auto"/>
        </w:rPr>
        <w:t>2,686,677</w:t>
      </w:r>
    </w:p>
    <w:p>
      <w:pPr>
        <w:spacing w:after="0" w:line="37"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5"/>
          <w:szCs w:val="15"/>
          <w:color w:val="auto"/>
        </w:rPr>
        <w:t>9,986,317</w:t>
      </w:r>
      <w:r>
        <w:rPr>
          <w:sz w:val="20"/>
          <w:szCs w:val="20"/>
          <w:color w:val="auto"/>
        </w:rPr>
        <w:tab/>
      </w:r>
      <w:r>
        <w:rPr>
          <w:rFonts w:ascii="Arial" w:cs="Arial" w:eastAsia="Arial" w:hAnsi="Arial"/>
          <w:sz w:val="15"/>
          <w:szCs w:val="15"/>
          <w:color w:val="auto"/>
        </w:rPr>
        <w:t>6,819,231</w:t>
      </w:r>
    </w:p>
    <w:p>
      <w:pPr>
        <w:spacing w:after="0" w:line="37" w:lineRule="exact"/>
        <w:rPr>
          <w:sz w:val="20"/>
          <w:szCs w:val="20"/>
          <w:color w:val="auto"/>
        </w:rPr>
      </w:pPr>
    </w:p>
    <w:p>
      <w:pPr>
        <w:ind w:left="1960" w:hanging="934"/>
        <w:spacing w:after="0"/>
        <w:tabs>
          <w:tab w:leader="none" w:pos="1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15,035</w:t>
      </w:r>
    </w:p>
    <w:p>
      <w:pPr>
        <w:spacing w:after="0" w:line="36"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7"/>
          <w:szCs w:val="17"/>
          <w:color w:val="auto"/>
        </w:rPr>
        <w:t>29,471,431</w:t>
      </w:r>
      <w:r>
        <w:rPr>
          <w:rFonts w:ascii="Arial" w:cs="Arial" w:eastAsia="Arial" w:hAnsi="Arial"/>
          <w:sz w:val="15"/>
          <w:szCs w:val="15"/>
          <w:color w:val="auto"/>
        </w:rPr>
        <w:t>29,295,251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10160</wp:posOffset>
            </wp:positionV>
            <wp:extent cx="170942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pacing w:after="0" w:line="13"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5"/>
          <w:szCs w:val="15"/>
          <w:color w:val="auto"/>
        </w:rPr>
        <w:t>232,981,231</w:t>
      </w:r>
      <w:r>
        <w:rPr>
          <w:sz w:val="20"/>
          <w:szCs w:val="20"/>
          <w:color w:val="auto"/>
        </w:rPr>
        <w:tab/>
      </w:r>
      <w:r>
        <w:rPr>
          <w:rFonts w:ascii="Arial" w:cs="Arial" w:eastAsia="Arial" w:hAnsi="Arial"/>
          <w:sz w:val="15"/>
          <w:szCs w:val="15"/>
          <w:color w:val="auto"/>
        </w:rPr>
        <w:t>178,086,436</w:t>
      </w:r>
    </w:p>
    <w:p>
      <w:pPr>
        <w:spacing w:after="0" w:line="663" w:lineRule="exact"/>
        <w:rPr>
          <w:sz w:val="20"/>
          <w:szCs w:val="20"/>
          <w:color w:val="auto"/>
        </w:rPr>
      </w:pPr>
    </w:p>
    <w:p>
      <w:pPr>
        <w:sectPr>
          <w:pgSz w:w="11900" w:h="16838" w:orient="portrait"/>
          <w:cols w:equalWidth="0" w:num="2">
            <w:col w:w="7960" w:space="720"/>
            <w:col w:w="2560"/>
          </w:cols>
          <w:pgMar w:left="320" w:top="493"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Stockholders' Equity</w:t>
            </w: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8560" w:type="dxa"/>
            <w:vAlign w:val="bottom"/>
          </w:tcPr>
          <w:p>
            <w:pPr>
              <w:ind w:left="320"/>
              <w:spacing w:after="0"/>
              <w:rPr>
                <w:sz w:val="20"/>
                <w:szCs w:val="20"/>
                <w:color w:val="auto"/>
              </w:rPr>
            </w:pPr>
            <w:r>
              <w:rPr>
                <w:rFonts w:ascii="Arial" w:cs="Arial" w:eastAsia="Arial" w:hAnsi="Arial"/>
                <w:sz w:val="17"/>
                <w:szCs w:val="17"/>
                <w:color w:val="auto"/>
              </w:rPr>
              <w:t>Preferred stock, $.01 par value; authorized 2,500,000 shares</w:t>
            </w: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235"/>
        </w:trPr>
        <w:tc>
          <w:tcPr>
            <w:tcW w:w="85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Common stock, $.01 par value, authorized 20,000,000 shares; issued 11,824,889 shares</w:t>
            </w:r>
          </w:p>
        </w:tc>
        <w:tc>
          <w:tcPr>
            <w:tcW w:w="1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09"/>
        </w:trPr>
        <w:tc>
          <w:tcPr>
            <w:tcW w:w="8560" w:type="dxa"/>
            <w:vAlign w:val="bottom"/>
          </w:tcPr>
          <w:p>
            <w:pPr>
              <w:ind w:left="600"/>
              <w:spacing w:after="0"/>
              <w:rPr>
                <w:sz w:val="20"/>
                <w:szCs w:val="20"/>
                <w:color w:val="auto"/>
              </w:rPr>
            </w:pPr>
            <w:r>
              <w:rPr>
                <w:rFonts w:ascii="Arial" w:cs="Arial" w:eastAsia="Arial" w:hAnsi="Arial"/>
                <w:sz w:val="17"/>
                <w:szCs w:val="17"/>
                <w:color w:val="auto"/>
              </w:rPr>
              <w:t>at December 31, 2019 and 11,775,148 shares at December 31, 2018; outstanding</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85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10,797,450 shares at December 31, 2019 and 10,747,709 shares at December 31, 2018</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118,248</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117,751</w:t>
            </w:r>
          </w:p>
        </w:tc>
      </w:tr>
      <w:tr>
        <w:trPr>
          <w:trHeight w:val="209"/>
        </w:trPr>
        <w:tc>
          <w:tcPr>
            <w:tcW w:w="8560" w:type="dxa"/>
            <w:vAlign w:val="bottom"/>
          </w:tcPr>
          <w:p>
            <w:pPr>
              <w:ind w:left="320"/>
              <w:spacing w:after="0"/>
              <w:rPr>
                <w:sz w:val="20"/>
                <w:szCs w:val="20"/>
                <w:color w:val="auto"/>
              </w:rPr>
            </w:pPr>
            <w:r>
              <w:rPr>
                <w:rFonts w:ascii="Arial" w:cs="Arial" w:eastAsia="Arial" w:hAnsi="Arial"/>
                <w:sz w:val="17"/>
                <w:szCs w:val="17"/>
                <w:color w:val="auto"/>
              </w:rPr>
              <w:t>Capital in excess of par</w:t>
            </w: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69,133,918</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67,763,940</w:t>
            </w:r>
          </w:p>
        </w:tc>
      </w:tr>
      <w:tr>
        <w:trPr>
          <w:trHeight w:val="209"/>
        </w:trPr>
        <w:tc>
          <w:tcPr>
            <w:tcW w:w="8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4,768,870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(2,884,313)</w:t>
            </w:r>
          </w:p>
        </w:tc>
      </w:tr>
      <w:tr>
        <w:trPr>
          <w:trHeight w:val="215"/>
        </w:trPr>
        <w:tc>
          <w:tcPr>
            <w:tcW w:w="8560" w:type="dxa"/>
            <w:vAlign w:val="bottom"/>
          </w:tcPr>
          <w:p>
            <w:pPr>
              <w:ind w:left="320"/>
              <w:spacing w:after="0"/>
              <w:rPr>
                <w:sz w:val="20"/>
                <w:szCs w:val="20"/>
                <w:color w:val="auto"/>
              </w:rPr>
            </w:pPr>
            <w:r>
              <w:rPr>
                <w:rFonts w:ascii="Arial" w:cs="Arial" w:eastAsia="Arial" w:hAnsi="Arial"/>
                <w:sz w:val="17"/>
                <w:szCs w:val="17"/>
                <w:color w:val="auto"/>
              </w:rPr>
              <w:t>Retained earnings</w:t>
            </w: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16,913,097</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26,380,816</w:t>
            </w:r>
          </w:p>
        </w:tc>
      </w:tr>
      <w:tr>
        <w:trPr>
          <w:trHeight w:val="209"/>
        </w:trPr>
        <w:tc>
          <w:tcPr>
            <w:tcW w:w="85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90,934,133</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91,378,194</w:t>
            </w:r>
          </w:p>
        </w:tc>
      </w:tr>
      <w:tr>
        <w:trPr>
          <w:trHeight w:val="209"/>
        </w:trPr>
        <w:tc>
          <w:tcPr>
            <w:tcW w:w="8560" w:type="dxa"/>
            <w:vAlign w:val="bottom"/>
          </w:tcPr>
          <w:p>
            <w:pPr>
              <w:ind w:left="440"/>
              <w:spacing w:after="0"/>
              <w:rPr>
                <w:sz w:val="20"/>
                <w:szCs w:val="20"/>
                <w:color w:val="auto"/>
              </w:rPr>
            </w:pPr>
            <w:r>
              <w:rPr>
                <w:rFonts w:ascii="Arial" w:cs="Arial" w:eastAsia="Arial" w:hAnsi="Arial"/>
                <w:sz w:val="17"/>
                <w:szCs w:val="17"/>
                <w:color w:val="auto"/>
              </w:rPr>
              <w:t>Treasury stock, at cost, 1,027,439 shares at December 31, 2019</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8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and at December 31, 2018</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(2,712,552)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(2,712,552)</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Total stockholders' equity</w:t>
            </w: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88,221,581</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88,665,642</w:t>
            </w:r>
          </w:p>
        </w:tc>
      </w:tr>
      <w:tr>
        <w:trPr>
          <w:trHeight w:val="209"/>
        </w:trPr>
        <w:tc>
          <w:tcPr>
            <w:tcW w:w="8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  321,202,812</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  266,752,078</w:t>
            </w:r>
          </w:p>
        </w:tc>
      </w:tr>
      <w:tr>
        <w:trPr>
          <w:trHeight w:val="20"/>
        </w:trPr>
        <w:tc>
          <w:tcPr>
            <w:tcW w:w="8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3676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these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69" w:name="page70"/>
    <w:bookmarkEnd w:id="69"/>
    <w:p>
      <w:pPr>
        <w:ind w:left="706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i w:val="1"/>
                <w:iCs w:val="1"/>
                <w:color w:val="auto"/>
              </w:rPr>
              <w:t>Years ended December 31,</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r>
      <w:tr>
        <w:trPr>
          <w:trHeight w:val="46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Revenues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0"/>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premiums earned</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95"/>
              </w:rPr>
              <w:t>127,623,442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103,414,715</w:t>
            </w:r>
          </w:p>
        </w:tc>
      </w:tr>
      <w:tr>
        <w:trPr>
          <w:trHeight w:val="209"/>
        </w:trPr>
        <w:tc>
          <w:tcPr>
            <w:tcW w:w="8560" w:type="dxa"/>
            <w:vAlign w:val="bottom"/>
          </w:tcPr>
          <w:p>
            <w:pPr>
              <w:ind w:left="360"/>
              <w:spacing w:after="0"/>
              <w:rPr>
                <w:sz w:val="20"/>
                <w:szCs w:val="20"/>
                <w:color w:val="auto"/>
              </w:rPr>
            </w:pPr>
            <w:r>
              <w:rPr>
                <w:rFonts w:ascii="Arial" w:cs="Arial" w:eastAsia="Arial" w:hAnsi="Arial"/>
                <w:sz w:val="17"/>
                <w:szCs w:val="17"/>
                <w:color w:val="auto"/>
              </w:rPr>
              <w:t>Ceding commission revenue</w:t>
            </w:r>
          </w:p>
        </w:tc>
        <w:tc>
          <w:tcPr>
            <w:tcW w:w="2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4,650,851</w:t>
            </w:r>
          </w:p>
        </w:tc>
        <w:tc>
          <w:tcPr>
            <w:tcW w:w="26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5,332,630</w:t>
            </w:r>
          </w:p>
        </w:tc>
      </w:tr>
      <w:tr>
        <w:trPr>
          <w:trHeight w:val="209"/>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investment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6,869,346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6,186,248</w:t>
            </w:r>
          </w:p>
        </w:tc>
      </w:tr>
      <w:tr>
        <w:trPr>
          <w:trHeight w:val="209"/>
        </w:trPr>
        <w:tc>
          <w:tcPr>
            <w:tcW w:w="8560" w:type="dxa"/>
            <w:vAlign w:val="bottom"/>
          </w:tcPr>
          <w:p>
            <w:pPr>
              <w:ind w:left="360"/>
              <w:spacing w:after="0"/>
              <w:rPr>
                <w:sz w:val="20"/>
                <w:szCs w:val="20"/>
                <w:color w:val="auto"/>
              </w:rPr>
            </w:pPr>
            <w:r>
              <w:rPr>
                <w:rFonts w:ascii="Arial" w:cs="Arial" w:eastAsia="Arial" w:hAnsi="Arial"/>
                <w:sz w:val="17"/>
                <w:szCs w:val="17"/>
                <w:color w:val="auto"/>
              </w:rPr>
              <w:t>Net gains (losses) on investments</w:t>
            </w:r>
          </w:p>
        </w:tc>
        <w:tc>
          <w:tcPr>
            <w:tcW w:w="2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4,591,019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(2,495,857)</w:t>
            </w:r>
          </w:p>
        </w:tc>
      </w:tr>
      <w:tr>
        <w:trPr>
          <w:trHeight w:val="215"/>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1,828,362</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1,334,162</w:t>
            </w:r>
          </w:p>
        </w:tc>
      </w:tr>
      <w:tr>
        <w:trPr>
          <w:trHeight w:val="215"/>
        </w:trPr>
        <w:tc>
          <w:tcPr>
            <w:tcW w:w="8560" w:type="dxa"/>
            <w:vAlign w:val="bottom"/>
          </w:tcPr>
          <w:p>
            <w:pPr>
              <w:ind w:left="5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95"/>
              </w:rPr>
              <w:t>145,563,020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5"/>
              </w:rPr>
              <w:t>113,771,898</w:t>
            </w:r>
          </w:p>
        </w:tc>
      </w:tr>
      <w:tr>
        <w:trPr>
          <w:trHeight w:val="209"/>
        </w:trPr>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and loss adjustment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90,182,324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58,295,205</w:t>
            </w:r>
          </w:p>
        </w:tc>
      </w:tr>
      <w:tr>
        <w:trPr>
          <w:trHeight w:val="209"/>
        </w:trPr>
        <w:tc>
          <w:tcPr>
            <w:tcW w:w="8560" w:type="dxa"/>
            <w:vAlign w:val="bottom"/>
          </w:tcPr>
          <w:p>
            <w:pPr>
              <w:ind w:left="360"/>
              <w:spacing w:after="0"/>
              <w:rPr>
                <w:sz w:val="20"/>
                <w:szCs w:val="20"/>
                <w:color w:val="auto"/>
              </w:rPr>
            </w:pPr>
            <w:r>
              <w:rPr>
                <w:rFonts w:ascii="Arial" w:cs="Arial" w:eastAsia="Arial" w:hAnsi="Arial"/>
                <w:sz w:val="17"/>
                <w:szCs w:val="17"/>
                <w:color w:val="auto"/>
              </w:rPr>
              <w:t>Commission expense</w:t>
            </w:r>
          </w:p>
        </w:tc>
        <w:tc>
          <w:tcPr>
            <w:tcW w:w="2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30,193,175</w:t>
            </w:r>
          </w:p>
        </w:tc>
        <w:tc>
          <w:tcPr>
            <w:tcW w:w="26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25,342,137</w:t>
            </w:r>
          </w:p>
        </w:tc>
      </w:tr>
      <w:tr>
        <w:trPr>
          <w:trHeight w:val="209"/>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underwriting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24,420,208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20,943,342</w:t>
            </w:r>
          </w:p>
        </w:tc>
      </w:tr>
      <w:tr>
        <w:trPr>
          <w:trHeight w:val="209"/>
        </w:trPr>
        <w:tc>
          <w:tcPr>
            <w:tcW w:w="8560" w:type="dxa"/>
            <w:vAlign w:val="bottom"/>
          </w:tcPr>
          <w:p>
            <w:pPr>
              <w:ind w:left="360"/>
              <w:spacing w:after="0"/>
              <w:rPr>
                <w:sz w:val="20"/>
                <w:szCs w:val="20"/>
                <w:color w:val="auto"/>
              </w:rPr>
            </w:pPr>
            <w:r>
              <w:rPr>
                <w:rFonts w:ascii="Arial" w:cs="Arial" w:eastAsia="Arial" w:hAnsi="Arial"/>
                <w:sz w:val="17"/>
                <w:szCs w:val="17"/>
                <w:color w:val="auto"/>
              </w:rPr>
              <w:t>Other operating expenses</w:t>
            </w:r>
          </w:p>
        </w:tc>
        <w:tc>
          <w:tcPr>
            <w:tcW w:w="2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4,177,731</w:t>
            </w:r>
          </w:p>
        </w:tc>
        <w:tc>
          <w:tcPr>
            <w:tcW w:w="26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2,575,404</w:t>
            </w:r>
          </w:p>
        </w:tc>
      </w:tr>
      <w:tr>
        <w:trPr>
          <w:trHeight w:val="209"/>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2,545,946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1,787,150</w:t>
            </w:r>
          </w:p>
        </w:tc>
      </w:tr>
      <w:tr>
        <w:trPr>
          <w:trHeight w:val="215"/>
        </w:trPr>
        <w:tc>
          <w:tcPr>
            <w:tcW w:w="856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1,826,180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1,821,597</w:t>
            </w:r>
          </w:p>
        </w:tc>
      </w:tr>
      <w:tr>
        <w:trPr>
          <w:trHeight w:val="215"/>
        </w:trPr>
        <w:tc>
          <w:tcPr>
            <w:tcW w:w="8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expenses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95"/>
              </w:rPr>
              <w:t>153,345,564</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5"/>
              </w:rPr>
              <w:t>110,764,835</w:t>
            </w:r>
          </w:p>
        </w:tc>
      </w:tr>
      <w:tr>
        <w:trPr>
          <w:trHeight w:val="209"/>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income from operations before taxes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(7,782,544)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3,007,063</w:t>
            </w:r>
          </w:p>
        </w:tc>
      </w:tr>
      <w:tr>
        <w:trPr>
          <w:trHeight w:val="215"/>
        </w:trPr>
        <w:tc>
          <w:tcPr>
            <w:tcW w:w="8560" w:type="dxa"/>
            <w:vAlign w:val="bottom"/>
          </w:tcPr>
          <w:p>
            <w:pPr>
              <w:ind w:left="360"/>
              <w:spacing w:after="0"/>
              <w:rPr>
                <w:sz w:val="20"/>
                <w:szCs w:val="20"/>
                <w:color w:val="auto"/>
              </w:rPr>
            </w:pPr>
            <w:r>
              <w:rPr>
                <w:rFonts w:ascii="Arial" w:cs="Arial" w:eastAsia="Arial" w:hAnsi="Arial"/>
                <w:sz w:val="17"/>
                <w:szCs w:val="17"/>
                <w:color w:val="auto"/>
              </w:rPr>
              <w:t>Income tax benefit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(1,816,191)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(86,183)</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(loss) income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(5,966,353)</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3,093,246</w:t>
            </w:r>
          </w:p>
        </w:tc>
      </w:tr>
      <w:tr>
        <w:trPr>
          <w:trHeight w:val="209"/>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comprehensive income (loss), net of tax</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560" w:type="dxa"/>
            <w:vAlign w:val="bottom"/>
          </w:tcPr>
          <w:p>
            <w:pPr>
              <w:ind w:left="360"/>
              <w:spacing w:after="0"/>
              <w:rPr>
                <w:sz w:val="20"/>
                <w:szCs w:val="20"/>
                <w:color w:val="auto"/>
              </w:rPr>
            </w:pPr>
            <w:r>
              <w:rPr>
                <w:rFonts w:ascii="Arial" w:cs="Arial" w:eastAsia="Arial" w:hAnsi="Arial"/>
                <w:sz w:val="17"/>
                <w:szCs w:val="17"/>
                <w:color w:val="auto"/>
              </w:rPr>
              <w:t>Gross change in unrealized gains (losses)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85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on available-for-sale-securities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9,564,647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(4,984,149)</w:t>
            </w:r>
          </w:p>
        </w:tc>
      </w:tr>
      <w:tr>
        <w:trPr>
          <w:trHeight w:val="209"/>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Reclassification adjustment for losses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560" w:type="dxa"/>
            <w:vAlign w:val="bottom"/>
          </w:tcPr>
          <w:p>
            <w:pPr>
              <w:ind w:left="520"/>
              <w:spacing w:after="0"/>
              <w:rPr>
                <w:sz w:val="20"/>
                <w:szCs w:val="20"/>
                <w:color w:val="auto"/>
              </w:rPr>
            </w:pPr>
            <w:r>
              <w:rPr>
                <w:rFonts w:ascii="Arial" w:cs="Arial" w:eastAsia="Arial" w:hAnsi="Arial"/>
                <w:sz w:val="17"/>
                <w:szCs w:val="17"/>
                <w:color w:val="auto"/>
              </w:rPr>
              <w:t>included in net (loss) income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122,925</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464,254</w:t>
            </w:r>
          </w:p>
        </w:tc>
      </w:tr>
      <w:tr>
        <w:trPr>
          <w:trHeight w:val="209"/>
        </w:trPr>
        <w:tc>
          <w:tcPr>
            <w:tcW w:w="85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change in unrealized gains (losses)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9,687,572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(4,519,895)</w:t>
            </w:r>
          </w:p>
        </w:tc>
      </w:tr>
      <w:tr>
        <w:trPr>
          <w:trHeight w:val="209"/>
        </w:trPr>
        <w:tc>
          <w:tcPr>
            <w:tcW w:w="8560" w:type="dxa"/>
            <w:vAlign w:val="bottom"/>
          </w:tcPr>
          <w:p>
            <w:pPr>
              <w:ind w:left="360"/>
              <w:spacing w:after="0"/>
              <w:rPr>
                <w:sz w:val="20"/>
                <w:szCs w:val="20"/>
                <w:color w:val="auto"/>
              </w:rPr>
            </w:pPr>
            <w:r>
              <w:rPr>
                <w:rFonts w:ascii="Arial" w:cs="Arial" w:eastAsia="Arial" w:hAnsi="Arial"/>
                <w:sz w:val="17"/>
                <w:szCs w:val="17"/>
                <w:color w:val="auto"/>
              </w:rPr>
              <w:t>Income tax (expense) benefit related to items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5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of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(2,034,389)</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949,177</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Other comprehensive income (loss), net of tax</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7,653,183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(3,570,718)</w:t>
            </w:r>
          </w:p>
        </w:tc>
      </w:tr>
      <w:tr>
        <w:trPr>
          <w:trHeight w:val="209"/>
        </w:trPr>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1,686,830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(477,472)</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7"/>
                <w:szCs w:val="17"/>
                <w:b w:val="1"/>
                <w:bCs w:val="1"/>
                <w:color w:val="auto"/>
              </w:rPr>
              <w:t>(Loss) Earnings per common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0.29</w:t>
            </w:r>
          </w:p>
        </w:tc>
      </w:tr>
      <w:tr>
        <w:trPr>
          <w:trHeight w:val="201"/>
        </w:trPr>
        <w:tc>
          <w:tcPr>
            <w:tcW w:w="8560" w:type="dxa"/>
            <w:vAlign w:val="bottom"/>
          </w:tcPr>
          <w:p>
            <w:pPr>
              <w:ind w:left="32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0.29</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10,773,623</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10,686,813</w:t>
            </w:r>
          </w:p>
        </w:tc>
      </w:tr>
      <w:tr>
        <w:trPr>
          <w:trHeight w:val="201"/>
        </w:trPr>
        <w:tc>
          <w:tcPr>
            <w:tcW w:w="8560" w:type="dxa"/>
            <w:vAlign w:val="bottom"/>
          </w:tcPr>
          <w:p>
            <w:pPr>
              <w:ind w:left="32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10,773,623</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10,716,886</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0.325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0.400</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713676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these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70" w:name="page71"/>
    <w:bookmarkEnd w:id="70"/>
    <w:p>
      <w:pPr>
        <w:ind w:left="706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Accumulated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150"/>
              <w:spacing w:after="0"/>
              <w:rPr>
                <w:sz w:val="20"/>
                <w:szCs w:val="20"/>
                <w:color w:val="auto"/>
              </w:rPr>
            </w:pPr>
            <w:r>
              <w:rPr>
                <w:rFonts w:ascii="Arial" w:cs="Arial" w:eastAsia="Arial" w:hAnsi="Arial"/>
                <w:sz w:val="12"/>
                <w:szCs w:val="12"/>
                <w:b w:val="1"/>
                <w:bCs w:val="1"/>
                <w:color w:val="auto"/>
                <w:w w:val="89"/>
              </w:rPr>
              <w:t>Capital</w:t>
            </w:r>
          </w:p>
        </w:tc>
        <w:tc>
          <w:tcPr>
            <w:tcW w:w="200" w:type="dxa"/>
            <w:vAlign w:val="bottom"/>
          </w:tcPr>
          <w:p>
            <w:pPr>
              <w:spacing w:after="0"/>
              <w:rPr>
                <w:sz w:val="13"/>
                <w:szCs w:val="13"/>
                <w:color w:val="auto"/>
              </w:rPr>
            </w:pPr>
          </w:p>
        </w:tc>
        <w:tc>
          <w:tcPr>
            <w:tcW w:w="800" w:type="dxa"/>
            <w:vAlign w:val="bottom"/>
          </w:tcPr>
          <w:p>
            <w:pPr>
              <w:jc w:val="center"/>
              <w:ind w:right="189"/>
              <w:spacing w:after="0"/>
              <w:rPr>
                <w:sz w:val="20"/>
                <w:szCs w:val="20"/>
                <w:color w:val="auto"/>
              </w:rPr>
            </w:pPr>
            <w:r>
              <w:rPr>
                <w:rFonts w:ascii="Arial" w:cs="Arial" w:eastAsia="Arial" w:hAnsi="Arial"/>
                <w:sz w:val="12"/>
                <w:szCs w:val="12"/>
                <w:b w:val="1"/>
                <w:bCs w:val="1"/>
                <w:color w:val="auto"/>
                <w:w w:val="93"/>
              </w:rPr>
              <w:t>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5"/>
        </w:trPr>
        <w:tc>
          <w:tcPr>
            <w:tcW w:w="1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2"/>
                <w:szCs w:val="12"/>
                <w:b w:val="1"/>
                <w:bCs w:val="1"/>
                <w:color w:val="auto"/>
              </w:rPr>
              <w:t>Preferred Stock</w:t>
            </w: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820" w:type="dxa"/>
            <w:vAlign w:val="bottom"/>
          </w:tcPr>
          <w:p>
            <w:pPr>
              <w:jc w:val="center"/>
              <w:ind w:right="130"/>
              <w:spacing w:after="0"/>
              <w:rPr>
                <w:sz w:val="20"/>
                <w:szCs w:val="20"/>
                <w:color w:val="auto"/>
              </w:rPr>
            </w:pPr>
            <w:r>
              <w:rPr>
                <w:rFonts w:ascii="Arial" w:cs="Arial" w:eastAsia="Arial" w:hAnsi="Arial"/>
                <w:sz w:val="12"/>
                <w:szCs w:val="12"/>
                <w:b w:val="1"/>
                <w:bCs w:val="1"/>
                <w:color w:val="auto"/>
                <w:w w:val="82"/>
              </w:rPr>
              <w:t>in Excess</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Comprehensive</w:t>
            </w:r>
          </w:p>
        </w:tc>
        <w:tc>
          <w:tcPr>
            <w:tcW w:w="20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Arial" w:cs="Arial" w:eastAsia="Arial" w:hAnsi="Arial"/>
                <w:sz w:val="12"/>
                <w:szCs w:val="12"/>
                <w:b w:val="1"/>
                <w:bCs w:val="1"/>
                <w:color w:val="auto"/>
                <w:w w:val="98"/>
              </w:rPr>
              <w:t>Retained</w:t>
            </w:r>
          </w:p>
        </w:tc>
        <w:tc>
          <w:tcPr>
            <w:tcW w:w="202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2"/>
                <w:szCs w:val="12"/>
                <w:b w:val="1"/>
                <w:bCs w:val="1"/>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3"/>
        </w:trPr>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0"/>
              <w:spacing w:after="0"/>
              <w:rPr>
                <w:sz w:val="20"/>
                <w:szCs w:val="20"/>
                <w:color w:val="auto"/>
              </w:rPr>
            </w:pPr>
            <w:r>
              <w:rPr>
                <w:rFonts w:ascii="Arial" w:cs="Arial" w:eastAsia="Arial" w:hAnsi="Arial"/>
                <w:sz w:val="12"/>
                <w:szCs w:val="12"/>
                <w:b w:val="1"/>
                <w:bCs w:val="1"/>
                <w:color w:val="auto"/>
                <w:w w:val="93"/>
              </w:rPr>
              <w:t>of Par</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w w:val="97"/>
              </w:rPr>
              <w:t>Earnings</w:t>
            </w:r>
          </w:p>
        </w:tc>
        <w:tc>
          <w:tcPr>
            <w:tcW w:w="102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2"/>
                <w:szCs w:val="12"/>
                <w:b w:val="1"/>
                <w:bCs w:val="1"/>
                <w:color w:val="auto"/>
              </w:rPr>
              <w:t>Total</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December</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31, 2017, as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6"/>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reported</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11,618,646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116,186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6"/>
              </w:rPr>
              <w:t>68,380,390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1,100,647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27,152,822</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986,809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(2,172,299)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94,577,746</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Cumulative effect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of adoption of</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updated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accounting</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guidance for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equity financial</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instruments at</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2"/>
        </w:trPr>
        <w:tc>
          <w:tcPr>
            <w:tcW w:w="1140" w:type="dxa"/>
            <w:vAlign w:val="bottom"/>
          </w:tcPr>
          <w:p>
            <w:pPr>
              <w:ind w:left="160"/>
              <w:spacing w:after="0"/>
              <w:rPr>
                <w:sz w:val="20"/>
                <w:szCs w:val="20"/>
                <w:color w:val="auto"/>
              </w:rPr>
            </w:pPr>
            <w:r>
              <w:rPr>
                <w:rFonts w:ascii="Arial" w:cs="Arial" w:eastAsia="Arial" w:hAnsi="Arial"/>
                <w:sz w:val="14"/>
                <w:szCs w:val="14"/>
                <w:color w:val="auto"/>
                <w:w w:val="95"/>
              </w:rPr>
              <w:t>January 1, 2018</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(414,242)</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414,242</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7"/>
        </w:trPr>
        <w:tc>
          <w:tcPr>
            <w:tcW w:w="1920" w:type="dxa"/>
            <w:vAlign w:val="bottom"/>
            <w:gridSpan w:val="2"/>
            <w:shd w:val="clear" w:color="auto" w:fill="CCEEFF"/>
          </w:tcPr>
          <w:p>
            <w:pPr>
              <w:ind w:left="480"/>
              <w:spacing w:after="0" w:line="157" w:lineRule="exact"/>
              <w:rPr>
                <w:sz w:val="20"/>
                <w:szCs w:val="20"/>
                <w:color w:val="auto"/>
              </w:rPr>
            </w:pPr>
            <w:r>
              <w:rPr>
                <w:rFonts w:ascii="Arial" w:cs="Arial" w:eastAsia="Arial" w:hAnsi="Arial"/>
                <w:sz w:val="14"/>
                <w:szCs w:val="14"/>
                <w:color w:val="auto"/>
              </w:rPr>
              <w:t>2018, as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6"/>
        </w:trPr>
        <w:tc>
          <w:tcPr>
            <w:tcW w:w="1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adjusted</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11,618,646</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116,186</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6"/>
              </w:rPr>
              <w:t>68,380,390</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686,405</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27,567,064</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986,809</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(2,172,299)</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94,577,746</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6"/>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compensation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702,650</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702,650</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Shares deducted</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from exercise of</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stock options for</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payment of</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withholding</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6"/>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taxes</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(72,063)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(1,356,452)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(1,357,171)</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Vesting of</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restricted stock</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6"/>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awards</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19,482</w:t>
            </w:r>
          </w:p>
        </w:tc>
        <w:tc>
          <w:tcPr>
            <w:tcW w:w="2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(190)</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Shares deducted</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from restricted</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stock awards for</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payment of</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19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withholding</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6"/>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taxes</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(2,877)</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(50,975)</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(51,004)</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Exercise of stock</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6"/>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options</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211,960</w:t>
            </w:r>
          </w:p>
        </w:tc>
        <w:tc>
          <w:tcPr>
            <w:tcW w:w="2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2,123</w:t>
            </w:r>
          </w:p>
        </w:tc>
        <w:tc>
          <w:tcPr>
            <w:tcW w:w="22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88,517</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90,640</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Acquisition of</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6"/>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treasury stock</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40,630</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(540,253)</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(540,253)</w:t>
            </w:r>
          </w:p>
        </w:tc>
      </w:tr>
      <w:tr>
        <w:trPr>
          <w:trHeight w:val="157"/>
        </w:trPr>
        <w:tc>
          <w:tcPr>
            <w:tcW w:w="192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(4,279,494)</w:t>
            </w:r>
          </w:p>
        </w:tc>
        <w:tc>
          <w:tcPr>
            <w:tcW w:w="102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(4,279,494)</w:t>
            </w:r>
          </w:p>
        </w:tc>
      </w:tr>
      <w:tr>
        <w:trPr>
          <w:trHeight w:val="157"/>
        </w:trPr>
        <w:tc>
          <w:tcPr>
            <w:tcW w:w="19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3,093,246</w:t>
            </w:r>
          </w:p>
        </w:tc>
        <w:tc>
          <w:tcPr>
            <w:tcW w:w="102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3,093,246</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comprehensive</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2"/>
        </w:trPr>
        <w:tc>
          <w:tcPr>
            <w:tcW w:w="1140" w:type="dxa"/>
            <w:vAlign w:val="bottom"/>
          </w:tcPr>
          <w:p>
            <w:pPr>
              <w:ind w:left="160"/>
              <w:spacing w:after="0"/>
              <w:rPr>
                <w:sz w:val="20"/>
                <w:szCs w:val="20"/>
                <w:color w:val="auto"/>
              </w:rPr>
            </w:pPr>
            <w:r>
              <w:rPr>
                <w:rFonts w:ascii="Arial" w:cs="Arial" w:eastAsia="Arial" w:hAnsi="Arial"/>
                <w:sz w:val="14"/>
                <w:szCs w:val="14"/>
                <w:color w:val="auto"/>
              </w:rPr>
              <w:t>loss</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7"/>
              </w:rPr>
              <w:t>(3,570,718)</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(3,570,718)</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December</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6"/>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31, 2018</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11,775,148</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117,751</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6"/>
              </w:rPr>
              <w:t>67,763,940</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7"/>
              </w:rPr>
              <w:t>(2,884,313)</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26,380,816</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1,027,439</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(2,712,552)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88,665,642</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6"/>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compensation</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1,501,377</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1,501,377</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7"/>
        </w:trPr>
        <w:tc>
          <w:tcPr>
            <w:tcW w:w="19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restricted stock</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6"/>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awards</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58,246</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(580)</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Shares deducted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from restricted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stock awards for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payment of</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withholding</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6"/>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taxes</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(11,505)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(154,339)</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(154,452)</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Exercise of stock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6"/>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options</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23,520</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23,550</w:t>
            </w:r>
          </w:p>
        </w:tc>
      </w:tr>
      <w:tr>
        <w:trPr>
          <w:trHeight w:val="157"/>
        </w:trPr>
        <w:tc>
          <w:tcPr>
            <w:tcW w:w="192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3"/>
                <w:szCs w:val="13"/>
                <w:color w:val="auto"/>
              </w:rPr>
            </w:pPr>
          </w:p>
        </w:tc>
        <w:tc>
          <w:tcPr>
            <w:tcW w:w="3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(3,501,366)</w:t>
            </w:r>
          </w:p>
        </w:tc>
        <w:tc>
          <w:tcPr>
            <w:tcW w:w="102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(3,501,366)</w:t>
            </w:r>
          </w:p>
        </w:tc>
      </w:tr>
      <w:tr>
        <w:trPr>
          <w:trHeight w:val="157"/>
        </w:trPr>
        <w:tc>
          <w:tcPr>
            <w:tcW w:w="19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loss</w:t>
            </w:r>
          </w:p>
        </w:tc>
        <w:tc>
          <w:tcPr>
            <w:tcW w:w="2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(5,966,353)</w:t>
            </w:r>
          </w:p>
        </w:tc>
        <w:tc>
          <w:tcPr>
            <w:tcW w:w="102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(5,966,353)</w:t>
            </w: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7"/>
        </w:trPr>
        <w:tc>
          <w:tcPr>
            <w:tcW w:w="19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comprehensive</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2"/>
        </w:trPr>
        <w:tc>
          <w:tcPr>
            <w:tcW w:w="1140" w:type="dxa"/>
            <w:vAlign w:val="bottom"/>
          </w:tcPr>
          <w:p>
            <w:pPr>
              <w:ind w:left="160"/>
              <w:spacing w:after="0"/>
              <w:rPr>
                <w:sz w:val="20"/>
                <w:szCs w:val="20"/>
                <w:color w:val="auto"/>
              </w:rPr>
            </w:pPr>
            <w:r>
              <w:rPr>
                <w:rFonts w:ascii="Arial" w:cs="Arial" w:eastAsia="Arial" w:hAnsi="Arial"/>
                <w:sz w:val="14"/>
                <w:szCs w:val="14"/>
                <w:color w:val="auto"/>
              </w:rPr>
              <w:t>income</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7,653,183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7,653,183</w:t>
            </w: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December</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06"/>
        </w:trPr>
        <w:tc>
          <w:tcPr>
            <w:tcW w:w="1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31, 2019</w:t>
            </w: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11,824,889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118,248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96"/>
              </w:rPr>
              <w:t>69,133,918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4,768,870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16,913,097</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1,027,439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(2,712,552)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88,221,581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13676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these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1" w:name="page72"/>
    <w:bookmarkEnd w:id="71"/>
    <w:p>
      <w:pPr>
        <w:ind w:left="706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i w:val="1"/>
                <w:iCs w:val="1"/>
                <w:color w:val="auto"/>
              </w:rPr>
              <w:t>Years ended December 31,</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46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Cash flows from operating activities</w:t>
            </w: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(5,966,353)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3,093,246</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Adjustments to reconcile net (loss) income to net cash flows provided by operating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(gains) losses on sale of investments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(28,845)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93,974</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Net unrealized (gains) losses of equity investments</w:t>
            </w: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(3,832,486)</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2,257,727</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unrealized (gains) losses of other investments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(729,688)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144,156</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2,545,946</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1,787,150</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Bad debts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(112,761)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(252,492)</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Amortization of bond premium, net</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417,119</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373,014</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Amortization of discount and issuance costs on long-term debt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176,180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168,286</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Stock-based compensation</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1,501,377</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702,650</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income tax benefit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(1,991,208)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(5,398)</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(Increase) decrease in operating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Premiums receivable,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1,367,949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(491,409)</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Reinsurance receivables, net</w:t>
            </w: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w w:val="97"/>
              </w:rPr>
              <w:t>(14,383,423)</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2,152,015</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policy acquisition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(2,726,641)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(3,060,501)</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(1,096,732)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(3,215,227)</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operating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Loss and loss adjustment expense reserves</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24,301,505</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7,397,484</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Unearned premiums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11,351,107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13,384,468</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Advance premiums</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1,083,883</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629,936</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Reinsurance balances payable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9,781,348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(630,590)</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Deferred ceding commission revenue</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5,048,721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(1,579,735)</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 accrued expenses and 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3,152,051</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(653,388)</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29,859,049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22,295,366</w:t>
            </w:r>
          </w:p>
        </w:tc>
      </w:tr>
      <w:tr>
        <w:trPr>
          <w:trHeight w:val="209"/>
        </w:trPr>
        <w:tc>
          <w:tcPr>
            <w:tcW w:w="8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 - fixed-maturity securities, available-for-sale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7"/>
              </w:rPr>
              <w:t>(23,881,518)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(58,542,741)</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Purchase - equity securities</w:t>
            </w: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(9,578,765)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7"/>
              </w:rPr>
              <w:t>(13,380,542)</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 and redemption - fixed-maturity securities, held-to-maturity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400,000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624,963</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Sale and maturity - fixed-maturity securities, available-for-sale</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16,567,284</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21,381,668</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 - equity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5,458,953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9,246,840</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Acquisition of fixed assets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(3,939,653)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(2,731,502)</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flows used in investing activitie</w:t>
            </w:r>
            <w:r>
              <w:rPr>
                <w:rFonts w:ascii="Arial" w:cs="Arial" w:eastAsia="Arial" w:hAnsi="Arial"/>
                <w:sz w:val="17"/>
                <w:szCs w:val="17"/>
                <w:color w:val="auto"/>
              </w:rPr>
              <w: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7"/>
              </w:rPr>
              <w:t>(14,973,699)</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(43,401,314)</w:t>
            </w:r>
          </w:p>
        </w:tc>
      </w:tr>
      <w:tr>
        <w:trPr>
          <w:trHeight w:val="209"/>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23,550</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90,640</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Withholding taxes paid on net exercise of stock options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(1,357,171)</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Withholding taxes paid on vested retricted stock awards</w:t>
            </w: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(154,452)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(51,004)</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 of treasury stock</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(540,253)</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Dividends paid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(3,501,366)</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(4,279,494)</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flows used in financing activitie</w:t>
            </w:r>
            <w:r>
              <w:rPr>
                <w:rFonts w:ascii="Arial" w:cs="Arial" w:eastAsia="Arial" w:hAnsi="Arial"/>
                <w:sz w:val="17"/>
                <w:szCs w:val="17"/>
                <w:color w:val="auto"/>
              </w:rPr>
              <w: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(3,632,268)</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(6,137,282)</w:t>
            </w:r>
          </w:p>
        </w:tc>
      </w:tr>
      <w:tr>
        <w:trPr>
          <w:trHeight w:val="209"/>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11,253,082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(27,243,230)</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21,138,403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48,381,633</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32,391,485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21,138,403</w:t>
            </w:r>
          </w:p>
        </w:tc>
      </w:tr>
      <w:tr>
        <w:trPr>
          <w:trHeight w:val="201"/>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Cash paid for income taxes</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388,000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2,201,000</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paid for interest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1,650,000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1,700,417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13676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these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72" w:name="page73"/>
    <w:bookmarkEnd w:id="72"/>
    <w:p>
      <w:pPr>
        <w:jc w:val="center"/>
        <w:ind w:right="-79"/>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YEARS ENDED DECEMBER 31, 2019 AND 2018</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w:t>
      </w:r>
    </w:p>
    <w:p>
      <w:pPr>
        <w:spacing w:after="0" w:line="227"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Kingstone Companies, Inc. (referred to herein as "Kingstone" or the “Company”), through its wholly owned subsidiary, Kingstone Insurance Company (“KICO”), underwrites property and casualty insurance and individuals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85.0% and 93.7% of KICO’s direct written premiums for the years ended December 31, 2019 and 2018, respectively, came from the New York policies. Kingstone, through its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223" w:lineRule="exact"/>
        <w:rPr>
          <w:sz w:val="20"/>
          <w:szCs w:val="20"/>
          <w:color w:val="auto"/>
        </w:rPr>
      </w:pPr>
    </w:p>
    <w:p>
      <w:pPr>
        <w:ind w:right="500"/>
        <w:spacing w:after="0" w:line="281"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consolidated financial statements consist of the financials for Kingstone and its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Premiums Earned</w:t>
      </w:r>
    </w:p>
    <w:p>
      <w:pPr>
        <w:spacing w:after="0" w:line="223"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Ceding Commission Revenue</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160"/>
          </w:cols>
          <w:pgMar w:left="320" w:top="493" w:right="41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auto"/>
        </w:rPr>
        <w:t>Loss and Loss Adjustment Expenses (“LAE”) Reserves</w:t>
      </w:r>
    </w:p>
    <w:p>
      <w:pPr>
        <w:spacing w:after="0" w:line="22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In the normal course of business, the Company seeks to reduce the loss that may arise from catastrophes or other events that cause unfavorable underwriting results.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is done by reinsuring certain levels of risk in various areas of exposure with a panel of financially secure reinsurance carriers.</w:t>
      </w:r>
    </w:p>
    <w:p>
      <w:pPr>
        <w:spacing w:after="0" w:line="216" w:lineRule="exact"/>
        <w:rPr>
          <w:sz w:val="20"/>
          <w:szCs w:val="20"/>
          <w:color w:val="auto"/>
        </w:rPr>
      </w:pPr>
    </w:p>
    <w:p>
      <w:pPr>
        <w:jc w:val="both"/>
        <w:ind w:right="320"/>
        <w:spacing w:after="0" w:line="293" w:lineRule="auto"/>
        <w:rPr>
          <w:sz w:val="20"/>
          <w:szCs w:val="20"/>
          <w:color w:val="auto"/>
        </w:rPr>
      </w:pPr>
      <w:r>
        <w:rPr>
          <w:rFonts w:ascii="Arial" w:cs="Arial" w:eastAsia="Arial" w:hAnsi="Arial"/>
          <w:sz w:val="15"/>
          <w:szCs w:val="15"/>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w:t>
      </w:r>
    </w:p>
    <w:p>
      <w:pPr>
        <w:ind w:right="120"/>
        <w:spacing w:after="0" w:line="265" w:lineRule="auto"/>
        <w:rPr>
          <w:sz w:val="20"/>
          <w:szCs w:val="20"/>
          <w:color w:val="auto"/>
        </w:rPr>
      </w:pPr>
      <w:r>
        <w:rPr>
          <w:rFonts w:ascii="Arial" w:cs="Arial" w:eastAsia="Arial" w:hAnsi="Arial"/>
          <w:sz w:val="17"/>
          <w:szCs w:val="17"/>
          <w:color w:val="auto"/>
        </w:rPr>
        <w:t>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operations and comprehensive income (loss) are net of reinsurance recoveries.</w:t>
      </w:r>
    </w:p>
    <w:p>
      <w:pPr>
        <w:spacing w:after="0" w:line="1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pacing w:after="0" w:line="16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2019 and 2018. The Company did not expense any uncollectible reinsurance for the years ended December 31, 2019 and 2018.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223" w:lineRule="exact"/>
        <w:rPr>
          <w:sz w:val="20"/>
          <w:szCs w:val="20"/>
          <w:color w:val="auto"/>
        </w:rPr>
      </w:pPr>
    </w:p>
    <w:p>
      <w:pPr>
        <w:ind w:right="540"/>
        <w:spacing w:after="0" w:line="281" w:lineRule="auto"/>
        <w:rPr>
          <w:sz w:val="20"/>
          <w:szCs w:val="20"/>
          <w:color w:val="auto"/>
        </w:rPr>
      </w:pPr>
      <w:r>
        <w:rPr>
          <w:rFonts w:ascii="Arial" w:cs="Arial" w:eastAsia="Arial" w:hAnsi="Arial"/>
          <w:sz w:val="17"/>
          <w:szCs w:val="17"/>
          <w:color w:val="auto"/>
        </w:rPr>
        <w:t>The Company considers all highly liquid investments with original maturities of three months or less to be cash equivalents. The Company maintains its cash balances at several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w:t>
      </w:r>
    </w:p>
    <w:p>
      <w:pPr>
        <w:spacing w:after="0" w:line="2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Company classifies its fixed-maturity securities as either held-to-maturity or available-for-sale. Effective January 1, 2018, the Company adopted Accounting Standards Update (“ASU”) 2016-01– Financial Instruments – Overall (Subtopic 825-10): Recognition and Measurement of Financial Assets and Financial Liabilities (“ASU 2016-01”), which resulted in changes in the estimated fair value of equity securities and other investments being reported in net income (loss) instead of other comprehensive income (loss). For additional discussion, see Note 2, Accounting Changes. The Company may sell its available-for-sale securities, equity securities, and other investments in response to changes in interest rates, risk/reward characteristics, liquidity needs or other factors. Fixed-maturity securities that the Company has the specific intent and ability to hold until maturity are classified as such and carried at amortized cost.</w:t>
      </w:r>
    </w:p>
    <w:p>
      <w:pPr>
        <w:spacing w:after="0" w:line="176" w:lineRule="exact"/>
        <w:rPr>
          <w:sz w:val="20"/>
          <w:szCs w:val="20"/>
          <w:color w:val="auto"/>
        </w:rPr>
      </w:pPr>
    </w:p>
    <w:p>
      <w:pPr>
        <w:ind w:right="300"/>
        <w:spacing w:after="0" w:line="320" w:lineRule="auto"/>
        <w:rPr>
          <w:sz w:val="20"/>
          <w:szCs w:val="20"/>
          <w:color w:val="auto"/>
        </w:rPr>
      </w:pPr>
      <w:r>
        <w:rPr>
          <w:rFonts w:ascii="Arial" w:cs="Arial" w:eastAsia="Arial" w:hAnsi="Arial"/>
          <w:sz w:val="15"/>
          <w:szCs w:val="15"/>
          <w:color w:val="auto"/>
        </w:rPr>
        <w:t>Available-for-sale securities are reported at their estimated fair values based on quoted market prices from recognized pricing services, with unrealized gains and losses, net of tax effects, reported as a separate component of accumulated other comprehensive income (loss). Realized gains and losses are determined on the specific identification method and reported in net income (loss) in the consolidated statements of operations and comprehensive income (loss).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Equity securities are reported at their estimated fair values based on quoted market prices from recognized pricing services, with unrealized gains and losses reported in net income (loss). Other investments are reported at their estimated fair values using the net asset value (“NAV”) per share (or its equivalent) of the instrument with unrealized gains and losses reported in net income (loss). See Note 3, Investments for additional discussion.</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$1,922,000 and $1,721,000 as of December 31, 2019 and 2018, respectively, and is included in other assets on the accompanying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Premiums Receivable</w:t>
      </w:r>
    </w:p>
    <w:p>
      <w:pPr>
        <w:spacing w:after="0" w:line="223"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color w:val="auto"/>
        </w:rPr>
        <w:t>Premiums receivable include balances due currently or in the future and are presented net of an allowance for doubtful accounts of approximately $338,000 and $255,000 as of December 31, 2019 and 2018,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$113,000 and $252,000 were written off for the years ended December 31, 2019 and 2018, respectively.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auto"/>
        </w:rPr>
        <w:t>Deferred Policy Acquisition Costs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related premiums are earned.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w:t>
      </w:r>
    </w:p>
    <w:p>
      <w:pPr>
        <w:spacing w:after="0" w:line="249"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2019 and 2018.</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and Equipment</w:t>
      </w:r>
    </w:p>
    <w:p>
      <w:pPr>
        <w:spacing w:after="0" w:line="22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computer software, automobiles, furniture and other equipment is three years, and building and building improvements is 39 years.</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2019 and 2018, the fair value of the real estate assets is estimated to be in excess of the carrying value.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2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(loss) in the period that includes the enactment date. The Company files a consolidated tax return with its subsidiaries. At December 31, 2019 and 2018, the Company had no material unrecognized tax benefits and no adjustments to liabilities or operations were required.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auto"/>
        </w:rPr>
        <w:t>Assessments</w:t>
      </w:r>
    </w:p>
    <w:p>
      <w:pPr>
        <w:spacing w:after="0" w:line="223"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Insurance related assessments are accrued in the period in which they have been incurred. A typical obligating event would be the issuance of an insurance policy or the occurrence of a claim. The Company is subject to a variety of assessments.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Credit Risk and Market Risk</w:t>
      </w:r>
    </w:p>
    <w:p>
      <w:pPr>
        <w:spacing w:after="0" w:line="223" w:lineRule="exact"/>
        <w:rPr>
          <w:sz w:val="20"/>
          <w:szCs w:val="20"/>
          <w:color w:val="auto"/>
        </w:rPr>
      </w:pPr>
    </w:p>
    <w:p>
      <w:pPr>
        <w:jc w:val="both"/>
        <w:ind w:right="140"/>
        <w:spacing w:after="0" w:line="320" w:lineRule="auto"/>
        <w:rPr>
          <w:sz w:val="20"/>
          <w:szCs w:val="20"/>
          <w:color w:val="auto"/>
        </w:rPr>
      </w:pPr>
      <w:r>
        <w:rPr>
          <w:rFonts w:ascii="Arial" w:cs="Arial" w:eastAsia="Arial" w:hAnsi="Arial"/>
          <w:sz w:val="15"/>
          <w:szCs w:val="15"/>
          <w:color w:val="auto"/>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spacing w:after="0" w:line="14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employs a variety of investment strategies.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2018, the Company’s cash equivalents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99"/>
        </w:trPr>
        <w:tc>
          <w:tcPr>
            <w:tcW w:w="8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r>
      <w:tr>
        <w:trPr>
          <w:trHeight w:val="235"/>
        </w:trPr>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Collateralized bank repurchase agreement (1)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941,792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568,123</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12,583,957</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15,012,559</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13,525,749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15,580,682</w:t>
            </w:r>
          </w:p>
        </w:tc>
      </w:tr>
    </w:tbl>
    <w:p>
      <w:pPr>
        <w:spacing w:after="0" w:line="201" w:lineRule="exact"/>
        <w:rPr>
          <w:sz w:val="20"/>
          <w:szCs w:val="20"/>
          <w:color w:val="auto"/>
        </w:rPr>
      </w:pPr>
    </w:p>
    <w:p>
      <w:pPr>
        <w:ind w:left="640" w:right="340" w:hanging="8"/>
        <w:spacing w:after="0" w:line="350" w:lineRule="auto"/>
        <w:tabs>
          <w:tab w:leader="none" w:pos="878"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124" w:lineRule="exact"/>
        <w:rPr>
          <w:sz w:val="20"/>
          <w:szCs w:val="20"/>
          <w:color w:val="auto"/>
        </w:rPr>
      </w:pPr>
    </w:p>
    <w:p>
      <w:pPr>
        <w:ind w:right="700"/>
        <w:spacing w:after="0" w:line="350" w:lineRule="auto"/>
        <w:rPr>
          <w:sz w:val="20"/>
          <w:szCs w:val="20"/>
          <w:color w:val="auto"/>
        </w:rPr>
      </w:pPr>
      <w:r>
        <w:rPr>
          <w:rFonts w:ascii="Arial" w:cs="Arial" w:eastAsia="Arial" w:hAnsi="Arial"/>
          <w:sz w:val="15"/>
          <w:szCs w:val="15"/>
          <w:color w:val="auto"/>
        </w:rPr>
        <w:t>At December 31, 2019, the outstanding premiums receivable balance is generally diversified due to the large number of individual insureds comprising the Company’s customer base. Approximately 85% of the Company’s customer base is concentrated in the New York City metropolitan area.</w:t>
      </w:r>
    </w:p>
    <w:p>
      <w:pPr>
        <w:spacing w:after="0" w:line="124"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quarterly as well as the bad debt write-offs experienced in the past and establish an allowance for doubtful accounts, if deemed necessary.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7" w:name="page78"/>
    <w:bookmarkEnd w:id="77"/>
    <w:p>
      <w:pPr>
        <w:ind w:right="180"/>
        <w:spacing w:after="0" w:line="281" w:lineRule="auto"/>
        <w:rPr>
          <w:sz w:val="20"/>
          <w:szCs w:val="20"/>
          <w:color w:val="auto"/>
        </w:rPr>
      </w:pPr>
      <w:r>
        <w:rPr>
          <w:rFonts w:ascii="Arial" w:cs="Arial" w:eastAsia="Arial" w:hAnsi="Arial"/>
          <w:sz w:val="17"/>
          <w:szCs w:val="17"/>
          <w:color w:val="auto"/>
        </w:rPr>
        <w:t>Direct premiums earned from lines of business in excess of 10% of the total subject the Company to concentration risk for the years ended December 31, 2019 and 2018 as follows:</w:t>
      </w:r>
    </w:p>
    <w:p>
      <w:pPr>
        <w:spacing w:after="0" w:line="21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5715</wp:posOffset>
            </wp:positionV>
            <wp:extent cx="170942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r>
      <w:tr>
        <w:trPr>
          <w:trHeight w:val="209"/>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83.5%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20" w:type="dxa"/>
            <w:vAlign w:val="bottom"/>
          </w:tcPr>
          <w:p>
            <w:pPr>
              <w:spacing w:after="0"/>
              <w:rPr>
                <w:sz w:val="18"/>
                <w:szCs w:val="18"/>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n/a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20" w:type="dxa"/>
            <w:vAlign w:val="bottom"/>
          </w:tcPr>
          <w:p>
            <w:pPr>
              <w:spacing w:after="0"/>
              <w:rPr>
                <w:sz w:val="18"/>
                <w:szCs w:val="18"/>
                <w:color w:val="auto"/>
              </w:rPr>
            </w:pPr>
          </w:p>
        </w:tc>
      </w:tr>
      <w:tr>
        <w:trPr>
          <w:trHeight w:val="209"/>
        </w:trPr>
        <w:tc>
          <w:tcPr>
            <w:tcW w:w="9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premiums earned subject to concentration</w:t>
            </w: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83.5%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20" w:type="dxa"/>
            <w:vAlign w:val="bottom"/>
          </w:tcPr>
          <w:p>
            <w:pPr>
              <w:spacing w:after="0"/>
              <w:rPr>
                <w:sz w:val="18"/>
                <w:szCs w:val="18"/>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Premiums earned not subject to concentration (1)</w:t>
            </w:r>
          </w:p>
        </w:tc>
        <w:tc>
          <w:tcPr>
            <w:tcW w:w="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16.5%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premiums earned</w:t>
            </w:r>
          </w:p>
        </w:tc>
        <w:tc>
          <w:tcPr>
            <w:tcW w:w="8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6"/>
              </w:rPr>
              <w:t>100.0%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Premiums earned not subject to concentration is comprised of two different lines of 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Basic earnings per common share is computed by dividing income available to common stockholders by the weighted-average number of common shares outstanding. Diluted earnings per common share reflects, in periods in which they have a dilutive effect, the impact of common shares issuable upon the exercise of stock options as well as non-vested restricted stock awards. The computation of diluted earnings per share excludes those options with an exercise price in excess of the average market price of the Company’s common shares during the periods presented. Additionally, the computation of diluted earnings per share excludes unvested restricted stock awards as calculated using the treasury stock method.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Costs</w:t>
      </w:r>
    </w:p>
    <w:p>
      <w:pPr>
        <w:spacing w:after="0" w:line="223" w:lineRule="exact"/>
        <w:rPr>
          <w:sz w:val="20"/>
          <w:szCs w:val="20"/>
          <w:color w:val="auto"/>
        </w:rPr>
      </w:pPr>
    </w:p>
    <w:p>
      <w:pPr>
        <w:ind w:right="120"/>
        <w:spacing w:after="0" w:line="350" w:lineRule="auto"/>
        <w:rPr>
          <w:sz w:val="20"/>
          <w:szCs w:val="20"/>
          <w:color w:val="auto"/>
        </w:rPr>
      </w:pPr>
      <w:r>
        <w:rPr>
          <w:rFonts w:ascii="Arial" w:cs="Arial" w:eastAsia="Arial" w:hAnsi="Arial"/>
          <w:sz w:val="15"/>
          <w:szCs w:val="15"/>
          <w:color w:val="auto"/>
        </w:rPr>
        <w:t>Advertising costs are charged to operations as incurred. Advertising costs are included in other underwriting expenses in the accompanying consolidated statements of operations and comprehensive income (loss) and were approximately $153,000 and $173,000 for the years ended December 31, 2019 and 2018, respectively.</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497" w:right="31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auto"/>
        </w:rPr>
        <w:t>Stock-based Compensation</w:t>
      </w:r>
    </w:p>
    <w:p>
      <w:pPr>
        <w:spacing w:after="0" w:line="223"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Stock-based compensation expense in 2019 and 2018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Compensated Absences</w:t>
      </w:r>
    </w:p>
    <w:p>
      <w:pPr>
        <w:spacing w:after="0" w:line="223" w:lineRule="exact"/>
        <w:rPr>
          <w:sz w:val="20"/>
          <w:szCs w:val="20"/>
          <w:color w:val="auto"/>
        </w:rPr>
      </w:pPr>
    </w:p>
    <w:p>
      <w:pPr>
        <w:ind w:right="420"/>
        <w:spacing w:after="0" w:line="320" w:lineRule="auto"/>
        <w:rPr>
          <w:sz w:val="20"/>
          <w:szCs w:val="20"/>
          <w:color w:val="auto"/>
        </w:rPr>
      </w:pPr>
      <w:r>
        <w:rPr>
          <w:rFonts w:ascii="Arial" w:cs="Arial" w:eastAsia="Arial" w:hAnsi="Arial"/>
          <w:sz w:val="15"/>
          <w:szCs w:val="15"/>
          <w:color w:val="auto"/>
        </w:rPr>
        <w:t>Employees of the Company are entitled to paid vacations,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w:t>
      </w:r>
    </w:p>
    <w:p>
      <w:pPr>
        <w:spacing w:after="0" w:line="223" w:lineRule="exact"/>
        <w:rPr>
          <w:sz w:val="20"/>
          <w:szCs w:val="20"/>
          <w:color w:val="auto"/>
        </w:rPr>
      </w:pPr>
    </w:p>
    <w:p>
      <w:pPr>
        <w:jc w:val="both"/>
        <w:ind w:right="300"/>
        <w:spacing w:after="0" w:line="268" w:lineRule="auto"/>
        <w:rPr>
          <w:sz w:val="20"/>
          <w:szCs w:val="20"/>
          <w:color w:val="auto"/>
        </w:rPr>
      </w:pPr>
      <w:r>
        <w:rPr>
          <w:rFonts w:ascii="Arial" w:cs="Arial" w:eastAsia="Arial" w:hAnsi="Arial"/>
          <w:sz w:val="17"/>
          <w:szCs w:val="17"/>
          <w:color w:val="auto"/>
        </w:rPr>
        <w:t>Comprehensive income (loss) refers to revenues, expenses, gains and losses that are included in comprehensive income (loss) but are excluded from net income (loss) as these amounts are recorded directly as an adjustment to stockholders' equity, primarily from changes in unrealized gains and losses on available-for-sale securities, and related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22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 August 2018, the Securities and Exchange Commission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Company adopted the provisions of this Release effective January 1, 2019.</w:t>
      </w:r>
    </w:p>
    <w:p>
      <w:pPr>
        <w:spacing w:after="0" w:line="17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February 2016, the Financial Accounting Standards Board (“FASB”) issued ASU 2016-02 – Leases (Topic 842) (“ASU 2016-02”). Under this ASU,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Company adopted ASU 2016-02 effective January 1, 2019 using the cumulative effect adjustment transition method, which applies the provision of the standard at the effective date without adjusting the comparative periods presented. The adoption of the updated guidance resulted in the Company recognizing a right-of-use asset of $855,000 as part of other assets and a lease liability of $855,000 as part of accounts payable, accrued expenses and other liabilities in the consolidated balance sheet. The right-of-use asset is amortized as rent expense on a straight line basis. The adoption of this ASU did not have a material effect on the Company's results of operations or liquidity.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9" w:name="page80"/>
    <w:bookmarkEnd w:id="79"/>
    <w:p>
      <w:pPr>
        <w:ind w:right="80"/>
        <w:spacing w:after="0" w:line="282" w:lineRule="auto"/>
        <w:rPr>
          <w:sz w:val="20"/>
          <w:szCs w:val="20"/>
          <w:color w:val="auto"/>
        </w:rPr>
      </w:pPr>
      <w:r>
        <w:rPr>
          <w:rFonts w:ascii="Arial" w:cs="Arial" w:eastAsia="Arial" w:hAnsi="Arial"/>
          <w:sz w:val="16"/>
          <w:szCs w:val="16"/>
          <w:color w:val="auto"/>
        </w:rPr>
        <w:t>In May 2014, the FASB issued ASU 2014-09 – Revenue from Contracts with Customers (Topic 606) (“ASU 2014-09”). The core principle of the new guidance is that an entity should recognize revenue to reflect the transfer of goods and services to customers in an amount equal to the consideration the entity receives or expects to receive. The Company adopted ASU 2014-09 effective January 1, 2018. The standard excludes from its scope the accounting for insurance contracts, financial instruments, and certain other agreements that are governed under other GAAP guidance. Accordingly, the adoption of ASU 2014-09, as amended, did not have a material impact on the Company’s consolidated financial statements.</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January 2016, the FASB issued ASU 2016-01. Effective January 1, 2018, the Company adopted the provisions of ASU 2016-01. The updated guidance requires equity investments, including limited partnership interests, except those accounted for under the equity method of accounting, that have a readily determinable fair value to be measured at fair value with any changes in fair value recognized in net income. Equity securities that do not have readily determinable fair values may be measured at estimated fair value or cost less impairment, if any, adjusted for subsequent observable price changes, with changes in the carrying value recognized in net income. A qualitative assessment for impairment is required for equity investments without readily determinable fair values. The updated guidance also eliminates the requirement to disclose the method and significant assumptions used to estimate the fair value of financial instruments measured at amortized cost on the balance sheet. The adoption of this guidance resulted in the recognition of approximately $414,000 of net after-tax unrealized gains on equity investments as a cumulative effect adjustment that increased retained earnings as of January 1, 2018 and decreased accumulated other comprehensive income (loss) (“AOCI”) by the same amount. For the year ended December 31, 2018, net loss on investments of approximately $2,496,000 were recorded in the consolidated statements of operations and comprehensive income (loss), which includes net losses of approximately $2,402,000 from the estimated fair value change of equity securities and other investments.</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August 2016, the FASB issued ASU 2016-15 – Statement of Cash Flows (Topic 320): Classification of Certain Cash Receipts and Cash Payments (“ASU 2016-15”). The revised ASU provides accounting guidance for eight specific cash flow issues. The FASB issued the standard to clarify areas where GAAP has been either unclear or lacking in specific guidance. The Company adopted ASU 2016-15 effective January 1, 2018, and it did not have a material impact on the Company’s consolidated financial statements.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(“ASU 2017-09”).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Company adopted this ASU effective January 1, 2018 on a prospective basis and it did not have a material impact on the Company’s consolidated financial statements.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22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consolidated financial statements.</w:t>
      </w:r>
    </w:p>
    <w:p>
      <w:pPr>
        <w:spacing w:after="0" w:line="161"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In December 2019, the FASB issued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 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Early adoption is permitted. The Company is currently evaluating the impact of this guidance on its financial condition and results of operations.</w:t>
      </w:r>
    </w:p>
    <w:p>
      <w:pPr>
        <w:spacing w:after="0" w:line="169"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Available-for-Sale Securities</w:t>
      </w:r>
    </w:p>
    <w:p>
      <w:pPr>
        <w:spacing w:after="0" w:line="223"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The amortized cost and estimated fair value of investments in available-for-sale fixed-maturity securities as of December 31, 2019 and December 31, 2018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2"/>
          </w:tcPr>
          <w:p>
            <w:pPr>
              <w:ind w:left="860"/>
              <w:spacing w:after="0"/>
              <w:rPr>
                <w:sz w:val="20"/>
                <w:szCs w:val="20"/>
                <w:color w:val="auto"/>
              </w:rPr>
            </w:pPr>
            <w:r>
              <w:rPr>
                <w:rFonts w:ascii="Arial" w:cs="Arial" w:eastAsia="Arial" w:hAnsi="Arial"/>
                <w:sz w:val="12"/>
                <w:szCs w:val="12"/>
                <w:b w:val="1"/>
                <w:bCs w:val="1"/>
                <w:color w:val="auto"/>
              </w:rPr>
              <w:t>December 31, 2019</w:t>
            </w:r>
          </w:p>
        </w:tc>
        <w:tc>
          <w:tcPr>
            <w:tcW w:w="1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118"/>
        </w:trPr>
        <w:tc>
          <w:tcPr>
            <w:tcW w:w="3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Net</w:t>
            </w:r>
          </w:p>
        </w:tc>
      </w:tr>
      <w:tr>
        <w:trPr>
          <w:trHeight w:val="149"/>
        </w:trPr>
        <w:tc>
          <w:tcPr>
            <w:tcW w:w="3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0"/>
              </w:rPr>
              <w:t>Cost or</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0"/>
              </w:rPr>
              <w:t>Gross</w:t>
            </w:r>
          </w:p>
        </w:tc>
        <w:tc>
          <w:tcPr>
            <w:tcW w:w="2700" w:type="dxa"/>
            <w:vAlign w:val="bottom"/>
            <w:tcBorders>
              <w:bottom w:val="single" w:sz="8" w:color="auto"/>
            </w:tcBorders>
            <w:gridSpan w:val="2"/>
          </w:tcPr>
          <w:p>
            <w:pPr>
              <w:ind w:left="740"/>
              <w:spacing w:after="0"/>
              <w:rPr>
                <w:sz w:val="20"/>
                <w:szCs w:val="20"/>
                <w:color w:val="auto"/>
              </w:rPr>
            </w:pPr>
            <w:r>
              <w:rPr>
                <w:rFonts w:ascii="Arial" w:cs="Arial" w:eastAsia="Arial" w:hAnsi="Arial"/>
                <w:sz w:val="12"/>
                <w:szCs w:val="12"/>
                <w:b w:val="1"/>
                <w:bCs w:val="1"/>
                <w:color w:val="auto"/>
              </w:rPr>
              <w:t>Gross Unrealized Losses</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0"/>
              </w:rPr>
              <w:t>Estimated</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8"/>
              </w:rPr>
              <w:t>Unrealized</w:t>
            </w:r>
          </w:p>
        </w:tc>
      </w:tr>
      <w:tr>
        <w:trPr>
          <w:trHeight w:val="118"/>
        </w:trPr>
        <w:tc>
          <w:tcPr>
            <w:tcW w:w="316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Amortized</w:t>
            </w:r>
          </w:p>
        </w:tc>
        <w:tc>
          <w:tcPr>
            <w:tcW w:w="13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Unrealized</w:t>
            </w:r>
          </w:p>
        </w:tc>
        <w:tc>
          <w:tcPr>
            <w:tcW w:w="13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85"/>
              </w:rPr>
              <w:t>Less than 12</w:t>
            </w:r>
          </w:p>
        </w:tc>
        <w:tc>
          <w:tcPr>
            <w:tcW w:w="13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More than 12</w:t>
            </w:r>
          </w:p>
        </w:tc>
        <w:tc>
          <w:tcPr>
            <w:tcW w:w="13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0"/>
              </w:rPr>
              <w:t>Fair</w:t>
            </w:r>
          </w:p>
        </w:tc>
        <w:tc>
          <w:tcPr>
            <w:tcW w:w="13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87"/>
              </w:rPr>
              <w:t>Gains/</w:t>
            </w:r>
          </w:p>
        </w:tc>
      </w:tr>
      <w:tr>
        <w:trPr>
          <w:trHeight w:val="149"/>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Cost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Gains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Months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Months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(Losses)</w:t>
            </w:r>
          </w:p>
        </w:tc>
      </w:tr>
    </w:tbl>
    <w:p>
      <w:pPr>
        <w:spacing w:after="0" w:line="200" w:lineRule="exact"/>
        <w:rPr>
          <w:sz w:val="20"/>
          <w:szCs w:val="20"/>
          <w:color w:val="auto"/>
        </w:rPr>
      </w:pPr>
    </w:p>
    <w:p>
      <w:pPr>
        <w:sectPr>
          <w:pgSz w:w="11900" w:h="16838" w:orient="portrait"/>
          <w:cols w:equalWidth="0" w:num="1">
            <w:col w:w="11240"/>
          </w:cols>
          <w:pgMar w:left="320" w:top="493" w:right="339" w:bottom="1440" w:gutter="0" w:footer="0" w:header="0"/>
        </w:sectPr>
      </w:pPr>
    </w:p>
    <w:p>
      <w:pPr>
        <w:spacing w:after="0" w:line="22" w:lineRule="exact"/>
        <w:rPr>
          <w:sz w:val="20"/>
          <w:szCs w:val="20"/>
          <w:color w:val="auto"/>
        </w:rPr>
      </w:pPr>
    </w:p>
    <w:p>
      <w:pPr>
        <w:ind w:left="40" w:right="600"/>
        <w:spacing w:after="0" w:line="271" w:lineRule="auto"/>
        <w:rPr>
          <w:sz w:val="20"/>
          <w:szCs w:val="20"/>
          <w:color w:val="auto"/>
        </w:rPr>
      </w:pPr>
      <w:r>
        <w:rPr>
          <w:rFonts w:ascii="Arial" w:cs="Arial" w:eastAsia="Arial" w:hAnsi="Arial"/>
          <w:sz w:val="13"/>
          <w:szCs w:val="13"/>
          <w:b w:val="1"/>
          <w:bCs w:val="1"/>
          <w:color w:val="auto"/>
        </w:rPr>
        <w:t xml:space="preserve">Fixed-Maturity Securities: </w:t>
      </w:r>
      <w:r>
        <w:rPr>
          <w:rFonts w:ascii="Arial" w:cs="Arial" w:eastAsia="Arial" w:hAnsi="Arial"/>
          <w:sz w:val="13"/>
          <w:szCs w:val="13"/>
          <w:color w:val="auto"/>
        </w:rPr>
        <w:t>U.S. Treasury securities and obligations of U.S. government corporations and agencies</w:t>
      </w:r>
    </w:p>
    <w:p>
      <w:pPr>
        <w:spacing w:after="0" w:line="113" w:lineRule="exact"/>
        <w:rPr>
          <w:sz w:val="20"/>
          <w:szCs w:val="20"/>
          <w:color w:val="auto"/>
        </w:rPr>
      </w:pPr>
    </w:p>
    <w:p>
      <w:pPr>
        <w:ind w:left="40" w:right="600" w:firstLine="3"/>
        <w:spacing w:after="0" w:line="304" w:lineRule="auto"/>
        <w:rPr>
          <w:sz w:val="20"/>
          <w:szCs w:val="20"/>
          <w:color w:val="auto"/>
        </w:rPr>
      </w:pPr>
      <w:r>
        <w:rPr>
          <w:rFonts w:ascii="Arial" w:cs="Arial" w:eastAsia="Arial" w:hAnsi="Arial"/>
          <w:sz w:val="13"/>
          <w:szCs w:val="13"/>
          <w:color w:val="auto"/>
        </w:rPr>
        <w:t>Political subdivisions of States, Territories and Possessions</w:t>
      </w:r>
    </w:p>
    <w:p>
      <w:pPr>
        <w:spacing w:after="0" w:line="92" w:lineRule="exact"/>
        <w:rPr>
          <w:sz w:val="20"/>
          <w:szCs w:val="20"/>
          <w:color w:val="auto"/>
        </w:rPr>
      </w:pPr>
    </w:p>
    <w:p>
      <w:pPr>
        <w:ind w:left="40" w:right="760"/>
        <w:spacing w:after="0" w:line="349" w:lineRule="auto"/>
        <w:rPr>
          <w:sz w:val="20"/>
          <w:szCs w:val="20"/>
          <w:color w:val="auto"/>
        </w:rPr>
      </w:pPr>
      <w:r>
        <w:rPr>
          <w:rFonts w:ascii="Arial" w:cs="Arial" w:eastAsia="Arial" w:hAnsi="Arial"/>
          <w:sz w:val="12"/>
          <w:szCs w:val="12"/>
          <w:color w:val="auto"/>
        </w:rPr>
        <w:t>Corporate and other bonds Industrial and miscellaneous</w:t>
      </w:r>
    </w:p>
    <w:p>
      <w:pPr>
        <w:spacing w:after="0" w:line="69" w:lineRule="exact"/>
        <w:rPr>
          <w:sz w:val="20"/>
          <w:szCs w:val="20"/>
          <w:color w:val="auto"/>
        </w:rPr>
      </w:pPr>
    </w:p>
    <w:p>
      <w:pPr>
        <w:ind w:left="40" w:right="600"/>
        <w:spacing w:after="0" w:line="295" w:lineRule="auto"/>
        <w:rPr>
          <w:sz w:val="20"/>
          <w:szCs w:val="20"/>
          <w:color w:val="auto"/>
        </w:rPr>
      </w:pPr>
      <w:r>
        <w:rPr>
          <w:rFonts w:ascii="Arial" w:cs="Arial" w:eastAsia="Arial" w:hAnsi="Arial"/>
          <w:sz w:val="12"/>
          <w:szCs w:val="12"/>
          <w:color w:val="auto"/>
        </w:rPr>
        <w:t>Residential mortgage and other asset backed securities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7,037,856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23,244</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7,061,100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23,244</w:t>
            </w:r>
          </w:p>
        </w:tc>
      </w:tr>
      <w:tr>
        <w:trPr>
          <w:trHeight w:val="470"/>
        </w:trPr>
        <w:tc>
          <w:tcPr>
            <w:tcW w:w="36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9,151,293</w:t>
            </w:r>
          </w:p>
        </w:tc>
        <w:tc>
          <w:tcPr>
            <w:tcW w:w="4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181,835</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(11,316)</w:t>
            </w:r>
          </w:p>
        </w:tc>
        <w:tc>
          <w:tcPr>
            <w:tcW w:w="44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9,321,812</w:t>
            </w:r>
          </w:p>
        </w:tc>
        <w:tc>
          <w:tcPr>
            <w:tcW w:w="4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170,519</w:t>
            </w:r>
          </w:p>
        </w:tc>
      </w:tr>
      <w:tr>
        <w:trPr>
          <w:trHeight w:val="470"/>
        </w:trPr>
        <w:tc>
          <w:tcPr>
            <w:tcW w:w="36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119,874,573</w:t>
            </w:r>
          </w:p>
        </w:tc>
        <w:tc>
          <w:tcPr>
            <w:tcW w:w="4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5,777,624</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(16,685)</w:t>
            </w:r>
          </w:p>
        </w:tc>
        <w:tc>
          <w:tcPr>
            <w:tcW w:w="4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(13,473)</w:t>
            </w:r>
          </w:p>
        </w:tc>
        <w:tc>
          <w:tcPr>
            <w:tcW w:w="3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125,622,039</w:t>
            </w:r>
          </w:p>
        </w:tc>
        <w:tc>
          <w:tcPr>
            <w:tcW w:w="4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5,747,466</w:t>
            </w:r>
          </w:p>
        </w:tc>
      </w:tr>
      <w:tr>
        <w:trPr>
          <w:trHeight w:val="461"/>
        </w:trPr>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26,138,633</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437,841</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(68,793)</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(276,451)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26,231,230</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92,597</w:t>
            </w:r>
          </w:p>
        </w:tc>
      </w:tr>
      <w:tr>
        <w:trPr>
          <w:trHeight w:val="157"/>
        </w:trPr>
        <w:tc>
          <w:tcPr>
            <w:tcW w:w="3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162,202,355</w:t>
            </w:r>
          </w:p>
        </w:tc>
        <w:tc>
          <w:tcPr>
            <w:tcW w:w="4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6,420,544</w:t>
            </w:r>
          </w:p>
        </w:tc>
        <w:tc>
          <w:tcPr>
            <w:tcW w:w="4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(96,794)</w:t>
            </w:r>
          </w:p>
        </w:tc>
        <w:tc>
          <w:tcPr>
            <w:tcW w:w="4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(289,924)</w:t>
            </w:r>
          </w:p>
        </w:tc>
        <w:tc>
          <w:tcPr>
            <w:tcW w:w="3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168,236,181</w:t>
            </w:r>
          </w:p>
        </w:tc>
        <w:tc>
          <w:tcPr>
            <w:tcW w:w="4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6,033,826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-1144270</wp:posOffset>
            </wp:positionV>
            <wp:extent cx="7136765" cy="99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36765" cy="9969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-945515</wp:posOffset>
            </wp:positionV>
            <wp:extent cx="7136765" cy="99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36765" cy="9969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-746125</wp:posOffset>
            </wp:positionV>
            <wp:extent cx="7136765" cy="996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36765" cy="9969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-547370</wp:posOffset>
            </wp:positionV>
            <wp:extent cx="7136765" cy="996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36765" cy="9969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-347980</wp:posOffset>
            </wp:positionV>
            <wp:extent cx="7136765" cy="996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6765" cy="9969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-132080</wp:posOffset>
            </wp:positionV>
            <wp:extent cx="7136765" cy="132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20"/>
            <w:col w:w="8080"/>
          </w:cols>
          <w:pgMar w:left="320" w:top="493" w:right="339" w:bottom="1440" w:gutter="0" w:footer="0" w:header="0"/>
          <w:type w:val="continuous"/>
        </w:sectPr>
      </w:pPr>
    </w:p>
    <w:p>
      <w:pPr>
        <w:spacing w:after="0" w:line="1" w:lineRule="exact"/>
        <w:rPr>
          <w:sz w:val="20"/>
          <w:szCs w:val="20"/>
          <w:color w:val="auto"/>
        </w:rPr>
      </w:pPr>
    </w:p>
    <w:p>
      <w:pPr>
        <w:ind w:left="640" w:right="80" w:hanging="322"/>
        <w:spacing w:after="0" w:line="310" w:lineRule="auto"/>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KICO placed certain residential mortgage backed securities as eligible collateral in a designated custodian account related to its membership in the Federal Home Loan Bank of New York ("FHLBNY") (See Note 9). The eligible collateral would be pledged to FHLBNY if KICO draws an advance from the FHLBNY credit line. As of December 31, 2019, the estimated fair value of the eligible investments was approximately $7,284,000. KICO will retain all rights regarding all securities if pledged as collateral. As of December 31, 2019, there was no outstanding balance on the FHLBNY credit line.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3"/>
        </w:trPr>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61"/>
              <w:spacing w:after="0" w:line="143" w:lineRule="exact"/>
              <w:rPr>
                <w:sz w:val="20"/>
                <w:szCs w:val="20"/>
                <w:color w:val="auto"/>
              </w:rPr>
            </w:pPr>
            <w:r>
              <w:rPr>
                <w:rFonts w:ascii="Arial" w:cs="Arial" w:eastAsia="Arial" w:hAnsi="Arial"/>
                <w:sz w:val="14"/>
                <w:szCs w:val="14"/>
                <w:b w:val="1"/>
                <w:bCs w:val="1"/>
                <w:color w:val="auto"/>
                <w:w w:val="97"/>
              </w:rPr>
              <w:t>Net</w:t>
            </w:r>
          </w:p>
        </w:tc>
      </w:tr>
      <w:tr>
        <w:trPr>
          <w:trHeight w:val="176"/>
        </w:trPr>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Cost or</w:t>
            </w:r>
          </w:p>
        </w:tc>
        <w:tc>
          <w:tcPr>
            <w:tcW w:w="28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Gross Unrealized Losses</w:t>
            </w:r>
          </w:p>
        </w:tc>
        <w:tc>
          <w:tcPr>
            <w:tcW w:w="280" w:type="dxa"/>
            <w:vAlign w:val="bottom"/>
          </w:tcPr>
          <w:p>
            <w:pPr>
              <w:spacing w:after="0"/>
              <w:rPr>
                <w:sz w:val="15"/>
                <w:szCs w:val="15"/>
                <w:color w:val="auto"/>
              </w:rPr>
            </w:pPr>
          </w:p>
        </w:tc>
        <w:tc>
          <w:tcPr>
            <w:tcW w:w="106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5"/>
                <w:szCs w:val="15"/>
                <w:color w:val="auto"/>
              </w:rPr>
            </w:pPr>
          </w:p>
        </w:tc>
        <w:tc>
          <w:tcPr>
            <w:tcW w:w="106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Unrealized</w:t>
            </w:r>
          </w:p>
        </w:tc>
      </w:tr>
      <w:tr>
        <w:trPr>
          <w:trHeight w:val="143"/>
        </w:trPr>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80"/>
              <w:spacing w:after="0" w:line="14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60" w:type="dxa"/>
            <w:vAlign w:val="bottom"/>
          </w:tcPr>
          <w:p>
            <w:pPr>
              <w:jc w:val="center"/>
              <w:ind w:right="160"/>
              <w:spacing w:after="0" w:line="143"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120" w:type="dxa"/>
            <w:vAlign w:val="bottom"/>
          </w:tcPr>
          <w:p>
            <w:pPr>
              <w:jc w:val="right"/>
              <w:ind w:right="221"/>
              <w:spacing w:after="0" w:line="143" w:lineRule="exact"/>
              <w:rPr>
                <w:sz w:val="20"/>
                <w:szCs w:val="20"/>
                <w:color w:val="auto"/>
              </w:rPr>
            </w:pPr>
            <w:r>
              <w:rPr>
                <w:rFonts w:ascii="Arial" w:cs="Arial" w:eastAsia="Arial" w:hAnsi="Arial"/>
                <w:sz w:val="14"/>
                <w:szCs w:val="14"/>
                <w:b w:val="1"/>
                <w:bCs w:val="1"/>
                <w:color w:val="auto"/>
                <w:w w:val="94"/>
              </w:rPr>
              <w:t>Less than 12</w:t>
            </w:r>
          </w:p>
        </w:tc>
        <w:tc>
          <w:tcPr>
            <w:tcW w:w="220" w:type="dxa"/>
            <w:vAlign w:val="bottom"/>
          </w:tcPr>
          <w:p>
            <w:pPr>
              <w:spacing w:after="0"/>
              <w:rPr>
                <w:sz w:val="12"/>
                <w:szCs w:val="12"/>
                <w:color w:val="auto"/>
              </w:rPr>
            </w:pPr>
          </w:p>
        </w:tc>
        <w:tc>
          <w:tcPr>
            <w:tcW w:w="1100" w:type="dxa"/>
            <w:vAlign w:val="bottom"/>
          </w:tcPr>
          <w:p>
            <w:pPr>
              <w:jc w:val="right"/>
              <w:ind w:right="159"/>
              <w:spacing w:after="0" w:line="143" w:lineRule="exact"/>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2"/>
                <w:szCs w:val="12"/>
                <w:color w:val="auto"/>
              </w:rPr>
            </w:pPr>
          </w:p>
        </w:tc>
        <w:tc>
          <w:tcPr>
            <w:tcW w:w="1060" w:type="dxa"/>
            <w:vAlign w:val="bottom"/>
          </w:tcPr>
          <w:p>
            <w:pPr>
              <w:jc w:val="center"/>
              <w:ind w:right="160"/>
              <w:spacing w:after="0" w:line="14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060" w:type="dxa"/>
            <w:vAlign w:val="bottom"/>
          </w:tcPr>
          <w:p>
            <w:pPr>
              <w:jc w:val="center"/>
              <w:ind w:right="181"/>
              <w:spacing w:after="0" w:line="143" w:lineRule="exact"/>
              <w:rPr>
                <w:sz w:val="20"/>
                <w:szCs w:val="20"/>
                <w:color w:val="auto"/>
              </w:rPr>
            </w:pPr>
            <w:r>
              <w:rPr>
                <w:rFonts w:ascii="Arial" w:cs="Arial" w:eastAsia="Arial" w:hAnsi="Arial"/>
                <w:sz w:val="14"/>
                <w:szCs w:val="14"/>
                <w:b w:val="1"/>
                <w:bCs w:val="1"/>
                <w:color w:val="auto"/>
                <w:w w:val="93"/>
              </w:rPr>
              <w:t>Gains/</w:t>
            </w:r>
          </w:p>
        </w:tc>
      </w:tr>
      <w:tr>
        <w:trPr>
          <w:trHeight w:val="17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Months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6"/>
              </w:rPr>
              <w:t>(Losses)</w:t>
            </w:r>
          </w:p>
        </w:tc>
      </w:tr>
      <w:tr>
        <w:trPr>
          <w:trHeight w:val="468"/>
        </w:trPr>
        <w:tc>
          <w:tcPr>
            <w:tcW w:w="316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316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3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8,222,050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26,331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(28,000)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8,220,381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(1,669)</w:t>
            </w:r>
          </w:p>
        </w:tc>
      </w:tr>
      <w:tr>
        <w:trPr>
          <w:trHeight w:val="209"/>
        </w:trPr>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316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28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6,339,540</w:t>
            </w:r>
          </w:p>
        </w:tc>
        <w:tc>
          <w:tcPr>
            <w:tcW w:w="2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50,903</w:t>
            </w:r>
          </w:p>
        </w:tc>
        <w:tc>
          <w:tcPr>
            <w:tcW w:w="2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(12,327)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(36,508)</w:t>
            </w:r>
          </w:p>
        </w:tc>
        <w:tc>
          <w:tcPr>
            <w:tcW w:w="2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6,341,608</w:t>
            </w:r>
          </w:p>
        </w:tc>
        <w:tc>
          <w:tcPr>
            <w:tcW w:w="28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7"/>
                <w:szCs w:val="17"/>
                <w:color w:val="auto"/>
              </w:rPr>
              <w:t>2,068</w:t>
            </w:r>
          </w:p>
        </w:tc>
      </w:tr>
      <w:tr>
        <w:trPr>
          <w:trHeight w:val="209"/>
        </w:trPr>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316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w w:val="97"/>
              </w:rPr>
              <w:t>119,078,698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123,740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(2,775,540)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(676,605)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w w:val="95"/>
              </w:rPr>
              <w:t>115,750,293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(3,328,405)</w:t>
            </w:r>
          </w:p>
        </w:tc>
      </w:tr>
      <w:tr>
        <w:trPr>
          <w:trHeight w:val="209"/>
        </w:trPr>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3160" w:type="dxa"/>
            <w:vAlign w:val="bottom"/>
          </w:tcPr>
          <w:p>
            <w:pPr>
              <w:ind w:left="200"/>
              <w:spacing w:after="0"/>
              <w:rPr>
                <w:sz w:val="20"/>
                <w:szCs w:val="20"/>
                <w:color w:val="auto"/>
              </w:rPr>
            </w:pPr>
            <w:r>
              <w:rPr>
                <w:rFonts w:ascii="Arial" w:cs="Arial" w:eastAsia="Arial" w:hAnsi="Arial"/>
                <w:sz w:val="17"/>
                <w:szCs w:val="17"/>
                <w:color w:val="auto"/>
              </w:rPr>
              <w:t>asset backed securities (1)</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21,790,973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236,502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(231,229)</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(331,012)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21,465,234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(325,739)</w:t>
            </w:r>
          </w:p>
        </w:tc>
      </w:tr>
      <w:tr>
        <w:trPr>
          <w:trHeight w:val="24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97"/>
              </w:rPr>
              <w:t>155,431,261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437,476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(3,047,096)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(1,044,125)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95"/>
              </w:rPr>
              <w:t>151,777,516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(3,653,745)</w:t>
            </w:r>
          </w:p>
        </w:tc>
      </w:tr>
    </w:tbl>
    <w:p>
      <w:pPr>
        <w:spacing w:after="0" w:line="201" w:lineRule="exact"/>
        <w:rPr>
          <w:sz w:val="20"/>
          <w:szCs w:val="20"/>
          <w:color w:val="auto"/>
        </w:rPr>
      </w:pPr>
    </w:p>
    <w:p>
      <w:pPr>
        <w:ind w:left="640" w:right="80" w:hanging="322"/>
        <w:spacing w:after="0" w:line="310" w:lineRule="auto"/>
        <w:tabs>
          <w:tab w:leader="none" w:pos="6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KICO placed certain residential mortgage backed securities as eligible collateral in a designated custodian account related to its membership in the Federal Home Loan Bank of New York ("FHLBNY") (See Note 9). The eligible collateral would be pledged to FHLBNY if KICO draws an advance from the FHLBNY credit line. As of December 31, 2018, the estimated fair value of the eligible investments was approximately $5,116,000. KICO will retain all rights regarding all securities if pledged as collateral. As of December 31, 2018, there was no outstanding balance on the FHLBNY credit line.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available-for-sale fixed-maturity securities by contractual maturity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and 2018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right"/>
              <w:ind w:right="618"/>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2018</w:t>
            </w:r>
          </w:p>
        </w:tc>
      </w:tr>
      <w:tr>
        <w:trPr>
          <w:trHeight w:val="143"/>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39"/>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8"/>
              <w:spacing w:after="0" w:line="143"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9"/>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6"/>
        </w:trPr>
        <w:tc>
          <w:tcPr>
            <w:tcW w:w="586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11,986,401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12,025,804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6,742,519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6,738,014</w:t>
            </w:r>
          </w:p>
        </w:tc>
        <w:tc>
          <w:tcPr>
            <w:tcW w:w="120" w:type="dxa"/>
            <w:vAlign w:val="bottom"/>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49,715,422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51,000,025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47,038,838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46,640,012</w:t>
            </w:r>
          </w:p>
        </w:tc>
        <w:tc>
          <w:tcPr>
            <w:tcW w:w="120" w:type="dxa"/>
            <w:vAlign w:val="bottom"/>
          </w:tcPr>
          <w:p>
            <w:pPr>
              <w:spacing w:after="0"/>
              <w:rPr>
                <w:sz w:val="18"/>
                <w:szCs w:val="18"/>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69,850,104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74,410,275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76,884,505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74,290,076</w:t>
            </w:r>
          </w:p>
        </w:tc>
        <w:tc>
          <w:tcPr>
            <w:tcW w:w="120" w:type="dxa"/>
            <w:vAlign w:val="bottom"/>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4,511,795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4,568,847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2,974,426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2,644,180</w:t>
            </w:r>
          </w:p>
        </w:tc>
        <w:tc>
          <w:tcPr>
            <w:tcW w:w="120" w:type="dxa"/>
            <w:vAlign w:val="bottom"/>
          </w:tcPr>
          <w:p>
            <w:pPr>
              <w:spacing w:after="0"/>
              <w:rPr>
                <w:sz w:val="18"/>
                <w:szCs w:val="18"/>
                <w:color w:val="auto"/>
              </w:rPr>
            </w:pPr>
          </w:p>
        </w:tc>
      </w:tr>
      <w:tr>
        <w:trPr>
          <w:trHeight w:val="21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26,138,633</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26,231,230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21,790,973</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21,465,234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Total</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162,202,355</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168,236,181</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155,431,261</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151,777,516</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cost, estimated fair value, and gross gains and losses of investments in equity securities as of December 31, 2019 and 2018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51"/>
        </w:trPr>
        <w:tc>
          <w:tcPr>
            <w:tcW w:w="5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21"/>
                <w:szCs w:val="21"/>
                <w:color w:val="auto"/>
              </w:rPr>
            </w:pPr>
          </w:p>
        </w:tc>
        <w:tc>
          <w:tcPr>
            <w:tcW w:w="1020" w:type="dxa"/>
            <w:vAlign w:val="bottom"/>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22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469"/>
        </w:trPr>
        <w:tc>
          <w:tcPr>
            <w:tcW w:w="586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8,374,424</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339,257</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(11,794)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8,701,887</w:t>
            </w: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Common stocks, mutual funds,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and exchange traded funds</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14,250,244</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1,982,878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(273,627)</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15,959,495</w:t>
            </w: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22,624,668</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2,322,135</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(285,421)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24,661,382</w:t>
            </w: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52"/>
        </w:trPr>
        <w:tc>
          <w:tcPr>
            <w:tcW w:w="5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1"/>
        </w:trPr>
        <w:tc>
          <w:tcPr>
            <w:tcW w:w="5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21"/>
                <w:szCs w:val="21"/>
                <w:color w:val="auto"/>
              </w:rPr>
            </w:pPr>
          </w:p>
        </w:tc>
        <w:tc>
          <w:tcPr>
            <w:tcW w:w="1020" w:type="dxa"/>
            <w:vAlign w:val="bottom"/>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Estimated</w:t>
            </w:r>
          </w:p>
        </w:tc>
      </w:tr>
      <w:tr>
        <w:trPr>
          <w:trHeight w:val="22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469"/>
        </w:trPr>
        <w:tc>
          <w:tcPr>
            <w:tcW w:w="586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6,694,754</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(541,798)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6,152,956</w:t>
            </w: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Common stocks, mutual funds,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and exchange traded funds</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11,611,232</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99,817</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(1,291,389)</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10,419,660</w:t>
            </w: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18,305,986</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99,817</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(1,833,187)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16,572,616</w:t>
            </w: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cost, estimated fair value, and gross gains and losses of the Company’s other investments as of December 31, 2019 and 2018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51"/>
        </w:trPr>
        <w:tc>
          <w:tcPr>
            <w:tcW w:w="4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center"/>
              <w:ind w:right="262"/>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21"/>
                <w:szCs w:val="21"/>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Estimated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21"/>
                <w:szCs w:val="21"/>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w w:val="98"/>
              </w:rPr>
              <w:t>Estimated</w:t>
            </w:r>
          </w:p>
        </w:tc>
      </w:tr>
      <w:tr>
        <w:trPr>
          <w:trHeight w:val="226"/>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Cost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Fair Value</w:t>
            </w:r>
          </w:p>
        </w:tc>
      </w:tr>
      <w:tr>
        <w:trPr>
          <w:trHeight w:val="469"/>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585,532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2,584,913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1,999,381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(144,156)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1,855,225</w:t>
            </w: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1,999,381</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rPr>
              <w:t>585,532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2,584,913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1,999,381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(144,156)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1,855,225</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66"/>
        </w:trPr>
        <w:tc>
          <w:tcPr>
            <w:tcW w:w="4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7"/>
                <w:szCs w:val="17"/>
                <w:color w:val="auto"/>
              </w:rPr>
              <w:t>F-18</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The amortized cost and estimated fair value of investments in held-to-maturity fixed-maturity securities as of December 31, 2019 and 2018 are summarized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center"/>
              <w:ind w:right="168"/>
              <w:spacing w:after="0"/>
              <w:rPr>
                <w:sz w:val="20"/>
                <w:szCs w:val="20"/>
                <w:color w:val="auto"/>
              </w:rPr>
            </w:pPr>
            <w:r>
              <w:rPr>
                <w:rFonts w:ascii="Arial" w:cs="Arial" w:eastAsia="Arial" w:hAnsi="Arial"/>
                <w:sz w:val="12"/>
                <w:szCs w:val="12"/>
                <w:b w:val="1"/>
                <w:bCs w:val="1"/>
                <w:color w:val="auto"/>
                <w:w w:val="86"/>
              </w:rPr>
              <w:t>December 31, 2019</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50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right="130"/>
              <w:spacing w:after="0"/>
              <w:rPr>
                <w:sz w:val="20"/>
                <w:szCs w:val="20"/>
                <w:color w:val="auto"/>
              </w:rPr>
            </w:pPr>
            <w:r>
              <w:rPr>
                <w:rFonts w:ascii="Arial" w:cs="Arial" w:eastAsia="Arial" w:hAnsi="Arial"/>
                <w:sz w:val="12"/>
                <w:szCs w:val="12"/>
                <w:b w:val="1"/>
                <w:bCs w:val="1"/>
                <w:color w:val="auto"/>
                <w:w w:val="85"/>
              </w:rPr>
              <w:t>Cost or</w:t>
            </w:r>
          </w:p>
        </w:tc>
        <w:tc>
          <w:tcPr>
            <w:tcW w:w="260" w:type="dxa"/>
            <w:vAlign w:val="bottom"/>
          </w:tcPr>
          <w:p>
            <w:pPr>
              <w:spacing w:after="0"/>
              <w:rPr>
                <w:sz w:val="24"/>
                <w:szCs w:val="24"/>
                <w:color w:val="auto"/>
              </w:rPr>
            </w:pPr>
          </w:p>
        </w:tc>
        <w:tc>
          <w:tcPr>
            <w:tcW w:w="860" w:type="dxa"/>
            <w:vAlign w:val="bottom"/>
          </w:tcPr>
          <w:p>
            <w:pPr>
              <w:jc w:val="center"/>
              <w:ind w:right="150"/>
              <w:spacing w:after="0"/>
              <w:rPr>
                <w:sz w:val="20"/>
                <w:szCs w:val="20"/>
                <w:color w:val="auto"/>
              </w:rPr>
            </w:pPr>
            <w:r>
              <w:rPr>
                <w:rFonts w:ascii="Arial" w:cs="Arial" w:eastAsia="Arial" w:hAnsi="Arial"/>
                <w:sz w:val="12"/>
                <w:szCs w:val="12"/>
                <w:b w:val="1"/>
                <w:bCs w:val="1"/>
                <w:color w:val="auto"/>
                <w:w w:val="80"/>
              </w:rPr>
              <w:t>Gross</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2"/>
                <w:szCs w:val="12"/>
                <w:b w:val="1"/>
                <w:bCs w:val="1"/>
                <w:color w:val="auto"/>
                <w:w w:val="85"/>
              </w:rPr>
              <w:t>Gross Unrealized Losses</w:t>
            </w:r>
          </w:p>
        </w:tc>
        <w:tc>
          <w:tcPr>
            <w:tcW w:w="260" w:type="dxa"/>
            <w:vAlign w:val="bottom"/>
          </w:tcPr>
          <w:p>
            <w:pPr>
              <w:spacing w:after="0"/>
              <w:rPr>
                <w:sz w:val="24"/>
                <w:szCs w:val="24"/>
                <w:color w:val="auto"/>
              </w:rPr>
            </w:pPr>
          </w:p>
        </w:tc>
        <w:tc>
          <w:tcPr>
            <w:tcW w:w="860" w:type="dxa"/>
            <w:vAlign w:val="bottom"/>
          </w:tcPr>
          <w:p>
            <w:pPr>
              <w:jc w:val="center"/>
              <w:ind w:right="170"/>
              <w:spacing w:after="0"/>
              <w:rPr>
                <w:sz w:val="20"/>
                <w:szCs w:val="20"/>
                <w:color w:val="auto"/>
              </w:rPr>
            </w:pPr>
            <w:r>
              <w:rPr>
                <w:rFonts w:ascii="Arial" w:cs="Arial" w:eastAsia="Arial" w:hAnsi="Arial"/>
                <w:sz w:val="12"/>
                <w:szCs w:val="12"/>
                <w:b w:val="1"/>
                <w:bCs w:val="1"/>
                <w:color w:val="auto"/>
                <w:w w:val="87"/>
              </w:rPr>
              <w:t>Estimated</w:t>
            </w:r>
          </w:p>
        </w:tc>
        <w:tc>
          <w:tcPr>
            <w:tcW w:w="200" w:type="dxa"/>
            <w:vAlign w:val="bottom"/>
          </w:tcPr>
          <w:p>
            <w:pPr>
              <w:spacing w:after="0"/>
              <w:rPr>
                <w:sz w:val="24"/>
                <w:szCs w:val="24"/>
                <w:color w:val="auto"/>
              </w:rPr>
            </w:pPr>
          </w:p>
        </w:tc>
        <w:tc>
          <w:tcPr>
            <w:tcW w:w="920" w:type="dxa"/>
            <w:vAlign w:val="bottom"/>
          </w:tcPr>
          <w:p>
            <w:pPr>
              <w:jc w:val="center"/>
              <w:ind w:right="110"/>
              <w:spacing w:after="0"/>
              <w:rPr>
                <w:sz w:val="20"/>
                <w:szCs w:val="20"/>
                <w:color w:val="auto"/>
              </w:rPr>
            </w:pPr>
            <w:r>
              <w:rPr>
                <w:rFonts w:ascii="Arial" w:cs="Arial" w:eastAsia="Arial" w:hAnsi="Arial"/>
                <w:sz w:val="12"/>
                <w:szCs w:val="12"/>
                <w:b w:val="1"/>
                <w:bCs w:val="1"/>
                <w:color w:val="auto"/>
                <w:w w:val="92"/>
              </w:rPr>
              <w:t>Net</w:t>
            </w:r>
          </w:p>
        </w:tc>
      </w:tr>
      <w:tr>
        <w:trPr>
          <w:trHeight w:val="243"/>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Arial" w:cs="Arial" w:eastAsia="Arial" w:hAnsi="Arial"/>
                <w:sz w:val="12"/>
                <w:szCs w:val="12"/>
                <w:b w:val="1"/>
                <w:bCs w:val="1"/>
                <w:color w:val="auto"/>
                <w:w w:val="91"/>
              </w:rPr>
              <w:t>Amortized</w:t>
            </w:r>
          </w:p>
        </w:tc>
        <w:tc>
          <w:tcPr>
            <w:tcW w:w="260" w:type="dxa"/>
            <w:vAlign w:val="bottom"/>
          </w:tcPr>
          <w:p>
            <w:pPr>
              <w:spacing w:after="0"/>
              <w:rPr>
                <w:sz w:val="21"/>
                <w:szCs w:val="21"/>
                <w:color w:val="auto"/>
              </w:rPr>
            </w:pPr>
          </w:p>
        </w:tc>
        <w:tc>
          <w:tcPr>
            <w:tcW w:w="860" w:type="dxa"/>
            <w:vAlign w:val="bottom"/>
          </w:tcPr>
          <w:p>
            <w:pPr>
              <w:jc w:val="center"/>
              <w:ind w:right="150"/>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21"/>
                <w:szCs w:val="21"/>
                <w:color w:val="auto"/>
              </w:rPr>
            </w:pPr>
          </w:p>
        </w:tc>
        <w:tc>
          <w:tcPr>
            <w:tcW w:w="920" w:type="dxa"/>
            <w:vAlign w:val="bottom"/>
          </w:tcPr>
          <w:p>
            <w:pPr>
              <w:jc w:val="center"/>
              <w:ind w:right="151"/>
              <w:spacing w:after="0"/>
              <w:rPr>
                <w:sz w:val="20"/>
                <w:szCs w:val="20"/>
                <w:color w:val="auto"/>
              </w:rPr>
            </w:pPr>
            <w:r>
              <w:rPr>
                <w:rFonts w:ascii="Arial" w:cs="Arial" w:eastAsia="Arial" w:hAnsi="Arial"/>
                <w:sz w:val="12"/>
                <w:szCs w:val="12"/>
                <w:b w:val="1"/>
                <w:bCs w:val="1"/>
                <w:color w:val="auto"/>
                <w:w w:val="85"/>
              </w:rPr>
              <w:t>Less than 12</w:t>
            </w:r>
          </w:p>
        </w:tc>
        <w:tc>
          <w:tcPr>
            <w:tcW w:w="180" w:type="dxa"/>
            <w:vAlign w:val="bottom"/>
          </w:tcPr>
          <w:p>
            <w:pPr>
              <w:spacing w:after="0"/>
              <w:rPr>
                <w:sz w:val="21"/>
                <w:szCs w:val="21"/>
                <w:color w:val="auto"/>
              </w:rPr>
            </w:pPr>
          </w:p>
        </w:tc>
        <w:tc>
          <w:tcPr>
            <w:tcW w:w="920" w:type="dxa"/>
            <w:vAlign w:val="bottom"/>
          </w:tcPr>
          <w:p>
            <w:pPr>
              <w:jc w:val="center"/>
              <w:ind w:right="128"/>
              <w:spacing w:after="0"/>
              <w:rPr>
                <w:sz w:val="20"/>
                <w:szCs w:val="20"/>
                <w:color w:val="auto"/>
              </w:rPr>
            </w:pPr>
            <w:r>
              <w:rPr>
                <w:rFonts w:ascii="Arial" w:cs="Arial" w:eastAsia="Arial" w:hAnsi="Arial"/>
                <w:sz w:val="12"/>
                <w:szCs w:val="12"/>
                <w:b w:val="1"/>
                <w:bCs w:val="1"/>
                <w:color w:val="auto"/>
                <w:w w:val="91"/>
              </w:rPr>
              <w:t>More than 12</w:t>
            </w:r>
          </w:p>
        </w:tc>
        <w:tc>
          <w:tcPr>
            <w:tcW w:w="260" w:type="dxa"/>
            <w:vAlign w:val="bottom"/>
          </w:tcPr>
          <w:p>
            <w:pPr>
              <w:spacing w:after="0"/>
              <w:rPr>
                <w:sz w:val="21"/>
                <w:szCs w:val="21"/>
                <w:color w:val="auto"/>
              </w:rPr>
            </w:pPr>
          </w:p>
        </w:tc>
        <w:tc>
          <w:tcPr>
            <w:tcW w:w="860" w:type="dxa"/>
            <w:vAlign w:val="bottom"/>
          </w:tcPr>
          <w:p>
            <w:pPr>
              <w:jc w:val="center"/>
              <w:ind w:right="17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Arial" w:cs="Arial" w:eastAsia="Arial" w:hAnsi="Arial"/>
                <w:sz w:val="12"/>
                <w:szCs w:val="12"/>
                <w:b w:val="1"/>
                <w:bCs w:val="1"/>
                <w:color w:val="auto"/>
                <w:w w:val="88"/>
              </w:rPr>
              <w:t>Unrealized</w:t>
            </w:r>
          </w:p>
        </w:tc>
      </w:tr>
      <w:tr>
        <w:trPr>
          <w:trHeight w:val="234"/>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89"/>
              </w:rPr>
              <w:t>Cost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2"/>
                <w:szCs w:val="12"/>
                <w:b w:val="1"/>
                <w:bCs w:val="1"/>
                <w:color w:val="auto"/>
                <w:w w:val="83"/>
              </w:rPr>
              <w:t>Gains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88"/>
              </w:rPr>
              <w:t>Months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88"/>
              </w:rPr>
              <w:t>Months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2"/>
                <w:szCs w:val="12"/>
                <w:b w:val="1"/>
                <w:bCs w:val="1"/>
                <w:color w:val="auto"/>
                <w:w w:val="93"/>
              </w:rPr>
              <w:t>Value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83"/>
              </w:rPr>
              <w:t>Gains/(Losses)</w:t>
            </w:r>
          </w:p>
        </w:tc>
      </w:tr>
      <w:tr>
        <w:trPr>
          <w:trHeight w:val="467"/>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Held-to-Maturity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9"/>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729,550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151,002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880,552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151,002</w:t>
            </w:r>
          </w:p>
        </w:tc>
      </w:tr>
      <w:tr>
        <w:trPr>
          <w:trHeight w:val="196"/>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 States,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450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240" w:type="dxa"/>
            <w:vAlign w:val="bottom"/>
          </w:tcPr>
          <w:p>
            <w:pPr>
              <w:spacing w:after="0"/>
              <w:rPr>
                <w:sz w:val="17"/>
                <w:szCs w:val="17"/>
                <w:color w:val="auto"/>
              </w:rPr>
            </w:pPr>
          </w:p>
        </w:tc>
        <w:tc>
          <w:tcPr>
            <w:tcW w:w="880" w:type="dxa"/>
            <w:vAlign w:val="bottom"/>
          </w:tcPr>
          <w:p>
            <w:pPr>
              <w:jc w:val="right"/>
              <w:ind w:right="30"/>
              <w:spacing w:after="0"/>
              <w:rPr>
                <w:sz w:val="20"/>
                <w:szCs w:val="20"/>
                <w:color w:val="auto"/>
              </w:rPr>
            </w:pPr>
            <w:r>
              <w:rPr>
                <w:rFonts w:ascii="Arial" w:cs="Arial" w:eastAsia="Arial" w:hAnsi="Arial"/>
                <w:sz w:val="16"/>
                <w:szCs w:val="16"/>
                <w:color w:val="auto"/>
              </w:rPr>
              <w:t>998,619</w:t>
            </w:r>
          </w:p>
        </w:tc>
        <w:tc>
          <w:tcPr>
            <w:tcW w:w="26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6"/>
                <w:szCs w:val="16"/>
                <w:color w:val="auto"/>
              </w:rPr>
              <w:t>51,021</w:t>
            </w:r>
          </w:p>
        </w:tc>
        <w:tc>
          <w:tcPr>
            <w:tcW w:w="240" w:type="dxa"/>
            <w:vAlign w:val="bottom"/>
          </w:tcPr>
          <w:p>
            <w:pPr>
              <w:spacing w:after="0"/>
              <w:rPr>
                <w:sz w:val="17"/>
                <w:szCs w:val="17"/>
                <w:color w:val="auto"/>
              </w:rPr>
            </w:pPr>
          </w:p>
        </w:tc>
        <w:tc>
          <w:tcPr>
            <w:tcW w:w="920" w:type="dxa"/>
            <w:vAlign w:val="bottom"/>
          </w:tcPr>
          <w:p>
            <w:pPr>
              <w:jc w:val="right"/>
              <w:ind w:right="7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6"/>
                <w:szCs w:val="16"/>
                <w:color w:val="auto"/>
              </w:rPr>
              <w:t>1,049,640</w:t>
            </w:r>
          </w:p>
        </w:tc>
        <w:tc>
          <w:tcPr>
            <w:tcW w:w="200" w:type="dxa"/>
            <w:vAlign w:val="bottom"/>
          </w:tcPr>
          <w:p>
            <w:pPr>
              <w:spacing w:after="0"/>
              <w:rPr>
                <w:sz w:val="17"/>
                <w:szCs w:val="17"/>
                <w:color w:val="auto"/>
              </w:rPr>
            </w:pPr>
          </w:p>
        </w:tc>
        <w:tc>
          <w:tcPr>
            <w:tcW w:w="920" w:type="dxa"/>
            <w:vAlign w:val="bottom"/>
          </w:tcPr>
          <w:p>
            <w:pPr>
              <w:jc w:val="right"/>
              <w:ind w:right="30"/>
              <w:spacing w:after="0"/>
              <w:rPr>
                <w:sz w:val="20"/>
                <w:szCs w:val="20"/>
                <w:color w:val="auto"/>
              </w:rPr>
            </w:pPr>
            <w:r>
              <w:rPr>
                <w:rFonts w:ascii="Arial" w:cs="Arial" w:eastAsia="Arial" w:hAnsi="Arial"/>
                <w:sz w:val="16"/>
                <w:szCs w:val="16"/>
                <w:color w:val="auto"/>
              </w:rPr>
              <w:t>51,021</w:t>
            </w:r>
          </w:p>
        </w:tc>
      </w:tr>
      <w:tr>
        <w:trPr>
          <w:trHeight w:val="196"/>
        </w:trPr>
        <w:tc>
          <w:tcPr>
            <w:tcW w:w="4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450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2,097,783</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97,627</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(835)</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6"/>
                <w:szCs w:val="16"/>
                <w:color w:val="auto"/>
              </w:rPr>
              <w:t>2,194,575</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96,792</w:t>
            </w:r>
          </w:p>
        </w:tc>
      </w:tr>
      <w:tr>
        <w:trPr>
          <w:trHeight w:val="196"/>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3,825,952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299,650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(835)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6"/>
                <w:szCs w:val="16"/>
                <w:color w:val="auto"/>
              </w:rPr>
              <w:t>4,124,767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298,815</w:t>
            </w:r>
          </w:p>
        </w:tc>
      </w:tr>
      <w:tr>
        <w:trPr>
          <w:trHeight w:val="443"/>
        </w:trPr>
        <w:tc>
          <w:tcPr>
            <w:tcW w:w="4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68"/>
              <w:spacing w:after="0"/>
              <w:rPr>
                <w:sz w:val="20"/>
                <w:szCs w:val="20"/>
                <w:color w:val="auto"/>
              </w:rPr>
            </w:pPr>
            <w:r>
              <w:rPr>
                <w:rFonts w:ascii="Arial" w:cs="Arial" w:eastAsia="Arial" w:hAnsi="Arial"/>
                <w:sz w:val="12"/>
                <w:szCs w:val="12"/>
                <w:b w:val="1"/>
                <w:bCs w:val="1"/>
                <w:color w:val="auto"/>
                <w:w w:val="86"/>
              </w:rPr>
              <w:t>December 31, 2018</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50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right="130"/>
              <w:spacing w:after="0"/>
              <w:rPr>
                <w:sz w:val="20"/>
                <w:szCs w:val="20"/>
                <w:color w:val="auto"/>
              </w:rPr>
            </w:pPr>
            <w:r>
              <w:rPr>
                <w:rFonts w:ascii="Arial" w:cs="Arial" w:eastAsia="Arial" w:hAnsi="Arial"/>
                <w:sz w:val="12"/>
                <w:szCs w:val="12"/>
                <w:b w:val="1"/>
                <w:bCs w:val="1"/>
                <w:color w:val="auto"/>
                <w:w w:val="85"/>
              </w:rPr>
              <w:t>Cost or</w:t>
            </w:r>
          </w:p>
        </w:tc>
        <w:tc>
          <w:tcPr>
            <w:tcW w:w="260" w:type="dxa"/>
            <w:vAlign w:val="bottom"/>
          </w:tcPr>
          <w:p>
            <w:pPr>
              <w:spacing w:after="0"/>
              <w:rPr>
                <w:sz w:val="24"/>
                <w:szCs w:val="24"/>
                <w:color w:val="auto"/>
              </w:rPr>
            </w:pPr>
          </w:p>
        </w:tc>
        <w:tc>
          <w:tcPr>
            <w:tcW w:w="860" w:type="dxa"/>
            <w:vAlign w:val="bottom"/>
          </w:tcPr>
          <w:p>
            <w:pPr>
              <w:jc w:val="center"/>
              <w:ind w:right="150"/>
              <w:spacing w:after="0"/>
              <w:rPr>
                <w:sz w:val="20"/>
                <w:szCs w:val="20"/>
                <w:color w:val="auto"/>
              </w:rPr>
            </w:pPr>
            <w:r>
              <w:rPr>
                <w:rFonts w:ascii="Arial" w:cs="Arial" w:eastAsia="Arial" w:hAnsi="Arial"/>
                <w:sz w:val="12"/>
                <w:szCs w:val="12"/>
                <w:b w:val="1"/>
                <w:bCs w:val="1"/>
                <w:color w:val="auto"/>
                <w:w w:val="80"/>
              </w:rPr>
              <w:t>Gross</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2"/>
                <w:szCs w:val="12"/>
                <w:b w:val="1"/>
                <w:bCs w:val="1"/>
                <w:color w:val="auto"/>
                <w:w w:val="85"/>
              </w:rPr>
              <w:t>Gross Unrealized Losses</w:t>
            </w:r>
          </w:p>
        </w:tc>
        <w:tc>
          <w:tcPr>
            <w:tcW w:w="260" w:type="dxa"/>
            <w:vAlign w:val="bottom"/>
          </w:tcPr>
          <w:p>
            <w:pPr>
              <w:spacing w:after="0"/>
              <w:rPr>
                <w:sz w:val="24"/>
                <w:szCs w:val="24"/>
                <w:color w:val="auto"/>
              </w:rPr>
            </w:pPr>
          </w:p>
        </w:tc>
        <w:tc>
          <w:tcPr>
            <w:tcW w:w="860" w:type="dxa"/>
            <w:vAlign w:val="bottom"/>
          </w:tcPr>
          <w:p>
            <w:pPr>
              <w:jc w:val="center"/>
              <w:ind w:right="170"/>
              <w:spacing w:after="0"/>
              <w:rPr>
                <w:sz w:val="20"/>
                <w:szCs w:val="20"/>
                <w:color w:val="auto"/>
              </w:rPr>
            </w:pPr>
            <w:r>
              <w:rPr>
                <w:rFonts w:ascii="Arial" w:cs="Arial" w:eastAsia="Arial" w:hAnsi="Arial"/>
                <w:sz w:val="12"/>
                <w:szCs w:val="12"/>
                <w:b w:val="1"/>
                <w:bCs w:val="1"/>
                <w:color w:val="auto"/>
                <w:w w:val="87"/>
              </w:rPr>
              <w:t>Estimated</w:t>
            </w:r>
          </w:p>
        </w:tc>
        <w:tc>
          <w:tcPr>
            <w:tcW w:w="200" w:type="dxa"/>
            <w:vAlign w:val="bottom"/>
          </w:tcPr>
          <w:p>
            <w:pPr>
              <w:spacing w:after="0"/>
              <w:rPr>
                <w:sz w:val="24"/>
                <w:szCs w:val="24"/>
                <w:color w:val="auto"/>
              </w:rPr>
            </w:pPr>
          </w:p>
        </w:tc>
        <w:tc>
          <w:tcPr>
            <w:tcW w:w="920" w:type="dxa"/>
            <w:vAlign w:val="bottom"/>
          </w:tcPr>
          <w:p>
            <w:pPr>
              <w:jc w:val="center"/>
              <w:ind w:right="110"/>
              <w:spacing w:after="0"/>
              <w:rPr>
                <w:sz w:val="20"/>
                <w:szCs w:val="20"/>
                <w:color w:val="auto"/>
              </w:rPr>
            </w:pPr>
            <w:r>
              <w:rPr>
                <w:rFonts w:ascii="Arial" w:cs="Arial" w:eastAsia="Arial" w:hAnsi="Arial"/>
                <w:sz w:val="12"/>
                <w:szCs w:val="12"/>
                <w:b w:val="1"/>
                <w:bCs w:val="1"/>
                <w:color w:val="auto"/>
                <w:w w:val="92"/>
              </w:rPr>
              <w:t>Net</w:t>
            </w:r>
          </w:p>
        </w:tc>
      </w:tr>
      <w:tr>
        <w:trPr>
          <w:trHeight w:val="243"/>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Arial" w:cs="Arial" w:eastAsia="Arial" w:hAnsi="Arial"/>
                <w:sz w:val="12"/>
                <w:szCs w:val="12"/>
                <w:b w:val="1"/>
                <w:bCs w:val="1"/>
                <w:color w:val="auto"/>
                <w:w w:val="91"/>
              </w:rPr>
              <w:t>Amortized</w:t>
            </w:r>
          </w:p>
        </w:tc>
        <w:tc>
          <w:tcPr>
            <w:tcW w:w="260" w:type="dxa"/>
            <w:vAlign w:val="bottom"/>
          </w:tcPr>
          <w:p>
            <w:pPr>
              <w:spacing w:after="0"/>
              <w:rPr>
                <w:sz w:val="21"/>
                <w:szCs w:val="21"/>
                <w:color w:val="auto"/>
              </w:rPr>
            </w:pPr>
          </w:p>
        </w:tc>
        <w:tc>
          <w:tcPr>
            <w:tcW w:w="860" w:type="dxa"/>
            <w:vAlign w:val="bottom"/>
          </w:tcPr>
          <w:p>
            <w:pPr>
              <w:jc w:val="center"/>
              <w:ind w:right="150"/>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21"/>
                <w:szCs w:val="21"/>
                <w:color w:val="auto"/>
              </w:rPr>
            </w:pPr>
          </w:p>
        </w:tc>
        <w:tc>
          <w:tcPr>
            <w:tcW w:w="920" w:type="dxa"/>
            <w:vAlign w:val="bottom"/>
          </w:tcPr>
          <w:p>
            <w:pPr>
              <w:jc w:val="center"/>
              <w:ind w:right="151"/>
              <w:spacing w:after="0"/>
              <w:rPr>
                <w:sz w:val="20"/>
                <w:szCs w:val="20"/>
                <w:color w:val="auto"/>
              </w:rPr>
            </w:pPr>
            <w:r>
              <w:rPr>
                <w:rFonts w:ascii="Arial" w:cs="Arial" w:eastAsia="Arial" w:hAnsi="Arial"/>
                <w:sz w:val="12"/>
                <w:szCs w:val="12"/>
                <w:b w:val="1"/>
                <w:bCs w:val="1"/>
                <w:color w:val="auto"/>
                <w:w w:val="85"/>
              </w:rPr>
              <w:t>Less than 12</w:t>
            </w:r>
          </w:p>
        </w:tc>
        <w:tc>
          <w:tcPr>
            <w:tcW w:w="180" w:type="dxa"/>
            <w:vAlign w:val="bottom"/>
          </w:tcPr>
          <w:p>
            <w:pPr>
              <w:spacing w:after="0"/>
              <w:rPr>
                <w:sz w:val="21"/>
                <w:szCs w:val="21"/>
                <w:color w:val="auto"/>
              </w:rPr>
            </w:pPr>
          </w:p>
        </w:tc>
        <w:tc>
          <w:tcPr>
            <w:tcW w:w="920" w:type="dxa"/>
            <w:vAlign w:val="bottom"/>
          </w:tcPr>
          <w:p>
            <w:pPr>
              <w:jc w:val="center"/>
              <w:ind w:right="128"/>
              <w:spacing w:after="0"/>
              <w:rPr>
                <w:sz w:val="20"/>
                <w:szCs w:val="20"/>
                <w:color w:val="auto"/>
              </w:rPr>
            </w:pPr>
            <w:r>
              <w:rPr>
                <w:rFonts w:ascii="Arial" w:cs="Arial" w:eastAsia="Arial" w:hAnsi="Arial"/>
                <w:sz w:val="12"/>
                <w:szCs w:val="12"/>
                <w:b w:val="1"/>
                <w:bCs w:val="1"/>
                <w:color w:val="auto"/>
                <w:w w:val="91"/>
              </w:rPr>
              <w:t>More than 12</w:t>
            </w:r>
          </w:p>
        </w:tc>
        <w:tc>
          <w:tcPr>
            <w:tcW w:w="260" w:type="dxa"/>
            <w:vAlign w:val="bottom"/>
          </w:tcPr>
          <w:p>
            <w:pPr>
              <w:spacing w:after="0"/>
              <w:rPr>
                <w:sz w:val="21"/>
                <w:szCs w:val="21"/>
                <w:color w:val="auto"/>
              </w:rPr>
            </w:pPr>
          </w:p>
        </w:tc>
        <w:tc>
          <w:tcPr>
            <w:tcW w:w="860" w:type="dxa"/>
            <w:vAlign w:val="bottom"/>
          </w:tcPr>
          <w:p>
            <w:pPr>
              <w:jc w:val="center"/>
              <w:ind w:right="17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Arial" w:cs="Arial" w:eastAsia="Arial" w:hAnsi="Arial"/>
                <w:sz w:val="12"/>
                <w:szCs w:val="12"/>
                <w:b w:val="1"/>
                <w:bCs w:val="1"/>
                <w:color w:val="auto"/>
                <w:w w:val="88"/>
              </w:rPr>
              <w:t>Unrealized</w:t>
            </w:r>
          </w:p>
        </w:tc>
      </w:tr>
      <w:tr>
        <w:trPr>
          <w:trHeight w:val="234"/>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Category</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89"/>
              </w:rPr>
              <w:t>Cost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2"/>
                <w:szCs w:val="12"/>
                <w:b w:val="1"/>
                <w:bCs w:val="1"/>
                <w:color w:val="auto"/>
                <w:w w:val="83"/>
              </w:rPr>
              <w:t>Gains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88"/>
              </w:rPr>
              <w:t>Months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88"/>
              </w:rPr>
              <w:t>Months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2"/>
                <w:szCs w:val="12"/>
                <w:b w:val="1"/>
                <w:bCs w:val="1"/>
                <w:color w:val="auto"/>
                <w:w w:val="93"/>
              </w:rPr>
              <w:t>Value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83"/>
              </w:rPr>
              <w:t>Gains/(Losses)</w:t>
            </w:r>
          </w:p>
        </w:tc>
      </w:tr>
      <w:tr>
        <w:trPr>
          <w:trHeight w:val="467"/>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Held-to-Maturity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9"/>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729,507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147,532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(3,964)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873,075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143,568</w:t>
            </w:r>
          </w:p>
        </w:tc>
      </w:tr>
      <w:tr>
        <w:trPr>
          <w:trHeight w:val="196"/>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 States,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450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240" w:type="dxa"/>
            <w:vAlign w:val="bottom"/>
          </w:tcPr>
          <w:p>
            <w:pPr>
              <w:spacing w:after="0"/>
              <w:rPr>
                <w:sz w:val="17"/>
                <w:szCs w:val="17"/>
                <w:color w:val="auto"/>
              </w:rPr>
            </w:pPr>
          </w:p>
        </w:tc>
        <w:tc>
          <w:tcPr>
            <w:tcW w:w="880" w:type="dxa"/>
            <w:vAlign w:val="bottom"/>
          </w:tcPr>
          <w:p>
            <w:pPr>
              <w:jc w:val="right"/>
              <w:ind w:right="30"/>
              <w:spacing w:after="0"/>
              <w:rPr>
                <w:sz w:val="20"/>
                <w:szCs w:val="20"/>
                <w:color w:val="auto"/>
              </w:rPr>
            </w:pPr>
            <w:r>
              <w:rPr>
                <w:rFonts w:ascii="Arial" w:cs="Arial" w:eastAsia="Arial" w:hAnsi="Arial"/>
                <w:sz w:val="16"/>
                <w:szCs w:val="16"/>
                <w:color w:val="auto"/>
              </w:rPr>
              <w:t>998,803</w:t>
            </w:r>
          </w:p>
        </w:tc>
        <w:tc>
          <w:tcPr>
            <w:tcW w:w="26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6"/>
                <w:szCs w:val="16"/>
                <w:color w:val="auto"/>
              </w:rPr>
              <w:t>33,862</w:t>
            </w:r>
          </w:p>
        </w:tc>
        <w:tc>
          <w:tcPr>
            <w:tcW w:w="240" w:type="dxa"/>
            <w:vAlign w:val="bottom"/>
          </w:tcPr>
          <w:p>
            <w:pPr>
              <w:spacing w:after="0"/>
              <w:rPr>
                <w:sz w:val="17"/>
                <w:szCs w:val="17"/>
                <w:color w:val="auto"/>
              </w:rPr>
            </w:pPr>
          </w:p>
        </w:tc>
        <w:tc>
          <w:tcPr>
            <w:tcW w:w="920" w:type="dxa"/>
            <w:vAlign w:val="bottom"/>
          </w:tcPr>
          <w:p>
            <w:pPr>
              <w:jc w:val="right"/>
              <w:ind w:right="7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6"/>
                <w:szCs w:val="16"/>
                <w:color w:val="auto"/>
              </w:rPr>
              <w:t>1,032,665</w:t>
            </w:r>
          </w:p>
        </w:tc>
        <w:tc>
          <w:tcPr>
            <w:tcW w:w="200" w:type="dxa"/>
            <w:vAlign w:val="bottom"/>
          </w:tcPr>
          <w:p>
            <w:pPr>
              <w:spacing w:after="0"/>
              <w:rPr>
                <w:sz w:val="17"/>
                <w:szCs w:val="17"/>
                <w:color w:val="auto"/>
              </w:rPr>
            </w:pPr>
          </w:p>
        </w:tc>
        <w:tc>
          <w:tcPr>
            <w:tcW w:w="920" w:type="dxa"/>
            <w:vAlign w:val="bottom"/>
          </w:tcPr>
          <w:p>
            <w:pPr>
              <w:jc w:val="right"/>
              <w:ind w:right="30"/>
              <w:spacing w:after="0"/>
              <w:rPr>
                <w:sz w:val="20"/>
                <w:szCs w:val="20"/>
                <w:color w:val="auto"/>
              </w:rPr>
            </w:pPr>
            <w:r>
              <w:rPr>
                <w:rFonts w:ascii="Arial" w:cs="Arial" w:eastAsia="Arial" w:hAnsi="Arial"/>
                <w:sz w:val="16"/>
                <w:szCs w:val="16"/>
                <w:color w:val="auto"/>
              </w:rPr>
              <w:t>33,862</w:t>
            </w:r>
          </w:p>
        </w:tc>
      </w:tr>
      <w:tr>
        <w:trPr>
          <w:trHeight w:val="196"/>
        </w:trPr>
        <w:tc>
          <w:tcPr>
            <w:tcW w:w="4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6"/>
        </w:trPr>
        <w:tc>
          <w:tcPr>
            <w:tcW w:w="450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2,494,545</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38,461</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(1,425)</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6"/>
                <w:szCs w:val="16"/>
                <w:color w:val="auto"/>
              </w:rPr>
              <w:t>2,520,676</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26,131</w:t>
            </w:r>
          </w:p>
        </w:tc>
      </w:tr>
      <w:tr>
        <w:trPr>
          <w:trHeight w:val="196"/>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4,222,855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219,855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(5,389)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6"/>
                <w:szCs w:val="16"/>
                <w:color w:val="auto"/>
              </w:rPr>
              <w:t>4,426,416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6"/>
                <w:szCs w:val="16"/>
                <w:color w:val="auto"/>
              </w:rPr>
              <w:t>203,561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 requirements.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85" w:name="page86"/>
    <w:bookmarkEnd w:id="85"/>
    <w:p>
      <w:pPr>
        <w:ind w:right="200"/>
        <w:spacing w:after="0" w:line="281" w:lineRule="auto"/>
        <w:rPr>
          <w:sz w:val="20"/>
          <w:szCs w:val="20"/>
          <w:color w:val="auto"/>
        </w:rPr>
      </w:pPr>
      <w:r>
        <w:rPr>
          <w:rFonts w:ascii="Arial" w:cs="Arial" w:eastAsia="Arial" w:hAnsi="Arial"/>
          <w:sz w:val="17"/>
          <w:szCs w:val="17"/>
          <w:color w:val="auto"/>
        </w:rPr>
        <w:t>A summary of the amortized cost and the estimated fair value of the Company’s investments in held-to-maturity securities by contractual maturity as of December 31, 2019 and 2018 is shown below:</w:t>
      </w:r>
    </w:p>
    <w:p>
      <w:pPr>
        <w:sectPr>
          <w:pgSz w:w="11900" w:h="16838" w:orient="portrait"/>
          <w:cols w:equalWidth="0" w:num="1">
            <w:col w:w="11240"/>
          </w:cols>
          <w:pgMar w:left="320" w:top="4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Remaining Time to Maturity</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More than 10 years</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280" w:type="dxa"/>
            <w:vAlign w:val="bottom"/>
          </w:tcPr>
          <w:p>
            <w:pPr>
              <w:spacing w:after="0"/>
              <w:rPr>
                <w:sz w:val="21"/>
                <w:szCs w:val="21"/>
                <w:color w:val="auto"/>
              </w:rPr>
            </w:pPr>
          </w:p>
        </w:tc>
        <w:tc>
          <w:tcPr>
            <w:tcW w:w="1060" w:type="dxa"/>
            <w:vAlign w:val="bottom"/>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21"/>
                <w:szCs w:val="21"/>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w w:val="98"/>
              </w:rPr>
              <w:t>Estimated</w:t>
            </w:r>
          </w:p>
        </w:tc>
        <w:tc>
          <w:tcPr>
            <w:tcW w:w="280" w:type="dxa"/>
            <w:vAlign w:val="bottom"/>
          </w:tcPr>
          <w:p>
            <w:pPr>
              <w:spacing w:after="0"/>
              <w:rPr>
                <w:sz w:val="21"/>
                <w:szCs w:val="21"/>
                <w:color w:val="auto"/>
              </w:rPr>
            </w:pPr>
          </w:p>
        </w:tc>
        <w:tc>
          <w:tcPr>
            <w:tcW w:w="1060" w:type="dxa"/>
            <w:vAlign w:val="bottom"/>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21"/>
                <w:szCs w:val="21"/>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Estimated</w:t>
            </w:r>
          </w:p>
        </w:tc>
      </w:tr>
      <w:tr>
        <w:trPr>
          <w:trHeight w:val="235"/>
        </w:trPr>
        <w:tc>
          <w:tcPr>
            <w:tcW w:w="280" w:type="dxa"/>
            <w:vAlign w:val="bottom"/>
          </w:tcPr>
          <w:p>
            <w:pPr>
              <w:spacing w:after="0"/>
              <w:rPr>
                <w:sz w:val="20"/>
                <w:szCs w:val="20"/>
                <w:color w:val="auto"/>
              </w:rPr>
            </w:pPr>
          </w:p>
        </w:tc>
        <w:tc>
          <w:tcPr>
            <w:tcW w:w="1060" w:type="dxa"/>
            <w:vAlign w:val="bottom"/>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0"/>
                <w:szCs w:val="20"/>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0"/>
                <w:szCs w:val="20"/>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20"/>
                <w:szCs w:val="20"/>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Fair Value</w:t>
            </w:r>
          </w:p>
        </w:tc>
      </w:tr>
      <w:tr>
        <w:trPr>
          <w:trHeight w:val="446"/>
        </w:trPr>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500,000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499,165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w:t>
            </w:r>
          </w:p>
        </w:tc>
      </w:tr>
      <w:tr>
        <w:trPr>
          <w:trHeight w:val="209"/>
        </w:trPr>
        <w:tc>
          <w:tcPr>
            <w:tcW w:w="2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2,099,268</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2,215,640</w:t>
            </w:r>
          </w:p>
        </w:tc>
        <w:tc>
          <w:tcPr>
            <w:tcW w:w="2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2,996,685</w:t>
            </w:r>
          </w:p>
        </w:tc>
        <w:tc>
          <w:tcPr>
            <w:tcW w:w="2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3,036,531</w:t>
            </w:r>
          </w:p>
        </w:tc>
      </w:tr>
      <w:tr>
        <w:trPr>
          <w:trHeight w:val="209"/>
        </w:trPr>
        <w:tc>
          <w:tcPr>
            <w:tcW w:w="2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620,134</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655,923</w:t>
            </w:r>
          </w:p>
        </w:tc>
        <w:tc>
          <w:tcPr>
            <w:tcW w:w="28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619,663</w:t>
            </w:r>
          </w:p>
        </w:tc>
        <w:tc>
          <w:tcPr>
            <w:tcW w:w="2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635,846</w:t>
            </w:r>
          </w:p>
        </w:tc>
      </w:tr>
      <w:tr>
        <w:trPr>
          <w:trHeight w:val="224"/>
        </w:trPr>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606,550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754,039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606,507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754,039</w:t>
            </w:r>
          </w:p>
        </w:tc>
      </w:tr>
      <w:tr>
        <w:trPr>
          <w:trHeight w:val="209"/>
        </w:trPr>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3,825,952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4,124,767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4,222,855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4,426,416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-713105</wp:posOffset>
            </wp:positionV>
            <wp:extent cx="7136765" cy="132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-447675</wp:posOffset>
            </wp:positionV>
            <wp:extent cx="7136765" cy="132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-165100</wp:posOffset>
            </wp:positionV>
            <wp:extent cx="7136765" cy="165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-878840</wp:posOffset>
            </wp:positionV>
            <wp:extent cx="713676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497"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Years ended</w:t>
            </w:r>
          </w:p>
        </w:tc>
        <w:tc>
          <w:tcPr>
            <w:tcW w:w="860" w:type="dxa"/>
            <w:vAlign w:val="bottom"/>
          </w:tcPr>
          <w:p>
            <w:pPr>
              <w:spacing w:after="0"/>
              <w:rPr>
                <w:sz w:val="16"/>
                <w:szCs w:val="16"/>
                <w:color w:val="auto"/>
              </w:rPr>
            </w:pPr>
          </w:p>
        </w:tc>
      </w:tr>
      <w:tr>
        <w:trPr>
          <w:trHeight w:val="226"/>
        </w:trPr>
        <w:tc>
          <w:tcPr>
            <w:tcW w:w="8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9"/>
                <w:szCs w:val="19"/>
                <w:color w:val="auto"/>
              </w:rPr>
            </w:pPr>
          </w:p>
        </w:tc>
      </w:tr>
      <w:tr>
        <w:trPr>
          <w:trHeight w:val="241"/>
        </w:trPr>
        <w:tc>
          <w:tcPr>
            <w:tcW w:w="8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r>
      <w:tr>
        <w:trPr>
          <w:trHeight w:val="234"/>
        </w:trPr>
        <w:tc>
          <w:tcPr>
            <w:tcW w:w="8560" w:type="dxa"/>
            <w:vAlign w:val="bottom"/>
          </w:tcPr>
          <w:p>
            <w:pPr>
              <w:ind w:left="40"/>
              <w:spacing w:after="0"/>
              <w:rPr>
                <w:sz w:val="20"/>
                <w:szCs w:val="20"/>
                <w:color w:val="auto"/>
              </w:rPr>
            </w:pPr>
            <w:r>
              <w:rPr>
                <w:rFonts w:ascii="Arial" w:cs="Arial" w:eastAsia="Arial" w:hAnsi="Arial"/>
                <w:sz w:val="17"/>
                <w:szCs w:val="17"/>
                <w:b w:val="1"/>
                <w:bCs w:val="1"/>
                <w:color w:val="auto"/>
              </w:rPr>
              <w:t>Income:</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5,943,889</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2"/>
              </w:rPr>
              <w:t>5,316,970</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3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930,004</w:t>
            </w:r>
          </w:p>
        </w:tc>
        <w:tc>
          <w:tcPr>
            <w:tcW w:w="48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820,827</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337,602</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219,238</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w:t>
            </w:r>
          </w:p>
        </w:tc>
        <w:tc>
          <w:tcPr>
            <w:tcW w:w="3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7,211,495</w:t>
            </w:r>
          </w:p>
        </w:tc>
        <w:tc>
          <w:tcPr>
            <w:tcW w:w="48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w w:val="92"/>
              </w:rPr>
              <w:t>6,357,035</w:t>
            </w: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Investment expenses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342,149</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170,787</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6,869,346</w:t>
            </w:r>
          </w:p>
        </w:tc>
        <w:tc>
          <w:tcPr>
            <w:tcW w:w="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2"/>
              </w:rPr>
              <w:t>6,186,248</w:t>
            </w:r>
          </w:p>
        </w:tc>
      </w:tr>
    </w:tbl>
    <w:p>
      <w:pPr>
        <w:spacing w:after="0" w:line="20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Proceeds from the sale and redemption of fixed-maturity securities held-to-maturity were $400,000 and $624,963 for the years ended December 31, 2019 and 2018, respectively.</w:t>
      </w:r>
    </w:p>
    <w:p>
      <w:pPr>
        <w:spacing w:after="0" w:line="170"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Proceeds from the sale and maturity of fixed-maturity securities available-for-sale were $16,567,284 and $21,381,668 for the years ended December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$5,458,953 and $9,246,840 for the years ended December 31, 2019 and 2018,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color w:val="auto"/>
        </w:rPr>
        <w:t>The Company’s net gains (losses) on investments are summarized as follows:</w:t>
      </w:r>
    </w:p>
    <w:p>
      <w:pPr>
        <w:spacing w:after="0" w:line="270"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Years ended</w:t>
      </w:r>
    </w:p>
    <w:p>
      <w:pPr>
        <w:spacing w:after="0" w:line="4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5715</wp:posOffset>
            </wp:positionV>
            <wp:extent cx="170942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pacing w:after="0" w:line="54" w:lineRule="exact"/>
        <w:rPr>
          <w:sz w:val="20"/>
          <w:szCs w:val="20"/>
          <w:color w:val="auto"/>
        </w:rPr>
      </w:pPr>
    </w:p>
    <w:p>
      <w:pPr>
        <w:jc w:val="both"/>
        <w:ind w:left="9100"/>
        <w:spacing w:after="0"/>
        <w:tabs>
          <w:tab w:leader="none" w:pos="10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5715</wp:posOffset>
            </wp:positionV>
            <wp:extent cx="170942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Realized Gains (Losses)</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Fixed-maturity securities: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Gross realized gains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Gross realized losses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Equity securities: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Gross realized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11,608</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117,186</w:t>
            </w:r>
          </w:p>
        </w:tc>
      </w:tr>
      <w:tr>
        <w:trPr>
          <w:trHeight w:val="224"/>
        </w:trPr>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(134,533)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(618,699)</w:t>
            </w:r>
          </w:p>
        </w:tc>
      </w:tr>
      <w:tr>
        <w:trPr>
          <w:trHeight w:val="215"/>
        </w:trPr>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(122,925)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(501,513)</w:t>
            </w:r>
          </w:p>
        </w:tc>
      </w:tr>
      <w:tr>
        <w:trPr>
          <w:trHeight w:val="625"/>
        </w:trPr>
        <w:tc>
          <w:tcPr>
            <w:tcW w:w="400" w:type="dxa"/>
            <w:vAlign w:val="bottom"/>
          </w:tcPr>
          <w:p>
            <w:pPr>
              <w:spacing w:after="0"/>
              <w:rPr>
                <w:sz w:val="24"/>
                <w:szCs w:val="24"/>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316,924</w:t>
            </w:r>
          </w:p>
        </w:tc>
        <w:tc>
          <w:tcPr>
            <w:tcW w:w="380" w:type="dxa"/>
            <w:vAlign w:val="bottom"/>
          </w:tcPr>
          <w:p>
            <w:pPr>
              <w:spacing w:after="0"/>
              <w:rPr>
                <w:sz w:val="24"/>
                <w:szCs w:val="24"/>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992,012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-828040</wp:posOffset>
            </wp:positionV>
            <wp:extent cx="7136765" cy="132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-545465</wp:posOffset>
            </wp:positionV>
            <wp:extent cx="7136765" cy="149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-263525</wp:posOffset>
            </wp:positionV>
            <wp:extent cx="7136765" cy="132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7840" w:space="720"/>
            <w:col w:w="2680"/>
          </w:cols>
          <w:pgMar w:left="320" w:top="497"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Gross realized losses</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(165,154)</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(584,473)</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151,770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407,539</w:t>
            </w: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2"/>
          </w:tcPr>
          <w:p>
            <w:pPr>
              <w:ind w:left="200"/>
              <w:spacing w:after="0"/>
              <w:rPr>
                <w:sz w:val="20"/>
                <w:szCs w:val="20"/>
                <w:color w:val="auto"/>
              </w:rPr>
            </w:pPr>
            <w:r>
              <w:rPr>
                <w:rFonts w:ascii="Arial" w:cs="Arial" w:eastAsia="Arial" w:hAnsi="Arial"/>
                <w:sz w:val="17"/>
                <w:szCs w:val="17"/>
                <w:color w:val="auto"/>
              </w:rPr>
              <w:t>Net realized gains (losses)</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28,845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(93,974)</w:t>
            </w: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40"/>
              <w:spacing w:after="0"/>
              <w:rPr>
                <w:sz w:val="20"/>
                <w:szCs w:val="20"/>
                <w:color w:val="auto"/>
              </w:rPr>
            </w:pPr>
            <w:r>
              <w:rPr>
                <w:rFonts w:ascii="Arial" w:cs="Arial" w:eastAsia="Arial" w:hAnsi="Arial"/>
                <w:sz w:val="17"/>
                <w:szCs w:val="17"/>
                <w:b w:val="1"/>
                <w:bCs w:val="1"/>
                <w:color w:val="auto"/>
              </w:rPr>
              <w:t>Unrealized Gains (Losses)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36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40"/>
              <w:spacing w:after="0"/>
              <w:rPr>
                <w:sz w:val="20"/>
                <w:szCs w:val="20"/>
                <w:color w:val="auto"/>
              </w:rPr>
            </w:pPr>
            <w:r>
              <w:rPr>
                <w:rFonts w:ascii="Arial" w:cs="Arial" w:eastAsia="Arial" w:hAnsi="Arial"/>
                <w:sz w:val="17"/>
                <w:szCs w:val="17"/>
                <w:b w:val="1"/>
                <w:bCs w:val="1"/>
                <w:color w:val="auto"/>
              </w:rPr>
              <w:t>Equity Securities: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gains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3,832,486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560" w:type="dxa"/>
            <w:vAlign w:val="bottom"/>
            <w:gridSpan w:val="2"/>
          </w:tcPr>
          <w:p>
            <w:pPr>
              <w:ind w:left="40"/>
              <w:spacing w:after="0"/>
              <w:rPr>
                <w:sz w:val="20"/>
                <w:szCs w:val="20"/>
                <w:color w:val="auto"/>
              </w:rPr>
            </w:pPr>
            <w:r>
              <w:rPr>
                <w:rFonts w:ascii="Arial" w:cs="Arial" w:eastAsia="Arial" w:hAnsi="Arial"/>
                <w:sz w:val="17"/>
                <w:szCs w:val="17"/>
                <w:color w:val="auto"/>
              </w:rPr>
              <w:t>Gross losses</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(2,257,727)</w:t>
            </w:r>
          </w:p>
        </w:tc>
        <w:tc>
          <w:tcPr>
            <w:tcW w:w="0" w:type="dxa"/>
            <w:vAlign w:val="bottom"/>
          </w:tcPr>
          <w:p>
            <w:pPr>
              <w:spacing w:after="0"/>
              <w:rPr>
                <w:sz w:val="1"/>
                <w:szCs w:val="1"/>
                <w:color w:val="auto"/>
              </w:rPr>
            </w:pPr>
          </w:p>
        </w:tc>
      </w:tr>
      <w:tr>
        <w:trPr>
          <w:trHeight w:val="215"/>
        </w:trPr>
        <w:tc>
          <w:tcPr>
            <w:tcW w:w="136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3,832,486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(2,257,727)</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Other Investments: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40"/>
              <w:spacing w:after="0"/>
              <w:rPr>
                <w:sz w:val="20"/>
                <w:szCs w:val="20"/>
                <w:color w:val="auto"/>
              </w:rPr>
            </w:pPr>
            <w:r>
              <w:rPr>
                <w:rFonts w:ascii="Arial" w:cs="Arial" w:eastAsia="Arial" w:hAnsi="Arial"/>
                <w:sz w:val="17"/>
                <w:szCs w:val="17"/>
                <w:color w:val="auto"/>
              </w:rPr>
              <w:t>Gross gains</w:t>
            </w:r>
          </w:p>
        </w:tc>
        <w:tc>
          <w:tcPr>
            <w:tcW w:w="360" w:type="dxa"/>
            <w:vAlign w:val="bottom"/>
          </w:tcPr>
          <w:p>
            <w:pPr>
              <w:spacing w:after="0"/>
              <w:rPr>
                <w:sz w:val="18"/>
                <w:szCs w:val="18"/>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729,688</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Gross losses</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(144,156)</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729,688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(144,156)</w:t>
            </w: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2"/>
          </w:tcPr>
          <w:p>
            <w:pPr>
              <w:ind w:left="200"/>
              <w:spacing w:after="0"/>
              <w:rPr>
                <w:sz w:val="20"/>
                <w:szCs w:val="20"/>
                <w:color w:val="auto"/>
              </w:rPr>
            </w:pPr>
            <w:r>
              <w:rPr>
                <w:rFonts w:ascii="Arial" w:cs="Arial" w:eastAsia="Arial" w:hAnsi="Arial"/>
                <w:sz w:val="17"/>
                <w:szCs w:val="17"/>
                <w:color w:val="auto"/>
              </w:rPr>
              <w:t>Net unrealized gains (losses)</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4,562,174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(2,401,883)</w:t>
            </w: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40"/>
              <w:spacing w:after="0"/>
              <w:rPr>
                <w:sz w:val="20"/>
                <w:szCs w:val="20"/>
                <w:color w:val="auto"/>
              </w:rPr>
            </w:pPr>
            <w:r>
              <w:rPr>
                <w:rFonts w:ascii="Arial" w:cs="Arial" w:eastAsia="Arial" w:hAnsi="Arial"/>
                <w:sz w:val="17"/>
                <w:szCs w:val="17"/>
                <w:color w:val="auto"/>
              </w:rPr>
              <w:t>Net gains (losses) on investments</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4,591,019</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(2,495,857)</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7"/>
                <w:szCs w:val="17"/>
                <w:color w:val="auto"/>
                <w:w w:val="92"/>
              </w:rPr>
              <w:t>Impairment Review</w:t>
            </w:r>
          </w:p>
        </w:tc>
        <w:tc>
          <w:tcPr>
            <w:tcW w:w="72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360" w:type="dxa"/>
            <w:vAlign w:val="bottom"/>
            <w:tcBorders>
              <w:bottom w:val="single" w:sz="8" w:color="auto"/>
            </w:tcBorders>
            <w:vMerge w:val="continue"/>
          </w:tcPr>
          <w:p>
            <w:pPr>
              <w:spacing w:after="0"/>
              <w:rPr>
                <w:sz w:val="24"/>
                <w:szCs w:val="24"/>
                <w:color w:val="auto"/>
              </w:rPr>
            </w:pPr>
          </w:p>
        </w:tc>
        <w:tc>
          <w:tcPr>
            <w:tcW w:w="7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income (loss) for the noncredit portion of a previous OTTI is amortized prospectively over the remaining life of the security on the basis of timing of future estimated cash flows of the security.</w:t>
      </w:r>
    </w:p>
    <w:p>
      <w:pPr>
        <w:spacing w:after="0" w:line="17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OTTI losses are recorded in the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December 31, 2019 and December 31, 2018, there were 39 and 156 fixed-maturity securities, respectively, that accounted for the gross unrealized losses. The Company determined that none of the unrealized losses were deemed to be OTTI for its portfolio of investments for the years ended December 31, 2019 and 2018.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type w:val="continuous"/>
        </w:sectPr>
      </w:pPr>
    </w:p>
    <w:bookmarkStart w:id="87" w:name="page88"/>
    <w:bookmarkEnd w:id="87"/>
    <w:p>
      <w:pPr>
        <w:ind w:right="420"/>
        <w:spacing w:after="0" w:line="281" w:lineRule="auto"/>
        <w:rPr>
          <w:sz w:val="20"/>
          <w:szCs w:val="20"/>
          <w:color w:val="auto"/>
        </w:rPr>
      </w:pPr>
      <w:r>
        <w:rPr>
          <w:rFonts w:ascii="Arial" w:cs="Arial" w:eastAsia="Arial" w:hAnsi="Arial"/>
          <w:sz w:val="17"/>
          <w:szCs w:val="17"/>
          <w:color w:val="auto"/>
        </w:rPr>
        <w:t>The Company held available-for-sale securities with unrealized losses representing declines that were considered temporary at December 31, 2019 and 2018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w w:val="98"/>
              </w:rPr>
              <w:t>December 31, 2019</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41"/>
        </w:trPr>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4"/>
              </w:rPr>
              <w:t>Less than 12 months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3"/>
              </w:rPr>
              <w:t>12 months or more</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51"/>
        </w:trPr>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No. of</w:t>
            </w:r>
          </w:p>
        </w:tc>
        <w:tc>
          <w:tcPr>
            <w:tcW w:w="220" w:type="dxa"/>
            <w:vAlign w:val="bottom"/>
          </w:tcPr>
          <w:p>
            <w:pPr>
              <w:spacing w:after="0"/>
              <w:rPr>
                <w:sz w:val="21"/>
                <w:szCs w:val="21"/>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88"/>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20"/>
                <w:szCs w:val="20"/>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Unrealized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20"/>
                <w:szCs w:val="20"/>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20"/>
                <w:szCs w:val="20"/>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b w:val="1"/>
                <w:bCs w:val="1"/>
                <w:color w:val="auto"/>
                <w:w w:val="95"/>
              </w:rPr>
              <w:t>Unrealized</w:t>
            </w: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ind w:right="168"/>
              <w:spacing w:after="0"/>
              <w:rPr>
                <w:sz w:val="20"/>
                <w:szCs w:val="20"/>
                <w:color w:val="auto"/>
              </w:rPr>
            </w:pPr>
            <w:r>
              <w:rPr>
                <w:rFonts w:ascii="Arial" w:cs="Arial" w:eastAsia="Arial" w:hAnsi="Arial"/>
                <w:sz w:val="14"/>
                <w:szCs w:val="14"/>
                <w:b w:val="1"/>
                <w:bCs w:val="1"/>
                <w:color w:val="auto"/>
              </w:rPr>
              <w:t>Fair</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Unrealized</w:t>
            </w:r>
          </w:p>
        </w:tc>
      </w:tr>
      <w:tr>
        <w:trPr>
          <w:trHeight w:val="199"/>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7"/>
                <w:szCs w:val="17"/>
                <w:color w:val="auto"/>
              </w:rPr>
            </w:pPr>
          </w:p>
        </w:tc>
        <w:tc>
          <w:tcPr>
            <w:tcW w:w="86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7"/>
                <w:szCs w:val="17"/>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7"/>
                <w:szCs w:val="17"/>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7"/>
                <w:szCs w:val="17"/>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b w:val="1"/>
                <w:bCs w:val="1"/>
                <w:color w:val="auto"/>
              </w:rPr>
              <w:t>Losses</w:t>
            </w: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w w:val="91"/>
              </w:rPr>
              <w:t>Losses</w:t>
            </w:r>
          </w:p>
        </w:tc>
      </w:tr>
      <w:tr>
        <w:trPr>
          <w:trHeight w:val="486"/>
        </w:trPr>
        <w:tc>
          <w:tcPr>
            <w:tcW w:w="20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U.S. Treasury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and obligations of U.S.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4"/>
                <w:szCs w:val="14"/>
                <w:color w:val="auto"/>
              </w:rPr>
              <w:t>government corporations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Political subdivisions of</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States, Territories and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Possessions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3,067,428</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(11,316)</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3,067,428</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(11,316)</w:t>
            </w: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bonds industrial and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3,730,478</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(16,685)</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1,300,915</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(13,473)</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5,031,393</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(30,158)</w:t>
            </w: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mortgage and other</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5"/>
        </w:trPr>
        <w:tc>
          <w:tcPr>
            <w:tcW w:w="2040" w:type="dxa"/>
            <w:vAlign w:val="bottom"/>
          </w:tcPr>
          <w:p>
            <w:pPr>
              <w:ind w:left="40"/>
              <w:spacing w:after="0"/>
              <w:rPr>
                <w:sz w:val="20"/>
                <w:szCs w:val="20"/>
                <w:color w:val="auto"/>
              </w:rPr>
            </w:pPr>
            <w:r>
              <w:rPr>
                <w:rFonts w:ascii="Arial" w:cs="Arial" w:eastAsia="Arial" w:hAnsi="Arial"/>
                <w:sz w:val="14"/>
                <w:szCs w:val="14"/>
                <w:color w:val="auto"/>
              </w:rPr>
              <w:t>asset backed securities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5,862,636</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(68,793)</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13,534,768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(276,451)</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19,397,404</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(345,244)</w:t>
            </w:r>
          </w:p>
        </w:tc>
      </w:tr>
      <w:tr>
        <w:trPr>
          <w:trHeight w:val="235"/>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Total fixed-maturity</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12,660,542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(96,794)</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14,835,683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(289,924)</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27,496,225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(386,718)</w:t>
            </w: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December 31, 2018</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15"/>
        </w:trPr>
        <w:tc>
          <w:tcPr>
            <w:tcW w:w="2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0"/>
              </w:rPr>
              <w:t>Less than 12 months</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3"/>
              </w:rPr>
              <w:t>12 months or more</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8"/>
                <w:szCs w:val="18"/>
                <w:color w:val="auto"/>
              </w:rPr>
            </w:pPr>
          </w:p>
        </w:tc>
      </w:tr>
      <w:tr>
        <w:trPr>
          <w:trHeight w:val="251"/>
        </w:trPr>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No. of</w:t>
            </w:r>
          </w:p>
        </w:tc>
        <w:tc>
          <w:tcPr>
            <w:tcW w:w="220" w:type="dxa"/>
            <w:vAlign w:val="bottom"/>
          </w:tcPr>
          <w:p>
            <w:pPr>
              <w:spacing w:after="0"/>
              <w:rPr>
                <w:sz w:val="21"/>
                <w:szCs w:val="21"/>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Estimated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20"/>
                <w:szCs w:val="20"/>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auto"/>
                <w:w w:val="95"/>
              </w:rPr>
              <w:t>Unrealized</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20"/>
                <w:szCs w:val="20"/>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20"/>
                <w:szCs w:val="20"/>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Positions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2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0"/>
                <w:szCs w:val="20"/>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Unrealized</w:t>
            </w:r>
          </w:p>
        </w:tc>
      </w:tr>
      <w:tr>
        <w:trPr>
          <w:trHeight w:val="199"/>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7"/>
                <w:szCs w:val="17"/>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Losses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7"/>
                <w:szCs w:val="17"/>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Losses</w:t>
            </w: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Held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Losses</w:t>
            </w:r>
          </w:p>
        </w:tc>
      </w:tr>
      <w:tr>
        <w:trPr>
          <w:trHeight w:val="486"/>
        </w:trPr>
        <w:tc>
          <w:tcPr>
            <w:tcW w:w="20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U.S. Treasury securities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and obligations of U.S.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4"/>
                <w:szCs w:val="14"/>
                <w:color w:val="auto"/>
              </w:rPr>
              <w:t>government corporations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4,948,530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(28,000)</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4,948,530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w:t>
            </w: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Political subdivisions of</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States, Territories and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Possessions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555,375</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(12,327)</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1,436,242</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(36,508)</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1,991,617</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(48,835)</w:t>
            </w: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bonds industrial and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81,004,459</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(2,775,540)</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13,424,888</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(676,605)</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94,429,347</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(3,452,145)</w:t>
            </w:r>
          </w:p>
        </w:tc>
      </w:tr>
      <w:tr>
        <w:trPr>
          <w:trHeight w:val="235"/>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mortgage and other</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5"/>
        </w:trPr>
        <w:tc>
          <w:tcPr>
            <w:tcW w:w="2040" w:type="dxa"/>
            <w:vAlign w:val="bottom"/>
          </w:tcPr>
          <w:p>
            <w:pPr>
              <w:ind w:left="40"/>
              <w:spacing w:after="0"/>
              <w:rPr>
                <w:sz w:val="20"/>
                <w:szCs w:val="20"/>
                <w:color w:val="auto"/>
              </w:rPr>
            </w:pPr>
            <w:r>
              <w:rPr>
                <w:rFonts w:ascii="Arial" w:cs="Arial" w:eastAsia="Arial" w:hAnsi="Arial"/>
                <w:sz w:val="14"/>
                <w:szCs w:val="14"/>
                <w:color w:val="auto"/>
              </w:rPr>
              <w:t>asset backed securities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7,002,713</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(231,229)</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11,928,425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(331,012)</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18,931,138</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(562,241)</w:t>
            </w:r>
          </w:p>
        </w:tc>
      </w:tr>
      <w:tr>
        <w:trPr>
          <w:trHeight w:val="235"/>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5"/>
        </w:trPr>
        <w:tc>
          <w:tcPr>
            <w:tcW w:w="2040" w:type="dxa"/>
            <w:vAlign w:val="bottom"/>
          </w:tcPr>
          <w:p>
            <w:pPr>
              <w:ind w:left="40"/>
              <w:spacing w:after="0"/>
              <w:rPr>
                <w:sz w:val="20"/>
                <w:szCs w:val="20"/>
                <w:color w:val="auto"/>
              </w:rPr>
            </w:pPr>
            <w:r>
              <w:rPr>
                <w:rFonts w:ascii="Arial" w:cs="Arial" w:eastAsia="Arial" w:hAnsi="Arial"/>
                <w:sz w:val="14"/>
                <w:szCs w:val="14"/>
                <w:color w:val="auto"/>
              </w:rPr>
              <w:t>Total fixed-maturity</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93,511,077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(3,047,096)</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26,789,555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(1,044,125)</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120,300,632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(4,091,221)</w:t>
            </w: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w:t>
      </w:r>
    </w:p>
    <w:p>
      <w:pPr>
        <w:spacing w:after="0" w:line="18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5"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The Company’s investments measured at fair value on a recurring basis are allocated among fair value levels at December 31, 2019 and 2018 as follows:</w:t>
      </w:r>
    </w:p>
    <w:p>
      <w:pPr>
        <w:spacing w:after="0" w:line="22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3676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468"/>
        </w:trPr>
        <w:tc>
          <w:tcPr>
            <w:tcW w:w="432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432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5"/>
        </w:trPr>
        <w:tc>
          <w:tcPr>
            <w:tcW w:w="432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432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7,061,100</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7,061,100</w:t>
            </w:r>
          </w:p>
        </w:tc>
      </w:tr>
      <w:tr>
        <w:trPr>
          <w:trHeight w:val="209"/>
        </w:trPr>
        <w:tc>
          <w:tcPr>
            <w:tcW w:w="4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9,321,812</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9,321,812</w:t>
            </w:r>
          </w:p>
        </w:tc>
      </w:tr>
      <w:tr>
        <w:trPr>
          <w:trHeight w:val="209"/>
        </w:trPr>
        <w:tc>
          <w:tcPr>
            <w:tcW w:w="4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7"/>
              </w:rPr>
              <w:t>123,010,772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2,611,267</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5"/>
              </w:rPr>
              <w:t>125,622,039</w:t>
            </w:r>
          </w:p>
        </w:tc>
      </w:tr>
      <w:tr>
        <w:trPr>
          <w:trHeight w:val="209"/>
        </w:trPr>
        <w:tc>
          <w:tcPr>
            <w:tcW w:w="4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26,231,230</w:t>
            </w: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26,231,230</w:t>
            </w: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w w:val="97"/>
              </w:rPr>
              <w:t>130,071,872</w:t>
            </w:r>
          </w:p>
        </w:tc>
        <w:tc>
          <w:tcPr>
            <w:tcW w:w="34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38,164,309</w:t>
            </w:r>
          </w:p>
        </w:tc>
        <w:tc>
          <w:tcPr>
            <w:tcW w:w="102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w w:val="95"/>
              </w:rPr>
              <w:t>168,236,181</w:t>
            </w:r>
          </w:p>
        </w:tc>
      </w:tr>
      <w:tr>
        <w:trPr>
          <w:trHeight w:val="21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24,661,382</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24,661,382</w:t>
            </w: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Total investments</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w w:val="97"/>
              </w:rPr>
              <w:t>154,733,254</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38,164,309</w:t>
            </w:r>
          </w:p>
        </w:tc>
        <w:tc>
          <w:tcPr>
            <w:tcW w:w="1020" w:type="dxa"/>
            <w:vAlign w:val="bottom"/>
          </w:tcPr>
          <w:p>
            <w:pPr>
              <w:jc w:val="right"/>
              <w:ind w:right="719"/>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
              <w:spacing w:after="0"/>
              <w:rPr>
                <w:sz w:val="20"/>
                <w:szCs w:val="20"/>
                <w:color w:val="auto"/>
              </w:rPr>
            </w:pPr>
            <w:r>
              <w:rPr>
                <w:rFonts w:ascii="Arial" w:cs="Arial" w:eastAsia="Arial" w:hAnsi="Arial"/>
                <w:sz w:val="17"/>
                <w:szCs w:val="17"/>
                <w:color w:val="auto"/>
                <w:w w:val="95"/>
              </w:rPr>
              <w:t>192,897,563</w:t>
            </w:r>
          </w:p>
        </w:tc>
      </w:tr>
      <w:tr>
        <w:trPr>
          <w:trHeight w:val="20"/>
        </w:trPr>
        <w:tc>
          <w:tcPr>
            <w:tcW w:w="4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73"/>
        </w:trPr>
        <w:tc>
          <w:tcPr>
            <w:tcW w:w="4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5"/>
        </w:trPr>
        <w:tc>
          <w:tcPr>
            <w:tcW w:w="4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468"/>
        </w:trPr>
        <w:tc>
          <w:tcPr>
            <w:tcW w:w="432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432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5"/>
        </w:trPr>
        <w:tc>
          <w:tcPr>
            <w:tcW w:w="432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432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8,220,381</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8,220,381</w:t>
            </w:r>
          </w:p>
        </w:tc>
      </w:tr>
      <w:tr>
        <w:trPr>
          <w:trHeight w:val="209"/>
        </w:trPr>
        <w:tc>
          <w:tcPr>
            <w:tcW w:w="4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6,341,608</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6,341,608</w:t>
            </w:r>
          </w:p>
        </w:tc>
      </w:tr>
      <w:tr>
        <w:trPr>
          <w:trHeight w:val="209"/>
        </w:trPr>
        <w:tc>
          <w:tcPr>
            <w:tcW w:w="4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7"/>
              </w:rPr>
              <w:t>112,076,270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3,674,023</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5"/>
              </w:rPr>
              <w:t>115,750,293</w:t>
            </w:r>
          </w:p>
        </w:tc>
      </w:tr>
      <w:tr>
        <w:trPr>
          <w:trHeight w:val="209"/>
        </w:trPr>
        <w:tc>
          <w:tcPr>
            <w:tcW w:w="4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21,465,234</w:t>
            </w: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21,465,234</w:t>
            </w: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w w:val="97"/>
              </w:rPr>
              <w:t>120,296,651</w:t>
            </w:r>
          </w:p>
        </w:tc>
        <w:tc>
          <w:tcPr>
            <w:tcW w:w="34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31,480,865</w:t>
            </w:r>
          </w:p>
        </w:tc>
        <w:tc>
          <w:tcPr>
            <w:tcW w:w="102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w w:val="95"/>
              </w:rPr>
              <w:t>151,777,516</w:t>
            </w:r>
          </w:p>
        </w:tc>
      </w:tr>
      <w:tr>
        <w:trPr>
          <w:trHeight w:val="21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16,572,616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16,572,616</w:t>
            </w:r>
          </w:p>
        </w:tc>
      </w:tr>
      <w:tr>
        <w:trPr>
          <w:trHeight w:val="209"/>
        </w:trPr>
        <w:tc>
          <w:tcPr>
            <w:tcW w:w="4320" w:type="dxa"/>
            <w:vAlign w:val="bottom"/>
          </w:tcPr>
          <w:p>
            <w:pPr>
              <w:ind w:left="40"/>
              <w:spacing w:after="0"/>
              <w:rPr>
                <w:sz w:val="20"/>
                <w:szCs w:val="20"/>
                <w:color w:val="auto"/>
              </w:rPr>
            </w:pPr>
            <w:r>
              <w:rPr>
                <w:rFonts w:ascii="Arial" w:cs="Arial" w:eastAsia="Arial" w:hAnsi="Arial"/>
                <w:sz w:val="17"/>
                <w:szCs w:val="17"/>
                <w:color w:val="auto"/>
              </w:rPr>
              <w:t>Total investments</w:t>
            </w:r>
          </w:p>
        </w:tc>
        <w:tc>
          <w:tcPr>
            <w:tcW w:w="154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7"/>
              </w:rPr>
              <w:t>136,869,267</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31,480,865</w:t>
            </w:r>
          </w:p>
        </w:tc>
        <w:tc>
          <w:tcPr>
            <w:tcW w:w="102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95"/>
              </w:rPr>
              <w:t>168,350,132</w:t>
            </w:r>
          </w:p>
        </w:tc>
      </w:tr>
      <w:tr>
        <w:trPr>
          <w:trHeight w:val="20"/>
        </w:trPr>
        <w:tc>
          <w:tcPr>
            <w:tcW w:w="4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66"/>
        </w:trPr>
        <w:tc>
          <w:tcPr>
            <w:tcW w:w="4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color w:val="auto"/>
              </w:rPr>
              <w:t>F-25</w:t>
            </w: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3" w:right="339" w:bottom="1440" w:gutter="0" w:footer="0" w:header="0"/>
        </w:sectPr>
      </w:pPr>
    </w:p>
    <w:bookmarkStart w:id="91" w:name="page92"/>
    <w:bookmarkEnd w:id="91"/>
    <w:p>
      <w:pPr>
        <w:ind w:right="80"/>
        <w:spacing w:after="0" w:line="264" w:lineRule="auto"/>
        <w:rPr>
          <w:sz w:val="20"/>
          <w:szCs w:val="20"/>
          <w:color w:val="auto"/>
        </w:rPr>
      </w:pPr>
      <w:r>
        <w:rPr>
          <w:rFonts w:ascii="Arial" w:cs="Arial" w:eastAsia="Arial" w:hAnsi="Arial"/>
          <w:sz w:val="17"/>
          <w:szCs w:val="17"/>
          <w:color w:val="auto"/>
        </w:rPr>
        <w:t>Pursuant to ASC 820 “Fair Value Measurement” (“ASC 820”) an entity is permitted, as a practical expedient, to estimate the fair value of an investment within the scope of ASC 820 using the NAV per share (or its equivalent) of the investment. The following table sets forth the Company’s investment in a hedge fund measured at NAV per share (or its equivalent) as of December 31, 2019 and 2018. The Company measures this investment at fair value on a recurring basis. Fair value using NAV per share is as follows as of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Category</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1"/>
              </w:rPr>
              <w:t>December 31, 2018</w:t>
            </w:r>
          </w:p>
        </w:tc>
      </w:tr>
      <w:tr>
        <w:trPr>
          <w:trHeight w:val="469"/>
        </w:trPr>
        <w:tc>
          <w:tcPr>
            <w:tcW w:w="764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2,584,913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1,855,225</w:t>
            </w:r>
          </w:p>
        </w:tc>
      </w:tr>
      <w:tr>
        <w:trPr>
          <w:trHeight w:val="209"/>
        </w:trPr>
        <w:tc>
          <w:tcPr>
            <w:tcW w:w="7640" w:type="dxa"/>
            <w:vAlign w:val="bottom"/>
          </w:tcPr>
          <w:p>
            <w:pPr>
              <w:ind w:left="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2,584,913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1,855,225</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320"/>
        <w:spacing w:after="0" w:line="320" w:lineRule="auto"/>
        <w:rPr>
          <w:sz w:val="20"/>
          <w:szCs w:val="20"/>
          <w:color w:val="auto"/>
        </w:rPr>
      </w:pPr>
      <w:r>
        <w:rPr>
          <w:rFonts w:ascii="Arial" w:cs="Arial" w:eastAsia="Arial" w:hAnsi="Arial"/>
          <w:sz w:val="15"/>
          <w:szCs w:val="15"/>
          <w:color w:val="auto"/>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recorded in the accompanying consolidated statements of operations and comprehensive income (loss) within net gains (losses) on investments.</w:t>
      </w:r>
    </w:p>
    <w:p>
      <w:pPr>
        <w:spacing w:after="0" w:line="146"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The estimated fair value and the level of the fair value hierarchy of the Company’s long-term debt as of December 31, 2019 and 2018, which is not measured at fair value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15"/>
        </w:trPr>
        <w:tc>
          <w:tcPr>
            <w:tcW w:w="5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233"/>
        </w:trPr>
        <w:tc>
          <w:tcPr>
            <w:tcW w:w="5860" w:type="dxa"/>
            <w:vAlign w:val="bottom"/>
          </w:tcPr>
          <w:p>
            <w:pPr>
              <w:ind w:left="40"/>
              <w:spacing w:after="0"/>
              <w:rPr>
                <w:sz w:val="20"/>
                <w:szCs w:val="20"/>
                <w:color w:val="auto"/>
              </w:rPr>
            </w:pPr>
            <w:r>
              <w:rPr>
                <w:rFonts w:ascii="Arial" w:cs="Arial" w:eastAsia="Arial" w:hAnsi="Arial"/>
                <w:sz w:val="17"/>
                <w:szCs w:val="17"/>
                <w:b w:val="1"/>
                <w:bCs w:val="1"/>
                <w:color w:val="auto"/>
              </w:rPr>
              <w:t>Long-term debt</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8"/>
        </w:trPr>
        <w:tc>
          <w:tcPr>
            <w:tcW w:w="5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Senior Notes due 2022</w:t>
            </w:r>
          </w:p>
        </w:tc>
        <w:tc>
          <w:tcPr>
            <w:tcW w:w="104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27,313,994</w:t>
            </w:r>
          </w:p>
        </w:tc>
        <w:tc>
          <w:tcPr>
            <w:tcW w:w="102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98"/>
              </w:rPr>
              <w:t>27,313,994</w:t>
            </w:r>
          </w:p>
        </w:tc>
      </w:tr>
      <w:tr>
        <w:trPr>
          <w:trHeight w:val="581"/>
        </w:trPr>
        <w:tc>
          <w:tcPr>
            <w:tcW w:w="58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5"/>
        </w:trPr>
        <w:tc>
          <w:tcPr>
            <w:tcW w:w="5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233"/>
        </w:trPr>
        <w:tc>
          <w:tcPr>
            <w:tcW w:w="5860" w:type="dxa"/>
            <w:vAlign w:val="bottom"/>
          </w:tcPr>
          <w:p>
            <w:pPr>
              <w:ind w:left="40"/>
              <w:spacing w:after="0"/>
              <w:rPr>
                <w:sz w:val="20"/>
                <w:szCs w:val="20"/>
                <w:color w:val="auto"/>
              </w:rPr>
            </w:pPr>
            <w:r>
              <w:rPr>
                <w:rFonts w:ascii="Arial" w:cs="Arial" w:eastAsia="Arial" w:hAnsi="Arial"/>
                <w:sz w:val="17"/>
                <w:szCs w:val="17"/>
                <w:b w:val="1"/>
                <w:bCs w:val="1"/>
                <w:color w:val="auto"/>
              </w:rPr>
              <w:t>Long-term debt</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8"/>
        </w:trPr>
        <w:tc>
          <w:tcPr>
            <w:tcW w:w="5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Senior Notes due 2022</w:t>
            </w:r>
          </w:p>
        </w:tc>
        <w:tc>
          <w:tcPr>
            <w:tcW w:w="104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28,521,734</w:t>
            </w:r>
          </w:p>
        </w:tc>
        <w:tc>
          <w:tcPr>
            <w:tcW w:w="102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98"/>
              </w:rPr>
              <w:t>28,521,734</w:t>
            </w:r>
          </w:p>
        </w:tc>
      </w:tr>
    </w:tbl>
    <w:p>
      <w:pPr>
        <w:spacing w:after="0" w:line="201" w:lineRule="exact"/>
        <w:rPr>
          <w:sz w:val="20"/>
          <w:szCs w:val="20"/>
          <w:color w:val="auto"/>
        </w:rPr>
      </w:pPr>
    </w:p>
    <w:p>
      <w:pPr>
        <w:jc w:val="both"/>
        <w:ind w:right="120"/>
        <w:spacing w:after="0" w:line="320" w:lineRule="auto"/>
        <w:rPr>
          <w:sz w:val="20"/>
          <w:szCs w:val="20"/>
          <w:color w:val="auto"/>
        </w:rPr>
      </w:pPr>
      <w:r>
        <w:rPr>
          <w:rFonts w:ascii="Arial" w:cs="Arial" w:eastAsia="Arial" w:hAnsi="Arial"/>
          <w:sz w:val="15"/>
          <w:szCs w:val="15"/>
          <w:color w:val="auto"/>
        </w:rPr>
        <w:t>The fair value of long-term debt is estimated based on observable market prices when available. When observable market prices are not available, the fair values of debt are based on observable market prices of comparable instruments adjusted for differences between the observed instruments and the instruments being valued or is estimated using discounted cash flow analyses, based on current incremental borrowing rates for similar types of borrowing arrangements.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the fair value of financial instruments and real estate:</w:t>
      </w:r>
    </w:p>
    <w:p>
      <w:pPr>
        <w:spacing w:after="0" w:line="223"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b w:val="1"/>
          <w:bCs w:val="1"/>
          <w:i w:val="1"/>
          <w:iCs w:val="1"/>
          <w:color w:val="auto"/>
        </w:rPr>
        <w:t xml:space="preserve">Equity securities, available-for-sale fixed income securities, held-to-maturity fixed income securities, and other investments: </w:t>
      </w:r>
      <w:r>
        <w:rPr>
          <w:rFonts w:ascii="Arial" w:cs="Arial" w:eastAsia="Arial" w:hAnsi="Arial"/>
          <w:sz w:val="17"/>
          <w:szCs w:val="17"/>
          <w:color w:val="auto"/>
        </w:rPr>
        <w:t>Fair value disclosures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are included in “Note 3 - Investments” and “Note 4 –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46"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accompanying consolidated balance sheets for these financial instruments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 their fair values due to the short-term nature of the assets.</w:t>
      </w:r>
    </w:p>
    <w:p>
      <w:pPr>
        <w:spacing w:after="0" w:line="170"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b w:val="1"/>
          <w:bCs w:val="1"/>
          <w:i w:val="1"/>
          <w:iCs w:val="1"/>
          <w:color w:val="auto"/>
        </w:rPr>
        <w:t xml:space="preserve">Real estate: </w:t>
      </w:r>
      <w:r>
        <w:rPr>
          <w:rFonts w:ascii="Arial" w:cs="Arial" w:eastAsia="Arial" w:hAnsi="Arial"/>
          <w:sz w:val="17"/>
          <w:szCs w:val="17"/>
          <w:color w:val="auto"/>
        </w:rPr>
        <w:t>The estimated fair value was based on an appraisal prepared using the sales comparison approach, and accordingly the real estate is a Level 3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Reinsurance balances payable: </w:t>
      </w:r>
      <w:r>
        <w:rPr>
          <w:rFonts w:ascii="Arial" w:cs="Arial" w:eastAsia="Arial" w:hAnsi="Arial"/>
          <w:sz w:val="16"/>
          <w:szCs w:val="16"/>
          <w:color w:val="auto"/>
        </w:rPr>
        <w:t>The carrying value reported in the consolidated balance sheets for these financial instruments approximates fair value.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December 31, 2019 and 2018 are as follows:</w:t>
      </w:r>
    </w:p>
    <w:p>
      <w:pPr>
        <w:sectPr>
          <w:pgSz w:w="11900" w:h="16838" w:orient="portrait"/>
          <w:cols w:equalWidth="0" w:num="1">
            <w:col w:w="11240"/>
          </w:cols>
          <w:pgMar w:left="320" w:top="493" w:right="339" w:bottom="1440" w:gutter="0" w:footer="0" w:header="0"/>
        </w:sectPr>
      </w:pPr>
    </w:p>
    <w:p>
      <w:pPr>
        <w:spacing w:after="0" w:line="270"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5715</wp:posOffset>
            </wp:positionV>
            <wp:extent cx="171767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1717675" cy="16510"/>
                    </a:xfrm>
                    <a:prstGeom prst="rect">
                      <a:avLst/>
                    </a:prstGeom>
                    <a:noFill/>
                  </pic:spPr>
                </pic:pic>
              </a:graphicData>
            </a:graphic>
          </wp:anchor>
        </w:drawing>
      </w:r>
    </w:p>
    <w:p>
      <w:pPr>
        <w:spacing w:after="0" w:line="80" w:lineRule="exact"/>
        <w:rPr>
          <w:sz w:val="20"/>
          <w:szCs w:val="20"/>
          <w:color w:val="auto"/>
        </w:rPr>
      </w:pPr>
    </w:p>
    <w:tbl>
      <w:tblPr>
        <w:tblLayout w:type="fixed"/>
        <w:tblInd w:w="5740" w:type="dxa"/>
        <w:tblCellMar>
          <w:top w:w="0" w:type="dxa"/>
          <w:left w:w="0" w:type="dxa"/>
          <w:bottom w:w="0" w:type="dxa"/>
          <w:right w:w="0" w:type="dxa"/>
        </w:tblCellMar>
      </w:tblPr>
      <w:tr>
        <w:trPr>
          <w:trHeight w:val="186"/>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Estimated</w:t>
            </w:r>
          </w:p>
        </w:tc>
      </w:tr>
      <w:tr>
        <w:trPr>
          <w:trHeight w:val="199"/>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70942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1709420" cy="1651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Estimated</w:t>
            </w:r>
          </w:p>
        </w:tc>
      </w:tr>
      <w:tr>
        <w:trPr>
          <w:trHeight w:val="199"/>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bl>
    <w:p>
      <w:pPr>
        <w:spacing w:after="0" w:line="200" w:lineRule="exact"/>
        <w:rPr>
          <w:sz w:val="20"/>
          <w:szCs w:val="20"/>
          <w:color w:val="auto"/>
        </w:rPr>
      </w:pPr>
    </w:p>
    <w:p>
      <w:pPr>
        <w:sectPr>
          <w:pgSz w:w="11900" w:h="16838" w:orient="portrait"/>
          <w:cols w:equalWidth="0" w:num="2">
            <w:col w:w="8440" w:space="120"/>
            <w:col w:w="2680"/>
          </w:cols>
          <w:pgMar w:left="320" w:top="493"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securities-held-to maturity</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3,825,952</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4,124,767</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4,222,855</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4,426,416</w:t>
            </w:r>
          </w:p>
        </w:tc>
      </w:tr>
      <w:tr>
        <w:trPr>
          <w:trHeight w:val="234"/>
        </w:trPr>
        <w:tc>
          <w:tcPr>
            <w:tcW w:w="446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32,391,485</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32,391,485</w:t>
            </w:r>
          </w:p>
        </w:tc>
        <w:tc>
          <w:tcPr>
            <w:tcW w:w="3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21,138,403</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w w:val="98"/>
              </w:rPr>
              <w:t>21,138,403</w:t>
            </w:r>
          </w:p>
        </w:tc>
      </w:tr>
      <w:tr>
        <w:trPr>
          <w:trHeight w:val="236"/>
        </w:trPr>
        <w:tc>
          <w:tcPr>
            <w:tcW w:w="44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Premiums receivable, net</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12,706,411</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12,706,411</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13,961,599</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13,961,599</w:t>
            </w:r>
          </w:p>
        </w:tc>
      </w:tr>
      <w:tr>
        <w:trPr>
          <w:trHeight w:val="234"/>
        </w:trPr>
        <w:tc>
          <w:tcPr>
            <w:tcW w:w="4460" w:type="dxa"/>
            <w:vAlign w:val="bottom"/>
          </w:tcPr>
          <w:p>
            <w:pPr>
              <w:ind w:left="40"/>
              <w:spacing w:after="0"/>
              <w:rPr>
                <w:sz w:val="20"/>
                <w:szCs w:val="20"/>
                <w:color w:val="auto"/>
              </w:rPr>
            </w:pPr>
            <w:r>
              <w:rPr>
                <w:rFonts w:ascii="Arial" w:cs="Arial" w:eastAsia="Arial" w:hAnsi="Arial"/>
                <w:sz w:val="17"/>
                <w:szCs w:val="17"/>
                <w:color w:val="auto"/>
              </w:rPr>
              <w:t>Reinsurance receivables, net</w:t>
            </w:r>
          </w:p>
        </w:tc>
        <w:tc>
          <w:tcPr>
            <w:tcW w:w="1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40,750,538</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40,750,538</w:t>
            </w:r>
          </w:p>
        </w:tc>
        <w:tc>
          <w:tcPr>
            <w:tcW w:w="3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26,367,115</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w w:val="98"/>
              </w:rPr>
              <w:t>26,367,115</w:t>
            </w:r>
          </w:p>
        </w:tc>
      </w:tr>
      <w:tr>
        <w:trPr>
          <w:trHeight w:val="236"/>
        </w:trPr>
        <w:tc>
          <w:tcPr>
            <w:tcW w:w="44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 estate, net of accumulated depreciation</w:t>
            </w: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2,292,743</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2,705,000</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2,300,827</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2,705,000</w:t>
            </w:r>
          </w:p>
        </w:tc>
      </w:tr>
      <w:tr>
        <w:trPr>
          <w:trHeight w:val="233"/>
        </w:trPr>
        <w:tc>
          <w:tcPr>
            <w:tcW w:w="4460" w:type="dxa"/>
            <w:vAlign w:val="bottom"/>
          </w:tcPr>
          <w:p>
            <w:pPr>
              <w:ind w:left="40"/>
              <w:spacing w:after="0"/>
              <w:rPr>
                <w:sz w:val="20"/>
                <w:szCs w:val="20"/>
                <w:color w:val="auto"/>
              </w:rPr>
            </w:pPr>
            <w:r>
              <w:rPr>
                <w:rFonts w:ascii="Arial" w:cs="Arial" w:eastAsia="Arial" w:hAnsi="Arial"/>
                <w:sz w:val="17"/>
                <w:szCs w:val="17"/>
                <w:color w:val="auto"/>
              </w:rPr>
              <w:t>Reinsurance balances payable</w:t>
            </w:r>
          </w:p>
        </w:tc>
        <w:tc>
          <w:tcPr>
            <w:tcW w:w="1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11,714,724</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11,714,724</w:t>
            </w:r>
          </w:p>
        </w:tc>
        <w:tc>
          <w:tcPr>
            <w:tcW w:w="3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1,933,376</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1,933,376</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Intangible Assets</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2019.</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93" w:name="page94"/>
    <w:bookmarkEnd w:id="93"/>
    <w:p>
      <w:pPr>
        <w:ind w:right="140"/>
        <w:spacing w:after="0" w:line="281" w:lineRule="auto"/>
        <w:rPr>
          <w:sz w:val="20"/>
          <w:szCs w:val="20"/>
          <w:color w:val="auto"/>
        </w:rPr>
      </w:pPr>
      <w:r>
        <w:rPr>
          <w:rFonts w:ascii="Arial" w:cs="Arial" w:eastAsia="Arial" w:hAnsi="Arial"/>
          <w:sz w:val="17"/>
          <w:szCs w:val="17"/>
          <w:color w:val="auto"/>
        </w:rPr>
        <w:t>The components of intangible assets and their useful lives, accumulated amortization, and net carrying value as of December 31, 2019 and 2018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51"/>
        </w:trPr>
        <w:tc>
          <w:tcPr>
            <w:tcW w:w="3280" w:type="dxa"/>
            <w:vAlign w:val="bottom"/>
          </w:tcPr>
          <w:p>
            <w:pPr>
              <w:spacing w:after="0"/>
              <w:rPr>
                <w:sz w:val="21"/>
                <w:szCs w:val="21"/>
                <w:color w:val="auto"/>
              </w:rPr>
            </w:pPr>
          </w:p>
        </w:tc>
        <w:tc>
          <w:tcPr>
            <w:tcW w:w="820" w:type="dxa"/>
            <w:vAlign w:val="bottom"/>
          </w:tcPr>
          <w:p>
            <w:pPr>
              <w:jc w:val="center"/>
              <w:ind w:left="248"/>
              <w:spacing w:after="0"/>
              <w:rPr>
                <w:sz w:val="20"/>
                <w:szCs w:val="20"/>
                <w:color w:val="auto"/>
              </w:rPr>
            </w:pPr>
            <w:r>
              <w:rPr>
                <w:rFonts w:ascii="Arial" w:cs="Arial" w:eastAsia="Arial" w:hAnsi="Arial"/>
                <w:sz w:val="14"/>
                <w:szCs w:val="14"/>
                <w:b w:val="1"/>
                <w:bCs w:val="1"/>
                <w:color w:val="auto"/>
                <w:w w:val="88"/>
              </w:rPr>
              <w:t>Useful</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Net</w:t>
            </w:r>
          </w:p>
        </w:tc>
      </w:tr>
      <w:tr>
        <w:trPr>
          <w:trHeight w:val="235"/>
        </w:trPr>
        <w:tc>
          <w:tcPr>
            <w:tcW w:w="3280" w:type="dxa"/>
            <w:vAlign w:val="bottom"/>
          </w:tcPr>
          <w:p>
            <w:pPr>
              <w:spacing w:after="0"/>
              <w:rPr>
                <w:sz w:val="20"/>
                <w:szCs w:val="20"/>
                <w:color w:val="auto"/>
              </w:rPr>
            </w:pPr>
          </w:p>
        </w:tc>
        <w:tc>
          <w:tcPr>
            <w:tcW w:w="820" w:type="dxa"/>
            <w:vAlign w:val="bottom"/>
          </w:tcPr>
          <w:p>
            <w:pPr>
              <w:jc w:val="center"/>
              <w:ind w:left="248"/>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0"/>
                <w:szCs w:val="20"/>
                <w:color w:val="auto"/>
              </w:rPr>
            </w:pPr>
          </w:p>
        </w:tc>
        <w:tc>
          <w:tcPr>
            <w:tcW w:w="86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rPr>
              <w:t>Carrying</w:t>
            </w:r>
          </w:p>
        </w:tc>
        <w:tc>
          <w:tcPr>
            <w:tcW w:w="12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0"/>
                <w:szCs w:val="20"/>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Carrying</w:t>
            </w:r>
          </w:p>
        </w:tc>
      </w:tr>
      <w:tr>
        <w:trPr>
          <w:trHeight w:val="199"/>
        </w:trPr>
        <w:tc>
          <w:tcPr>
            <w:tcW w:w="3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8"/>
              </w:rPr>
              <w:t>(in yrs)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Amount</w:t>
            </w:r>
          </w:p>
        </w:tc>
      </w:tr>
      <w:tr>
        <w:trPr>
          <w:trHeight w:val="235"/>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Insurance license</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500,000</w:t>
            </w: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w w:val="84"/>
              </w:rPr>
              <w:t>10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3,400,000</w:t>
            </w:r>
          </w:p>
        </w:tc>
        <w:tc>
          <w:tcPr>
            <w:tcW w:w="320" w:type="dxa"/>
            <w:vAlign w:val="bottom"/>
          </w:tcPr>
          <w:p>
            <w:pPr>
              <w:spacing w:after="0"/>
              <w:rPr>
                <w:sz w:val="20"/>
                <w:szCs w:val="20"/>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w w:val="97"/>
              </w:rPr>
              <w:t>3,400,000</w:t>
            </w:r>
          </w:p>
        </w:tc>
        <w:tc>
          <w:tcPr>
            <w:tcW w:w="2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3,400,000</w:t>
            </w:r>
          </w:p>
        </w:tc>
        <w:tc>
          <w:tcPr>
            <w:tcW w:w="360" w:type="dxa"/>
            <w:vAlign w:val="bottom"/>
          </w:tcPr>
          <w:p>
            <w:pPr>
              <w:spacing w:after="0"/>
              <w:rPr>
                <w:sz w:val="20"/>
                <w:szCs w:val="20"/>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w w:val="95"/>
              </w:rPr>
              <w:t>3,230,000</w:t>
            </w:r>
          </w:p>
        </w:tc>
        <w:tc>
          <w:tcPr>
            <w:tcW w:w="20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7"/>
                <w:szCs w:val="17"/>
                <w:color w:val="auto"/>
              </w:rPr>
              <w:t>170,000</w:t>
            </w:r>
          </w:p>
        </w:tc>
      </w:tr>
      <w:tr>
        <w:trPr>
          <w:trHeight w:val="236"/>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 identifiable</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7"/>
                <w:szCs w:val="17"/>
                <w:color w:val="auto"/>
              </w:rPr>
              <w:t>intangibles</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950,000</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950,000</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950,000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950,000</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r>
      <w:tr>
        <w:trPr>
          <w:trHeight w:val="24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8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4,850,000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97"/>
              </w:rPr>
              <w:t>4,350,000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4,850,000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95"/>
              </w:rPr>
              <w:t>4,180,000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670,000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 impairment testing and amortization</w:t>
      </w:r>
    </w:p>
    <w:p>
      <w:pPr>
        <w:spacing w:after="0" w:line="223"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The Company performs an analysis annually as of December 31, or sooner if there are indicators that the asset may be impaired, to identify potential impairment of intangible assets with both finite and indefinite lives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recorded amortization expense related to intangible assets of $170,000 and $340,000, for the years ended December 31, 2019 and 2018,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Reinsurance</w:t>
      </w:r>
    </w:p>
    <w:p>
      <w:pPr>
        <w:spacing w:after="0" w:line="22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Through June 30, 2019, the Company’s quota share reinsurance treaties were on a July 1 through June 30 fiscal year basis. Effective December 15, 2019, the Company entered into a quota share reinsurance treaty for its personal lines business, which primarily consists of homeowners’ policies, covering the period from December 15, 2019 through December 31, 2020 (“2019/2020”) Treaty. In addition to the 2019/2020 Treaty, the Company’s quota share reinsurance treaties in effect during the years ended December, 2019 and 2018 for its personal lines business were covered under a treaty covering a two-year period from July 1, 2017 through June 30, 2019 (“2017/2019 Treaty”). The treaty in effect during the year ended December 31, 2019 was covered under the July 1, 2018 through June 30, 2019 treaty year (“2018/2019 Treaty Year”). The treaties in effect during the year ended December 31, 2018 were covered under the July 1, 2017 through June 30, 2018 treaty year (“2017/2018 Treaty Year”) and the 2018/2019 Treaty Year that began on July 1, 2018.</w:t>
      </w:r>
    </w:p>
    <w:p>
      <w:pPr>
        <w:spacing w:after="0" w:line="176"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auto"/>
        </w:rPr>
        <w:t>In August 2018, the Company terminated its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94" w:name="page95"/>
    <w:bookmarkEnd w:id="94"/>
    <w:p>
      <w:pPr>
        <w:jc w:val="both"/>
        <w:ind w:right="20"/>
        <w:spacing w:after="0" w:line="268" w:lineRule="auto"/>
        <w:rPr>
          <w:sz w:val="20"/>
          <w:szCs w:val="20"/>
          <w:color w:val="auto"/>
        </w:rPr>
      </w:pPr>
      <w:r>
        <w:rPr>
          <w:rFonts w:ascii="Arial" w:cs="Arial" w:eastAsia="Arial" w:hAnsi="Arial"/>
          <w:sz w:val="17"/>
          <w:szCs w:val="17"/>
          <w:color w:val="auto"/>
        </w:rPr>
        <w:t>Effective July 1, 2019, the 2017/2019 Treaty and commercial umbrella treaty expired on a run-off basis; these treaties were not renewed. The Company entered into new excess of loss and catastrophe reinsurance treaties effective July 1, 2019. Material terms for reinsurance treaties in effect for the treaty years shown below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b w:val="1"/>
                <w:bCs w:val="1"/>
                <w:color w:val="auto"/>
              </w:rPr>
              <w:t>Treaty Year</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217"/>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gridSpan w:val="2"/>
          </w:tcPr>
          <w:p>
            <w:pPr>
              <w:jc w:val="center"/>
              <w:ind w:left="426"/>
              <w:spacing w:after="0"/>
              <w:rPr>
                <w:sz w:val="20"/>
                <w:szCs w:val="20"/>
                <w:color w:val="auto"/>
              </w:rPr>
            </w:pPr>
            <w:r>
              <w:rPr>
                <w:rFonts w:ascii="Arial" w:cs="Arial" w:eastAsia="Arial" w:hAnsi="Arial"/>
                <w:sz w:val="12"/>
                <w:szCs w:val="12"/>
                <w:b w:val="1"/>
                <w:bCs w:val="1"/>
                <w:color w:val="auto"/>
                <w:w w:val="88"/>
              </w:rPr>
              <w:t>December 15, 2019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center"/>
              <w:ind w:right="464"/>
              <w:spacing w:after="0"/>
              <w:rPr>
                <w:sz w:val="20"/>
                <w:szCs w:val="20"/>
                <w:color w:val="auto"/>
              </w:rPr>
            </w:pPr>
            <w:r>
              <w:rPr>
                <w:rFonts w:ascii="Arial" w:cs="Arial" w:eastAsia="Arial" w:hAnsi="Arial"/>
                <w:sz w:val="12"/>
                <w:szCs w:val="12"/>
                <w:b w:val="1"/>
                <w:bCs w:val="1"/>
                <w:color w:val="auto"/>
                <w:w w:val="88"/>
              </w:rPr>
              <w:t>July 1,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ind w:right="205"/>
              <w:spacing w:after="0"/>
              <w:rPr>
                <w:sz w:val="20"/>
                <w:szCs w:val="20"/>
                <w:color w:val="auto"/>
              </w:rPr>
            </w:pPr>
            <w:r>
              <w:rPr>
                <w:rFonts w:ascii="Arial" w:cs="Arial" w:eastAsia="Arial" w:hAnsi="Arial"/>
                <w:sz w:val="12"/>
                <w:szCs w:val="12"/>
                <w:b w:val="1"/>
                <w:bCs w:val="1"/>
                <w:color w:val="auto"/>
                <w:w w:val="88"/>
              </w:rPr>
              <w:t>July 1,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85"/>
              <w:spacing w:after="0"/>
              <w:rPr>
                <w:sz w:val="20"/>
                <w:szCs w:val="20"/>
                <w:color w:val="auto"/>
              </w:rPr>
            </w:pPr>
            <w:r>
              <w:rPr>
                <w:rFonts w:ascii="Arial" w:cs="Arial" w:eastAsia="Arial" w:hAnsi="Arial"/>
                <w:sz w:val="12"/>
                <w:szCs w:val="12"/>
                <w:b w:val="1"/>
                <w:bCs w:val="1"/>
                <w:color w:val="auto"/>
                <w:w w:val="88"/>
              </w:rPr>
              <w:t>July 1, 2017</w:t>
            </w:r>
          </w:p>
        </w:tc>
      </w:tr>
      <w:tr>
        <w:trPr>
          <w:trHeight w:val="189"/>
        </w:trPr>
        <w:tc>
          <w:tcPr>
            <w:tcW w:w="1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20" w:type="dxa"/>
            <w:vAlign w:val="bottom"/>
            <w:gridSpan w:val="2"/>
          </w:tcPr>
          <w:p>
            <w:pPr>
              <w:jc w:val="center"/>
              <w:ind w:left="446"/>
              <w:spacing w:after="0"/>
              <w:rPr>
                <w:sz w:val="20"/>
                <w:szCs w:val="20"/>
                <w:color w:val="auto"/>
              </w:rPr>
            </w:pPr>
            <w:r>
              <w:rPr>
                <w:rFonts w:ascii="Arial" w:cs="Arial" w:eastAsia="Arial" w:hAnsi="Arial"/>
                <w:sz w:val="12"/>
                <w:szCs w:val="12"/>
                <w:b w:val="1"/>
                <w:bCs w:val="1"/>
                <w:color w:val="auto"/>
                <w:w w:val="87"/>
              </w:rPr>
              <w:t>to</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jc w:val="center"/>
              <w:ind w:right="884"/>
              <w:spacing w:after="0"/>
              <w:rPr>
                <w:sz w:val="20"/>
                <w:szCs w:val="20"/>
                <w:color w:val="auto"/>
              </w:rPr>
            </w:pPr>
            <w:r>
              <w:rPr>
                <w:rFonts w:ascii="Arial" w:cs="Arial" w:eastAsia="Arial" w:hAnsi="Arial"/>
                <w:sz w:val="12"/>
                <w:szCs w:val="12"/>
                <w:b w:val="1"/>
                <w:bCs w:val="1"/>
                <w:color w:val="auto"/>
                <w:w w:val="87"/>
              </w:rPr>
              <w:t>to</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25"/>
              <w:spacing w:after="0"/>
              <w:rPr>
                <w:sz w:val="20"/>
                <w:szCs w:val="20"/>
                <w:color w:val="auto"/>
              </w:rPr>
            </w:pPr>
            <w:r>
              <w:rPr>
                <w:rFonts w:ascii="Arial" w:cs="Arial" w:eastAsia="Arial" w:hAnsi="Arial"/>
                <w:sz w:val="12"/>
                <w:szCs w:val="12"/>
                <w:b w:val="1"/>
                <w:bCs w:val="1"/>
                <w:color w:val="auto"/>
                <w:w w:val="87"/>
              </w:rPr>
              <w:t>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05"/>
              <w:spacing w:after="0"/>
              <w:rPr>
                <w:sz w:val="20"/>
                <w:szCs w:val="20"/>
                <w:color w:val="auto"/>
              </w:rPr>
            </w:pPr>
            <w:r>
              <w:rPr>
                <w:rFonts w:ascii="Arial" w:cs="Arial" w:eastAsia="Arial" w:hAnsi="Arial"/>
                <w:sz w:val="12"/>
                <w:szCs w:val="12"/>
                <w:b w:val="1"/>
                <w:bCs w:val="1"/>
                <w:color w:val="auto"/>
                <w:w w:val="87"/>
              </w:rPr>
              <w:t>to</w:t>
            </w:r>
          </w:p>
        </w:tc>
      </w:tr>
      <w:tr>
        <w:trPr>
          <w:trHeight w:val="149"/>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Line of Business</w:t>
            </w:r>
          </w:p>
        </w:tc>
        <w:tc>
          <w:tcPr>
            <w:tcW w:w="1620" w:type="dxa"/>
            <w:vAlign w:val="bottom"/>
            <w:tcBorders>
              <w:bottom w:val="single" w:sz="8" w:color="auto"/>
            </w:tcBorders>
            <w:gridSpan w:val="2"/>
          </w:tcPr>
          <w:p>
            <w:pPr>
              <w:jc w:val="center"/>
              <w:ind w:left="426"/>
              <w:spacing w:after="0"/>
              <w:rPr>
                <w:sz w:val="20"/>
                <w:szCs w:val="20"/>
                <w:color w:val="auto"/>
              </w:rPr>
            </w:pPr>
            <w:r>
              <w:rPr>
                <w:rFonts w:ascii="Arial" w:cs="Arial" w:eastAsia="Arial" w:hAnsi="Arial"/>
                <w:sz w:val="12"/>
                <w:szCs w:val="12"/>
                <w:b w:val="1"/>
                <w:bCs w:val="1"/>
                <w:color w:val="auto"/>
                <w:w w:val="88"/>
              </w:rPr>
              <w:t>December 31, 2020</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464"/>
              <w:spacing w:after="0"/>
              <w:rPr>
                <w:sz w:val="20"/>
                <w:szCs w:val="20"/>
                <w:color w:val="auto"/>
              </w:rPr>
            </w:pPr>
            <w:r>
              <w:rPr>
                <w:rFonts w:ascii="Arial" w:cs="Arial" w:eastAsia="Arial" w:hAnsi="Arial"/>
                <w:sz w:val="12"/>
                <w:szCs w:val="12"/>
                <w:b w:val="1"/>
                <w:bCs w:val="1"/>
                <w:color w:val="auto"/>
                <w:w w:val="88"/>
              </w:rPr>
              <w:t>December 14, 2019</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25"/>
              <w:spacing w:after="0"/>
              <w:rPr>
                <w:sz w:val="20"/>
                <w:szCs w:val="20"/>
                <w:color w:val="auto"/>
              </w:rPr>
            </w:pPr>
            <w:r>
              <w:rPr>
                <w:rFonts w:ascii="Arial" w:cs="Arial" w:eastAsia="Arial" w:hAnsi="Arial"/>
                <w:sz w:val="12"/>
                <w:szCs w:val="12"/>
                <w:b w:val="1"/>
                <w:bCs w:val="1"/>
                <w:color w:val="auto"/>
                <w:w w:val="89"/>
              </w:rPr>
              <w:t>June 30, 2019</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2"/>
                <w:szCs w:val="12"/>
                <w:b w:val="1"/>
                <w:bCs w:val="1"/>
                <w:color w:val="auto"/>
                <w:w w:val="87"/>
              </w:rPr>
              <w:t>June 30, 2018</w:t>
            </w:r>
          </w:p>
        </w:tc>
      </w:tr>
      <w:tr>
        <w:trPr>
          <w:trHeight w:val="379"/>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Personal Lines:</w:t>
            </w:r>
          </w:p>
        </w:tc>
        <w:tc>
          <w:tcPr>
            <w:tcW w:w="2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7"/>
                <w:szCs w:val="17"/>
                <w:color w:val="auto"/>
              </w:rPr>
              <w:t>Homeowners, dwelling fire and</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9"/>
        </w:trPr>
        <w:tc>
          <w:tcPr>
            <w:tcW w:w="3620" w:type="dxa"/>
            <w:vAlign w:val="bottom"/>
            <w:gridSpan w:val="2"/>
          </w:tcPr>
          <w:p>
            <w:pPr>
              <w:ind w:left="160"/>
              <w:spacing w:after="0"/>
              <w:rPr>
                <w:sz w:val="20"/>
                <w:szCs w:val="20"/>
                <w:color w:val="auto"/>
              </w:rPr>
            </w:pPr>
            <w:r>
              <w:rPr>
                <w:rFonts w:ascii="Arial" w:cs="Arial" w:eastAsia="Arial" w:hAnsi="Arial"/>
                <w:sz w:val="17"/>
                <w:szCs w:val="17"/>
                <w:color w:val="auto"/>
              </w:rPr>
              <w:t>and canine legal liability</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3620" w:type="dxa"/>
            <w:vAlign w:val="bottom"/>
            <w:gridSpan w:val="2"/>
          </w:tcPr>
          <w:p>
            <w:pPr>
              <w:ind w:left="20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3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Percent ceded</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None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372"/>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1125"/>
              <w:spacing w:after="0"/>
              <w:rPr>
                <w:sz w:val="20"/>
                <w:szCs w:val="20"/>
                <w:color w:val="auto"/>
              </w:rPr>
            </w:pPr>
            <w:r>
              <w:rPr>
                <w:rFonts w:ascii="Arial" w:cs="Arial" w:eastAsia="Arial" w:hAnsi="Arial"/>
                <w:sz w:val="14"/>
                <w:szCs w:val="14"/>
                <w:b w:val="1"/>
                <w:bCs w:val="1"/>
                <w:color w:val="auto"/>
              </w:rPr>
              <w:t>Treaty Year</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3"/>
        </w:trPr>
        <w:tc>
          <w:tcPr>
            <w:tcW w:w="1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4"/>
          </w:tcPr>
          <w:p>
            <w:pPr>
              <w:jc w:val="center"/>
              <w:ind w:left="28"/>
              <w:spacing w:after="0" w:line="143" w:lineRule="exact"/>
              <w:rPr>
                <w:sz w:val="20"/>
                <w:szCs w:val="20"/>
                <w:color w:val="auto"/>
              </w:rPr>
            </w:pPr>
            <w:r>
              <w:rPr>
                <w:rFonts w:ascii="Arial" w:cs="Arial" w:eastAsia="Arial" w:hAnsi="Arial"/>
                <w:sz w:val="14"/>
                <w:szCs w:val="14"/>
                <w:b w:val="1"/>
                <w:bCs w:val="1"/>
                <w:color w:val="auto"/>
                <w:w w:val="91"/>
              </w:rPr>
              <w:t>December 15, 2019</w:t>
            </w:r>
          </w:p>
        </w:tc>
        <w:tc>
          <w:tcPr>
            <w:tcW w:w="400" w:type="dxa"/>
            <w:vAlign w:val="bottom"/>
          </w:tcPr>
          <w:p>
            <w:pPr>
              <w:spacing w:after="0"/>
              <w:rPr>
                <w:sz w:val="12"/>
                <w:szCs w:val="12"/>
                <w:color w:val="auto"/>
              </w:rPr>
            </w:pPr>
          </w:p>
        </w:tc>
        <w:tc>
          <w:tcPr>
            <w:tcW w:w="1180" w:type="dxa"/>
            <w:vAlign w:val="bottom"/>
          </w:tcPr>
          <w:p>
            <w:pPr>
              <w:jc w:val="center"/>
              <w:ind w:right="104"/>
              <w:spacing w:after="0" w:line="143" w:lineRule="exact"/>
              <w:rPr>
                <w:sz w:val="20"/>
                <w:szCs w:val="20"/>
                <w:color w:val="auto"/>
              </w:rPr>
            </w:pPr>
            <w:r>
              <w:rPr>
                <w:rFonts w:ascii="Arial" w:cs="Arial" w:eastAsia="Arial" w:hAnsi="Arial"/>
                <w:sz w:val="14"/>
                <w:szCs w:val="14"/>
                <w:b w:val="1"/>
                <w:bCs w:val="1"/>
                <w:color w:val="auto"/>
                <w:w w:val="91"/>
              </w:rPr>
              <w:t>July 1, 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25"/>
              <w:spacing w:after="0" w:line="143" w:lineRule="exact"/>
              <w:rPr>
                <w:sz w:val="20"/>
                <w:szCs w:val="20"/>
                <w:color w:val="auto"/>
              </w:rPr>
            </w:pPr>
            <w:r>
              <w:rPr>
                <w:rFonts w:ascii="Arial" w:cs="Arial" w:eastAsia="Arial" w:hAnsi="Arial"/>
                <w:sz w:val="14"/>
                <w:szCs w:val="14"/>
                <w:b w:val="1"/>
                <w:bCs w:val="1"/>
                <w:color w:val="auto"/>
                <w:w w:val="94"/>
              </w:rPr>
              <w:t>July 1, 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05"/>
              <w:spacing w:after="0" w:line="143" w:lineRule="exact"/>
              <w:rPr>
                <w:sz w:val="20"/>
                <w:szCs w:val="20"/>
                <w:color w:val="auto"/>
              </w:rPr>
            </w:pPr>
            <w:r>
              <w:rPr>
                <w:rFonts w:ascii="Arial" w:cs="Arial" w:eastAsia="Arial" w:hAnsi="Arial"/>
                <w:sz w:val="14"/>
                <w:szCs w:val="14"/>
                <w:b w:val="1"/>
                <w:bCs w:val="1"/>
                <w:color w:val="auto"/>
                <w:w w:val="91"/>
              </w:rPr>
              <w:t>July 1, 2017</w:t>
            </w:r>
          </w:p>
        </w:tc>
      </w:tr>
      <w:tr>
        <w:trPr>
          <w:trHeight w:val="157"/>
        </w:trPr>
        <w:tc>
          <w:tcPr>
            <w:tcW w:w="1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to</w:t>
            </w:r>
          </w:p>
        </w:tc>
        <w:tc>
          <w:tcPr>
            <w:tcW w:w="400" w:type="dxa"/>
            <w:vAlign w:val="bottom"/>
          </w:tcPr>
          <w:p>
            <w:pPr>
              <w:spacing w:after="0"/>
              <w:rPr>
                <w:sz w:val="13"/>
                <w:szCs w:val="13"/>
                <w:color w:val="auto"/>
              </w:rPr>
            </w:pPr>
          </w:p>
        </w:tc>
        <w:tc>
          <w:tcPr>
            <w:tcW w:w="1180" w:type="dxa"/>
            <w:vAlign w:val="bottom"/>
          </w:tcPr>
          <w:p>
            <w:pPr>
              <w:jc w:val="center"/>
              <w:ind w:right="104"/>
              <w:spacing w:after="0" w:line="157"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05"/>
              <w:spacing w:after="0" w:line="157"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205"/>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6"/>
        </w:trPr>
        <w:tc>
          <w:tcPr>
            <w:tcW w:w="3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Line of Business</w:t>
            </w: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June 30, 2020</w:t>
            </w:r>
          </w:p>
        </w:tc>
        <w:tc>
          <w:tcPr>
            <w:tcW w:w="1580" w:type="dxa"/>
            <w:vAlign w:val="bottom"/>
            <w:tcBorders>
              <w:bottom w:val="single" w:sz="8" w:color="auto"/>
            </w:tcBorders>
            <w:gridSpan w:val="2"/>
          </w:tcPr>
          <w:p>
            <w:pPr>
              <w:jc w:val="center"/>
              <w:ind w:left="146"/>
              <w:spacing w:after="0"/>
              <w:rPr>
                <w:sz w:val="20"/>
                <w:szCs w:val="20"/>
                <w:color w:val="auto"/>
              </w:rPr>
            </w:pPr>
            <w:r>
              <w:rPr>
                <w:rFonts w:ascii="Arial" w:cs="Arial" w:eastAsia="Arial" w:hAnsi="Arial"/>
                <w:sz w:val="14"/>
                <w:szCs w:val="14"/>
                <w:b w:val="1"/>
                <w:bCs w:val="1"/>
                <w:color w:val="auto"/>
                <w:w w:val="91"/>
              </w:rPr>
              <w:t>December 14, 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2"/>
              </w:rPr>
              <w:t>June 30, 2018</w:t>
            </w:r>
          </w:p>
        </w:tc>
      </w:tr>
      <w:tr>
        <w:trPr>
          <w:trHeight w:val="464"/>
        </w:trPr>
        <w:tc>
          <w:tcPr>
            <w:tcW w:w="3620" w:type="dxa"/>
            <w:vAlign w:val="bottom"/>
            <w:gridSpan w:val="2"/>
          </w:tcPr>
          <w:p>
            <w:pPr>
              <w:spacing w:after="0"/>
              <w:rPr>
                <w:sz w:val="20"/>
                <w:szCs w:val="20"/>
                <w:color w:val="auto"/>
              </w:rPr>
            </w:pPr>
            <w:r>
              <w:rPr>
                <w:rFonts w:ascii="Arial" w:cs="Arial" w:eastAsia="Arial" w:hAnsi="Arial"/>
                <w:sz w:val="16"/>
                <w:szCs w:val="16"/>
                <w:color w:val="auto"/>
              </w:rPr>
              <w:t>Personal Lines:</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6"/>
                <w:szCs w:val="16"/>
                <w:color w:val="auto"/>
              </w:rPr>
              <w:t>Homeowners, dwelling fire and</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5"/>
        </w:trPr>
        <w:tc>
          <w:tcPr>
            <w:tcW w:w="3620" w:type="dxa"/>
            <w:vAlign w:val="bottom"/>
            <w:gridSpan w:val="2"/>
          </w:tcPr>
          <w:p>
            <w:pPr>
              <w:ind w:left="160"/>
              <w:spacing w:after="0"/>
              <w:rPr>
                <w:sz w:val="20"/>
                <w:szCs w:val="20"/>
                <w:color w:val="auto"/>
              </w:rPr>
            </w:pPr>
            <w:r>
              <w:rPr>
                <w:rFonts w:ascii="Arial" w:cs="Arial" w:eastAsia="Arial" w:hAnsi="Arial"/>
                <w:sz w:val="16"/>
                <w:szCs w:val="16"/>
                <w:color w:val="auto"/>
              </w:rPr>
              <w:t>and canine legal liability</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5"/>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Quota share treaty:</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8"/>
        </w:trPr>
        <w:tc>
          <w:tcPr>
            <w:tcW w:w="3620" w:type="dxa"/>
            <w:vAlign w:val="bottom"/>
            <w:gridSpan w:val="2"/>
          </w:tcPr>
          <w:p>
            <w:pPr>
              <w:ind w:left="520"/>
              <w:spacing w:after="0"/>
              <w:rPr>
                <w:sz w:val="20"/>
                <w:szCs w:val="20"/>
                <w:color w:val="auto"/>
              </w:rPr>
            </w:pPr>
            <w:r>
              <w:rPr>
                <w:rFonts w:ascii="Arial" w:cs="Arial" w:eastAsia="Arial" w:hAnsi="Arial"/>
                <w:sz w:val="16"/>
                <w:szCs w:val="16"/>
                <w:color w:val="auto"/>
              </w:rPr>
              <w:t>Risk retained on intial $1,000,000</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99"/>
        </w:trPr>
        <w:tc>
          <w:tcPr>
            <w:tcW w:w="36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of losses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750,000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900,000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800,000</w:t>
            </w:r>
          </w:p>
        </w:tc>
      </w:tr>
      <w:tr>
        <w:trPr>
          <w:trHeight w:val="196"/>
        </w:trPr>
        <w:tc>
          <w:tcPr>
            <w:tcW w:w="3620" w:type="dxa"/>
            <w:vAlign w:val="bottom"/>
            <w:gridSpan w:val="2"/>
          </w:tcPr>
          <w:p>
            <w:pPr>
              <w:ind w:left="520"/>
              <w:spacing w:after="0"/>
              <w:rPr>
                <w:sz w:val="20"/>
                <w:szCs w:val="20"/>
                <w:color w:val="auto"/>
              </w:rPr>
            </w:pPr>
            <w:r>
              <w:rPr>
                <w:rFonts w:ascii="Arial" w:cs="Arial" w:eastAsia="Arial" w:hAnsi="Arial"/>
                <w:sz w:val="16"/>
                <w:szCs w:val="16"/>
                <w:color w:val="auto"/>
              </w:rPr>
              <w:t>Losses per occurrence subject to</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36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quota share reinsurance coverage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1,000,000</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84"/>
              <w:spacing w:after="0"/>
              <w:rPr>
                <w:sz w:val="20"/>
                <w:szCs w:val="20"/>
                <w:color w:val="auto"/>
              </w:rPr>
            </w:pPr>
            <w:r>
              <w:rPr>
                <w:rFonts w:ascii="Arial" w:cs="Arial" w:eastAsia="Arial" w:hAnsi="Arial"/>
                <w:sz w:val="16"/>
                <w:szCs w:val="16"/>
                <w:color w:val="auto"/>
                <w:w w:val="88"/>
              </w:rPr>
              <w:t>None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1,000,000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1,000,000</w:t>
            </w:r>
          </w:p>
        </w:tc>
      </w:tr>
      <w:tr>
        <w:trPr>
          <w:trHeight w:val="196"/>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Excess of loss coverage and facultative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facility coverage (1)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9,000,000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9,000,000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9,000,000</w:t>
            </w:r>
          </w:p>
        </w:tc>
      </w:tr>
      <w:tr>
        <w:trPr>
          <w:trHeight w:val="232"/>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6"/>
                <w:szCs w:val="16"/>
                <w:color w:val="auto"/>
                <w:w w:val="87"/>
              </w:rPr>
              <w:t>in excess of</w:t>
            </w:r>
          </w:p>
        </w:tc>
        <w:tc>
          <w:tcPr>
            <w:tcW w:w="400" w:type="dxa"/>
            <w:vAlign w:val="bottom"/>
          </w:tcPr>
          <w:p>
            <w:pPr>
              <w:spacing w:after="0"/>
              <w:rPr>
                <w:sz w:val="20"/>
                <w:szCs w:val="20"/>
                <w:color w:val="auto"/>
              </w:rPr>
            </w:pPr>
          </w:p>
        </w:tc>
        <w:tc>
          <w:tcPr>
            <w:tcW w:w="1180" w:type="dxa"/>
            <w:vAlign w:val="bottom"/>
          </w:tcPr>
          <w:p>
            <w:pPr>
              <w:jc w:val="right"/>
              <w:ind w:right="204"/>
              <w:spacing w:after="0"/>
              <w:rPr>
                <w:sz w:val="20"/>
                <w:szCs w:val="20"/>
                <w:color w:val="auto"/>
              </w:rPr>
            </w:pPr>
            <w:r>
              <w:rPr>
                <w:rFonts w:ascii="Arial" w:cs="Arial" w:eastAsia="Arial" w:hAnsi="Arial"/>
                <w:sz w:val="16"/>
                <w:szCs w:val="16"/>
                <w:color w:val="auto"/>
              </w:rPr>
              <w:t>in excess of</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in excess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25"/>
              <w:spacing w:after="0"/>
              <w:rPr>
                <w:sz w:val="20"/>
                <w:szCs w:val="20"/>
                <w:color w:val="auto"/>
              </w:rPr>
            </w:pPr>
            <w:r>
              <w:rPr>
                <w:rFonts w:ascii="Arial" w:cs="Arial" w:eastAsia="Arial" w:hAnsi="Arial"/>
                <w:sz w:val="16"/>
                <w:szCs w:val="16"/>
                <w:color w:val="auto"/>
              </w:rPr>
              <w:t>in excess of</w:t>
            </w:r>
          </w:p>
        </w:tc>
      </w:tr>
      <w:tr>
        <w:trPr>
          <w:trHeight w:val="199"/>
        </w:trPr>
        <w:tc>
          <w:tcPr>
            <w:tcW w:w="10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1,000,000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1,000,000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1,000,000</w:t>
            </w:r>
          </w:p>
        </w:tc>
      </w:tr>
      <w:tr>
        <w:trPr>
          <w:trHeight w:val="196"/>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Total reinsurance coverage per occurrence</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6"/>
                <w:szCs w:val="16"/>
                <w:color w:val="auto"/>
              </w:rPr>
              <w:t>9,250,000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9,000,000</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5"/>
              <w:spacing w:after="0"/>
              <w:rPr>
                <w:sz w:val="20"/>
                <w:szCs w:val="20"/>
                <w:color w:val="auto"/>
              </w:rPr>
            </w:pPr>
            <w:r>
              <w:rPr>
                <w:rFonts w:ascii="Arial" w:cs="Arial" w:eastAsia="Arial" w:hAnsi="Arial"/>
                <w:sz w:val="16"/>
                <w:szCs w:val="16"/>
                <w:color w:val="auto"/>
              </w:rPr>
              <w:t>9,100,000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5"/>
              <w:spacing w:after="0"/>
              <w:rPr>
                <w:sz w:val="20"/>
                <w:szCs w:val="20"/>
                <w:color w:val="auto"/>
              </w:rPr>
            </w:pPr>
            <w:r>
              <w:rPr>
                <w:rFonts w:ascii="Arial" w:cs="Arial" w:eastAsia="Arial" w:hAnsi="Arial"/>
                <w:sz w:val="16"/>
                <w:szCs w:val="16"/>
                <w:color w:val="auto"/>
              </w:rPr>
              <w:t>9,200,000</w:t>
            </w:r>
          </w:p>
        </w:tc>
      </w:tr>
      <w:tr>
        <w:trPr>
          <w:trHeight w:val="196"/>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Losses per occurrence subject to</w:t>
            </w: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6"/>
        </w:trPr>
        <w:tc>
          <w:tcPr>
            <w:tcW w:w="3620" w:type="dxa"/>
            <w:vAlign w:val="bottom"/>
            <w:gridSpan w:val="2"/>
          </w:tcPr>
          <w:p>
            <w:pPr>
              <w:ind w:left="360"/>
              <w:spacing w:after="0"/>
              <w:rPr>
                <w:sz w:val="20"/>
                <w:szCs w:val="20"/>
                <w:color w:val="auto"/>
              </w:rPr>
            </w:pPr>
            <w:r>
              <w:rPr>
                <w:rFonts w:ascii="Arial" w:cs="Arial" w:eastAsia="Arial" w:hAnsi="Arial"/>
                <w:sz w:val="16"/>
                <w:szCs w:val="16"/>
                <w:color w:val="auto"/>
              </w:rPr>
              <w:t>reinsurance coverage</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6"/>
                <w:szCs w:val="16"/>
                <w:color w:val="auto"/>
              </w:rPr>
              <w:t>10,000,000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10,000,000</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5"/>
              <w:spacing w:after="0"/>
              <w:rPr>
                <w:sz w:val="20"/>
                <w:szCs w:val="20"/>
                <w:color w:val="auto"/>
              </w:rPr>
            </w:pPr>
            <w:r>
              <w:rPr>
                <w:rFonts w:ascii="Arial" w:cs="Arial" w:eastAsia="Arial" w:hAnsi="Arial"/>
                <w:sz w:val="16"/>
                <w:szCs w:val="16"/>
                <w:color w:val="auto"/>
              </w:rPr>
              <w:t>10,000,000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5"/>
              <w:spacing w:after="0"/>
              <w:rPr>
                <w:sz w:val="20"/>
                <w:szCs w:val="20"/>
                <w:color w:val="auto"/>
              </w:rPr>
            </w:pPr>
            <w:r>
              <w:rPr>
                <w:rFonts w:ascii="Arial" w:cs="Arial" w:eastAsia="Arial" w:hAnsi="Arial"/>
                <w:sz w:val="16"/>
                <w:szCs w:val="16"/>
                <w:color w:val="auto"/>
              </w:rPr>
              <w:t>10,000,000</w:t>
            </w:r>
          </w:p>
        </w:tc>
      </w:tr>
      <w:tr>
        <w:trPr>
          <w:trHeight w:val="235"/>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Expiration date</w:t>
            </w: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w w:val="88"/>
              </w:rPr>
              <w:t>June 30, 2020</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104"/>
              <w:spacing w:after="0"/>
              <w:rPr>
                <w:sz w:val="20"/>
                <w:szCs w:val="20"/>
                <w:color w:val="auto"/>
              </w:rPr>
            </w:pPr>
            <w:r>
              <w:rPr>
                <w:rFonts w:ascii="Arial" w:cs="Arial" w:eastAsia="Arial" w:hAnsi="Arial"/>
                <w:sz w:val="16"/>
                <w:szCs w:val="16"/>
                <w:color w:val="auto"/>
                <w:w w:val="86"/>
              </w:rPr>
              <w:t>June 30, 2020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225"/>
              <w:spacing w:after="0"/>
              <w:rPr>
                <w:sz w:val="20"/>
                <w:szCs w:val="20"/>
                <w:color w:val="auto"/>
              </w:rPr>
            </w:pPr>
            <w:r>
              <w:rPr>
                <w:rFonts w:ascii="Arial" w:cs="Arial" w:eastAsia="Arial" w:hAnsi="Arial"/>
                <w:sz w:val="16"/>
                <w:szCs w:val="16"/>
                <w:color w:val="auto"/>
                <w:w w:val="84"/>
              </w:rPr>
              <w:t>June 30, 2019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205"/>
              <w:spacing w:after="0"/>
              <w:rPr>
                <w:sz w:val="20"/>
                <w:szCs w:val="20"/>
                <w:color w:val="auto"/>
              </w:rPr>
            </w:pPr>
            <w:r>
              <w:rPr>
                <w:rFonts w:ascii="Arial" w:cs="Arial" w:eastAsia="Arial" w:hAnsi="Arial"/>
                <w:sz w:val="16"/>
                <w:szCs w:val="16"/>
                <w:color w:val="auto"/>
                <w:w w:val="86"/>
              </w:rPr>
              <w:t>June 30, 2018</w:t>
            </w:r>
          </w:p>
        </w:tc>
      </w:tr>
      <w:tr>
        <w:trPr>
          <w:trHeight w:val="196"/>
        </w:trPr>
        <w:tc>
          <w:tcPr>
            <w:tcW w:w="1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Catastrophe Reinsurance:</w:t>
            </w: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6"/>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Initial loss subject to personal lines</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quota share treaty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7,500,000</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84"/>
              <w:spacing w:after="0"/>
              <w:rPr>
                <w:sz w:val="20"/>
                <w:szCs w:val="20"/>
                <w:color w:val="auto"/>
              </w:rPr>
            </w:pPr>
            <w:r>
              <w:rPr>
                <w:rFonts w:ascii="Arial" w:cs="Arial" w:eastAsia="Arial" w:hAnsi="Arial"/>
                <w:sz w:val="16"/>
                <w:szCs w:val="16"/>
                <w:color w:val="auto"/>
                <w:w w:val="88"/>
              </w:rPr>
              <w:t>None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5,000,000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5,000,000</w:t>
            </w:r>
          </w:p>
        </w:tc>
      </w:tr>
      <w:tr>
        <w:trPr>
          <w:trHeight w:val="196"/>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Risk retained per catastrophe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occurrence (2)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5,625,000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4,500,000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4,000,000</w:t>
            </w:r>
          </w:p>
        </w:tc>
      </w:tr>
      <w:tr>
        <w:trPr>
          <w:trHeight w:val="196"/>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Catastrophe loss coverage in excess of</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quota share coverage (3)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602,500,000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602,500,000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445,000,000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315,000,000</w:t>
            </w:r>
          </w:p>
        </w:tc>
      </w:tr>
      <w:tr>
        <w:trPr>
          <w:trHeight w:val="196"/>
        </w:trPr>
        <w:tc>
          <w:tcPr>
            <w:tcW w:w="3620" w:type="dxa"/>
            <w:vAlign w:val="bottom"/>
            <w:gridSpan w:val="2"/>
          </w:tcPr>
          <w:p>
            <w:pPr>
              <w:ind w:left="200"/>
              <w:spacing w:after="0"/>
              <w:rPr>
                <w:sz w:val="20"/>
                <w:szCs w:val="20"/>
                <w:color w:val="auto"/>
              </w:rPr>
            </w:pPr>
            <w:r>
              <w:rPr>
                <w:rFonts w:ascii="Arial" w:cs="Arial" w:eastAsia="Arial" w:hAnsi="Arial"/>
                <w:sz w:val="16"/>
                <w:szCs w:val="16"/>
                <w:color w:val="auto"/>
              </w:rPr>
              <w:t>Reinstatement premium</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protection (4) (5) (6)</w:t>
            </w: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86"/>
              </w:rPr>
              <w:t>Yes</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64"/>
              <w:spacing w:after="0"/>
              <w:rPr>
                <w:sz w:val="20"/>
                <w:szCs w:val="20"/>
                <w:color w:val="auto"/>
              </w:rPr>
            </w:pPr>
            <w:r>
              <w:rPr>
                <w:rFonts w:ascii="Arial" w:cs="Arial" w:eastAsia="Arial" w:hAnsi="Arial"/>
                <w:sz w:val="16"/>
                <w:szCs w:val="16"/>
                <w:color w:val="auto"/>
                <w:w w:val="86"/>
              </w:rPr>
              <w:t>Yes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185"/>
              <w:spacing w:after="0"/>
              <w:rPr>
                <w:sz w:val="20"/>
                <w:szCs w:val="20"/>
                <w:color w:val="auto"/>
              </w:rPr>
            </w:pPr>
            <w:r>
              <w:rPr>
                <w:rFonts w:ascii="Arial" w:cs="Arial" w:eastAsia="Arial" w:hAnsi="Arial"/>
                <w:sz w:val="16"/>
                <w:szCs w:val="16"/>
                <w:color w:val="auto"/>
                <w:w w:val="79"/>
              </w:rPr>
              <w:t>Yes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165"/>
              <w:spacing w:after="0"/>
              <w:rPr>
                <w:sz w:val="20"/>
                <w:szCs w:val="20"/>
                <w:color w:val="auto"/>
              </w:rPr>
            </w:pPr>
            <w:r>
              <w:rPr>
                <w:rFonts w:ascii="Arial" w:cs="Arial" w:eastAsia="Arial" w:hAnsi="Arial"/>
                <w:sz w:val="16"/>
                <w:szCs w:val="16"/>
                <w:color w:val="auto"/>
                <w:w w:val="86"/>
              </w:rPr>
              <w:t>Yes</w:t>
            </w:r>
          </w:p>
        </w:tc>
      </w:tr>
    </w:tbl>
    <w:p>
      <w:pPr>
        <w:spacing w:after="0" w:line="201" w:lineRule="exact"/>
        <w:rPr>
          <w:sz w:val="20"/>
          <w:szCs w:val="20"/>
          <w:color w:val="auto"/>
        </w:rPr>
      </w:pPr>
    </w:p>
    <w:p>
      <w:pPr>
        <w:ind w:left="640" w:hanging="322"/>
        <w:spacing w:after="0" w:line="260"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$10,000,000 in total insured value, which covers direct losses from $3,500,000 to $10,000,000.</w:t>
      </w:r>
    </w:p>
    <w:p>
      <w:pPr>
        <w:ind w:left="640" w:hanging="322"/>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640" w:right="760" w:hanging="322"/>
        <w:spacing w:after="0" w:line="256"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7"/>
          <w:szCs w:val="17"/>
          <w:color w:val="auto"/>
        </w:rPr>
      </w:pPr>
    </w:p>
    <w:p>
      <w:pPr>
        <w:ind w:left="640" w:hanging="322"/>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Effective July 1, 2017, reinstatement premium protection for $145,000,000 of catastrophe coverage in excess of $5,000,000.</w:t>
      </w:r>
    </w:p>
    <w:p>
      <w:pPr>
        <w:spacing w:after="0" w:line="13" w:lineRule="exact"/>
        <w:rPr>
          <w:rFonts w:ascii="Arial" w:cs="Arial" w:eastAsia="Arial" w:hAnsi="Arial"/>
          <w:sz w:val="17"/>
          <w:szCs w:val="17"/>
          <w:color w:val="auto"/>
        </w:rPr>
      </w:pPr>
    </w:p>
    <w:p>
      <w:pPr>
        <w:ind w:left="640" w:hanging="322"/>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Effective July 1, 2018, reinstatement premium protection for $210,000,000 of catastrophe coverage in excess of $5,000,000.</w:t>
      </w:r>
    </w:p>
    <w:p>
      <w:pPr>
        <w:spacing w:after="0" w:line="13" w:lineRule="exact"/>
        <w:rPr>
          <w:rFonts w:ascii="Arial" w:cs="Arial" w:eastAsia="Arial" w:hAnsi="Arial"/>
          <w:sz w:val="17"/>
          <w:szCs w:val="17"/>
          <w:color w:val="auto"/>
        </w:rPr>
      </w:pPr>
    </w:p>
    <w:p>
      <w:pPr>
        <w:ind w:left="640" w:hanging="322"/>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Effective July 1, 2019, reinstatement premium protection for $292,500,000 of catastrophe coverage in excess of $7,500,000.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Treaty Year</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5"/>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July 1, 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July 1, 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July 1, 2017</w:t>
            </w:r>
          </w:p>
        </w:tc>
      </w:tr>
      <w:tr>
        <w:trPr>
          <w:trHeight w:val="180"/>
        </w:trPr>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to</w:t>
            </w:r>
          </w:p>
        </w:tc>
      </w:tr>
      <w:tr>
        <w:trPr>
          <w:trHeight w:val="176"/>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Line of Business</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r>
      <w:tr>
        <w:trPr>
          <w:trHeight w:val="379"/>
        </w:trPr>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8"/>
              </w:rPr>
              <w:t>Personal Lines:</w:t>
            </w:r>
          </w:p>
        </w:tc>
        <w:tc>
          <w:tcPr>
            <w:tcW w:w="3960" w:type="dxa"/>
            <w:vAlign w:val="bottom"/>
            <w:tcBorders>
              <w:top w:val="single" w:sz="8" w:color="auto"/>
            </w:tcBorders>
            <w:gridSpan w:val="2"/>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Personal Umbrella</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Quota share treaty: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Percent ceded - first $1,000,000 of coverage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Percent ceded - excess of $1,000,000 dollars of coverage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100%</w:t>
            </w: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Risk retained</w:t>
            </w:r>
          </w:p>
        </w:tc>
        <w:tc>
          <w:tcPr>
            <w:tcW w:w="1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Total reinsurance coverage per occurrence</w:t>
            </w:r>
          </w:p>
        </w:tc>
        <w:tc>
          <w:tcPr>
            <w:tcW w:w="182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4,900,000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w w:val="96"/>
              </w:rPr>
              <w:t>Losses per occurrence subject to quota share reinsurance coverage</w:t>
            </w:r>
          </w:p>
        </w:tc>
        <w:tc>
          <w:tcPr>
            <w:tcW w:w="1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Expiration date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June 30, 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June 30,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June 30, 2018</w:t>
            </w:r>
          </w:p>
        </w:tc>
      </w:tr>
      <w:tr>
        <w:trPr>
          <w:trHeight w:val="209"/>
        </w:trPr>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0"/>
        </w:trPr>
        <w:tc>
          <w:tcPr>
            <w:tcW w:w="5020" w:type="dxa"/>
            <w:vAlign w:val="bottom"/>
            <w:gridSpan w:val="3"/>
          </w:tcPr>
          <w:p>
            <w:pPr>
              <w:spacing w:after="0" w:line="170" w:lineRule="exact"/>
              <w:rPr>
                <w:sz w:val="20"/>
                <w:szCs w:val="20"/>
                <w:color w:val="auto"/>
              </w:rPr>
            </w:pPr>
            <w:r>
              <w:rPr>
                <w:rFonts w:ascii="Arial" w:cs="Arial" w:eastAsia="Arial" w:hAnsi="Arial"/>
                <w:sz w:val="17"/>
                <w:szCs w:val="17"/>
                <w:color w:val="auto"/>
              </w:rPr>
              <w:t>Commercial Lines: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
        </w:trPr>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General liability commercial policies</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Quota share treaty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None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None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None</w:t>
            </w: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Risk retained</w:t>
            </w:r>
          </w:p>
        </w:tc>
        <w:tc>
          <w:tcPr>
            <w:tcW w:w="1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Excess of loss coverage above risk retained</w:t>
            </w:r>
          </w:p>
        </w:tc>
        <w:tc>
          <w:tcPr>
            <w:tcW w:w="182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in excess of</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in excess of</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in excess of</w:t>
            </w:r>
          </w:p>
        </w:tc>
      </w:tr>
      <w:tr>
        <w:trPr>
          <w:trHeight w:val="209"/>
        </w:trPr>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2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750,000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Total reinsurance coverage per occurrence</w:t>
            </w:r>
          </w:p>
        </w:tc>
        <w:tc>
          <w:tcPr>
            <w:tcW w:w="1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Losses per occurrence subject to reinsurance coverage</w:t>
            </w:r>
          </w:p>
        </w:tc>
        <w:tc>
          <w:tcPr>
            <w:tcW w:w="182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4,500,000</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4,500,000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Commercial Umbrella</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Quota share treaty:</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None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Percent ceded - first $1,000,000 of coverage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90%</w:t>
            </w: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Percent ceded - excess of $1,000,000 of coverage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rPr>
              <w:t>Risk retained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Total reinsurance coverage per occurrence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020" w:type="dxa"/>
            <w:vAlign w:val="bottom"/>
            <w:gridSpan w:val="3"/>
          </w:tcPr>
          <w:p>
            <w:pPr>
              <w:ind w:left="40"/>
              <w:spacing w:after="0"/>
              <w:rPr>
                <w:sz w:val="20"/>
                <w:szCs w:val="20"/>
                <w:color w:val="auto"/>
              </w:rPr>
            </w:pPr>
            <w:r>
              <w:rPr>
                <w:rFonts w:ascii="Arial" w:cs="Arial" w:eastAsia="Arial" w:hAnsi="Arial"/>
                <w:sz w:val="17"/>
                <w:szCs w:val="17"/>
                <w:color w:val="auto"/>
                <w:w w:val="96"/>
              </w:rPr>
              <w:t>Losses per occurrence subject to quota share reinsurance coverage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5,000,000</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Expiration date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June 30, 2019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June 30, 2018</w:t>
            </w:r>
          </w:p>
        </w:tc>
      </w:tr>
      <w:tr>
        <w:trPr>
          <w:trHeight w:val="574"/>
        </w:trPr>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7"/>
                <w:szCs w:val="17"/>
                <w:color w:val="auto"/>
              </w:rPr>
              <w:t>F-30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7"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Approximate reinsurance recoverables on unpaid and paid losses by reinsurer at December 31, 2019 and 2018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Unpaid</w:t>
            </w:r>
          </w:p>
        </w:tc>
        <w:tc>
          <w:tcPr>
            <w:tcW w:w="300" w:type="dxa"/>
            <w:vAlign w:val="bottom"/>
          </w:tcPr>
          <w:p>
            <w:pPr>
              <w:spacing w:after="0"/>
              <w:rPr>
                <w:sz w:val="14"/>
                <w:szCs w:val="14"/>
                <w:color w:val="auto"/>
              </w:rPr>
            </w:pPr>
          </w:p>
        </w:tc>
        <w:tc>
          <w:tcPr>
            <w:tcW w:w="840" w:type="dxa"/>
            <w:vAlign w:val="bottom"/>
          </w:tcPr>
          <w:p>
            <w:pPr>
              <w:jc w:val="right"/>
              <w:ind w:right="337"/>
              <w:spacing w:after="0"/>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5"/>
              </w:rPr>
              <w:t>Losses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Security</w:t>
            </w:r>
          </w:p>
        </w:tc>
        <w:tc>
          <w:tcPr>
            <w:tcW w:w="540" w:type="dxa"/>
            <w:vAlign w:val="bottom"/>
            <w:tcBorders>
              <w:bottom w:val="single" w:sz="8" w:color="auto"/>
            </w:tcBorders>
          </w:tcPr>
          <w:p>
            <w:pPr>
              <w:spacing w:after="0"/>
              <w:rPr>
                <w:sz w:val="15"/>
                <w:szCs w:val="15"/>
                <w:color w:val="auto"/>
              </w:rPr>
            </w:pPr>
          </w:p>
        </w:tc>
      </w:tr>
      <w:tr>
        <w:trPr>
          <w:trHeight w:val="234"/>
        </w:trPr>
        <w:tc>
          <w:tcPr>
            <w:tcW w:w="5620" w:type="dxa"/>
            <w:vAlign w:val="bottom"/>
          </w:tcPr>
          <w:p>
            <w:pPr>
              <w:spacing w:after="0"/>
              <w:rPr>
                <w:sz w:val="20"/>
                <w:szCs w:val="20"/>
                <w:color w:val="auto"/>
              </w:rPr>
            </w:pPr>
            <w:r>
              <w:rPr>
                <w:rFonts w:ascii="Arial" w:cs="Arial" w:eastAsia="Arial" w:hAnsi="Arial"/>
                <w:sz w:val="17"/>
                <w:szCs w:val="17"/>
                <w:b w:val="1"/>
                <w:bCs w:val="1"/>
                <w:color w:val="auto"/>
              </w:rPr>
              <w:t>December 31, 2019</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0"/>
        </w:trPr>
        <w:tc>
          <w:tcPr>
            <w:tcW w:w="5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Cavello Bay Reinsurance Limited (1)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4,036</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2,427</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6,463</w:t>
            </w:r>
          </w:p>
        </w:tc>
        <w:tc>
          <w:tcPr>
            <w:tcW w:w="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rPr>
              <w:t>5,995</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9"/>
        </w:trPr>
        <w:tc>
          <w:tcPr>
            <w:tcW w:w="5620" w:type="dxa"/>
            <w:vAlign w:val="bottom"/>
          </w:tcPr>
          <w:p>
            <w:pPr>
              <w:ind w:left="80"/>
              <w:spacing w:after="0"/>
              <w:rPr>
                <w:sz w:val="20"/>
                <w:szCs w:val="20"/>
                <w:color w:val="auto"/>
              </w:rPr>
            </w:pPr>
            <w:r>
              <w:rPr>
                <w:rFonts w:ascii="Arial" w:cs="Arial" w:eastAsia="Arial" w:hAnsi="Arial"/>
                <w:sz w:val="17"/>
                <w:szCs w:val="17"/>
                <w:color w:val="auto"/>
              </w:rPr>
              <w:t>Swiss Reinsurance America Corporation</w:t>
            </w:r>
          </w:p>
        </w:tc>
        <w:tc>
          <w:tcPr>
            <w:tcW w:w="28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4,418</w:t>
            </w:r>
          </w:p>
        </w:tc>
        <w:tc>
          <w:tcPr>
            <w:tcW w:w="3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1,336</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5,754</w:t>
            </w:r>
          </w:p>
        </w:tc>
        <w:tc>
          <w:tcPr>
            <w:tcW w:w="400" w:type="dxa"/>
            <w:vAlign w:val="bottom"/>
          </w:tcPr>
          <w:p>
            <w:pPr>
              <w:spacing w:after="0"/>
              <w:rPr>
                <w:sz w:val="18"/>
                <w:szCs w:val="18"/>
                <w:color w:val="auto"/>
              </w:rPr>
            </w:pP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r>
      <w:tr>
        <w:trPr>
          <w:trHeight w:val="209"/>
        </w:trPr>
        <w:tc>
          <w:tcPr>
            <w:tcW w:w="5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Hanover Rueck SE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3,156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522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3,678</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r>
      <w:tr>
        <w:trPr>
          <w:trHeight w:val="209"/>
        </w:trPr>
        <w:tc>
          <w:tcPr>
            <w:tcW w:w="5620" w:type="dxa"/>
            <w:vAlign w:val="bottom"/>
          </w:tcPr>
          <w:p>
            <w:pPr>
              <w:ind w:left="80"/>
              <w:spacing w:after="0"/>
              <w:rPr>
                <w:sz w:val="20"/>
                <w:szCs w:val="20"/>
                <w:color w:val="auto"/>
              </w:rPr>
            </w:pPr>
            <w:r>
              <w:rPr>
                <w:rFonts w:ascii="Arial" w:cs="Arial" w:eastAsia="Arial" w:hAnsi="Arial"/>
                <w:sz w:val="17"/>
                <w:szCs w:val="17"/>
                <w:color w:val="auto"/>
              </w:rPr>
              <w:t>SCOR Reinsurance Company</w:t>
            </w:r>
          </w:p>
        </w:tc>
        <w:tc>
          <w:tcPr>
            <w:tcW w:w="28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394</w:t>
            </w:r>
          </w:p>
        </w:tc>
        <w:tc>
          <w:tcPr>
            <w:tcW w:w="3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458</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852</w:t>
            </w:r>
          </w:p>
        </w:tc>
        <w:tc>
          <w:tcPr>
            <w:tcW w:w="400" w:type="dxa"/>
            <w:vAlign w:val="bottom"/>
          </w:tcPr>
          <w:p>
            <w:pPr>
              <w:spacing w:after="0"/>
              <w:rPr>
                <w:sz w:val="18"/>
                <w:szCs w:val="18"/>
                <w:color w:val="auto"/>
              </w:rPr>
            </w:pP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r>
      <w:tr>
        <w:trPr>
          <w:trHeight w:val="209"/>
        </w:trPr>
        <w:tc>
          <w:tcPr>
            <w:tcW w:w="5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Allied World Assurance Company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760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170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930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r>
      <w:tr>
        <w:trPr>
          <w:trHeight w:val="215"/>
        </w:trPr>
        <w:tc>
          <w:tcPr>
            <w:tcW w:w="5620" w:type="dxa"/>
            <w:vAlign w:val="bottom"/>
          </w:tcPr>
          <w:p>
            <w:pPr>
              <w:ind w:left="80"/>
              <w:spacing w:after="0"/>
              <w:rPr>
                <w:sz w:val="20"/>
                <w:szCs w:val="20"/>
                <w:color w:val="auto"/>
              </w:rPr>
            </w:pPr>
            <w:r>
              <w:rPr>
                <w:rFonts w:ascii="Arial" w:cs="Arial" w:eastAsia="Arial" w:hAnsi="Arial"/>
                <w:sz w:val="17"/>
                <w:szCs w:val="17"/>
                <w:color w:val="auto"/>
              </w:rPr>
              <w:t>Others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2,964</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471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3,435</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18"/>
                <w:szCs w:val="18"/>
                <w:color w:val="auto"/>
              </w:rPr>
            </w:pPr>
          </w:p>
        </w:tc>
      </w:tr>
      <w:tr>
        <w:trPr>
          <w:trHeight w:val="249"/>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15,728</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5,384</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21,113</w:t>
            </w:r>
          </w:p>
        </w:tc>
        <w:tc>
          <w:tcPr>
            <w:tcW w:w="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color w:val="auto"/>
              </w:rPr>
              <w:t>5,995</w:t>
            </w:r>
          </w:p>
        </w:tc>
        <w:tc>
          <w:tcPr>
            <w:tcW w:w="540" w:type="dxa"/>
            <w:vAlign w:val="bottom"/>
            <w:tcBorders>
              <w:bottom w:val="single" w:sz="8" w:color="auto"/>
            </w:tcBorders>
            <w:shd w:val="clear" w:color="auto" w:fill="CCEEFF"/>
          </w:tcPr>
          <w:p>
            <w:pPr>
              <w:spacing w:after="0"/>
              <w:rPr>
                <w:sz w:val="21"/>
                <w:szCs w:val="21"/>
                <w:color w:val="auto"/>
              </w:rPr>
            </w:pPr>
          </w:p>
        </w:tc>
      </w:tr>
      <w:tr>
        <w:trPr>
          <w:trHeight w:val="201"/>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9"/>
        </w:trPr>
        <w:tc>
          <w:tcPr>
            <w:tcW w:w="5620" w:type="dxa"/>
            <w:vAlign w:val="bottom"/>
          </w:tcPr>
          <w:p>
            <w:pPr>
              <w:ind w:left="80"/>
              <w:spacing w:after="0"/>
              <w:rPr>
                <w:sz w:val="20"/>
                <w:szCs w:val="20"/>
                <w:color w:val="auto"/>
              </w:rPr>
            </w:pPr>
            <w:r>
              <w:rPr>
                <w:rFonts w:ascii="Arial" w:cs="Arial" w:eastAsia="Arial" w:hAnsi="Arial"/>
                <w:sz w:val="17"/>
                <w:szCs w:val="17"/>
                <w:color w:val="auto"/>
              </w:rPr>
              <w:t>Cavello Bay Reinsurance Limited (1)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5,319</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1,277</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6,596</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7,548</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9"/>
        </w:trPr>
        <w:tc>
          <w:tcPr>
            <w:tcW w:w="5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Swiss Reinsurance America Corporation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4,499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1,251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5,750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r>
      <w:tr>
        <w:trPr>
          <w:trHeight w:val="209"/>
        </w:trPr>
        <w:tc>
          <w:tcPr>
            <w:tcW w:w="5620" w:type="dxa"/>
            <w:vAlign w:val="bottom"/>
          </w:tcPr>
          <w:p>
            <w:pPr>
              <w:ind w:left="80"/>
              <w:spacing w:after="0"/>
              <w:rPr>
                <w:sz w:val="20"/>
                <w:szCs w:val="20"/>
                <w:color w:val="auto"/>
              </w:rPr>
            </w:pPr>
            <w:r>
              <w:rPr>
                <w:rFonts w:ascii="Arial" w:cs="Arial" w:eastAsia="Arial" w:hAnsi="Arial"/>
                <w:sz w:val="17"/>
                <w:szCs w:val="17"/>
                <w:color w:val="auto"/>
              </w:rPr>
              <w:t>Hanover Rueck SE</w:t>
            </w:r>
          </w:p>
        </w:tc>
        <w:tc>
          <w:tcPr>
            <w:tcW w:w="28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2,728</w:t>
            </w:r>
          </w:p>
        </w:tc>
        <w:tc>
          <w:tcPr>
            <w:tcW w:w="3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1,181</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3,909</w:t>
            </w:r>
          </w:p>
        </w:tc>
        <w:tc>
          <w:tcPr>
            <w:tcW w:w="400" w:type="dxa"/>
            <w:vAlign w:val="bottom"/>
          </w:tcPr>
          <w:p>
            <w:pPr>
              <w:spacing w:after="0"/>
              <w:rPr>
                <w:sz w:val="18"/>
                <w:szCs w:val="18"/>
                <w:color w:val="auto"/>
              </w:rPr>
            </w:pP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r>
      <w:tr>
        <w:trPr>
          <w:trHeight w:val="209"/>
        </w:trPr>
        <w:tc>
          <w:tcPr>
            <w:tcW w:w="5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SCOR Reinsurance Company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528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617</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r>
      <w:tr>
        <w:trPr>
          <w:trHeight w:val="209"/>
        </w:trPr>
        <w:tc>
          <w:tcPr>
            <w:tcW w:w="5620" w:type="dxa"/>
            <w:vAlign w:val="bottom"/>
          </w:tcPr>
          <w:p>
            <w:pPr>
              <w:ind w:left="80"/>
              <w:spacing w:after="0"/>
              <w:rPr>
                <w:sz w:val="20"/>
                <w:szCs w:val="20"/>
                <w:color w:val="auto"/>
              </w:rPr>
            </w:pPr>
            <w:r>
              <w:rPr>
                <w:rFonts w:ascii="Arial" w:cs="Arial" w:eastAsia="Arial" w:hAnsi="Arial"/>
                <w:sz w:val="17"/>
                <w:szCs w:val="17"/>
                <w:color w:val="auto"/>
              </w:rPr>
              <w:t>Allied World Assurance Company</w:t>
            </w:r>
          </w:p>
        </w:tc>
        <w:tc>
          <w:tcPr>
            <w:tcW w:w="28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306</w:t>
            </w:r>
          </w:p>
        </w:tc>
        <w:tc>
          <w:tcPr>
            <w:tcW w:w="3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373</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679</w:t>
            </w:r>
          </w:p>
        </w:tc>
        <w:tc>
          <w:tcPr>
            <w:tcW w:w="400" w:type="dxa"/>
            <w:vAlign w:val="bottom"/>
          </w:tcPr>
          <w:p>
            <w:pPr>
              <w:spacing w:after="0"/>
              <w:rPr>
                <w:sz w:val="18"/>
                <w:szCs w:val="18"/>
                <w:color w:val="auto"/>
              </w:rPr>
            </w:pP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r>
      <w:tr>
        <w:trPr>
          <w:trHeight w:val="215"/>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Others</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2,291</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282</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2,573</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color w:val="auto"/>
              </w:rPr>
              <w:t>58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9"/>
        </w:trPr>
        <w:tc>
          <w:tcPr>
            <w:tcW w:w="5620" w:type="dxa"/>
            <w:vAlign w:val="bottom"/>
          </w:tcPr>
          <w:p>
            <w:pPr>
              <w:ind w:left="8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15,671</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4,453</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20,125</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7,606</w:t>
            </w:r>
          </w:p>
        </w:tc>
        <w:tc>
          <w:tcPr>
            <w:tcW w:w="540" w:type="dxa"/>
            <w:vAlign w:val="bottom"/>
            <w:tcBorders>
              <w:bottom w:val="single" w:sz="8" w:color="auto"/>
            </w:tcBorders>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(Columns in the tables above may not sum to totals due to rounding)</w:t>
      </w:r>
    </w:p>
    <w:p>
      <w:pPr>
        <w:spacing w:after="0" w:line="223" w:lineRule="exact"/>
        <w:rPr>
          <w:sz w:val="20"/>
          <w:szCs w:val="20"/>
          <w:color w:val="auto"/>
        </w:rPr>
      </w:pPr>
    </w:p>
    <w:p>
      <w:pPr>
        <w:ind w:right="640" w:firstLine="5"/>
        <w:spacing w:after="0" w:line="260" w:lineRule="auto"/>
        <w:tabs>
          <w:tab w:leader="none" w:pos="241"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December 27, 2018, Enstar Group Limited announced that one of its wholly owned subsidiaries, Cavello Bay Reinsurance Limited acquired Maiden Reinsurance North America, Inc.</w:t>
      </w:r>
    </w:p>
    <w:p>
      <w:pPr>
        <w:ind w:left="240" w:hanging="235"/>
        <w:spacing w:after="0"/>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Secured pursuant to collateralized trust agreements.</w:t>
      </w:r>
    </w:p>
    <w:p>
      <w:pPr>
        <w:spacing w:after="0" w:line="13" w:lineRule="exact"/>
        <w:rPr>
          <w:rFonts w:ascii="Arial" w:cs="Arial" w:eastAsia="Arial" w:hAnsi="Arial"/>
          <w:sz w:val="17"/>
          <w:szCs w:val="17"/>
          <w:color w:val="auto"/>
        </w:rPr>
      </w:pPr>
    </w:p>
    <w:p>
      <w:pPr>
        <w:ind w:left="240" w:hanging="235"/>
        <w:spacing w:after="0"/>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$53,000 secured pursuant to collateralized trust agreement and $5,000 guaranteed by an irrevocable letter of credit.</w:t>
      </w:r>
    </w:p>
    <w:p>
      <w:pPr>
        <w:spacing w:after="0" w:line="216"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Assets held in the trusts referred to in footnotes (2) and (3) in the table above are not included in the Company’s invested assets and investment income earned on these assets is credited to the reinsurers respectively. In addition to reinsurance recoverables on unpaid and paid losses, reinsurance receivables in the accompanying consolidated balance sheets as of December 31, 2019 and 2018 include unearned ceded premiums of approximately $19,638,000 and $6,243,000,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Company’s estimated ultimate treaty year loss ratios (the “Loss Ratio(s)”) for treaties in effect during the year ended December 31, 2019 are attributable to contracts under: (1) the 2017/2019 Treaty for the 2018/2019 Treaty Year, which expired on June 30, 2019 and was not renewed, and (2) the 2019/20 Treaty. The Loss Ratios for treaties in effect for the year ended December 31, 2018 are attributable to contracts under the 2017/2019 Treaty for both the 2017/2018 Treaty Year and the 2018/2019 Treaty Year.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97" w:name="page98"/>
    <w:bookmarkEnd w:id="97"/>
    <w:p>
      <w:pPr>
        <w:ind w:left="640"/>
        <w:spacing w:after="0"/>
        <w:rPr>
          <w:sz w:val="20"/>
          <w:szCs w:val="20"/>
          <w:color w:val="auto"/>
        </w:rPr>
      </w:pPr>
      <w:r>
        <w:rPr>
          <w:rFonts w:ascii="Arial" w:cs="Arial" w:eastAsia="Arial" w:hAnsi="Arial"/>
          <w:sz w:val="17"/>
          <w:szCs w:val="17"/>
          <w:i w:val="1"/>
          <w:iCs w:val="1"/>
          <w:color w:val="auto"/>
        </w:rPr>
        <w:t>Treaties in effect for the year ended December 31, 2019</w:t>
      </w:r>
    </w:p>
    <w:p>
      <w:pPr>
        <w:spacing w:after="0" w:line="223" w:lineRule="exact"/>
        <w:rPr>
          <w:sz w:val="20"/>
          <w:szCs w:val="20"/>
          <w:color w:val="auto"/>
        </w:rPr>
      </w:pPr>
    </w:p>
    <w:p>
      <w:pPr>
        <w:ind w:left="640" w:right="140"/>
        <w:spacing w:after="0" w:line="280" w:lineRule="auto"/>
        <w:rPr>
          <w:sz w:val="20"/>
          <w:szCs w:val="20"/>
          <w:color w:val="auto"/>
        </w:rPr>
      </w:pPr>
      <w:r>
        <w:rPr>
          <w:rFonts w:ascii="Arial" w:cs="Arial" w:eastAsia="Arial" w:hAnsi="Arial"/>
          <w:sz w:val="16"/>
          <w:szCs w:val="16"/>
          <w:color w:val="auto"/>
        </w:rPr>
        <w:t>Under the 2019/2020 Treaty, the Company receives an upfront fixed provisional rate that is not subject to a sliding scale contingent adjustment. Under the 2017/2019 Treaty, the Company received an upfront fixed provisional rate that was only subject to a sliding scale contingent adjustment based upon Loss Ratio for the 2017/2018 Treaty Year (“Loss Period”). Under this arrangement, the Company earned provisional ceding commissions that were subject to later adjustment dependent on changes to the estimated Loss Period Loss Ratio for the 2017/2019 Treaty. The Company’s Loss Period Loss Ratios attributable to the 2017/2019 Treaty reached the maximum contractual level during the six months ended June 30, 2018, and therefore no contingent commission adjustment was recorded for the year ended December 31, 2019.</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Treaty in effect for the year ended December 31, 2018</w:t>
      </w:r>
    </w:p>
    <w:p>
      <w:pPr>
        <w:spacing w:after="0" w:line="223" w:lineRule="exact"/>
        <w:rPr>
          <w:sz w:val="20"/>
          <w:szCs w:val="20"/>
          <w:color w:val="auto"/>
        </w:rPr>
      </w:pPr>
    </w:p>
    <w:p>
      <w:pPr>
        <w:ind w:left="640" w:right="80"/>
        <w:spacing w:after="0" w:line="320" w:lineRule="auto"/>
        <w:rPr>
          <w:sz w:val="20"/>
          <w:szCs w:val="20"/>
          <w:color w:val="auto"/>
        </w:rPr>
      </w:pPr>
      <w:r>
        <w:rPr>
          <w:rFonts w:ascii="Arial" w:cs="Arial" w:eastAsia="Arial" w:hAnsi="Arial"/>
          <w:sz w:val="15"/>
          <w:szCs w:val="15"/>
          <w:color w:val="auto"/>
        </w:rPr>
        <w:t>Under the 2017/2019 Treaty, the Company received an upfront fixed provisional rate that was only subject to a sliding scale contingent adjustment based upon Loss Ratio for the 2017/2018 Treaty Year (“Loss Period”). For the year ended December 31, 2018, the Company incurred negative contingent ceding commissions as a result of the Loss Period Loss Ratio for the 2017/2019 Treaty, which reduced contingent ceding commissions earned.</w:t>
      </w:r>
    </w:p>
    <w:p>
      <w:pPr>
        <w:spacing w:after="0" w:line="146" w:lineRule="exact"/>
        <w:rPr>
          <w:sz w:val="20"/>
          <w:szCs w:val="20"/>
          <w:color w:val="auto"/>
        </w:rPr>
      </w:pPr>
    </w:p>
    <w:p>
      <w:pPr>
        <w:ind w:right="120"/>
        <w:spacing w:after="0" w:line="350" w:lineRule="auto"/>
        <w:rPr>
          <w:sz w:val="20"/>
          <w:szCs w:val="20"/>
          <w:color w:val="auto"/>
        </w:rPr>
      </w:pPr>
      <w:r>
        <w:rPr>
          <w:rFonts w:ascii="Arial" w:cs="Arial" w:eastAsia="Arial" w:hAnsi="Arial"/>
          <w:sz w:val="15"/>
          <w:szCs w:val="15"/>
          <w:color w:val="auto"/>
        </w:rPr>
        <w:t>In addition to the treaties that were in effect during the years ended December 31, 2019 and 2018, the Loss Ratios from prior years’ treaties are subject to change as incurred losses from those periods increase or decrease, resulting in an increase or decrease in the commission rate and contingent ceding commissions earned.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revenues earned consists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 ended</w:t>
            </w:r>
          </w:p>
        </w:tc>
        <w:tc>
          <w:tcPr>
            <w:tcW w:w="900" w:type="dxa"/>
            <w:vAlign w:val="bottom"/>
          </w:tcPr>
          <w:p>
            <w:pPr>
              <w:spacing w:after="0"/>
              <w:rPr>
                <w:sz w:val="16"/>
                <w:szCs w:val="16"/>
                <w:color w:val="auto"/>
              </w:rPr>
            </w:pPr>
          </w:p>
        </w:tc>
      </w:tr>
      <w:tr>
        <w:trPr>
          <w:trHeight w:val="199"/>
        </w:trPr>
        <w:tc>
          <w:tcPr>
            <w:tcW w:w="8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15"/>
        </w:trPr>
        <w:tc>
          <w:tcPr>
            <w:tcW w:w="8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r>
      <w:tr>
        <w:trPr>
          <w:trHeight w:val="235"/>
        </w:trPr>
        <w:tc>
          <w:tcPr>
            <w:tcW w:w="8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5,446,370</w:t>
            </w:r>
          </w:p>
        </w:tc>
        <w:tc>
          <w:tcPr>
            <w:tcW w:w="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97"/>
              </w:rPr>
              <w:t>6,745,928</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Contingent ceding commissions earned</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(795,519)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(1,413,298)</w:t>
            </w:r>
          </w:p>
        </w:tc>
      </w:tr>
      <w:tr>
        <w:trPr>
          <w:trHeight w:val="249"/>
        </w:trPr>
        <w:tc>
          <w:tcPr>
            <w:tcW w:w="8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7"/>
                <w:szCs w:val="17"/>
                <w:color w:val="auto"/>
              </w:rPr>
              <w:t>4,650,851</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97"/>
              </w:rPr>
              <w:t>5,332,630</w:t>
            </w:r>
          </w:p>
        </w:tc>
      </w:tr>
    </w:tbl>
    <w:p>
      <w:pPr>
        <w:spacing w:after="0" w:line="20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December 31, 2019 and 2018, net contingent ceding commissions payable to reinsurers under all treaties was approximately $2,886,000 and $1,581,000, respectively, which is recorded in reinsurance balances payable on the accompanying consolidated balance sheets.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Note 8 - Deferred Policy Acquisition Costs and Deferred Ceding Commission Revenue</w:t>
      </w:r>
    </w:p>
    <w:p>
      <w:pPr>
        <w:spacing w:after="0" w:line="227"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Deferred policy acquisition costs incurred and policy-related ceding commission revenue are deferred and amortized to income on property and casualty insurance business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69"/>
        </w:trPr>
        <w:tc>
          <w:tcPr>
            <w:tcW w:w="8560" w:type="dxa"/>
            <w:vAlign w:val="bottom"/>
          </w:tcPr>
          <w:p>
            <w:pPr>
              <w:ind w:left="40"/>
              <w:spacing w:after="0"/>
              <w:rPr>
                <w:sz w:val="20"/>
                <w:szCs w:val="20"/>
                <w:color w:val="auto"/>
              </w:rPr>
            </w:pPr>
            <w:r>
              <w:rPr>
                <w:rFonts w:ascii="Arial" w:cs="Arial" w:eastAsia="Arial" w:hAnsi="Arial"/>
                <w:sz w:val="17"/>
                <w:szCs w:val="17"/>
                <w:color w:val="auto"/>
              </w:rPr>
              <w:t>Net deferred policy acquisition costs, net of ceding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commission revenue, beginning of year</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15,221,060</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3"/>
              </w:rPr>
              <w:t>10,580,824</w:t>
            </w: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incurred and deferred: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Commissions and brokerage</w:t>
            </w:r>
          </w:p>
        </w:tc>
        <w:tc>
          <w:tcPr>
            <w:tcW w:w="3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7"/>
                <w:szCs w:val="17"/>
                <w:color w:val="auto"/>
              </w:rPr>
              <w:t>32,541,094</w:t>
            </w:r>
          </w:p>
        </w:tc>
        <w:tc>
          <w:tcPr>
            <w:tcW w:w="36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Arial" w:cs="Arial" w:eastAsia="Arial" w:hAnsi="Arial"/>
                <w:sz w:val="17"/>
                <w:szCs w:val="17"/>
                <w:color w:val="auto"/>
                <w:w w:val="93"/>
              </w:rPr>
              <w:t>27,687,907</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underwriting and policy acquisition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9,423,340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8,227,992</w:t>
            </w: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7"/>
              </w:rPr>
              <w:t>(10,495,091)</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(5,166,193)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deferred policy acquisition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31,469,343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3"/>
              </w:rPr>
              <w:t>30,749,706</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Return of deferred ceding commission revenue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due to reduction of quota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(2,413,273)</w:t>
            </w: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Amortization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7"/>
              </w:rPr>
              <w:t>(33,791,423)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(23,696,197)</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(2,322,080)</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4,640,236</w:t>
            </w: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deferred policy acquisition costs, net of ceding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160"/>
              <w:spacing w:after="0"/>
              <w:rPr>
                <w:sz w:val="20"/>
                <w:szCs w:val="20"/>
                <w:color w:val="auto"/>
              </w:rPr>
            </w:pPr>
            <w:r>
              <w:rPr>
                <w:rFonts w:ascii="Arial" w:cs="Arial" w:eastAsia="Arial" w:hAnsi="Arial"/>
                <w:sz w:val="17"/>
                <w:szCs w:val="17"/>
                <w:color w:val="auto"/>
              </w:rPr>
              <w:t>commission revenue, end of year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12,898,980</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93"/>
              </w:rPr>
              <w:t>15,221,060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7"/>
                <w:szCs w:val="17"/>
                <w:color w:val="auto"/>
                <w:w w:val="90"/>
              </w:rPr>
              <w:t>Deferred policy acquisition costs and deferred ceding commission revenue as of December 31, 2019 and 2018 are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5"/>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policy acquisition costs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20,634,378</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3"/>
              </w:rPr>
              <w:t>17,907,737</w:t>
            </w: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Deferred ceding commission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(7,735,398)</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(2,686,677)</w:t>
            </w: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12,898,980</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3"/>
              </w:rPr>
              <w:t>15,221,060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Debt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Home Loan Bank</w:t>
      </w:r>
    </w:p>
    <w:p>
      <w:pPr>
        <w:spacing w:after="0" w:line="22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The aggregate fair value of the investment in dividend bearing common stock was $15,180 and $18,400 as of December 31, 2019 and 2018, respectively.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The maximum allowable advance as of December 31, 2019 was approximately $11,888,000. Advances are limited to 90% of the amount of available collateral, which was approximately $6,556,000 as of December 31, 2019. There were no borrowings under this facility during the years ended December 31, 2019 and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auto"/>
        </w:rPr>
        <w:t>Long-term Debt</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The net proceeds of the issuance were $29,121,630, net of discount of $163,200 and transaction costs of $715,170, for an effective yield of 5.67%. The balance of long-term debt as of December 31, 2019 and 2018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7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100" w:type="dxa"/>
            <w:vAlign w:val="bottom"/>
          </w:tcPr>
          <w:p>
            <w:pPr>
              <w:jc w:val="right"/>
              <w:ind w:right="159"/>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8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r>
      <w:tr>
        <w:trPr>
          <w:trHeight w:val="235"/>
        </w:trPr>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5.50% Senior Unsecured Notes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30,000,000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30,000,000</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Discount</w:t>
            </w:r>
          </w:p>
        </w:tc>
        <w:tc>
          <w:tcPr>
            <w:tcW w:w="2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(97,325)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(129,796)</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(431,244)</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(574,953)</w:t>
            </w: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Long-term debt,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29,471,431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29,295,251</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63"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The Company used $25,000,000 of the net proceeds from the offering to contribute capital to KICO in order to support additional growth. The remainder of the net proceeds is being used for general corporate purposes. A registration statement relating to the debt issued in the offering was filed with the SEC, which became effective on November 28, 2017. On December 4, 2019, the Company contributed additional capital of $3,256,335 to KICO to further support growth.</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Note 10 - Property and Equipment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are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97"/>
              <w:spacing w:after="0"/>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7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Depreciation</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Net</w:t>
            </w:r>
          </w:p>
        </w:tc>
      </w:tr>
      <w:tr>
        <w:trPr>
          <w:trHeight w:val="469"/>
        </w:trPr>
        <w:tc>
          <w:tcPr>
            <w:tcW w:w="7200" w:type="dxa"/>
            <w:vAlign w:val="bottom"/>
          </w:tcPr>
          <w:p>
            <w:pPr>
              <w:spacing w:after="0"/>
              <w:rPr>
                <w:sz w:val="20"/>
                <w:szCs w:val="20"/>
                <w:color w:val="auto"/>
              </w:rPr>
            </w:pPr>
            <w:r>
              <w:rPr>
                <w:rFonts w:ascii="Arial" w:cs="Arial" w:eastAsia="Arial" w:hAnsi="Arial"/>
                <w:sz w:val="17"/>
                <w:szCs w:val="17"/>
                <w:b w:val="1"/>
                <w:bCs w:val="1"/>
                <w:color w:val="auto"/>
              </w:rPr>
              <w:t>December 31, 2019</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Building</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2,344,188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(663,200)</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1,680,988</w:t>
            </w: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Land</w:t>
            </w:r>
          </w:p>
        </w:tc>
        <w:tc>
          <w:tcPr>
            <w:tcW w:w="34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652,437</w:t>
            </w:r>
          </w:p>
        </w:tc>
        <w:tc>
          <w:tcPr>
            <w:tcW w:w="24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652,437</w:t>
            </w: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Furniture office equipment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802,325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(656,204)</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146,121</w:t>
            </w: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Leasehold improvements</w:t>
            </w:r>
          </w:p>
        </w:tc>
        <w:tc>
          <w:tcPr>
            <w:tcW w:w="34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18,996</w:t>
            </w:r>
          </w:p>
        </w:tc>
        <w:tc>
          <w:tcPr>
            <w:tcW w:w="24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(226)</w:t>
            </w:r>
          </w:p>
        </w:tc>
        <w:tc>
          <w:tcPr>
            <w:tcW w:w="3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18,770</w:t>
            </w: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Computer equipment and software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10,861,385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(5,813,308)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5,048,077</w:t>
            </w:r>
          </w:p>
        </w:tc>
      </w:tr>
      <w:tr>
        <w:trPr>
          <w:trHeight w:val="215"/>
        </w:trPr>
        <w:tc>
          <w:tcPr>
            <w:tcW w:w="7200" w:type="dxa"/>
            <w:vAlign w:val="bottom"/>
          </w:tcPr>
          <w:p>
            <w:pPr>
              <w:ind w:left="40"/>
              <w:spacing w:after="0"/>
              <w:rPr>
                <w:sz w:val="20"/>
                <w:szCs w:val="20"/>
                <w:color w:val="auto"/>
              </w:rPr>
            </w:pPr>
            <w:r>
              <w:rPr>
                <w:rFonts w:ascii="Arial" w:cs="Arial" w:eastAsia="Arial" w:hAnsi="Arial"/>
                <w:sz w:val="17"/>
                <w:szCs w:val="17"/>
                <w:color w:val="auto"/>
              </w:rPr>
              <w:t>Automobile</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99,352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(25,109)</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74,243</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14,778,683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(7,158,047)</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7,620,636</w:t>
            </w:r>
          </w:p>
        </w:tc>
      </w:tr>
      <w:tr>
        <w:trPr>
          <w:trHeight w:val="201"/>
        </w:trPr>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Building</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2,231,967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(554,077)</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1,677,890</w:t>
            </w: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Land</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622,937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622,937</w:t>
            </w: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Furniture office equipment</w:t>
            </w:r>
          </w:p>
        </w:tc>
        <w:tc>
          <w:tcPr>
            <w:tcW w:w="34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723,217</w:t>
            </w:r>
          </w:p>
        </w:tc>
        <w:tc>
          <w:tcPr>
            <w:tcW w:w="24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(586,010)</w:t>
            </w:r>
          </w:p>
        </w:tc>
        <w:tc>
          <w:tcPr>
            <w:tcW w:w="3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137,207</w:t>
            </w:r>
          </w:p>
        </w:tc>
      </w:tr>
      <w:tr>
        <w:trPr>
          <w:trHeight w:val="21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equipment and software</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7,240,613</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(3,621,718)</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3,618,895</w:t>
            </w:r>
          </w:p>
        </w:tc>
      </w:tr>
      <w:tr>
        <w:trPr>
          <w:trHeight w:val="209"/>
        </w:trPr>
        <w:tc>
          <w:tcPr>
            <w:tcW w:w="7200" w:type="dxa"/>
            <w:vAlign w:val="bottom"/>
          </w:tcPr>
          <w:p>
            <w:pPr>
              <w:ind w:left="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10,818,734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(4,761,805)</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6,056,929</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2019 and 2018 was $2,375,946 and $1,447,150,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Property and Casualty Insurance Activity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Premiums written, ceded and earned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Direct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8"/>
              </w:rPr>
              <w:t>Assumed</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Ceded</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Net</w:t>
            </w:r>
          </w:p>
        </w:tc>
      </w:tr>
      <w:tr>
        <w:trPr>
          <w:trHeight w:val="469"/>
        </w:trPr>
        <w:tc>
          <w:tcPr>
            <w:tcW w:w="5860" w:type="dxa"/>
            <w:vAlign w:val="bottom"/>
          </w:tcPr>
          <w:p>
            <w:pPr>
              <w:spacing w:after="0"/>
              <w:rPr>
                <w:sz w:val="20"/>
                <w:szCs w:val="20"/>
                <w:color w:val="auto"/>
              </w:rPr>
            </w:pPr>
            <w:r>
              <w:rPr>
                <w:rFonts w:ascii="Arial" w:cs="Arial" w:eastAsia="Arial" w:hAnsi="Arial"/>
                <w:sz w:val="17"/>
                <w:szCs w:val="17"/>
                <w:b w:val="1"/>
                <w:bCs w:val="1"/>
                <w:color w:val="auto"/>
              </w:rPr>
              <w:t>Year ended December 31, 2019</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0"/>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Premiums written</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7"/>
              </w:rPr>
              <w:t>171,214,091</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939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97"/>
              </w:rPr>
              <w:t>(45,635,899)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5"/>
              </w:rPr>
              <w:t>125,579,131</w:t>
            </w:r>
          </w:p>
        </w:tc>
      </w:tr>
      <w:tr>
        <w:trPr>
          <w:trHeight w:val="215"/>
        </w:trPr>
        <w:tc>
          <w:tcPr>
            <w:tcW w:w="5860" w:type="dxa"/>
            <w:vAlign w:val="bottom"/>
          </w:tcPr>
          <w:p>
            <w:pPr>
              <w:ind w:left="40"/>
              <w:spacing w:after="0"/>
              <w:rPr>
                <w:sz w:val="20"/>
                <w:szCs w:val="20"/>
                <w:color w:val="auto"/>
              </w:rPr>
            </w:pPr>
            <w:r>
              <w:rPr>
                <w:rFonts w:ascii="Arial" w:cs="Arial" w:eastAsia="Arial" w:hAnsi="Arial"/>
                <w:sz w:val="17"/>
                <w:szCs w:val="17"/>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9"/>
              </w:rPr>
              <w:t>(11,350,864)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(243)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13,395,418</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2,044,311</w:t>
            </w: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Premiums earned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97"/>
              </w:rPr>
              <w:t>159,863,227</w:t>
            </w: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696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97"/>
              </w:rPr>
              <w:t>(32,240,481)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5"/>
              </w:rPr>
              <w:t>127,623,442</w:t>
            </w:r>
          </w:p>
        </w:tc>
      </w:tr>
      <w:tr>
        <w:trPr>
          <w:trHeight w:val="201"/>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Premiums written</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77"/>
              <w:spacing w:after="0"/>
              <w:rPr>
                <w:sz w:val="20"/>
                <w:szCs w:val="20"/>
                <w:color w:val="auto"/>
              </w:rPr>
            </w:pPr>
            <w:r>
              <w:rPr>
                <w:rFonts w:ascii="Arial" w:cs="Arial" w:eastAsia="Arial" w:hAnsi="Arial"/>
                <w:sz w:val="17"/>
                <w:szCs w:val="17"/>
                <w:color w:val="auto"/>
                <w:w w:val="97"/>
              </w:rPr>
              <w:t>146,716,468</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7"/>
              <w:spacing w:after="0"/>
              <w:rPr>
                <w:sz w:val="20"/>
                <w:szCs w:val="20"/>
                <w:color w:val="auto"/>
              </w:rPr>
            </w:pPr>
            <w:r>
              <w:rPr>
                <w:rFonts w:ascii="Arial" w:cs="Arial" w:eastAsia="Arial" w:hAnsi="Arial"/>
                <w:sz w:val="17"/>
                <w:szCs w:val="17"/>
                <w:color w:val="auto"/>
              </w:rPr>
              <w:t>1,004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w w:val="97"/>
              </w:rPr>
              <w:t>(26,923,679)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
              <w:spacing w:after="0"/>
              <w:rPr>
                <w:sz w:val="20"/>
                <w:szCs w:val="20"/>
                <w:color w:val="auto"/>
              </w:rPr>
            </w:pPr>
            <w:r>
              <w:rPr>
                <w:rFonts w:ascii="Arial" w:cs="Arial" w:eastAsia="Arial" w:hAnsi="Arial"/>
                <w:sz w:val="17"/>
                <w:szCs w:val="17"/>
                <w:color w:val="auto"/>
                <w:w w:val="95"/>
              </w:rPr>
              <w:t>119,793,793</w:t>
            </w:r>
          </w:p>
        </w:tc>
      </w:tr>
      <w:tr>
        <w:trPr>
          <w:trHeight w:val="21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 in unearned premiums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9"/>
              </w:rPr>
              <w:t>(13,388,535)</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4,067</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(2,994,610)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(16,379,078)</w:t>
            </w: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Premiums earned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97"/>
              </w:rPr>
              <w:t>133,327,933</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5,071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7"/>
              </w:rPr>
              <w:t>(29,918,289)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95"/>
              </w:rPr>
              <w:t>103,414,715</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560"/>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December 31, 2019 and December 31, 2018 was $3,191,512 and $2,107,629,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The components of the liability for loss and LAE expenses and related reinsurance receivables as of December 31, 2019 and 2018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21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Reinsurance</w:t>
            </w:r>
          </w:p>
        </w:tc>
        <w:tc>
          <w:tcPr>
            <w:tcW w:w="0" w:type="dxa"/>
            <w:vAlign w:val="bottom"/>
          </w:tcPr>
          <w:p>
            <w:pPr>
              <w:spacing w:after="0"/>
              <w:rPr>
                <w:sz w:val="1"/>
                <w:szCs w:val="1"/>
                <w:color w:val="auto"/>
              </w:rPr>
            </w:pPr>
          </w:p>
        </w:tc>
      </w:tr>
      <w:tr>
        <w:trPr>
          <w:trHeight w:val="199"/>
        </w:trPr>
        <w:tc>
          <w:tcPr>
            <w:tcW w:w="8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8"/>
              </w:rPr>
              <w:t>Liability</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34"/>
        </w:trPr>
        <w:tc>
          <w:tcPr>
            <w:tcW w:w="8560" w:type="dxa"/>
            <w:vAlign w:val="bottom"/>
          </w:tcPr>
          <w:p>
            <w:pPr>
              <w:spacing w:after="0"/>
              <w:rPr>
                <w:sz w:val="20"/>
                <w:szCs w:val="20"/>
                <w:color w:val="auto"/>
              </w:rPr>
            </w:pPr>
            <w:r>
              <w:rPr>
                <w:rFonts w:ascii="Arial" w:cs="Arial" w:eastAsia="Arial" w:hAnsi="Arial"/>
                <w:sz w:val="17"/>
                <w:szCs w:val="17"/>
                <w:b w:val="1"/>
                <w:bCs w:val="1"/>
                <w:color w:val="auto"/>
              </w:rPr>
              <w:t>December 31, 2019</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Case-basis reserves</w:t>
            </w: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48,688,643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12,894,469</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Loss adjustment expenses</w:t>
            </w:r>
          </w:p>
        </w:tc>
        <w:tc>
          <w:tcPr>
            <w:tcW w:w="3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7"/>
                <w:szCs w:val="17"/>
                <w:color w:val="auto"/>
              </w:rPr>
              <w:t>12,606,236</w:t>
            </w:r>
          </w:p>
        </w:tc>
        <w:tc>
          <w:tcPr>
            <w:tcW w:w="2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1,416,686</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IBNR reserves</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19,203,732</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1,417,070</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Recoverable on unpaid losses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15,728,225</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Recoverable on paid losses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5,384,325</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loss and loss adjustment expenses</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80,498,611</w:t>
            </w:r>
          </w:p>
        </w:tc>
        <w:tc>
          <w:tcPr>
            <w:tcW w:w="2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21,112,550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Unearned premiums</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19,637,988</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reinsurance receivables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40,750,538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7"/>
                <w:szCs w:val="17"/>
                <w:b w:val="1"/>
                <w:bCs w:val="1"/>
                <w:color w:val="auto"/>
              </w:rPr>
              <w:t>December 31, 2018</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Case-basis reserves</w:t>
            </w: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35,812,037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12,283,616</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Loss adjustment expenses</w:t>
            </w:r>
          </w:p>
        </w:tc>
        <w:tc>
          <w:tcPr>
            <w:tcW w:w="3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7"/>
                <w:szCs w:val="17"/>
                <w:color w:val="auto"/>
              </w:rPr>
              <w:t>9,102,862</w:t>
            </w:r>
          </w:p>
        </w:tc>
        <w:tc>
          <w:tcPr>
            <w:tcW w:w="2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1,433,170</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IBNR reserves</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11,282,207</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1,954,461</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Recoverable on unpaid losses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15,671,247</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Recoverable on paid losses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4,453,298</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loss and loss adjustment expenses</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56,197,106</w:t>
            </w:r>
          </w:p>
        </w:tc>
        <w:tc>
          <w:tcPr>
            <w:tcW w:w="2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color w:val="auto"/>
              </w:rPr>
              <w:t>20,124,545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Unearned premiums</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6,242,570</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Total reinsurance receivables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26,367,115</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LAE:</w:t>
            </w: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877"/>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99"/>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8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32" w:right="339" w:bottom="1440" w:gutter="0" w:footer="0" w:header="0"/>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beginning of period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reinsurance recoverables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balance, beginning of period</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Incurred related to:</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year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14" w:hanging="314"/>
        <w:spacing w:after="0"/>
        <w:tabs>
          <w:tab w:leader="none" w:pos="314" w:val="left"/>
        </w:tabs>
        <w:numPr>
          <w:ilvl w:val="0"/>
          <w:numId w:val="45"/>
        </w:numPr>
        <w:rPr>
          <w:rFonts w:ascii="Arial" w:cs="Arial" w:eastAsia="Arial" w:hAnsi="Arial"/>
          <w:sz w:val="17"/>
          <w:szCs w:val="17"/>
          <w:color w:val="auto"/>
        </w:rPr>
      </w:pPr>
      <w:r>
        <w:rPr>
          <w:rFonts w:ascii="Arial" w:cs="Arial" w:eastAsia="Arial" w:hAnsi="Arial"/>
          <w:sz w:val="17"/>
          <w:szCs w:val="17"/>
          <w:color w:val="auto"/>
        </w:rPr>
        <w:t>56,197,106   $   48,799,622</w:t>
      </w:r>
    </w:p>
    <w:p>
      <w:pPr>
        <w:spacing w:after="0" w:line="19" w:lineRule="exact"/>
        <w:rPr>
          <w:rFonts w:ascii="Arial" w:cs="Arial" w:eastAsia="Arial" w:hAnsi="Arial"/>
          <w:sz w:val="17"/>
          <w:szCs w:val="17"/>
          <w:color w:val="auto"/>
        </w:rPr>
      </w:pPr>
    </w:p>
    <w:p>
      <w:pPr>
        <w:ind w:left="254"/>
        <w:spacing w:after="0"/>
        <w:rPr>
          <w:rFonts w:ascii="Arial" w:cs="Arial" w:eastAsia="Arial" w:hAnsi="Arial"/>
          <w:sz w:val="17"/>
          <w:szCs w:val="17"/>
          <w:color w:val="auto"/>
        </w:rPr>
      </w:pPr>
      <w:r>
        <w:rPr>
          <w:rFonts w:ascii="Arial" w:cs="Arial" w:eastAsia="Arial" w:hAnsi="Arial"/>
          <w:sz w:val="17"/>
          <w:szCs w:val="17"/>
          <w:color w:val="auto"/>
        </w:rPr>
        <w:t>(15,671,247)</w:t>
      </w:r>
      <w:r>
        <w:rPr>
          <w:rFonts w:ascii="Arial" w:cs="Arial" w:eastAsia="Arial" w:hAnsi="Arial"/>
          <w:sz w:val="15"/>
          <w:szCs w:val="15"/>
          <w:color w:val="auto"/>
        </w:rPr>
        <w:t>(16,748,908)</w:t>
      </w:r>
    </w:p>
    <w:p>
      <w:pPr>
        <w:spacing w:after="0" w:line="33" w:lineRule="exact"/>
        <w:rPr>
          <w:rFonts w:ascii="Arial" w:cs="Arial" w:eastAsia="Arial" w:hAnsi="Arial"/>
          <w:sz w:val="17"/>
          <w:szCs w:val="17"/>
          <w:color w:val="auto"/>
        </w:rPr>
      </w:pPr>
    </w:p>
    <w:p>
      <w:pPr>
        <w:ind w:left="314"/>
        <w:spacing w:after="0"/>
        <w:rPr>
          <w:rFonts w:ascii="Arial" w:cs="Arial" w:eastAsia="Arial" w:hAnsi="Arial"/>
          <w:sz w:val="17"/>
          <w:szCs w:val="17"/>
          <w:color w:val="auto"/>
        </w:rPr>
      </w:pPr>
      <w:r>
        <w:rPr>
          <w:rFonts w:ascii="Arial" w:cs="Arial" w:eastAsia="Arial" w:hAnsi="Arial"/>
          <w:sz w:val="17"/>
          <w:szCs w:val="17"/>
          <w:color w:val="auto"/>
        </w:rPr>
        <w:t>40,525,859</w:t>
      </w:r>
      <w:r>
        <w:rPr>
          <w:rFonts w:ascii="Arial" w:cs="Arial" w:eastAsia="Arial" w:hAnsi="Arial"/>
          <w:sz w:val="15"/>
          <w:szCs w:val="15"/>
          <w:color w:val="auto"/>
        </w:rPr>
        <w:t>32,050,714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-400050</wp:posOffset>
            </wp:positionV>
            <wp:extent cx="7136765" cy="132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163195</wp:posOffset>
            </wp:positionV>
            <wp:extent cx="7136765" cy="132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-134620</wp:posOffset>
            </wp:positionV>
            <wp:extent cx="7136765" cy="165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14"/>
        <w:spacing w:after="0"/>
        <w:tabs>
          <w:tab w:leader="none" w:pos="1634" w:val="left"/>
        </w:tabs>
        <w:rPr>
          <w:sz w:val="20"/>
          <w:szCs w:val="20"/>
          <w:color w:val="auto"/>
        </w:rPr>
      </w:pPr>
      <w:r>
        <w:rPr>
          <w:rFonts w:ascii="Arial" w:cs="Arial" w:eastAsia="Arial" w:hAnsi="Arial"/>
          <w:sz w:val="16"/>
          <w:szCs w:val="16"/>
          <w:color w:val="auto"/>
        </w:rPr>
        <w:t>79,044,301</w:t>
      </w:r>
      <w:r>
        <w:rPr>
          <w:sz w:val="20"/>
          <w:szCs w:val="20"/>
          <w:color w:val="auto"/>
        </w:rPr>
        <w:tab/>
      </w:r>
      <w:r>
        <w:rPr>
          <w:rFonts w:ascii="Arial" w:cs="Arial" w:eastAsia="Arial" w:hAnsi="Arial"/>
          <w:sz w:val="16"/>
          <w:szCs w:val="16"/>
          <w:color w:val="auto"/>
        </w:rPr>
        <w:t>57,143,077</w:t>
      </w:r>
    </w:p>
    <w:p>
      <w:pPr>
        <w:spacing w:after="0" w:line="47" w:lineRule="exact"/>
        <w:rPr>
          <w:sz w:val="20"/>
          <w:szCs w:val="20"/>
          <w:color w:val="auto"/>
        </w:rPr>
      </w:pPr>
    </w:p>
    <w:p>
      <w:pPr>
        <w:sectPr>
          <w:pgSz w:w="11900" w:h="16838" w:orient="portrait"/>
          <w:cols w:equalWidth="0" w:num="2">
            <w:col w:w="7966" w:space="720"/>
            <w:col w:w="2554"/>
          </w:cols>
          <w:pgMar w:left="320" w:top="732"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11,138,023</w:t>
            </w: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1,152,128</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Total incurred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90,182,324</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58,295,205</w:t>
            </w:r>
          </w:p>
        </w:tc>
      </w:tr>
      <w:tr>
        <w:trPr>
          <w:trHeight w:val="209"/>
        </w:trPr>
        <w:tc>
          <w:tcPr>
            <w:tcW w:w="8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Paid related to:</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42,861,207</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34,025,387</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23,076,588</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15,794,673</w:t>
            </w:r>
          </w:p>
        </w:tc>
      </w:tr>
      <w:tr>
        <w:trPr>
          <w:trHeight w:val="21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65,937,795</w:t>
            </w: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49,820,060</w:t>
            </w:r>
          </w:p>
        </w:tc>
      </w:tr>
      <w:tr>
        <w:trPr>
          <w:trHeight w:val="209"/>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balance at end of period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64,770,387</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40,525,859</w:t>
            </w: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Add reinsurance recoverables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15,728,224</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15,671,247</w:t>
            </w:r>
          </w:p>
        </w:tc>
      </w:tr>
      <w:tr>
        <w:trPr>
          <w:trHeight w:val="24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80,498,611</w:t>
            </w: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   56,197,106</w:t>
            </w:r>
          </w:p>
        </w:tc>
      </w:tr>
    </w:tbl>
    <w:p>
      <w:pPr>
        <w:spacing w:after="0" w:line="201"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$12,769,015 and $14,482,712 for the years ended December 31, 2019 and 2018,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02" w:name="page103"/>
    <w:bookmarkEnd w:id="102"/>
    <w:p>
      <w:pPr>
        <w:ind w:right="140"/>
        <w:spacing w:after="0" w:line="282" w:lineRule="auto"/>
        <w:rPr>
          <w:sz w:val="20"/>
          <w:szCs w:val="20"/>
          <w:color w:val="auto"/>
        </w:rPr>
      </w:pPr>
      <w:r>
        <w:rPr>
          <w:rFonts w:ascii="Arial" w:cs="Arial" w:eastAsia="Arial" w:hAnsi="Arial"/>
          <w:sz w:val="16"/>
          <w:szCs w:val="16"/>
          <w:color w:val="auto"/>
        </w:rPr>
        <w:t>Prior year incurred loss and LAE development is based upon estimates by line of business and accident year. Prior year loss and LAE development incurred during the years ended December 31, 2019 and 2018 was $11,138,023 unfavorable and $1,152,128 unfavorable, respectively. During the year ended December 31, 2019, the Company increased case reserves for a significant number of older liability claims, which primarily affected the ultimate loss projections for commercial lines business. This was in response to management’s detailed review of open liability claims that resulted in new assessments of carried case and incurred but not reported (“IBNR”) reserve levels, giving consideration to both Company and industry trends.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and LAE reserves</w:t>
      </w:r>
    </w:p>
    <w:p>
      <w:pPr>
        <w:spacing w:after="0" w:line="22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65"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ind w:left="640" w:right="1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170" w:lineRule="exact"/>
        <w:rPr>
          <w:sz w:val="20"/>
          <w:szCs w:val="20"/>
          <w:color w:val="auto"/>
        </w:rPr>
      </w:pPr>
    </w:p>
    <w:p>
      <w:pPr>
        <w:ind w:left="640" w:right="2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03" w:name="page104"/>
    <w:bookmarkEnd w:id="103"/>
    <w:p>
      <w:pPr>
        <w:ind w:left="640" w:right="280"/>
        <w:spacing w:after="0" w:line="310" w:lineRule="auto"/>
        <w:rPr>
          <w:sz w:val="20"/>
          <w:szCs w:val="20"/>
          <w:color w:val="auto"/>
        </w:rPr>
      </w:pPr>
      <w:r>
        <w:rPr>
          <w:rFonts w:ascii="Arial" w:cs="Arial" w:eastAsia="Arial" w:hAnsi="Arial"/>
          <w:sz w:val="15"/>
          <w:szCs w:val="15"/>
          <w:i w:val="1"/>
          <w:iCs w:val="1"/>
          <w:color w:val="auto"/>
        </w:rPr>
        <w:t xml:space="preserve">Incurred Bornhuetter-Ferguson (“BF”) </w:t>
      </w:r>
      <w:r>
        <w:rPr>
          <w:rFonts w:ascii="Arial" w:cs="Arial" w:eastAsia="Arial" w:hAnsi="Arial"/>
          <w:sz w:val="15"/>
          <w:szCs w:val="15"/>
          <w:color w:val="auto"/>
        </w:rPr>
        <w:t>- an estimated loss ratio for a particular accident year is determined, and is weighted against the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54" w:lineRule="exact"/>
        <w:rPr>
          <w:sz w:val="20"/>
          <w:szCs w:val="20"/>
          <w:color w:val="auto"/>
        </w:rPr>
      </w:pPr>
    </w:p>
    <w:p>
      <w:pPr>
        <w:ind w:left="640" w:right="260"/>
        <w:spacing w:after="0" w:line="262" w:lineRule="auto"/>
        <w:rPr>
          <w:sz w:val="20"/>
          <w:szCs w:val="20"/>
          <w:color w:val="auto"/>
        </w:rPr>
      </w:pPr>
      <w:r>
        <w:rPr>
          <w:rFonts w:ascii="Arial" w:cs="Arial" w:eastAsia="Arial" w:hAnsi="Arial"/>
          <w:sz w:val="17"/>
          <w:szCs w:val="17"/>
          <w:i w:val="1"/>
          <w:iCs w:val="1"/>
          <w:color w:val="auto"/>
        </w:rPr>
        <w:t xml:space="preserve">Incremental Claim-Based Methods </w:t>
      </w:r>
      <w:r>
        <w:rPr>
          <w:rFonts w:ascii="Arial" w:cs="Arial" w:eastAsia="Arial" w:hAnsi="Arial"/>
          <w:sz w:val="17"/>
          <w:szCs w:val="17"/>
          <w:color w:val="auto"/>
        </w:rPr>
        <w:t>– historical patterns of incremental incurred losses and paid LAE during various stages of development are reviewed</w:t>
      </w:r>
      <w:r>
        <w:rPr>
          <w:rFonts w:ascii="Arial" w:cs="Arial" w:eastAsia="Arial" w:hAnsi="Arial"/>
          <w:sz w:val="17"/>
          <w:szCs w:val="17"/>
          <w:i w:val="1"/>
          <w:iCs w:val="1"/>
          <w:color w:val="auto"/>
        </w:rPr>
        <w:t xml:space="preserve"> </w:t>
      </w:r>
      <w:r>
        <w:rPr>
          <w:rFonts w:ascii="Arial" w:cs="Arial" w:eastAsia="Arial" w:hAnsi="Arial"/>
          <w:sz w:val="17"/>
          <w:szCs w:val="17"/>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ind w:left="640" w:right="160"/>
        <w:spacing w:after="0" w:line="261"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 mature</w:t>
      </w:r>
      <w:r>
        <w:rPr>
          <w:rFonts w:ascii="Arial" w:cs="Arial" w:eastAsia="Arial" w:hAnsi="Arial"/>
          <w:sz w:val="17"/>
          <w:szCs w:val="17"/>
          <w:i w:val="1"/>
          <w:iCs w:val="1"/>
          <w:color w:val="auto"/>
        </w:rPr>
        <w:t xml:space="preserve"> </w:t>
      </w:r>
      <w:r>
        <w:rPr>
          <w:rFonts w:ascii="Arial" w:cs="Arial" w:eastAsia="Arial" w:hAnsi="Arial"/>
          <w:sz w:val="17"/>
          <w:szCs w:val="17"/>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2"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The Company is not aware of any claim trends that have emerged or that would cause future adverse development that have not already been contemplated in setting current carried reserves levels.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2016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6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 following is information about incurred and paid claims development as of December 31, 2019, net of reinsurance, as well as the cumulative reported claims by accident year and total IBNR reserves as of December 31, 2019 included in the net incurred loss and allocated expense amounts. The historical information regarding incurred and paid claims development for the years ended December 31, 2010 to December 31, 2018 is presented as supplementary unaudited information.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All Lines of Business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gridSpan w:val="10"/>
            <w:vMerge w:val="restart"/>
          </w:tcPr>
          <w:p>
            <w:pPr>
              <w:jc w:val="right"/>
              <w:ind w:right="48"/>
              <w:spacing w:after="0"/>
              <w:rPr>
                <w:sz w:val="20"/>
                <w:szCs w:val="20"/>
                <w:color w:val="auto"/>
              </w:rPr>
            </w:pPr>
            <w:r>
              <w:rPr>
                <w:rFonts w:ascii="Arial" w:cs="Arial" w:eastAsia="Arial" w:hAnsi="Arial"/>
                <w:sz w:val="12"/>
                <w:szCs w:val="12"/>
                <w:b w:val="1"/>
                <w:bCs w:val="1"/>
                <w:color w:val="auto"/>
                <w:w w:val="98"/>
              </w:rPr>
              <w:t>Incurred Loss and Allocated Loss Adjustment Expenses, Net of Reinsurance</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ind w:left="56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40" w:type="dxa"/>
            <w:vAlign w:val="bottom"/>
            <w:gridSpan w:val="10"/>
            <w:vMerge w:val="continue"/>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ind w:left="180"/>
              <w:spacing w:after="0"/>
              <w:rPr>
                <w:sz w:val="20"/>
                <w:szCs w:val="20"/>
                <w:color w:val="auto"/>
              </w:rPr>
            </w:pPr>
            <w:r>
              <w:rPr>
                <w:rFonts w:ascii="Arial" w:cs="Arial" w:eastAsia="Arial" w:hAnsi="Arial"/>
                <w:sz w:val="12"/>
                <w:szCs w:val="12"/>
                <w:b w:val="1"/>
                <w:bCs w:val="1"/>
                <w:color w:val="auto"/>
              </w:rPr>
              <w:t>December 31, 2019</w:t>
            </w:r>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89"/>
              </w:rPr>
              <w:t>For the Years Ended December 31,</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Cumulative</w:t>
            </w: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89"/>
              </w:rPr>
              <w:t>Number of</w:t>
            </w:r>
          </w:p>
        </w:tc>
        <w:tc>
          <w:tcPr>
            <w:tcW w:w="0" w:type="dxa"/>
            <w:vAlign w:val="bottom"/>
          </w:tcPr>
          <w:p>
            <w:pPr>
              <w:spacing w:after="0"/>
              <w:rPr>
                <w:sz w:val="1"/>
                <w:szCs w:val="1"/>
                <w:color w:val="auto"/>
              </w:rPr>
            </w:pPr>
          </w:p>
        </w:tc>
      </w:tr>
      <w:tr>
        <w:trPr>
          <w:trHeight w:val="131"/>
        </w:trPr>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Accident</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1"/>
              </w:rPr>
              <w:t>Reported</w:t>
            </w:r>
          </w:p>
        </w:tc>
        <w:tc>
          <w:tcPr>
            <w:tcW w:w="0" w:type="dxa"/>
            <w:vAlign w:val="bottom"/>
          </w:tcPr>
          <w:p>
            <w:pPr>
              <w:spacing w:after="0"/>
              <w:rPr>
                <w:sz w:val="1"/>
                <w:szCs w:val="1"/>
                <w:color w:val="auto"/>
              </w:rPr>
            </w:pPr>
          </w:p>
        </w:tc>
      </w:tr>
      <w:tr>
        <w:trPr>
          <w:trHeight w:val="117"/>
        </w:trPr>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1"/>
              </w:rPr>
              <w:t>Claims by</w:t>
            </w:r>
          </w:p>
        </w:tc>
        <w:tc>
          <w:tcPr>
            <w:tcW w:w="0" w:type="dxa"/>
            <w:vAlign w:val="bottom"/>
          </w:tcPr>
          <w:p>
            <w:pPr>
              <w:spacing w:after="0"/>
              <w:rPr>
                <w:sz w:val="1"/>
                <w:szCs w:val="1"/>
                <w:color w:val="auto"/>
              </w:rPr>
            </w:pPr>
          </w:p>
        </w:tc>
      </w:tr>
      <w:tr>
        <w:trPr>
          <w:trHeight w:val="163"/>
        </w:trPr>
        <w:tc>
          <w:tcPr>
            <w:tcW w:w="56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640" w:type="dxa"/>
            <w:vAlign w:val="bottom"/>
          </w:tcPr>
          <w:p>
            <w:pPr>
              <w:jc w:val="right"/>
              <w:ind w:right="235"/>
              <w:spacing w:after="0"/>
              <w:rPr>
                <w:sz w:val="20"/>
                <w:szCs w:val="20"/>
                <w:color w:val="auto"/>
              </w:rPr>
            </w:pPr>
            <w:r>
              <w:rPr>
                <w:rFonts w:ascii="Arial" w:cs="Arial" w:eastAsia="Arial" w:hAnsi="Arial"/>
                <w:sz w:val="12"/>
                <w:szCs w:val="12"/>
                <w:b w:val="1"/>
                <w:bCs w:val="1"/>
                <w:color w:val="auto"/>
              </w:rPr>
              <w:t>2010</w:t>
            </w:r>
          </w:p>
        </w:tc>
        <w:tc>
          <w:tcPr>
            <w:tcW w:w="260" w:type="dxa"/>
            <w:vAlign w:val="bottom"/>
          </w:tcPr>
          <w:p>
            <w:pPr>
              <w:spacing w:after="0"/>
              <w:rPr>
                <w:sz w:val="14"/>
                <w:szCs w:val="14"/>
                <w:color w:val="auto"/>
              </w:rPr>
            </w:pPr>
          </w:p>
        </w:tc>
        <w:tc>
          <w:tcPr>
            <w:tcW w:w="640" w:type="dxa"/>
            <w:vAlign w:val="bottom"/>
          </w:tcPr>
          <w:p>
            <w:pPr>
              <w:jc w:val="right"/>
              <w:ind w:right="272"/>
              <w:spacing w:after="0"/>
              <w:rPr>
                <w:sz w:val="20"/>
                <w:szCs w:val="20"/>
                <w:color w:val="auto"/>
              </w:rPr>
            </w:pPr>
            <w:r>
              <w:rPr>
                <w:rFonts w:ascii="Arial" w:cs="Arial" w:eastAsia="Arial" w:hAnsi="Arial"/>
                <w:sz w:val="12"/>
                <w:szCs w:val="12"/>
                <w:b w:val="1"/>
                <w:bCs w:val="1"/>
                <w:color w:val="auto"/>
              </w:rPr>
              <w:t>2011</w:t>
            </w:r>
          </w:p>
        </w:tc>
        <w:tc>
          <w:tcPr>
            <w:tcW w:w="240" w:type="dxa"/>
            <w:vAlign w:val="bottom"/>
          </w:tcPr>
          <w:p>
            <w:pPr>
              <w:spacing w:after="0"/>
              <w:rPr>
                <w:sz w:val="14"/>
                <w:szCs w:val="14"/>
                <w:color w:val="auto"/>
              </w:rPr>
            </w:pPr>
          </w:p>
        </w:tc>
        <w:tc>
          <w:tcPr>
            <w:tcW w:w="640" w:type="dxa"/>
            <w:vAlign w:val="bottom"/>
          </w:tcPr>
          <w:p>
            <w:pPr>
              <w:jc w:val="right"/>
              <w:ind w:right="253"/>
              <w:spacing w:after="0"/>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2"/>
                <w:szCs w:val="12"/>
                <w:b w:val="1"/>
                <w:bCs w:val="1"/>
                <w:color w:val="auto"/>
              </w:rPr>
              <w:t>2013</w:t>
            </w:r>
          </w:p>
        </w:tc>
        <w:tc>
          <w:tcPr>
            <w:tcW w:w="300" w:type="dxa"/>
            <w:vAlign w:val="bottom"/>
          </w:tcPr>
          <w:p>
            <w:pPr>
              <w:spacing w:after="0"/>
              <w:rPr>
                <w:sz w:val="14"/>
                <w:szCs w:val="14"/>
                <w:color w:val="auto"/>
              </w:rPr>
            </w:pPr>
          </w:p>
        </w:tc>
        <w:tc>
          <w:tcPr>
            <w:tcW w:w="640" w:type="dxa"/>
            <w:vAlign w:val="bottom"/>
          </w:tcPr>
          <w:p>
            <w:pPr>
              <w:jc w:val="right"/>
              <w:ind w:right="25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4"/>
                <w:szCs w:val="14"/>
                <w:color w:val="auto"/>
              </w:rPr>
            </w:pPr>
          </w:p>
        </w:tc>
        <w:tc>
          <w:tcPr>
            <w:tcW w:w="680" w:type="dxa"/>
            <w:vAlign w:val="bottom"/>
          </w:tcPr>
          <w:p>
            <w:pPr>
              <w:jc w:val="right"/>
              <w:ind w:right="290"/>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4"/>
                <w:szCs w:val="14"/>
                <w:color w:val="auto"/>
              </w:rPr>
            </w:pPr>
          </w:p>
        </w:tc>
        <w:tc>
          <w:tcPr>
            <w:tcW w:w="640" w:type="dxa"/>
            <w:vAlign w:val="bottom"/>
          </w:tcPr>
          <w:p>
            <w:pPr>
              <w:jc w:val="right"/>
              <w:ind w:right="250"/>
              <w:spacing w:after="0"/>
              <w:rPr>
                <w:sz w:val="20"/>
                <w:szCs w:val="20"/>
                <w:color w:val="auto"/>
              </w:rPr>
            </w:pPr>
            <w:r>
              <w:rPr>
                <w:rFonts w:ascii="Arial" w:cs="Arial" w:eastAsia="Arial" w:hAnsi="Arial"/>
                <w:sz w:val="12"/>
                <w:szCs w:val="12"/>
                <w:b w:val="1"/>
                <w:bCs w:val="1"/>
                <w:color w:val="auto"/>
              </w:rPr>
              <w:t>2016</w:t>
            </w:r>
          </w:p>
        </w:tc>
        <w:tc>
          <w:tcPr>
            <w:tcW w:w="240" w:type="dxa"/>
            <w:vAlign w:val="bottom"/>
          </w:tcPr>
          <w:p>
            <w:pPr>
              <w:spacing w:after="0"/>
              <w:rPr>
                <w:sz w:val="14"/>
                <w:szCs w:val="14"/>
                <w:color w:val="auto"/>
              </w:rPr>
            </w:pPr>
          </w:p>
        </w:tc>
        <w:tc>
          <w:tcPr>
            <w:tcW w:w="640" w:type="dxa"/>
            <w:vAlign w:val="bottom"/>
          </w:tcPr>
          <w:p>
            <w:pPr>
              <w:jc w:val="right"/>
              <w:ind w:right="250"/>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4"/>
                <w:szCs w:val="14"/>
                <w:color w:val="auto"/>
              </w:rPr>
            </w:pPr>
          </w:p>
        </w:tc>
        <w:tc>
          <w:tcPr>
            <w:tcW w:w="640" w:type="dxa"/>
            <w:vAlign w:val="bottom"/>
          </w:tcPr>
          <w:p>
            <w:pPr>
              <w:jc w:val="right"/>
              <w:ind w:right="246"/>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4"/>
                <w:szCs w:val="14"/>
                <w:color w:val="auto"/>
              </w:rPr>
            </w:pPr>
          </w:p>
        </w:tc>
        <w:tc>
          <w:tcPr>
            <w:tcW w:w="640" w:type="dxa"/>
            <w:vAlign w:val="bottom"/>
          </w:tcPr>
          <w:p>
            <w:pPr>
              <w:jc w:val="right"/>
              <w:ind w:right="249"/>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4"/>
                <w:szCs w:val="14"/>
                <w:color w:val="auto"/>
              </w:rPr>
            </w:pPr>
          </w:p>
        </w:tc>
        <w:tc>
          <w:tcPr>
            <w:tcW w:w="680" w:type="dxa"/>
            <w:vAlign w:val="bottom"/>
          </w:tcPr>
          <w:p>
            <w:pPr>
              <w:jc w:val="right"/>
              <w:ind w:right="231"/>
              <w:spacing w:after="0"/>
              <w:rPr>
                <w:sz w:val="20"/>
                <w:szCs w:val="20"/>
                <w:color w:val="auto"/>
              </w:rPr>
            </w:pPr>
            <w:r>
              <w:rPr>
                <w:rFonts w:ascii="Arial" w:cs="Arial" w:eastAsia="Arial" w:hAnsi="Arial"/>
                <w:sz w:val="12"/>
                <w:szCs w:val="12"/>
                <w:b w:val="1"/>
                <w:bCs w:val="1"/>
                <w:color w:val="auto"/>
              </w:rPr>
              <w:t>IBNR</w:t>
            </w:r>
          </w:p>
        </w:tc>
        <w:tc>
          <w:tcPr>
            <w:tcW w:w="9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Accident Year</w:t>
            </w:r>
          </w:p>
        </w:tc>
        <w:tc>
          <w:tcPr>
            <w:tcW w:w="0" w:type="dxa"/>
            <w:vAlign w:val="bottom"/>
          </w:tcPr>
          <w:p>
            <w:pPr>
              <w:spacing w:after="0"/>
              <w:rPr>
                <w:sz w:val="1"/>
                <w:szCs w:val="1"/>
                <w:color w:val="auto"/>
              </w:rPr>
            </w:pPr>
          </w:p>
        </w:tc>
      </w:tr>
      <w:tr>
        <w:trPr>
          <w:trHeight w:val="137"/>
        </w:trPr>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780" w:type="dxa"/>
            <w:vAlign w:val="bottom"/>
            <w:tcBorders>
              <w:top w:val="single" w:sz="8" w:color="auto"/>
              <w:bottom w:val="single" w:sz="8" w:color="auto"/>
            </w:tcBorders>
            <w:gridSpan w:val="4"/>
          </w:tcPr>
          <w:p>
            <w:pPr>
              <w:jc w:val="right"/>
              <w:ind w:right="8"/>
              <w:spacing w:after="0" w:line="131" w:lineRule="exact"/>
              <w:rPr>
                <w:sz w:val="20"/>
                <w:szCs w:val="20"/>
                <w:color w:val="auto"/>
              </w:rPr>
            </w:pPr>
            <w:r>
              <w:rPr>
                <w:rFonts w:ascii="Arial" w:cs="Arial" w:eastAsia="Arial" w:hAnsi="Arial"/>
                <w:sz w:val="12"/>
                <w:szCs w:val="12"/>
                <w:b w:val="1"/>
                <w:bCs w:val="1"/>
                <w:color w:val="auto"/>
              </w:rPr>
              <w:t>(Unaudited 2010 - 2018)</w:t>
            </w:r>
          </w:p>
        </w:tc>
        <w:tc>
          <w:tcPr>
            <w:tcW w:w="6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2010</w:t>
            </w:r>
          </w:p>
        </w:tc>
        <w:tc>
          <w:tcPr>
            <w:tcW w:w="2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5"/>
              <w:spacing w:after="0" w:line="157" w:lineRule="exact"/>
              <w:rPr>
                <w:sz w:val="20"/>
                <w:szCs w:val="20"/>
                <w:color w:val="auto"/>
              </w:rPr>
            </w:pPr>
            <w:r>
              <w:rPr>
                <w:rFonts w:ascii="Arial" w:cs="Arial" w:eastAsia="Arial" w:hAnsi="Arial"/>
                <w:sz w:val="14"/>
                <w:szCs w:val="14"/>
                <w:color w:val="auto"/>
              </w:rPr>
              <w:t>5,598</w:t>
            </w:r>
          </w:p>
        </w:tc>
        <w:tc>
          <w:tcPr>
            <w:tcW w:w="2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57" w:lineRule="exact"/>
              <w:rPr>
                <w:sz w:val="20"/>
                <w:szCs w:val="20"/>
                <w:color w:val="auto"/>
              </w:rPr>
            </w:pPr>
            <w:r>
              <w:rPr>
                <w:rFonts w:ascii="Arial" w:cs="Arial" w:eastAsia="Arial" w:hAnsi="Arial"/>
                <w:sz w:val="14"/>
                <w:szCs w:val="14"/>
                <w:color w:val="auto"/>
              </w:rPr>
              <w:t>5,707</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3"/>
              <w:spacing w:after="0" w:line="157" w:lineRule="exact"/>
              <w:rPr>
                <w:sz w:val="20"/>
                <w:szCs w:val="20"/>
                <w:color w:val="auto"/>
              </w:rPr>
            </w:pPr>
            <w:r>
              <w:rPr>
                <w:rFonts w:ascii="Arial" w:cs="Arial" w:eastAsia="Arial" w:hAnsi="Arial"/>
                <w:sz w:val="14"/>
                <w:szCs w:val="14"/>
                <w:color w:val="auto"/>
              </w:rPr>
              <w:t>6,429</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6,623</w:t>
            </w:r>
          </w:p>
        </w:tc>
        <w:tc>
          <w:tcPr>
            <w:tcW w:w="300" w:type="dxa"/>
            <w:vAlign w:val="bottom"/>
            <w:shd w:val="clear" w:color="auto" w:fill="CCEEFF"/>
          </w:tcPr>
          <w:p>
            <w:pPr>
              <w:jc w:val="right"/>
              <w:ind w:right="15"/>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6,912</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6,853</w:t>
            </w:r>
          </w:p>
        </w:tc>
        <w:tc>
          <w:tcPr>
            <w:tcW w:w="2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6,838</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6,840</w:t>
            </w:r>
          </w:p>
        </w:tc>
        <w:tc>
          <w:tcPr>
            <w:tcW w:w="2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6,787</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6,788</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rPr>
              <w:t>1,617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line="157" w:lineRule="exact"/>
              <w:rPr>
                <w:sz w:val="20"/>
                <w:szCs w:val="20"/>
                <w:color w:val="auto"/>
              </w:rPr>
            </w:pPr>
            <w:r>
              <w:rPr>
                <w:rFonts w:ascii="Arial" w:cs="Arial" w:eastAsia="Arial" w:hAnsi="Arial"/>
                <w:sz w:val="14"/>
                <w:szCs w:val="14"/>
                <w:color w:val="auto"/>
              </w:rPr>
              <w:t>2011</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32"/>
              <w:spacing w:after="0" w:line="157" w:lineRule="exact"/>
              <w:rPr>
                <w:sz w:val="20"/>
                <w:szCs w:val="20"/>
                <w:color w:val="auto"/>
              </w:rPr>
            </w:pPr>
            <w:r>
              <w:rPr>
                <w:rFonts w:ascii="Arial" w:cs="Arial" w:eastAsia="Arial" w:hAnsi="Arial"/>
                <w:sz w:val="14"/>
                <w:szCs w:val="14"/>
                <w:color w:val="auto"/>
              </w:rPr>
              <w:t>7,603</w:t>
            </w:r>
          </w:p>
        </w:tc>
        <w:tc>
          <w:tcPr>
            <w:tcW w:w="240" w:type="dxa"/>
            <w:vAlign w:val="bottom"/>
          </w:tcPr>
          <w:p>
            <w:pPr>
              <w:spacing w:after="0"/>
              <w:rPr>
                <w:sz w:val="13"/>
                <w:szCs w:val="13"/>
                <w:color w:val="auto"/>
              </w:rPr>
            </w:pPr>
          </w:p>
        </w:tc>
        <w:tc>
          <w:tcPr>
            <w:tcW w:w="640" w:type="dxa"/>
            <w:vAlign w:val="bottom"/>
          </w:tcPr>
          <w:p>
            <w:pPr>
              <w:jc w:val="right"/>
              <w:ind w:right="13"/>
              <w:spacing w:after="0" w:line="157" w:lineRule="exact"/>
              <w:rPr>
                <w:sz w:val="20"/>
                <w:szCs w:val="20"/>
                <w:color w:val="auto"/>
              </w:rPr>
            </w:pPr>
            <w:r>
              <w:rPr>
                <w:rFonts w:ascii="Arial" w:cs="Arial" w:eastAsia="Arial" w:hAnsi="Arial"/>
                <w:sz w:val="14"/>
                <w:szCs w:val="14"/>
                <w:color w:val="auto"/>
              </w:rPr>
              <w:t>7,678</w:t>
            </w:r>
          </w:p>
        </w:tc>
        <w:tc>
          <w:tcPr>
            <w:tcW w:w="2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8,618</w:t>
            </w:r>
          </w:p>
        </w:tc>
        <w:tc>
          <w:tcPr>
            <w:tcW w:w="30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9,440</w:t>
            </w:r>
          </w:p>
        </w:tc>
        <w:tc>
          <w:tcPr>
            <w:tcW w:w="240" w:type="dxa"/>
            <w:vAlign w:val="bottom"/>
          </w:tcPr>
          <w:p>
            <w:pPr>
              <w:spacing w:after="0"/>
              <w:rPr>
                <w:sz w:val="13"/>
                <w:szCs w:val="13"/>
                <w:color w:val="auto"/>
              </w:rPr>
            </w:pPr>
          </w:p>
        </w:tc>
        <w:tc>
          <w:tcPr>
            <w:tcW w:w="6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9,198</w:t>
            </w:r>
          </w:p>
        </w:tc>
        <w:tc>
          <w:tcPr>
            <w:tcW w:w="22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9,066</w:t>
            </w:r>
          </w:p>
        </w:tc>
        <w:tc>
          <w:tcPr>
            <w:tcW w:w="24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9,144</w:t>
            </w:r>
          </w:p>
        </w:tc>
        <w:tc>
          <w:tcPr>
            <w:tcW w:w="260" w:type="dxa"/>
            <w:vAlign w:val="bottom"/>
          </w:tcPr>
          <w:p>
            <w:pPr>
              <w:spacing w:after="0"/>
              <w:rPr>
                <w:sz w:val="13"/>
                <w:szCs w:val="13"/>
                <w:color w:val="auto"/>
              </w:rPr>
            </w:pPr>
          </w:p>
        </w:tc>
        <w:tc>
          <w:tcPr>
            <w:tcW w:w="640" w:type="dxa"/>
            <w:vAlign w:val="bottom"/>
          </w:tcPr>
          <w:p>
            <w:pPr>
              <w:jc w:val="right"/>
              <w:ind w:right="26"/>
              <w:spacing w:after="0" w:line="157" w:lineRule="exact"/>
              <w:rPr>
                <w:sz w:val="20"/>
                <w:szCs w:val="20"/>
                <w:color w:val="auto"/>
              </w:rPr>
            </w:pPr>
            <w:r>
              <w:rPr>
                <w:rFonts w:ascii="Arial" w:cs="Arial" w:eastAsia="Arial" w:hAnsi="Arial"/>
                <w:sz w:val="14"/>
                <w:szCs w:val="14"/>
                <w:color w:val="auto"/>
              </w:rPr>
              <w:t>9,171</w:t>
            </w:r>
          </w:p>
        </w:tc>
        <w:tc>
          <w:tcPr>
            <w:tcW w:w="240" w:type="dxa"/>
            <w:vAlign w:val="bottom"/>
          </w:tcPr>
          <w:p>
            <w:pPr>
              <w:spacing w:after="0"/>
              <w:rPr>
                <w:sz w:val="13"/>
                <w:szCs w:val="13"/>
                <w:color w:val="auto"/>
              </w:rPr>
            </w:pPr>
          </w:p>
        </w:tc>
        <w:tc>
          <w:tcPr>
            <w:tcW w:w="640" w:type="dxa"/>
            <w:vAlign w:val="bottom"/>
          </w:tcPr>
          <w:p>
            <w:pPr>
              <w:jc w:val="right"/>
              <w:ind w:right="9"/>
              <w:spacing w:after="0" w:line="157" w:lineRule="exact"/>
              <w:rPr>
                <w:sz w:val="20"/>
                <w:szCs w:val="20"/>
                <w:color w:val="auto"/>
              </w:rPr>
            </w:pPr>
            <w:r>
              <w:rPr>
                <w:rFonts w:ascii="Arial" w:cs="Arial" w:eastAsia="Arial" w:hAnsi="Arial"/>
                <w:sz w:val="14"/>
                <w:szCs w:val="14"/>
                <w:color w:val="auto"/>
              </w:rPr>
              <w:t>9,127</w:t>
            </w:r>
          </w:p>
        </w:tc>
        <w:tc>
          <w:tcPr>
            <w:tcW w:w="24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860" w:type="dxa"/>
            <w:vAlign w:val="bottom"/>
          </w:tcPr>
          <w:p>
            <w:pPr>
              <w:ind w:left="460"/>
              <w:spacing w:after="0" w:line="157" w:lineRule="exact"/>
              <w:rPr>
                <w:sz w:val="20"/>
                <w:szCs w:val="20"/>
                <w:color w:val="auto"/>
              </w:rPr>
            </w:pPr>
            <w:r>
              <w:rPr>
                <w:rFonts w:ascii="Arial" w:cs="Arial" w:eastAsia="Arial" w:hAnsi="Arial"/>
                <w:sz w:val="14"/>
                <w:szCs w:val="14"/>
                <w:color w:val="auto"/>
              </w:rPr>
              <w:t>1,914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2012</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3"/>
              <w:spacing w:after="0" w:line="157" w:lineRule="exact"/>
              <w:rPr>
                <w:sz w:val="20"/>
                <w:szCs w:val="20"/>
                <w:color w:val="auto"/>
              </w:rPr>
            </w:pPr>
            <w:r>
              <w:rPr>
                <w:rFonts w:ascii="Arial" w:cs="Arial" w:eastAsia="Arial" w:hAnsi="Arial"/>
                <w:sz w:val="14"/>
                <w:szCs w:val="14"/>
                <w:color w:val="auto"/>
              </w:rPr>
              <w:t>9,539</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9,344</w:t>
            </w: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10,278</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10,382</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10,582</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10,790</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10,791</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11,015</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line="157" w:lineRule="exact"/>
              <w:rPr>
                <w:sz w:val="20"/>
                <w:szCs w:val="20"/>
                <w:color w:val="auto"/>
              </w:rPr>
            </w:pPr>
            <w:r>
              <w:rPr>
                <w:rFonts w:ascii="Arial" w:cs="Arial" w:eastAsia="Arial" w:hAnsi="Arial"/>
                <w:sz w:val="14"/>
                <w:szCs w:val="14"/>
                <w:color w:val="auto"/>
              </w:rPr>
              <w:t>77</w:t>
            </w:r>
          </w:p>
        </w:tc>
        <w:tc>
          <w:tcPr>
            <w:tcW w:w="86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w w:val="72"/>
              </w:rPr>
              <w:t>4,704(1)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line="157"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10,728</w:t>
            </w:r>
          </w:p>
        </w:tc>
        <w:tc>
          <w:tcPr>
            <w:tcW w:w="30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9,745</w:t>
            </w:r>
          </w:p>
        </w:tc>
        <w:tc>
          <w:tcPr>
            <w:tcW w:w="240" w:type="dxa"/>
            <w:vAlign w:val="bottom"/>
          </w:tcPr>
          <w:p>
            <w:pPr>
              <w:spacing w:after="0"/>
              <w:rPr>
                <w:sz w:val="13"/>
                <w:szCs w:val="13"/>
                <w:color w:val="auto"/>
              </w:rPr>
            </w:pPr>
          </w:p>
        </w:tc>
        <w:tc>
          <w:tcPr>
            <w:tcW w:w="6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9,424</w:t>
            </w:r>
          </w:p>
        </w:tc>
        <w:tc>
          <w:tcPr>
            <w:tcW w:w="22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9,621</w:t>
            </w:r>
          </w:p>
        </w:tc>
        <w:tc>
          <w:tcPr>
            <w:tcW w:w="24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10,061</w:t>
            </w:r>
          </w:p>
        </w:tc>
        <w:tc>
          <w:tcPr>
            <w:tcW w:w="260" w:type="dxa"/>
            <w:vAlign w:val="bottom"/>
          </w:tcPr>
          <w:p>
            <w:pPr>
              <w:spacing w:after="0"/>
              <w:rPr>
                <w:sz w:val="13"/>
                <w:szCs w:val="13"/>
                <w:color w:val="auto"/>
              </w:rPr>
            </w:pPr>
          </w:p>
        </w:tc>
        <w:tc>
          <w:tcPr>
            <w:tcW w:w="640" w:type="dxa"/>
            <w:vAlign w:val="bottom"/>
          </w:tcPr>
          <w:p>
            <w:pPr>
              <w:jc w:val="right"/>
              <w:ind w:right="26"/>
              <w:spacing w:after="0" w:line="157" w:lineRule="exact"/>
              <w:rPr>
                <w:sz w:val="20"/>
                <w:szCs w:val="20"/>
                <w:color w:val="auto"/>
              </w:rPr>
            </w:pPr>
            <w:r>
              <w:rPr>
                <w:rFonts w:ascii="Arial" w:cs="Arial" w:eastAsia="Arial" w:hAnsi="Arial"/>
                <w:sz w:val="14"/>
                <w:szCs w:val="14"/>
                <w:color w:val="auto"/>
              </w:rPr>
              <w:t>10,089</w:t>
            </w:r>
          </w:p>
        </w:tc>
        <w:tc>
          <w:tcPr>
            <w:tcW w:w="240" w:type="dxa"/>
            <w:vAlign w:val="bottom"/>
          </w:tcPr>
          <w:p>
            <w:pPr>
              <w:spacing w:after="0"/>
              <w:rPr>
                <w:sz w:val="13"/>
                <w:szCs w:val="13"/>
                <w:color w:val="auto"/>
              </w:rPr>
            </w:pPr>
          </w:p>
        </w:tc>
        <w:tc>
          <w:tcPr>
            <w:tcW w:w="640" w:type="dxa"/>
            <w:vAlign w:val="bottom"/>
          </w:tcPr>
          <w:p>
            <w:pPr>
              <w:jc w:val="right"/>
              <w:ind w:right="9"/>
              <w:spacing w:after="0" w:line="157" w:lineRule="exact"/>
              <w:rPr>
                <w:sz w:val="20"/>
                <w:szCs w:val="20"/>
                <w:color w:val="auto"/>
              </w:rPr>
            </w:pPr>
            <w:r>
              <w:rPr>
                <w:rFonts w:ascii="Arial" w:cs="Arial" w:eastAsia="Arial" w:hAnsi="Arial"/>
                <w:sz w:val="14"/>
                <w:szCs w:val="14"/>
                <w:color w:val="auto"/>
              </w:rPr>
              <w:t>10,607</w:t>
            </w:r>
          </w:p>
        </w:tc>
        <w:tc>
          <w:tcPr>
            <w:tcW w:w="240" w:type="dxa"/>
            <w:vAlign w:val="bottom"/>
          </w:tcPr>
          <w:p>
            <w:pPr>
              <w:spacing w:after="0"/>
              <w:rPr>
                <w:sz w:val="13"/>
                <w:szCs w:val="13"/>
                <w:color w:val="auto"/>
              </w:rPr>
            </w:pPr>
          </w:p>
        </w:tc>
        <w:tc>
          <w:tcPr>
            <w:tcW w:w="680" w:type="dxa"/>
            <w:vAlign w:val="bottom"/>
          </w:tcPr>
          <w:p>
            <w:pPr>
              <w:jc w:val="right"/>
              <w:ind w:right="51"/>
              <w:spacing w:after="0" w:line="157" w:lineRule="exact"/>
              <w:rPr>
                <w:sz w:val="20"/>
                <w:szCs w:val="20"/>
                <w:color w:val="auto"/>
              </w:rPr>
            </w:pPr>
            <w:r>
              <w:rPr>
                <w:rFonts w:ascii="Arial" w:cs="Arial" w:eastAsia="Arial" w:hAnsi="Arial"/>
                <w:sz w:val="14"/>
                <w:szCs w:val="14"/>
                <w:color w:val="auto"/>
              </w:rPr>
              <w:t>98</w:t>
            </w:r>
          </w:p>
        </w:tc>
        <w:tc>
          <w:tcPr>
            <w:tcW w:w="860" w:type="dxa"/>
            <w:vAlign w:val="bottom"/>
          </w:tcPr>
          <w:p>
            <w:pPr>
              <w:ind w:left="460"/>
              <w:spacing w:after="0" w:line="157" w:lineRule="exact"/>
              <w:rPr>
                <w:sz w:val="20"/>
                <w:szCs w:val="20"/>
                <w:color w:val="auto"/>
              </w:rPr>
            </w:pPr>
            <w:r>
              <w:rPr>
                <w:rFonts w:ascii="Arial" w:cs="Arial" w:eastAsia="Arial" w:hAnsi="Arial"/>
                <w:sz w:val="14"/>
                <w:szCs w:val="14"/>
                <w:color w:val="auto"/>
              </w:rPr>
              <w:t>1,561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2014</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14,193</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14,260</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14,218</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14,564</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15,023</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16,381</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line="157" w:lineRule="exact"/>
              <w:rPr>
                <w:sz w:val="20"/>
                <w:szCs w:val="20"/>
                <w:color w:val="auto"/>
              </w:rPr>
            </w:pPr>
            <w:r>
              <w:rPr>
                <w:rFonts w:ascii="Arial" w:cs="Arial" w:eastAsia="Arial" w:hAnsi="Arial"/>
                <w:sz w:val="14"/>
                <w:szCs w:val="14"/>
                <w:color w:val="auto"/>
              </w:rPr>
              <w:t>249</w:t>
            </w:r>
          </w:p>
        </w:tc>
        <w:tc>
          <w:tcPr>
            <w:tcW w:w="86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rPr>
              <w:t>2,134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line="157" w:lineRule="exact"/>
              <w:rPr>
                <w:sz w:val="20"/>
                <w:szCs w:val="20"/>
                <w:color w:val="auto"/>
              </w:rPr>
            </w:pPr>
            <w:r>
              <w:rPr>
                <w:rFonts w:ascii="Arial" w:cs="Arial" w:eastAsia="Arial" w:hAnsi="Arial"/>
                <w:sz w:val="14"/>
                <w:szCs w:val="14"/>
                <w:color w:val="auto"/>
              </w:rPr>
              <w:t>2015</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22,340</w:t>
            </w:r>
          </w:p>
        </w:tc>
        <w:tc>
          <w:tcPr>
            <w:tcW w:w="22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21,994</w:t>
            </w:r>
          </w:p>
        </w:tc>
        <w:tc>
          <w:tcPr>
            <w:tcW w:w="24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22,148</w:t>
            </w:r>
          </w:p>
        </w:tc>
        <w:tc>
          <w:tcPr>
            <w:tcW w:w="260" w:type="dxa"/>
            <w:vAlign w:val="bottom"/>
          </w:tcPr>
          <w:p>
            <w:pPr>
              <w:spacing w:after="0"/>
              <w:rPr>
                <w:sz w:val="13"/>
                <w:szCs w:val="13"/>
                <w:color w:val="auto"/>
              </w:rPr>
            </w:pPr>
          </w:p>
        </w:tc>
        <w:tc>
          <w:tcPr>
            <w:tcW w:w="640" w:type="dxa"/>
            <w:vAlign w:val="bottom"/>
          </w:tcPr>
          <w:p>
            <w:pPr>
              <w:jc w:val="right"/>
              <w:ind w:right="26"/>
              <w:spacing w:after="0" w:line="157" w:lineRule="exact"/>
              <w:rPr>
                <w:sz w:val="20"/>
                <w:szCs w:val="20"/>
                <w:color w:val="auto"/>
              </w:rPr>
            </w:pPr>
            <w:r>
              <w:rPr>
                <w:rFonts w:ascii="Arial" w:cs="Arial" w:eastAsia="Arial" w:hAnsi="Arial"/>
                <w:sz w:val="14"/>
                <w:szCs w:val="14"/>
                <w:color w:val="auto"/>
              </w:rPr>
              <w:t>22,491</w:t>
            </w:r>
          </w:p>
        </w:tc>
        <w:tc>
          <w:tcPr>
            <w:tcW w:w="240" w:type="dxa"/>
            <w:vAlign w:val="bottom"/>
          </w:tcPr>
          <w:p>
            <w:pPr>
              <w:spacing w:after="0"/>
              <w:rPr>
                <w:sz w:val="13"/>
                <w:szCs w:val="13"/>
                <w:color w:val="auto"/>
              </w:rPr>
            </w:pPr>
          </w:p>
        </w:tc>
        <w:tc>
          <w:tcPr>
            <w:tcW w:w="640" w:type="dxa"/>
            <w:vAlign w:val="bottom"/>
          </w:tcPr>
          <w:p>
            <w:pPr>
              <w:jc w:val="right"/>
              <w:ind w:right="9"/>
              <w:spacing w:after="0" w:line="157" w:lineRule="exact"/>
              <w:rPr>
                <w:sz w:val="20"/>
                <w:szCs w:val="20"/>
                <w:color w:val="auto"/>
              </w:rPr>
            </w:pPr>
            <w:r>
              <w:rPr>
                <w:rFonts w:ascii="Arial" w:cs="Arial" w:eastAsia="Arial" w:hAnsi="Arial"/>
                <w:sz w:val="14"/>
                <w:szCs w:val="14"/>
                <w:color w:val="auto"/>
              </w:rPr>
              <w:t>23,386</w:t>
            </w:r>
          </w:p>
        </w:tc>
        <w:tc>
          <w:tcPr>
            <w:tcW w:w="240" w:type="dxa"/>
            <w:vAlign w:val="bottom"/>
          </w:tcPr>
          <w:p>
            <w:pPr>
              <w:spacing w:after="0"/>
              <w:rPr>
                <w:sz w:val="13"/>
                <w:szCs w:val="13"/>
                <w:color w:val="auto"/>
              </w:rPr>
            </w:pPr>
          </w:p>
        </w:tc>
        <w:tc>
          <w:tcPr>
            <w:tcW w:w="680" w:type="dxa"/>
            <w:vAlign w:val="bottom"/>
          </w:tcPr>
          <w:p>
            <w:pPr>
              <w:jc w:val="right"/>
              <w:ind w:right="51"/>
              <w:spacing w:after="0" w:line="157" w:lineRule="exact"/>
              <w:rPr>
                <w:sz w:val="20"/>
                <w:szCs w:val="20"/>
                <w:color w:val="auto"/>
              </w:rPr>
            </w:pPr>
            <w:r>
              <w:rPr>
                <w:rFonts w:ascii="Arial" w:cs="Arial" w:eastAsia="Arial" w:hAnsi="Arial"/>
                <w:sz w:val="14"/>
                <w:szCs w:val="14"/>
                <w:color w:val="auto"/>
              </w:rPr>
              <w:t>228</w:t>
            </w:r>
          </w:p>
        </w:tc>
        <w:tc>
          <w:tcPr>
            <w:tcW w:w="860" w:type="dxa"/>
            <w:vAlign w:val="bottom"/>
          </w:tcPr>
          <w:p>
            <w:pPr>
              <w:ind w:left="460"/>
              <w:spacing w:after="0" w:line="157" w:lineRule="exact"/>
              <w:rPr>
                <w:sz w:val="20"/>
                <w:szCs w:val="20"/>
                <w:color w:val="auto"/>
              </w:rPr>
            </w:pPr>
            <w:r>
              <w:rPr>
                <w:rFonts w:ascii="Arial" w:cs="Arial" w:eastAsia="Arial" w:hAnsi="Arial"/>
                <w:sz w:val="14"/>
                <w:szCs w:val="14"/>
                <w:color w:val="auto"/>
              </w:rPr>
              <w:t>2,555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2016</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26,062</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24,941</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24,789</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27,887</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line="157" w:lineRule="exact"/>
              <w:rPr>
                <w:sz w:val="20"/>
                <w:szCs w:val="20"/>
                <w:color w:val="auto"/>
              </w:rPr>
            </w:pPr>
            <w:r>
              <w:rPr>
                <w:rFonts w:ascii="Arial" w:cs="Arial" w:eastAsia="Arial" w:hAnsi="Arial"/>
                <w:sz w:val="14"/>
                <w:szCs w:val="14"/>
                <w:color w:val="auto"/>
              </w:rPr>
              <w:t>414</w:t>
            </w:r>
          </w:p>
        </w:tc>
        <w:tc>
          <w:tcPr>
            <w:tcW w:w="86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rPr>
              <w:t>2,875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line="157" w:lineRule="exact"/>
              <w:rPr>
                <w:sz w:val="20"/>
                <w:szCs w:val="20"/>
                <w:color w:val="auto"/>
              </w:rPr>
            </w:pPr>
            <w:r>
              <w:rPr>
                <w:rFonts w:ascii="Arial" w:cs="Arial" w:eastAsia="Arial" w:hAnsi="Arial"/>
                <w:sz w:val="14"/>
                <w:szCs w:val="14"/>
                <w:color w:val="auto"/>
              </w:rPr>
              <w:t>2017</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31,605</w:t>
            </w:r>
          </w:p>
        </w:tc>
        <w:tc>
          <w:tcPr>
            <w:tcW w:w="260" w:type="dxa"/>
            <w:vAlign w:val="bottom"/>
          </w:tcPr>
          <w:p>
            <w:pPr>
              <w:spacing w:after="0"/>
              <w:rPr>
                <w:sz w:val="13"/>
                <w:szCs w:val="13"/>
                <w:color w:val="auto"/>
              </w:rPr>
            </w:pPr>
          </w:p>
        </w:tc>
        <w:tc>
          <w:tcPr>
            <w:tcW w:w="640" w:type="dxa"/>
            <w:vAlign w:val="bottom"/>
          </w:tcPr>
          <w:p>
            <w:pPr>
              <w:jc w:val="right"/>
              <w:ind w:right="26"/>
              <w:spacing w:after="0" w:line="157" w:lineRule="exact"/>
              <w:rPr>
                <w:sz w:val="20"/>
                <w:szCs w:val="20"/>
                <w:color w:val="auto"/>
              </w:rPr>
            </w:pPr>
            <w:r>
              <w:rPr>
                <w:rFonts w:ascii="Arial" w:cs="Arial" w:eastAsia="Arial" w:hAnsi="Arial"/>
                <w:sz w:val="14"/>
                <w:szCs w:val="14"/>
                <w:color w:val="auto"/>
              </w:rPr>
              <w:t>32,169</w:t>
            </w:r>
          </w:p>
        </w:tc>
        <w:tc>
          <w:tcPr>
            <w:tcW w:w="240" w:type="dxa"/>
            <w:vAlign w:val="bottom"/>
          </w:tcPr>
          <w:p>
            <w:pPr>
              <w:spacing w:after="0"/>
              <w:rPr>
                <w:sz w:val="13"/>
                <w:szCs w:val="13"/>
                <w:color w:val="auto"/>
              </w:rPr>
            </w:pPr>
          </w:p>
        </w:tc>
        <w:tc>
          <w:tcPr>
            <w:tcW w:w="640" w:type="dxa"/>
            <w:vAlign w:val="bottom"/>
          </w:tcPr>
          <w:p>
            <w:pPr>
              <w:jc w:val="right"/>
              <w:ind w:right="9"/>
              <w:spacing w:after="0" w:line="157" w:lineRule="exact"/>
              <w:rPr>
                <w:sz w:val="20"/>
                <w:szCs w:val="20"/>
                <w:color w:val="auto"/>
              </w:rPr>
            </w:pPr>
            <w:r>
              <w:rPr>
                <w:rFonts w:ascii="Arial" w:cs="Arial" w:eastAsia="Arial" w:hAnsi="Arial"/>
                <w:sz w:val="14"/>
                <w:szCs w:val="14"/>
                <w:color w:val="auto"/>
              </w:rPr>
              <w:t>35,304</w:t>
            </w:r>
          </w:p>
        </w:tc>
        <w:tc>
          <w:tcPr>
            <w:tcW w:w="240" w:type="dxa"/>
            <w:vAlign w:val="bottom"/>
          </w:tcPr>
          <w:p>
            <w:pPr>
              <w:spacing w:after="0"/>
              <w:rPr>
                <w:sz w:val="13"/>
                <w:szCs w:val="13"/>
                <w:color w:val="auto"/>
              </w:rPr>
            </w:pPr>
          </w:p>
        </w:tc>
        <w:tc>
          <w:tcPr>
            <w:tcW w:w="680" w:type="dxa"/>
            <w:vAlign w:val="bottom"/>
          </w:tcPr>
          <w:p>
            <w:pPr>
              <w:jc w:val="right"/>
              <w:ind w:right="51"/>
              <w:spacing w:after="0" w:line="157" w:lineRule="exact"/>
              <w:rPr>
                <w:sz w:val="20"/>
                <w:szCs w:val="20"/>
                <w:color w:val="auto"/>
              </w:rPr>
            </w:pPr>
            <w:r>
              <w:rPr>
                <w:rFonts w:ascii="Arial" w:cs="Arial" w:eastAsia="Arial" w:hAnsi="Arial"/>
                <w:sz w:val="14"/>
                <w:szCs w:val="14"/>
                <w:color w:val="auto"/>
              </w:rPr>
              <w:t>847</w:t>
            </w:r>
          </w:p>
        </w:tc>
        <w:tc>
          <w:tcPr>
            <w:tcW w:w="860" w:type="dxa"/>
            <w:vAlign w:val="bottom"/>
          </w:tcPr>
          <w:p>
            <w:pPr>
              <w:ind w:left="460"/>
              <w:spacing w:after="0" w:line="157" w:lineRule="exact"/>
              <w:rPr>
                <w:sz w:val="20"/>
                <w:szCs w:val="20"/>
                <w:color w:val="auto"/>
              </w:rPr>
            </w:pPr>
            <w:r>
              <w:rPr>
                <w:rFonts w:ascii="Arial" w:cs="Arial" w:eastAsia="Arial" w:hAnsi="Arial"/>
                <w:sz w:val="14"/>
                <w:szCs w:val="14"/>
                <w:color w:val="auto"/>
              </w:rPr>
              <w:t>3,375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2018</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6"/>
              <w:spacing w:after="0" w:line="157" w:lineRule="exact"/>
              <w:rPr>
                <w:sz w:val="20"/>
                <w:szCs w:val="20"/>
                <w:color w:val="auto"/>
              </w:rPr>
            </w:pPr>
            <w:r>
              <w:rPr>
                <w:rFonts w:ascii="Arial" w:cs="Arial" w:eastAsia="Arial" w:hAnsi="Arial"/>
                <w:sz w:val="14"/>
                <w:szCs w:val="14"/>
                <w:color w:val="auto"/>
              </w:rPr>
              <w:t>54,455</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56,351</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1"/>
              <w:spacing w:after="0" w:line="157" w:lineRule="exact"/>
              <w:rPr>
                <w:sz w:val="20"/>
                <w:szCs w:val="20"/>
                <w:color w:val="auto"/>
              </w:rPr>
            </w:pPr>
            <w:r>
              <w:rPr>
                <w:rFonts w:ascii="Arial" w:cs="Arial" w:eastAsia="Arial" w:hAnsi="Arial"/>
                <w:sz w:val="14"/>
                <w:szCs w:val="14"/>
                <w:color w:val="auto"/>
              </w:rPr>
              <w:t>2,771</w:t>
            </w:r>
          </w:p>
        </w:tc>
        <w:tc>
          <w:tcPr>
            <w:tcW w:w="86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rPr>
              <w:t>4,178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line="157" w:lineRule="exact"/>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75,092</w:t>
            </w:r>
          </w:p>
        </w:tc>
        <w:tc>
          <w:tcPr>
            <w:tcW w:w="240" w:type="dxa"/>
            <w:vAlign w:val="bottom"/>
          </w:tcPr>
          <w:p>
            <w:pPr>
              <w:spacing w:after="0"/>
              <w:rPr>
                <w:sz w:val="14"/>
                <w:szCs w:val="14"/>
                <w:color w:val="auto"/>
              </w:rPr>
            </w:pPr>
          </w:p>
        </w:tc>
        <w:tc>
          <w:tcPr>
            <w:tcW w:w="680" w:type="dxa"/>
            <w:vAlign w:val="bottom"/>
          </w:tcPr>
          <w:p>
            <w:pPr>
              <w:jc w:val="right"/>
              <w:ind w:right="51"/>
              <w:spacing w:after="0" w:line="157" w:lineRule="exact"/>
              <w:rPr>
                <w:sz w:val="20"/>
                <w:szCs w:val="20"/>
                <w:color w:val="auto"/>
              </w:rPr>
            </w:pPr>
            <w:r>
              <w:rPr>
                <w:rFonts w:ascii="Arial" w:cs="Arial" w:eastAsia="Arial" w:hAnsi="Arial"/>
                <w:sz w:val="14"/>
                <w:szCs w:val="14"/>
                <w:color w:val="auto"/>
              </w:rPr>
              <w:t>19,458</w:t>
            </w:r>
          </w:p>
        </w:tc>
        <w:tc>
          <w:tcPr>
            <w:tcW w:w="860" w:type="dxa"/>
            <w:vAlign w:val="bottom"/>
          </w:tcPr>
          <w:p>
            <w:pPr>
              <w:ind w:left="460"/>
              <w:spacing w:after="0" w:line="157" w:lineRule="exact"/>
              <w:rPr>
                <w:sz w:val="20"/>
                <w:szCs w:val="20"/>
                <w:color w:val="auto"/>
              </w:rPr>
            </w:pPr>
            <w:r>
              <w:rPr>
                <w:rFonts w:ascii="Arial" w:cs="Arial" w:eastAsia="Arial" w:hAnsi="Arial"/>
                <w:sz w:val="14"/>
                <w:szCs w:val="14"/>
                <w:color w:val="auto"/>
              </w:rPr>
              <w:t>4,225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6"/>
              <w:spacing w:after="0" w:line="235" w:lineRule="exact"/>
              <w:rPr>
                <w:sz w:val="20"/>
                <w:szCs w:val="20"/>
                <w:color w:val="auto"/>
              </w:rPr>
            </w:pPr>
            <w:r>
              <w:rPr>
                <w:rFonts w:ascii="Arial" w:cs="Arial" w:eastAsia="Arial" w:hAnsi="Arial"/>
                <w:sz w:val="21"/>
                <w:szCs w:val="21"/>
                <w:b w:val="1"/>
                <w:bCs w:val="1"/>
                <w:color w:val="auto"/>
              </w:rPr>
              <w:t>Total</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271,938</w:t>
            </w: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 Reported claims for accident year 2012 includes 3,406 claims from Superstorm Sandy.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Lines of Business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87"/>
              </w:rPr>
              <w:t>Cumulative Paid Loss and Allocated Loss Adjustment Expenses, Net of Reinsurance</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217"/>
        </w:trPr>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20" w:type="dxa"/>
            <w:vAlign w:val="bottom"/>
            <w:gridSpan w:val="2"/>
          </w:tcPr>
          <w:p>
            <w:pPr>
              <w:jc w:val="right"/>
              <w:ind w:right="81"/>
              <w:spacing w:after="0"/>
              <w:rPr>
                <w:sz w:val="20"/>
                <w:szCs w:val="20"/>
                <w:color w:val="auto"/>
              </w:rPr>
            </w:pPr>
            <w:r>
              <w:rPr>
                <w:rFonts w:ascii="Arial" w:cs="Arial" w:eastAsia="Arial" w:hAnsi="Arial"/>
                <w:sz w:val="12"/>
                <w:szCs w:val="12"/>
                <w:b w:val="1"/>
                <w:bCs w:val="1"/>
                <w:color w:val="auto"/>
              </w:rPr>
              <w:t>For the Years Ended December 31,</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37"/>
        </w:trPr>
        <w:tc>
          <w:tcPr>
            <w:tcW w:w="4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6"/>
              </w:rPr>
              <w:t>Accident</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2010</w:t>
            </w: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2011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2013</w:t>
            </w:r>
          </w:p>
        </w:tc>
        <w:tc>
          <w:tcPr>
            <w:tcW w:w="1400" w:type="dxa"/>
            <w:vAlign w:val="bottom"/>
            <w:tcBorders>
              <w:bottom w:val="single" w:sz="8" w:color="auto"/>
            </w:tcBorders>
          </w:tcPr>
          <w:p>
            <w:pPr>
              <w:jc w:val="right"/>
              <w:ind w:right="521"/>
              <w:spacing w:after="0"/>
              <w:rPr>
                <w:sz w:val="20"/>
                <w:szCs w:val="20"/>
                <w:color w:val="auto"/>
              </w:rPr>
            </w:pPr>
            <w:r>
              <w:rPr>
                <w:rFonts w:ascii="Arial" w:cs="Arial" w:eastAsia="Arial" w:hAnsi="Arial"/>
                <w:sz w:val="12"/>
                <w:szCs w:val="12"/>
                <w:b w:val="1"/>
                <w:bCs w:val="1"/>
                <w:color w:val="auto"/>
              </w:rPr>
              <w:t>2014</w:t>
            </w:r>
          </w:p>
        </w:tc>
        <w:tc>
          <w:tcPr>
            <w:tcW w:w="82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b w:val="1"/>
                <w:bCs w:val="1"/>
                <w:color w:val="auto"/>
              </w:rPr>
              <w:t>2015</w:t>
            </w:r>
          </w:p>
        </w:tc>
        <w:tc>
          <w:tcPr>
            <w:tcW w:w="106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b w:val="1"/>
                <w:bCs w:val="1"/>
                <w:color w:val="auto"/>
              </w:rPr>
              <w:t>2016</w:t>
            </w:r>
          </w:p>
        </w:tc>
        <w:tc>
          <w:tcPr>
            <w:tcW w:w="58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w w:val="82"/>
              </w:rPr>
              <w:t>2017</w:t>
            </w: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2018</w:t>
            </w: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2019</w:t>
            </w:r>
          </w:p>
        </w:tc>
      </w:tr>
      <w:tr>
        <w:trPr>
          <w:trHeight w:val="215"/>
        </w:trPr>
        <w:tc>
          <w:tcPr>
            <w:tcW w:w="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(Unaudited 2010 - 2018)</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2010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2,566</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5,602</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6,785</w:t>
            </w:r>
          </w:p>
        </w:tc>
        <w:tc>
          <w:tcPr>
            <w:tcW w:w="1780" w:type="dxa"/>
            <w:vAlign w:val="bottom"/>
            <w:shd w:val="clear" w:color="auto" w:fill="CCEEFF"/>
          </w:tcPr>
          <w:p>
            <w:pPr>
              <w:spacing w:after="0"/>
              <w:rPr>
                <w:sz w:val="20"/>
                <w:szCs w:val="20"/>
                <w:color w:val="auto"/>
              </w:rPr>
            </w:pPr>
          </w:p>
        </w:tc>
      </w:tr>
      <w:tr>
        <w:trPr>
          <w:trHeight w:val="235"/>
        </w:trPr>
        <w:tc>
          <w:tcPr>
            <w:tcW w:w="420" w:type="dxa"/>
            <w:vAlign w:val="bottom"/>
          </w:tcPr>
          <w:p>
            <w:pPr>
              <w:spacing w:after="0"/>
              <w:rPr>
                <w:sz w:val="20"/>
                <w:szCs w:val="20"/>
                <w:color w:val="auto"/>
              </w:rPr>
            </w:pPr>
            <w:r>
              <w:rPr>
                <w:rFonts w:ascii="Arial" w:cs="Arial" w:eastAsia="Arial" w:hAnsi="Arial"/>
                <w:sz w:val="14"/>
                <w:szCs w:val="14"/>
                <w:color w:val="auto"/>
              </w:rPr>
              <w:t>2011</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3,740</w:t>
            </w:r>
          </w:p>
        </w:tc>
        <w:tc>
          <w:tcPr>
            <w:tcW w:w="340" w:type="dxa"/>
            <w:vAlign w:val="bottom"/>
          </w:tcPr>
          <w:p>
            <w:pPr>
              <w:spacing w:after="0"/>
              <w:rPr>
                <w:sz w:val="20"/>
                <w:szCs w:val="20"/>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5,117</w:t>
            </w:r>
          </w:p>
        </w:tc>
        <w:tc>
          <w:tcPr>
            <w:tcW w:w="340" w:type="dxa"/>
            <w:vAlign w:val="bottom"/>
          </w:tcPr>
          <w:p>
            <w:pPr>
              <w:spacing w:after="0"/>
              <w:rPr>
                <w:sz w:val="20"/>
                <w:szCs w:val="20"/>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6,228</w:t>
            </w:r>
          </w:p>
        </w:tc>
        <w:tc>
          <w:tcPr>
            <w:tcW w:w="400" w:type="dxa"/>
            <w:vAlign w:val="bottom"/>
          </w:tcPr>
          <w:p>
            <w:pPr>
              <w:spacing w:after="0"/>
              <w:rPr>
                <w:sz w:val="20"/>
                <w:szCs w:val="20"/>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7,170</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8,139</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8,540</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8,702</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8,727</w:t>
            </w:r>
          </w:p>
        </w:tc>
        <w:tc>
          <w:tcPr>
            <w:tcW w:w="24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8,789</w:t>
            </w:r>
          </w:p>
        </w:tc>
        <w:tc>
          <w:tcPr>
            <w:tcW w:w="1780" w:type="dxa"/>
            <w:vAlign w:val="bottom"/>
          </w:tcPr>
          <w:p>
            <w:pPr>
              <w:spacing w:after="0"/>
              <w:rPr>
                <w:sz w:val="20"/>
                <w:szCs w:val="20"/>
                <w:color w:val="auto"/>
              </w:rPr>
            </w:pPr>
          </w:p>
        </w:tc>
      </w:tr>
      <w:tr>
        <w:trPr>
          <w:trHeight w:val="235"/>
        </w:trPr>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2012</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3,950</w:t>
            </w: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5,770</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7,127</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8,196</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9,187</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10,236</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10,323</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10,428</w:t>
            </w:r>
          </w:p>
        </w:tc>
        <w:tc>
          <w:tcPr>
            <w:tcW w:w="1780" w:type="dxa"/>
            <w:vAlign w:val="bottom"/>
            <w:shd w:val="clear" w:color="auto" w:fill="CCEEFF"/>
          </w:tcPr>
          <w:p>
            <w:pPr>
              <w:spacing w:after="0"/>
              <w:rPr>
                <w:sz w:val="20"/>
                <w:szCs w:val="20"/>
                <w:color w:val="auto"/>
              </w:rPr>
            </w:pPr>
          </w:p>
        </w:tc>
      </w:tr>
      <w:tr>
        <w:trPr>
          <w:trHeight w:val="235"/>
        </w:trPr>
        <w:tc>
          <w:tcPr>
            <w:tcW w:w="420" w:type="dxa"/>
            <w:vAlign w:val="bottom"/>
          </w:tcPr>
          <w:p>
            <w:pPr>
              <w:spacing w:after="0"/>
              <w:rPr>
                <w:sz w:val="20"/>
                <w:szCs w:val="20"/>
                <w:color w:val="auto"/>
              </w:rPr>
            </w:pPr>
            <w:r>
              <w:rPr>
                <w:rFonts w:ascii="Arial" w:cs="Arial" w:eastAsia="Arial" w:hAnsi="Arial"/>
                <w:sz w:val="14"/>
                <w:szCs w:val="14"/>
                <w:color w:val="auto"/>
              </w:rPr>
              <w:t>2013</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3,405</w:t>
            </w:r>
          </w:p>
        </w:tc>
        <w:tc>
          <w:tcPr>
            <w:tcW w:w="400" w:type="dxa"/>
            <w:vAlign w:val="bottom"/>
          </w:tcPr>
          <w:p>
            <w:pPr>
              <w:spacing w:after="0"/>
              <w:rPr>
                <w:sz w:val="20"/>
                <w:szCs w:val="20"/>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5,303</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6,633</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7,591</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8,407</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9,056</w:t>
            </w:r>
          </w:p>
        </w:tc>
        <w:tc>
          <w:tcPr>
            <w:tcW w:w="24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9,717</w:t>
            </w:r>
          </w:p>
        </w:tc>
        <w:tc>
          <w:tcPr>
            <w:tcW w:w="1780" w:type="dxa"/>
            <w:vAlign w:val="bottom"/>
          </w:tcPr>
          <w:p>
            <w:pPr>
              <w:spacing w:after="0"/>
              <w:rPr>
                <w:sz w:val="20"/>
                <w:szCs w:val="20"/>
                <w:color w:val="auto"/>
              </w:rPr>
            </w:pPr>
          </w:p>
        </w:tc>
      </w:tr>
      <w:tr>
        <w:trPr>
          <w:trHeight w:val="235"/>
        </w:trPr>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2014</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5,710</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9,429</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10,738</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11,770</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13,819</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14,901</w:t>
            </w:r>
          </w:p>
        </w:tc>
        <w:tc>
          <w:tcPr>
            <w:tcW w:w="1780" w:type="dxa"/>
            <w:vAlign w:val="bottom"/>
            <w:shd w:val="clear" w:color="auto" w:fill="CCEEFF"/>
          </w:tcPr>
          <w:p>
            <w:pPr>
              <w:spacing w:after="0"/>
              <w:rPr>
                <w:sz w:val="20"/>
                <w:szCs w:val="20"/>
                <w:color w:val="auto"/>
              </w:rPr>
            </w:pPr>
          </w:p>
        </w:tc>
      </w:tr>
      <w:tr>
        <w:trPr>
          <w:trHeight w:val="235"/>
        </w:trPr>
        <w:tc>
          <w:tcPr>
            <w:tcW w:w="420" w:type="dxa"/>
            <w:vAlign w:val="bottom"/>
          </w:tcPr>
          <w:p>
            <w:pPr>
              <w:spacing w:after="0"/>
              <w:rPr>
                <w:sz w:val="20"/>
                <w:szCs w:val="20"/>
                <w:color w:val="auto"/>
              </w:rPr>
            </w:pPr>
            <w:r>
              <w:rPr>
                <w:rFonts w:ascii="Arial" w:cs="Arial" w:eastAsia="Arial" w:hAnsi="Arial"/>
                <w:sz w:val="14"/>
                <w:szCs w:val="14"/>
                <w:color w:val="auto"/>
              </w:rPr>
              <w:t>2015</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12,295</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16,181</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18,266</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19,984</w:t>
            </w:r>
          </w:p>
        </w:tc>
        <w:tc>
          <w:tcPr>
            <w:tcW w:w="24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21,067</w:t>
            </w:r>
          </w:p>
        </w:tc>
        <w:tc>
          <w:tcPr>
            <w:tcW w:w="1780" w:type="dxa"/>
            <w:vAlign w:val="bottom"/>
          </w:tcPr>
          <w:p>
            <w:pPr>
              <w:spacing w:after="0"/>
              <w:rPr>
                <w:sz w:val="20"/>
                <w:szCs w:val="20"/>
                <w:color w:val="auto"/>
              </w:rPr>
            </w:pPr>
          </w:p>
        </w:tc>
      </w:tr>
      <w:tr>
        <w:trPr>
          <w:trHeight w:val="235"/>
        </w:trPr>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15,364</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19,001</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21,106</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23,974</w:t>
            </w:r>
          </w:p>
        </w:tc>
        <w:tc>
          <w:tcPr>
            <w:tcW w:w="1780" w:type="dxa"/>
            <w:vAlign w:val="bottom"/>
            <w:shd w:val="clear" w:color="auto" w:fill="CCEEFF"/>
          </w:tcPr>
          <w:p>
            <w:pPr>
              <w:spacing w:after="0"/>
              <w:rPr>
                <w:sz w:val="20"/>
                <w:szCs w:val="20"/>
                <w:color w:val="auto"/>
              </w:rPr>
            </w:pPr>
          </w:p>
        </w:tc>
      </w:tr>
      <w:tr>
        <w:trPr>
          <w:trHeight w:val="235"/>
        </w:trPr>
        <w:tc>
          <w:tcPr>
            <w:tcW w:w="420" w:type="dxa"/>
            <w:vAlign w:val="bottom"/>
          </w:tcPr>
          <w:p>
            <w:pPr>
              <w:spacing w:after="0"/>
              <w:rPr>
                <w:sz w:val="20"/>
                <w:szCs w:val="20"/>
                <w:color w:val="auto"/>
              </w:rPr>
            </w:pPr>
            <w:r>
              <w:rPr>
                <w:rFonts w:ascii="Arial" w:cs="Arial" w:eastAsia="Arial" w:hAnsi="Arial"/>
                <w:sz w:val="14"/>
                <w:szCs w:val="14"/>
                <w:color w:val="auto"/>
              </w:rPr>
              <w:t>2017</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16,704</w:t>
            </w:r>
          </w:p>
        </w:tc>
        <w:tc>
          <w:tcPr>
            <w:tcW w:w="28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24,820</w:t>
            </w:r>
          </w:p>
        </w:tc>
        <w:tc>
          <w:tcPr>
            <w:tcW w:w="24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28,693</w:t>
            </w:r>
          </w:p>
        </w:tc>
        <w:tc>
          <w:tcPr>
            <w:tcW w:w="1780" w:type="dxa"/>
            <w:vAlign w:val="bottom"/>
          </w:tcPr>
          <w:p>
            <w:pPr>
              <w:spacing w:after="0"/>
              <w:rPr>
                <w:sz w:val="20"/>
                <w:szCs w:val="20"/>
                <w:color w:val="auto"/>
              </w:rPr>
            </w:pPr>
          </w:p>
        </w:tc>
      </w:tr>
      <w:tr>
        <w:trPr>
          <w:trHeight w:val="235"/>
        </w:trPr>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32,383</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44,516</w:t>
            </w:r>
          </w:p>
        </w:tc>
        <w:tc>
          <w:tcPr>
            <w:tcW w:w="1780" w:type="dxa"/>
            <w:vAlign w:val="bottom"/>
            <w:shd w:val="clear" w:color="auto" w:fill="CCEEFF"/>
          </w:tcPr>
          <w:p>
            <w:pPr>
              <w:spacing w:after="0"/>
              <w:rPr>
                <w:sz w:val="20"/>
                <w:szCs w:val="20"/>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40,933</w:t>
            </w:r>
          </w:p>
        </w:tc>
        <w:tc>
          <w:tcPr>
            <w:tcW w:w="1780" w:type="dxa"/>
            <w:vAlign w:val="bottom"/>
          </w:tcPr>
          <w:p>
            <w:pPr>
              <w:spacing w:after="0"/>
              <w:rPr>
                <w:sz w:val="18"/>
                <w:szCs w:val="18"/>
                <w:color w:val="auto"/>
              </w:rPr>
            </w:pPr>
          </w:p>
        </w:tc>
      </w:tr>
      <w:tr>
        <w:trPr>
          <w:trHeight w:val="241"/>
        </w:trPr>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209,803</w:t>
            </w:r>
          </w:p>
        </w:tc>
        <w:tc>
          <w:tcPr>
            <w:tcW w:w="1780" w:type="dxa"/>
            <w:vAlign w:val="bottom"/>
            <w:tcBorders>
              <w:bottom w:val="single" w:sz="8" w:color="CCEEFF"/>
            </w:tcBorders>
            <w:shd w:val="clear" w:color="auto" w:fill="CCEEFF"/>
          </w:tcPr>
          <w:p>
            <w:pPr>
              <w:spacing w:after="0"/>
              <w:rPr>
                <w:sz w:val="20"/>
                <w:szCs w:val="20"/>
                <w:color w:val="auto"/>
              </w:rPr>
            </w:pPr>
          </w:p>
        </w:tc>
      </w:tr>
      <w:tr>
        <w:trPr>
          <w:trHeight w:val="235"/>
        </w:trPr>
        <w:tc>
          <w:tcPr>
            <w:tcW w:w="5880" w:type="dxa"/>
            <w:vAlign w:val="bottom"/>
            <w:gridSpan w:val="13"/>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5"/>
        </w:trPr>
        <w:tc>
          <w:tcPr>
            <w:tcW w:w="5880" w:type="dxa"/>
            <w:vAlign w:val="bottom"/>
            <w:gridSpan w:val="13"/>
            <w:shd w:val="clear" w:color="auto" w:fill="CCEEFF"/>
          </w:tcPr>
          <w:p>
            <w:pPr>
              <w:spacing w:after="0"/>
              <w:rPr>
                <w:sz w:val="20"/>
                <w:szCs w:val="20"/>
                <w:color w:val="auto"/>
              </w:rPr>
            </w:pPr>
            <w:r>
              <w:rPr>
                <w:rFonts w:ascii="Arial" w:cs="Arial" w:eastAsia="Arial" w:hAnsi="Arial"/>
                <w:sz w:val="14"/>
                <w:szCs w:val="14"/>
                <w:color w:val="auto"/>
                <w:w w:val="94"/>
              </w:rPr>
              <w:t>Net liability for unpaid loss and allocated loss adjustment expenses for the accident years presented</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62,135</w:t>
            </w:r>
          </w:p>
        </w:tc>
        <w:tc>
          <w:tcPr>
            <w:tcW w:w="1780" w:type="dxa"/>
            <w:vAlign w:val="bottom"/>
            <w:shd w:val="clear" w:color="auto" w:fill="CCEEFF"/>
          </w:tcPr>
          <w:p>
            <w:pPr>
              <w:spacing w:after="0"/>
              <w:rPr>
                <w:sz w:val="20"/>
                <w:szCs w:val="20"/>
                <w:color w:val="auto"/>
              </w:rPr>
            </w:pPr>
          </w:p>
        </w:tc>
      </w:tr>
      <w:tr>
        <w:trPr>
          <w:trHeight w:val="215"/>
        </w:trPr>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1780" w:type="dxa"/>
            <w:vAlign w:val="bottom"/>
          </w:tcPr>
          <w:p>
            <w:pPr>
              <w:spacing w:after="0"/>
              <w:rPr>
                <w:sz w:val="18"/>
                <w:szCs w:val="18"/>
                <w:color w:val="auto"/>
              </w:rPr>
            </w:pPr>
          </w:p>
        </w:tc>
      </w:tr>
      <w:tr>
        <w:trPr>
          <w:trHeight w:val="223"/>
        </w:trPr>
        <w:tc>
          <w:tcPr>
            <w:tcW w:w="44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4"/>
                <w:szCs w:val="14"/>
                <w:color w:val="auto"/>
                <w:w w:val="94"/>
              </w:rPr>
              <w:t>Liabilities for loss and allocted loss adjustment expenses, net of reinsurance</w:t>
            </w:r>
          </w:p>
        </w:tc>
        <w:tc>
          <w:tcPr>
            <w:tcW w:w="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62,233</w:t>
            </w:r>
          </w:p>
        </w:tc>
        <w:tc>
          <w:tcPr>
            <w:tcW w:w="1780" w:type="dxa"/>
            <w:vAlign w:val="bottom"/>
            <w:tcBorders>
              <w:bottom w:val="single" w:sz="8" w:color="CCEEFF"/>
            </w:tcBorders>
            <w:shd w:val="clear" w:color="auto" w:fill="CCEEFF"/>
          </w:tcPr>
          <w:p>
            <w:pPr>
              <w:spacing w:after="0"/>
              <w:rPr>
                <w:sz w:val="19"/>
                <w:szCs w:val="19"/>
                <w:color w:val="auto"/>
              </w:rPr>
            </w:pPr>
          </w:p>
        </w:tc>
      </w:tr>
    </w:tbl>
    <w:p>
      <w:pPr>
        <w:spacing w:after="0" w:line="201"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20"/>
          </w:cols>
          <w:pgMar w:left="320" w:top="754" w:right="25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color w:val="auto"/>
        </w:rPr>
        <w:t>The reconciliation of the net incurred and paid claims development tables to the liability for loss and LAE reserves in the consolidated balance sheet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85"/>
              </w:rPr>
              <w:t>As of</w:t>
            </w:r>
          </w:p>
        </w:tc>
      </w:tr>
      <w:tr>
        <w:trPr>
          <w:trHeight w:val="157"/>
        </w:trPr>
        <w:tc>
          <w:tcPr>
            <w:tcW w:w="9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w w:val="90"/>
              </w:rPr>
              <w:t>December 31,</w:t>
            </w:r>
          </w:p>
        </w:tc>
      </w:tr>
      <w:tr>
        <w:trPr>
          <w:trHeight w:val="176"/>
        </w:trPr>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2019</w:t>
            </w:r>
          </w:p>
        </w:tc>
      </w:tr>
      <w:tr>
        <w:trPr>
          <w:trHeight w:val="209"/>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62,233</w:t>
            </w:r>
          </w:p>
        </w:tc>
      </w:tr>
      <w:tr>
        <w:trPr>
          <w:trHeight w:val="209"/>
        </w:trPr>
        <w:tc>
          <w:tcPr>
            <w:tcW w:w="9900" w:type="dxa"/>
            <w:vAlign w:val="bottom"/>
          </w:tcPr>
          <w:p>
            <w:pPr>
              <w:spacing w:after="0"/>
              <w:rPr>
                <w:sz w:val="20"/>
                <w:szCs w:val="20"/>
                <w:color w:val="auto"/>
              </w:rPr>
            </w:pPr>
            <w:r>
              <w:rPr>
                <w:rFonts w:ascii="Arial" w:cs="Arial" w:eastAsia="Arial" w:hAnsi="Arial"/>
                <w:sz w:val="17"/>
                <w:szCs w:val="17"/>
                <w:color w:val="auto"/>
              </w:rPr>
              <w:t>Total reinsurance recoverable on unpaid losses</w:t>
            </w:r>
          </w:p>
        </w:tc>
        <w:tc>
          <w:tcPr>
            <w:tcW w:w="24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Arial" w:cs="Arial" w:eastAsia="Arial" w:hAnsi="Arial"/>
                <w:sz w:val="17"/>
                <w:szCs w:val="17"/>
                <w:color w:val="auto"/>
              </w:rPr>
              <w:t>15,728</w:t>
            </w:r>
          </w:p>
        </w:tc>
      </w:tr>
      <w:tr>
        <w:trPr>
          <w:trHeight w:val="215"/>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2,538</w:t>
            </w:r>
          </w:p>
        </w:tc>
      </w:tr>
      <w:tr>
        <w:trPr>
          <w:trHeight w:val="209"/>
        </w:trPr>
        <w:tc>
          <w:tcPr>
            <w:tcW w:w="990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80,499</w:t>
            </w:r>
          </w:p>
        </w:tc>
      </w:tr>
      <w:tr>
        <w:trPr>
          <w:trHeight w:val="20"/>
        </w:trPr>
        <w:tc>
          <w:tcPr>
            <w:tcW w:w="9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supplementary unaudited information about average historical claims duration as of December 31, 2019:</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Annual Percentage Payout of Incurred Loss and Allocated Loss Adjustment Expenses by Age, Net of Reinsurance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Years</w:t>
            </w:r>
          </w:p>
        </w:tc>
        <w:tc>
          <w:tcPr>
            <w:tcW w:w="120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1</w:t>
            </w:r>
          </w:p>
        </w:tc>
        <w:tc>
          <w:tcPr>
            <w:tcW w:w="100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2</w:t>
            </w:r>
          </w:p>
        </w:tc>
        <w:tc>
          <w:tcPr>
            <w:tcW w:w="106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3</w:t>
            </w:r>
          </w:p>
        </w:tc>
        <w:tc>
          <w:tcPr>
            <w:tcW w:w="102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4</w:t>
            </w:r>
          </w:p>
        </w:tc>
        <w:tc>
          <w:tcPr>
            <w:tcW w:w="100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5</w:t>
            </w:r>
          </w:p>
        </w:tc>
        <w:tc>
          <w:tcPr>
            <w:tcW w:w="100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6</w:t>
            </w:r>
          </w:p>
        </w:tc>
        <w:tc>
          <w:tcPr>
            <w:tcW w:w="102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7</w:t>
            </w:r>
          </w:p>
        </w:tc>
        <w:tc>
          <w:tcPr>
            <w:tcW w:w="100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8</w:t>
            </w:r>
          </w:p>
        </w:tc>
        <w:tc>
          <w:tcPr>
            <w:tcW w:w="100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9</w:t>
            </w:r>
          </w:p>
        </w:tc>
        <w:tc>
          <w:tcPr>
            <w:tcW w:w="6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20"/>
                <w:szCs w:val="20"/>
                <w:color w:val="auto"/>
              </w:rPr>
            </w:pPr>
          </w:p>
        </w:tc>
      </w:tr>
      <w:tr>
        <w:trPr>
          <w:trHeight w:val="209"/>
        </w:trPr>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1300" w:type="dxa"/>
            <w:vAlign w:val="bottom"/>
            <w:shd w:val="clear" w:color="auto" w:fill="CCEEFF"/>
          </w:tcPr>
          <w:p>
            <w:pPr>
              <w:spacing w:after="0"/>
              <w:rPr>
                <w:sz w:val="20"/>
                <w:szCs w:val="20"/>
                <w:color w:val="auto"/>
              </w:rPr>
            </w:pPr>
            <w:r>
              <w:rPr>
                <w:rFonts w:ascii="Arial" w:cs="Arial" w:eastAsia="Arial" w:hAnsi="Arial"/>
                <w:sz w:val="17"/>
                <w:szCs w:val="17"/>
                <w:color w:val="auto"/>
              </w:rPr>
              <w:t>All Lines of</w:t>
            </w:r>
          </w:p>
        </w:tc>
        <w:tc>
          <w:tcPr>
            <w:tcW w:w="1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1300" w:type="dxa"/>
            <w:vAlign w:val="bottom"/>
            <w:shd w:val="clear" w:color="auto" w:fill="CCEEFF"/>
          </w:tcPr>
          <w:p>
            <w:pPr>
              <w:spacing w:after="0"/>
              <w:rPr>
                <w:sz w:val="20"/>
                <w:szCs w:val="20"/>
                <w:color w:val="auto"/>
              </w:rPr>
            </w:pPr>
            <w:r>
              <w:rPr>
                <w:rFonts w:ascii="Arial" w:cs="Arial" w:eastAsia="Arial" w:hAnsi="Arial"/>
                <w:sz w:val="17"/>
                <w:szCs w:val="17"/>
                <w:color w:val="auto"/>
              </w:rPr>
              <w:t>Business</w:t>
            </w:r>
          </w:p>
        </w:tc>
        <w:tc>
          <w:tcPr>
            <w:tcW w:w="12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44.9%</w:t>
            </w: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18.5%</w:t>
            </w:r>
          </w:p>
        </w:tc>
        <w:tc>
          <w:tcPr>
            <w:tcW w:w="10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10.9%</w:t>
            </w:r>
          </w:p>
        </w:tc>
        <w:tc>
          <w:tcPr>
            <w:tcW w:w="10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8.9%</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9.2%</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6.1%</w:t>
            </w:r>
          </w:p>
        </w:tc>
        <w:tc>
          <w:tcPr>
            <w:tcW w:w="10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2.7%</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0.7%</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0.4%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in the above table do not add up to 100% because the percentages represent averages across all accident years at each development stage.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3"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Dividends declared and paid on Common Stock were $3,501,366 and $4,279,494 for the years ended December 31, 2019 and 2018, respectively. The Company’s Board of Directors approved a quarterly dividend on February 6, 2020 of $.0625 per share payable in cash on March 13, 2020 to stockholders of record as of February 28, 2020 (see Note 19 - Subsequent Events).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 and 2005 Plan. During the year ended December 31, 2018, the remaining options outstanding under the 2005 Plan were exercised and as of December 31, 2018, there were no options outstanding under the 2005 Plan.</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80"/>
          </w:cols>
          <w:pgMar w:left="320" w:top="732" w:right="299" w:bottom="1440" w:gutter="0" w:footer="0" w:header="0"/>
        </w:sectPr>
      </w:pPr>
    </w:p>
    <w:bookmarkStart w:id="106" w:name="page107"/>
    <w:bookmarkEnd w:id="106"/>
    <w:p>
      <w:pPr>
        <w:ind w:right="180"/>
        <w:spacing w:after="0" w:line="264" w:lineRule="auto"/>
        <w:rPr>
          <w:sz w:val="20"/>
          <w:szCs w:val="20"/>
          <w:color w:val="auto"/>
        </w:rPr>
      </w:pPr>
      <w:r>
        <w:rPr>
          <w:rFonts w:ascii="Arial" w:cs="Arial" w:eastAsia="Arial" w:hAnsi="Arial"/>
          <w:sz w:val="17"/>
          <w:szCs w:val="17"/>
          <w:color w:val="auto"/>
        </w:rPr>
        <w:t>The results of operations for the years ended December 31, 2019 and 2018 include stock-based compensation expense for stock options totaling approximately $30,000 and $6,000, respectively. Stock-based compensation expense related to stock options is net of estimated forfeitures of approximately 17% for the years ended December 31, 2019 and 2018. Such amounts have been included in the consolidated statements of operations and comprehensive income (loss) within other operating expenses.</w:t>
      </w:r>
    </w:p>
    <w:p>
      <w:pPr>
        <w:spacing w:after="0" w:line="185" w:lineRule="exact"/>
        <w:rPr>
          <w:sz w:val="20"/>
          <w:szCs w:val="20"/>
          <w:color w:val="auto"/>
        </w:rPr>
      </w:pPr>
    </w:p>
    <w:p>
      <w:pPr>
        <w:ind w:right="140"/>
        <w:spacing w:after="0" w:line="350" w:lineRule="auto"/>
        <w:rPr>
          <w:sz w:val="20"/>
          <w:szCs w:val="20"/>
          <w:color w:val="auto"/>
        </w:rPr>
      </w:pPr>
      <w:r>
        <w:rPr>
          <w:rFonts w:ascii="Arial" w:cs="Arial" w:eastAsia="Arial" w:hAnsi="Arial"/>
          <w:sz w:val="15"/>
          <w:szCs w:val="15"/>
          <w:color w:val="auto"/>
        </w:rPr>
        <w:t>The weighted average estimated fair value of stock options granted during the year ended December 31, 2019 was $1.91 per share. No options were granted during the year ended December 31, 2018. The fair value of stock options at the grant date was estimated using the Black-Scholes option-pricing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weighted average assumptions were used for grants during the following periods: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6000" w:type="dxa"/>
            <w:vAlign w:val="bottom"/>
            <w:gridSpan w:val="2"/>
          </w:tcPr>
          <w:p>
            <w:pPr>
              <w:jc w:val="center"/>
              <w:ind w:left="3261"/>
              <w:spacing w:after="0"/>
              <w:rPr>
                <w:sz w:val="20"/>
                <w:szCs w:val="20"/>
                <w:color w:val="auto"/>
              </w:rPr>
            </w:pPr>
            <w:r>
              <w:rPr>
                <w:rFonts w:ascii="Arial" w:cs="Arial" w:eastAsia="Arial" w:hAnsi="Arial"/>
                <w:sz w:val="14"/>
                <w:szCs w:val="14"/>
                <w:b w:val="1"/>
                <w:bCs w:val="1"/>
                <w:color w:val="auto"/>
                <w:w w:val="88"/>
              </w:rPr>
              <w:t>Years ended</w:t>
            </w:r>
          </w:p>
        </w:tc>
      </w:tr>
      <w:tr>
        <w:trPr>
          <w:trHeight w:val="199"/>
        </w:trPr>
        <w:tc>
          <w:tcPr>
            <w:tcW w:w="52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2"/>
          </w:tcPr>
          <w:p>
            <w:pPr>
              <w:jc w:val="center"/>
              <w:ind w:left="3281"/>
              <w:spacing w:after="0"/>
              <w:rPr>
                <w:sz w:val="20"/>
                <w:szCs w:val="20"/>
                <w:color w:val="auto"/>
              </w:rPr>
            </w:pPr>
            <w:r>
              <w:rPr>
                <w:rFonts w:ascii="Arial" w:cs="Arial" w:eastAsia="Arial" w:hAnsi="Arial"/>
                <w:sz w:val="14"/>
                <w:szCs w:val="14"/>
                <w:b w:val="1"/>
                <w:bCs w:val="1"/>
                <w:color w:val="auto"/>
                <w:w w:val="92"/>
              </w:rPr>
              <w:t>December 31,</w:t>
            </w:r>
          </w:p>
        </w:tc>
      </w:tr>
      <w:tr>
        <w:trPr>
          <w:trHeight w:val="215"/>
        </w:trPr>
        <w:tc>
          <w:tcPr>
            <w:tcW w:w="524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r>
      <w:tr>
        <w:trPr>
          <w:trHeight w:val="235"/>
        </w:trPr>
        <w:tc>
          <w:tcPr>
            <w:tcW w:w="52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47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2.87%</w:t>
            </w:r>
          </w:p>
        </w:tc>
        <w:tc>
          <w:tcPr>
            <w:tcW w:w="1260" w:type="dxa"/>
            <w:vAlign w:val="bottom"/>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09"/>
        </w:trPr>
        <w:tc>
          <w:tcPr>
            <w:tcW w:w="5240" w:type="dxa"/>
            <w:vAlign w:val="bottom"/>
          </w:tcPr>
          <w:p>
            <w:pPr>
              <w:spacing w:after="0"/>
              <w:rPr>
                <w:sz w:val="20"/>
                <w:szCs w:val="20"/>
                <w:color w:val="auto"/>
              </w:rPr>
            </w:pPr>
            <w:r>
              <w:rPr>
                <w:rFonts w:ascii="Arial" w:cs="Arial" w:eastAsia="Arial" w:hAnsi="Arial"/>
                <w:sz w:val="17"/>
                <w:szCs w:val="17"/>
                <w:color w:val="auto"/>
              </w:rPr>
              <w:t>Volatility</w:t>
            </w:r>
          </w:p>
        </w:tc>
        <w:tc>
          <w:tcPr>
            <w:tcW w:w="4740" w:type="dxa"/>
            <w:vAlign w:val="bottom"/>
          </w:tcPr>
          <w:p>
            <w:pPr>
              <w:jc w:val="right"/>
              <w:ind w:right="1"/>
              <w:spacing w:after="0"/>
              <w:rPr>
                <w:sz w:val="20"/>
                <w:szCs w:val="20"/>
                <w:color w:val="auto"/>
              </w:rPr>
            </w:pPr>
            <w:r>
              <w:rPr>
                <w:rFonts w:ascii="Arial" w:cs="Arial" w:eastAsia="Arial" w:hAnsi="Arial"/>
                <w:sz w:val="17"/>
                <w:szCs w:val="17"/>
                <w:color w:val="auto"/>
              </w:rPr>
              <w:t>36.11%</w:t>
            </w:r>
          </w:p>
        </w:tc>
        <w:tc>
          <w:tcPr>
            <w:tcW w:w="1260" w:type="dxa"/>
            <w:vAlign w:val="bottom"/>
          </w:tcPr>
          <w:p>
            <w:pPr>
              <w:ind w:left="920"/>
              <w:spacing w:after="0"/>
              <w:rPr>
                <w:sz w:val="20"/>
                <w:szCs w:val="20"/>
                <w:color w:val="auto"/>
              </w:rPr>
            </w:pPr>
            <w:r>
              <w:rPr>
                <w:rFonts w:ascii="Arial" w:cs="Arial" w:eastAsia="Arial" w:hAnsi="Arial"/>
                <w:sz w:val="17"/>
                <w:szCs w:val="17"/>
                <w:color w:val="auto"/>
              </w:rPr>
              <w:t>n/a</w:t>
            </w: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7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1.61%</w:t>
            </w:r>
          </w:p>
        </w:tc>
        <w:tc>
          <w:tcPr>
            <w:tcW w:w="1260" w:type="dxa"/>
            <w:vAlign w:val="bottom"/>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15"/>
        </w:trPr>
        <w:tc>
          <w:tcPr>
            <w:tcW w:w="5240" w:type="dxa"/>
            <w:vAlign w:val="bottom"/>
          </w:tcPr>
          <w:p>
            <w:pPr>
              <w:spacing w:after="0"/>
              <w:rPr>
                <w:sz w:val="20"/>
                <w:szCs w:val="20"/>
                <w:color w:val="auto"/>
              </w:rPr>
            </w:pPr>
            <w:r>
              <w:rPr>
                <w:rFonts w:ascii="Arial" w:cs="Arial" w:eastAsia="Arial" w:hAnsi="Arial"/>
                <w:sz w:val="17"/>
                <w:szCs w:val="17"/>
                <w:color w:val="auto"/>
              </w:rPr>
              <w:t>Expected Life</w:t>
            </w:r>
          </w:p>
        </w:tc>
        <w:tc>
          <w:tcPr>
            <w:tcW w:w="4740" w:type="dxa"/>
            <w:vAlign w:val="bottom"/>
          </w:tcPr>
          <w:p>
            <w:pPr>
              <w:jc w:val="right"/>
              <w:ind w:right="301"/>
              <w:spacing w:after="0"/>
              <w:rPr>
                <w:sz w:val="20"/>
                <w:szCs w:val="20"/>
                <w:color w:val="auto"/>
              </w:rPr>
            </w:pPr>
            <w:r>
              <w:rPr>
                <w:rFonts w:ascii="Arial" w:cs="Arial" w:eastAsia="Arial" w:hAnsi="Arial"/>
                <w:sz w:val="17"/>
                <w:szCs w:val="17"/>
                <w:color w:val="auto"/>
              </w:rPr>
              <w:t>3.25 years</w:t>
            </w:r>
          </w:p>
        </w:tc>
        <w:tc>
          <w:tcPr>
            <w:tcW w:w="1260" w:type="dxa"/>
            <w:vAlign w:val="bottom"/>
          </w:tcPr>
          <w:p>
            <w:pPr>
              <w:ind w:left="920"/>
              <w:spacing w:after="0"/>
              <w:rPr>
                <w:sz w:val="20"/>
                <w:szCs w:val="20"/>
                <w:color w:val="auto"/>
              </w:rPr>
            </w:pPr>
            <w:r>
              <w:rPr>
                <w:rFonts w:ascii="Arial" w:cs="Arial" w:eastAsia="Arial" w:hAnsi="Arial"/>
                <w:sz w:val="17"/>
                <w:szCs w:val="17"/>
                <w:color w:val="auto"/>
              </w:rPr>
              <w:t>n/a</w:t>
            </w:r>
          </w:p>
        </w:tc>
      </w:tr>
    </w:tbl>
    <w:p>
      <w:pPr>
        <w:spacing w:after="0" w:line="194"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2014 Plan for the year ended December 31, 2019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7"/>
        </w:trPr>
        <w:tc>
          <w:tcPr>
            <w:tcW w:w="4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jc w:val="center"/>
              <w:ind w:right="2"/>
              <w:spacing w:after="0" w:line="15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7"/>
        </w:trPr>
        <w:tc>
          <w:tcPr>
            <w:tcW w:w="4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377"/>
              <w:spacing w:after="0" w:line="157" w:lineRule="exact"/>
              <w:rPr>
                <w:sz w:val="20"/>
                <w:szCs w:val="20"/>
                <w:color w:val="auto"/>
              </w:rPr>
            </w:pPr>
            <w:r>
              <w:rPr>
                <w:rFonts w:ascii="Arial" w:cs="Arial" w:eastAsia="Arial" w:hAnsi="Arial"/>
                <w:sz w:val="14"/>
                <w:szCs w:val="14"/>
                <w:b w:val="1"/>
                <w:bCs w:val="1"/>
                <w:color w:val="auto"/>
              </w:rPr>
              <w:t>Weighted</w:t>
            </w:r>
          </w:p>
        </w:tc>
        <w:tc>
          <w:tcPr>
            <w:tcW w:w="1260" w:type="dxa"/>
            <w:vAlign w:val="bottom"/>
          </w:tcPr>
          <w:p>
            <w:pPr>
              <w:jc w:val="center"/>
              <w:ind w:right="22"/>
              <w:spacing w:after="0" w:line="157"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7"/>
        </w:trPr>
        <w:tc>
          <w:tcPr>
            <w:tcW w:w="4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80" w:type="dxa"/>
            <w:vAlign w:val="bottom"/>
          </w:tcPr>
          <w:p>
            <w:pPr>
              <w:jc w:val="right"/>
              <w:ind w:right="304"/>
              <w:spacing w:after="0" w:line="157" w:lineRule="exact"/>
              <w:rPr>
                <w:sz w:val="20"/>
                <w:szCs w:val="20"/>
                <w:color w:val="auto"/>
              </w:rPr>
            </w:pPr>
            <w:r>
              <w:rPr>
                <w:rFonts w:ascii="Arial" w:cs="Arial" w:eastAsia="Arial" w:hAnsi="Arial"/>
                <w:sz w:val="14"/>
                <w:szCs w:val="14"/>
                <w:b w:val="1"/>
                <w:bCs w:val="1"/>
                <w:color w:val="auto"/>
              </w:rPr>
              <w:t>Number of</w:t>
            </w:r>
          </w:p>
        </w:tc>
        <w:tc>
          <w:tcPr>
            <w:tcW w:w="140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Average Exercise</w:t>
            </w:r>
          </w:p>
        </w:tc>
        <w:tc>
          <w:tcPr>
            <w:tcW w:w="1260" w:type="dxa"/>
            <w:vAlign w:val="bottom"/>
          </w:tcPr>
          <w:p>
            <w:pPr>
              <w:jc w:val="center"/>
              <w:ind w:right="2"/>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3"/>
                <w:szCs w:val="13"/>
                <w:color w:val="auto"/>
              </w:rPr>
            </w:pPr>
          </w:p>
        </w:tc>
        <w:tc>
          <w:tcPr>
            <w:tcW w:w="1120" w:type="dxa"/>
            <w:vAlign w:val="bottom"/>
          </w:tcPr>
          <w:p>
            <w:pPr>
              <w:jc w:val="right"/>
              <w:ind w:right="258"/>
              <w:spacing w:after="0" w:line="157" w:lineRule="exact"/>
              <w:rPr>
                <w:sz w:val="20"/>
                <w:szCs w:val="20"/>
                <w:color w:val="auto"/>
              </w:rPr>
            </w:pPr>
            <w:r>
              <w:rPr>
                <w:rFonts w:ascii="Arial" w:cs="Arial" w:eastAsia="Arial" w:hAnsi="Arial"/>
                <w:sz w:val="14"/>
                <w:szCs w:val="14"/>
                <w:b w:val="1"/>
                <w:bCs w:val="1"/>
                <w:color w:val="auto"/>
              </w:rPr>
              <w:t>Aggregate</w:t>
            </w:r>
          </w:p>
        </w:tc>
      </w:tr>
      <w:tr>
        <w:trPr>
          <w:trHeight w:val="176"/>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Options</w:t>
            </w:r>
          </w:p>
        </w:tc>
        <w:tc>
          <w:tcPr>
            <w:tcW w:w="1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Shares</w:t>
            </w: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Price per Share</w:t>
            </w:r>
          </w:p>
        </w:tc>
        <w:tc>
          <w:tcPr>
            <w:tcW w:w="12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1"/>
              </w:rPr>
              <w:t>Intrinsic Value</w:t>
            </w:r>
          </w:p>
        </w:tc>
      </w:tr>
      <w:tr>
        <w:trPr>
          <w:trHeight w:val="235"/>
        </w:trPr>
        <w:tc>
          <w:tcPr>
            <w:tcW w:w="4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2019</w:t>
            </w:r>
          </w:p>
        </w:tc>
        <w:tc>
          <w:tcPr>
            <w:tcW w:w="294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37,500</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8.36</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2.24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349,950</w:t>
            </w:r>
          </w:p>
        </w:tc>
      </w:tr>
      <w:tr>
        <w:trPr>
          <w:trHeight w:val="209"/>
        </w:trPr>
        <w:tc>
          <w:tcPr>
            <w:tcW w:w="4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294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50,000</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8.72</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r>
      <w:tr>
        <w:trPr>
          <w:trHeight w:val="209"/>
        </w:trPr>
        <w:tc>
          <w:tcPr>
            <w:tcW w:w="4300" w:type="dxa"/>
            <w:vAlign w:val="bottom"/>
          </w:tcPr>
          <w:p>
            <w:pPr>
              <w:spacing w:after="0"/>
              <w:rPr>
                <w:sz w:val="20"/>
                <w:szCs w:val="20"/>
                <w:color w:val="auto"/>
              </w:rPr>
            </w:pPr>
            <w:r>
              <w:rPr>
                <w:rFonts w:ascii="Arial" w:cs="Arial" w:eastAsia="Arial" w:hAnsi="Arial"/>
                <w:sz w:val="17"/>
                <w:szCs w:val="17"/>
                <w:color w:val="auto"/>
              </w:rPr>
              <w:t>Exercised</w:t>
            </w:r>
          </w:p>
        </w:tc>
        <w:tc>
          <w:tcPr>
            <w:tcW w:w="2940" w:type="dxa"/>
            <w:vAlign w:val="bottom"/>
            <w:gridSpan w:val="2"/>
          </w:tcPr>
          <w:p>
            <w:pPr>
              <w:jc w:val="right"/>
              <w:ind w:right="44"/>
              <w:spacing w:after="0"/>
              <w:rPr>
                <w:sz w:val="20"/>
                <w:szCs w:val="20"/>
                <w:color w:val="auto"/>
              </w:rPr>
            </w:pPr>
            <w:r>
              <w:rPr>
                <w:rFonts w:ascii="Arial" w:cs="Arial" w:eastAsia="Arial" w:hAnsi="Arial"/>
                <w:sz w:val="17"/>
                <w:szCs w:val="17"/>
                <w:color w:val="auto"/>
              </w:rPr>
              <w:t>(3,000)</w:t>
            </w: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7"/>
              <w:spacing w:after="0"/>
              <w:rPr>
                <w:sz w:val="20"/>
                <w:szCs w:val="20"/>
                <w:color w:val="auto"/>
              </w:rPr>
            </w:pPr>
            <w:r>
              <w:rPr>
                <w:rFonts w:ascii="Arial" w:cs="Arial" w:eastAsia="Arial" w:hAnsi="Arial"/>
                <w:sz w:val="17"/>
                <w:szCs w:val="17"/>
                <w:color w:val="auto"/>
              </w:rPr>
              <w:t>7.85</w:t>
            </w:r>
          </w:p>
        </w:tc>
        <w:tc>
          <w:tcPr>
            <w:tcW w:w="1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8"/>
              <w:spacing w:after="0"/>
              <w:rPr>
                <w:sz w:val="20"/>
                <w:szCs w:val="20"/>
                <w:color w:val="auto"/>
              </w:rPr>
            </w:pPr>
            <w:r>
              <w:rPr>
                <w:rFonts w:ascii="Arial" w:cs="Arial" w:eastAsia="Arial" w:hAnsi="Arial"/>
                <w:sz w:val="17"/>
                <w:szCs w:val="17"/>
                <w:color w:val="auto"/>
              </w:rPr>
              <w:t>6,270</w:t>
            </w:r>
          </w:p>
        </w:tc>
      </w:tr>
      <w:tr>
        <w:trPr>
          <w:trHeight w:val="215"/>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2940" w:type="dxa"/>
            <w:vAlign w:val="bottom"/>
            <w:gridSpan w:val="2"/>
            <w:shd w:val="clear" w:color="auto" w:fill="CCEEFF"/>
          </w:tcPr>
          <w:p>
            <w:pPr>
              <w:jc w:val="right"/>
              <w:ind w:right="44"/>
              <w:spacing w:after="0"/>
              <w:rPr>
                <w:sz w:val="20"/>
                <w:szCs w:val="20"/>
                <w:color w:val="auto"/>
              </w:rPr>
            </w:pPr>
            <w:r>
              <w:rPr>
                <w:rFonts w:ascii="Arial" w:cs="Arial" w:eastAsia="Arial" w:hAnsi="Arial"/>
                <w:sz w:val="17"/>
                <w:szCs w:val="17"/>
                <w:color w:val="auto"/>
              </w:rPr>
              <w:t>(2,500)</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7.85</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2.04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13,588</w:t>
            </w:r>
          </w:p>
        </w:tc>
      </w:tr>
      <w:tr>
        <w:trPr>
          <w:trHeight w:val="209"/>
        </w:trPr>
        <w:tc>
          <w:tcPr>
            <w:tcW w:w="43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4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2019</w:t>
            </w:r>
          </w:p>
        </w:tc>
        <w:tc>
          <w:tcPr>
            <w:tcW w:w="294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82,000</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8.61</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3.38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r>
      <w:tr>
        <w:trPr>
          <w:trHeight w:val="201"/>
        </w:trPr>
        <w:tc>
          <w:tcPr>
            <w:tcW w:w="43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49"/>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and Exercisable at December 31, 2019</w:t>
            </w:r>
          </w:p>
        </w:tc>
        <w:tc>
          <w:tcPr>
            <w:tcW w:w="1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7"/>
                <w:szCs w:val="17"/>
                <w:color w:val="auto"/>
              </w:rPr>
              <w:t>50,000</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8.45</w:t>
            </w: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w:t>
            </w:r>
          </w:p>
        </w:tc>
      </w:tr>
      <w:tr>
        <w:trPr>
          <w:trHeight w:val="566"/>
        </w:trPr>
        <w:tc>
          <w:tcPr>
            <w:tcW w:w="4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1384"/>
              <w:spacing w:after="0"/>
              <w:rPr>
                <w:sz w:val="20"/>
                <w:szCs w:val="20"/>
                <w:color w:val="auto"/>
              </w:rPr>
            </w:pPr>
            <w:r>
              <w:rPr>
                <w:rFonts w:ascii="Arial" w:cs="Arial" w:eastAsia="Arial" w:hAnsi="Arial"/>
                <w:sz w:val="17"/>
                <w:szCs w:val="17"/>
                <w:color w:val="auto"/>
              </w:rPr>
              <w:t>F-41</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107" w:name="page108"/>
    <w:bookmarkEnd w:id="107"/>
    <w:p>
      <w:pPr>
        <w:ind w:right="40"/>
        <w:spacing w:after="0" w:line="264" w:lineRule="auto"/>
        <w:rPr>
          <w:sz w:val="20"/>
          <w:szCs w:val="20"/>
          <w:color w:val="auto"/>
        </w:rPr>
      </w:pPr>
      <w:r>
        <w:rPr>
          <w:rFonts w:ascii="Arial" w:cs="Arial" w:eastAsia="Arial" w:hAnsi="Arial"/>
          <w:sz w:val="17"/>
          <w:szCs w:val="17"/>
          <w:color w:val="auto"/>
        </w:rPr>
        <w:t>The aggregate intrinsic value of options outstanding and options exercisable at December 31, 2019 is calculated as the difference between the exercise price of the underlying options and the market price of the Company’s Common Stock for the options that had exercise prices that were lower than the $7.75 closing price of the Company’s Common Stock on December 31, 2019. The total intrinsic value of options exercised during the year ended December 31, 2019 was $6,270, determined as of the date of exercise.</w:t>
      </w:r>
    </w:p>
    <w:p>
      <w:pPr>
        <w:spacing w:after="0" w:line="18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Participants in the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$23,550 from the exercise of options for the purchase of 3,000 shares of common stock during the year ended December 31, 2019. The Company received cash proceeds of $90,640 from the exercise of options for the purchase of 15,250 shares of common stock during the year ended December 31, 2018. The Company received 7,855 shares from the exercise of options under a Share Exchange for the purchase of 30,000 shares of common stock during the year ended December 31, 2018. The remaining 258,400 options exercised during the year ended December 31, 2018 were Net Exercises, resulting in the issuance of 94,647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estimated fair value of unamortized compensation cost related to unvested stock option awards was approximately $59,000.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Unamortized compensation cost as of December 31, 2019 is expected to be recognized over a remaining weighted-average vesting period of 1.74 years.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there were 327,900 shares reserved for grants under the 2014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year ended December 31, 2019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7"/>
        </w:trPr>
        <w:tc>
          <w:tcPr>
            <w:tcW w:w="7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5"/>
              </w:rPr>
              <w:t>Average Grant</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7"/>
        </w:trPr>
        <w:tc>
          <w:tcPr>
            <w:tcW w:w="7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4"/>
              </w:rPr>
              <w:t>Date Fair Value</w:t>
            </w:r>
          </w:p>
        </w:tc>
        <w:tc>
          <w:tcPr>
            <w:tcW w:w="220" w:type="dxa"/>
            <w:vAlign w:val="bottom"/>
          </w:tcPr>
          <w:p>
            <w:pPr>
              <w:spacing w:after="0"/>
              <w:rPr>
                <w:sz w:val="13"/>
                <w:szCs w:val="13"/>
                <w:color w:val="auto"/>
              </w:rPr>
            </w:pPr>
          </w:p>
        </w:tc>
        <w:tc>
          <w:tcPr>
            <w:tcW w:w="1120" w:type="dxa"/>
            <w:vAlign w:val="bottom"/>
          </w:tcPr>
          <w:p>
            <w:pPr>
              <w:jc w:val="right"/>
              <w:ind w:right="119"/>
              <w:spacing w:after="0" w:line="157" w:lineRule="exact"/>
              <w:rPr>
                <w:sz w:val="20"/>
                <w:szCs w:val="20"/>
                <w:color w:val="auto"/>
              </w:rPr>
            </w:pPr>
            <w:r>
              <w:rPr>
                <w:rFonts w:ascii="Arial" w:cs="Arial" w:eastAsia="Arial" w:hAnsi="Arial"/>
                <w:sz w:val="14"/>
                <w:szCs w:val="14"/>
                <w:b w:val="1"/>
                <w:bCs w:val="1"/>
                <w:color w:val="auto"/>
                <w:w w:val="91"/>
              </w:rPr>
              <w:t>Aggregate Fair</w:t>
            </w:r>
          </w:p>
        </w:tc>
      </w:tr>
      <w:tr>
        <w:trPr>
          <w:trHeight w:val="176"/>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Restricted Stock Awards</w:t>
            </w:r>
          </w:p>
        </w:tc>
        <w:tc>
          <w:tcPr>
            <w:tcW w:w="13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Value</w:t>
            </w:r>
          </w:p>
        </w:tc>
      </w:tr>
      <w:tr>
        <w:trPr>
          <w:trHeight w:val="235"/>
        </w:trPr>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w:t>
            </w: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120,499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17.66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2,129,175</w:t>
            </w:r>
          </w:p>
        </w:tc>
      </w:tr>
      <w:tr>
        <w:trPr>
          <w:trHeight w:val="209"/>
        </w:trPr>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120,586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15.51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1,870,487</w:t>
            </w:r>
          </w:p>
        </w:tc>
      </w:tr>
      <w:tr>
        <w:trPr>
          <w:trHeight w:val="209"/>
        </w:trPr>
        <w:tc>
          <w:tcPr>
            <w:tcW w:w="7200" w:type="dxa"/>
            <w:vAlign w:val="bottom"/>
          </w:tcPr>
          <w:p>
            <w:pPr>
              <w:spacing w:after="0"/>
              <w:rPr>
                <w:sz w:val="20"/>
                <w:szCs w:val="20"/>
                <w:color w:val="auto"/>
              </w:rPr>
            </w:pPr>
            <w:r>
              <w:rPr>
                <w:rFonts w:ascii="Arial" w:cs="Arial" w:eastAsia="Arial" w:hAnsi="Arial"/>
                <w:sz w:val="17"/>
                <w:szCs w:val="17"/>
                <w:color w:val="auto"/>
              </w:rPr>
              <w:t>Vested</w:t>
            </w:r>
          </w:p>
        </w:tc>
        <w:tc>
          <w:tcPr>
            <w:tcW w:w="1360" w:type="dxa"/>
            <w:vAlign w:val="bottom"/>
          </w:tcPr>
          <w:p>
            <w:pPr>
              <w:jc w:val="right"/>
              <w:spacing w:after="0"/>
              <w:rPr>
                <w:sz w:val="20"/>
                <w:szCs w:val="20"/>
                <w:color w:val="auto"/>
              </w:rPr>
            </w:pPr>
            <w:r>
              <w:rPr>
                <w:rFonts w:ascii="Arial" w:cs="Arial" w:eastAsia="Arial" w:hAnsi="Arial"/>
                <w:sz w:val="17"/>
                <w:szCs w:val="17"/>
                <w:color w:val="auto"/>
              </w:rPr>
              <w:t>(15,440)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9"/>
              <w:spacing w:after="0"/>
              <w:rPr>
                <w:sz w:val="20"/>
                <w:szCs w:val="20"/>
                <w:color w:val="auto"/>
              </w:rPr>
            </w:pPr>
            <w:r>
              <w:rPr>
                <w:rFonts w:ascii="Arial" w:cs="Arial" w:eastAsia="Arial" w:hAnsi="Arial"/>
                <w:sz w:val="17"/>
                <w:szCs w:val="17"/>
                <w:color w:val="auto"/>
              </w:rPr>
              <w:t>17.04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(263,071)</w:t>
            </w:r>
          </w:p>
        </w:tc>
      </w:tr>
      <w:tr>
        <w:trPr>
          <w:trHeight w:val="21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15.57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(182,417)</w:t>
            </w:r>
          </w:p>
        </w:tc>
      </w:tr>
      <w:tr>
        <w:trPr>
          <w:trHeight w:val="209"/>
        </w:trPr>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1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213,929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16.51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3,554,174</w:t>
            </w:r>
          </w:p>
        </w:tc>
      </w:tr>
    </w:tbl>
    <w:p>
      <w:pPr>
        <w:spacing w:after="0" w:line="201" w:lineRule="exact"/>
        <w:rPr>
          <w:sz w:val="20"/>
          <w:szCs w:val="20"/>
          <w:color w:val="auto"/>
        </w:rPr>
      </w:pPr>
    </w:p>
    <w:p>
      <w:pPr>
        <w:jc w:val="both"/>
        <w:ind w:right="80"/>
        <w:spacing w:after="0" w:line="282" w:lineRule="auto"/>
        <w:rPr>
          <w:sz w:val="20"/>
          <w:szCs w:val="20"/>
          <w:color w:val="auto"/>
        </w:rPr>
      </w:pPr>
      <w:r>
        <w:rPr>
          <w:rFonts w:ascii="Arial" w:cs="Arial" w:eastAsia="Arial" w:hAnsi="Arial"/>
          <w:sz w:val="16"/>
          <w:szCs w:val="16"/>
          <w:color w:val="auto"/>
        </w:rPr>
        <w:t>Fair value was calculated using the closing price of the Company’s Common Stock on the grant date. Stock-based compensation expense in 2019 and 2018 includes the estimated fair value of restricted Common Stock granted, amortized on a straight-line basis over the requisite service period. For the years ended December 31, 2019 and 2018, stock-based compensation for these grants was approximately $1,471,500 and $697,000, respectively, which is included in other operating expenses on the accompanying consolidated statements of operations and comprehensive income (loss). These amounts reflect the Company’s accounting expense and do not correspond to the actual value that will be recognized by the directors, executives and employees.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Note 13 - Statutory Financial Information and Accounting Policies</w:t>
      </w: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regulatory purposes, KICO prepares its statutory basis financial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spacing w:after="0" w:line="188" w:lineRule="exact"/>
        <w:rPr>
          <w:sz w:val="20"/>
          <w:szCs w:val="20"/>
          <w:color w:val="auto"/>
        </w:rPr>
      </w:pPr>
    </w:p>
    <w:p>
      <w:pPr>
        <w:ind w:left="240" w:right="160" w:hanging="235"/>
        <w:spacing w:after="0" w:line="281" w:lineRule="auto"/>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Policy acquisition costs are charged to operations in the year such costs are incurred, rather than being deferred and amortized as premiums are earned over the terms of the policies.</w:t>
      </w:r>
    </w:p>
    <w:p>
      <w:pPr>
        <w:spacing w:after="0" w:line="169" w:lineRule="exact"/>
        <w:rPr>
          <w:rFonts w:ascii="Arial" w:cs="Arial" w:eastAsia="Arial" w:hAnsi="Arial"/>
          <w:sz w:val="17"/>
          <w:szCs w:val="17"/>
          <w:color w:val="auto"/>
        </w:rPr>
      </w:pPr>
    </w:p>
    <w:p>
      <w:pPr>
        <w:ind w:left="240" w:right="320" w:hanging="235"/>
        <w:spacing w:after="0" w:line="268" w:lineRule="auto"/>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81" w:lineRule="exact"/>
        <w:rPr>
          <w:rFonts w:ascii="Arial" w:cs="Arial" w:eastAsia="Arial" w:hAnsi="Arial"/>
          <w:sz w:val="17"/>
          <w:szCs w:val="17"/>
          <w:color w:val="auto"/>
        </w:rPr>
      </w:pPr>
    </w:p>
    <w:p>
      <w:pPr>
        <w:ind w:left="240" w:hanging="235"/>
        <w:spacing w:after="0"/>
        <w:tabs>
          <w:tab w:leader="none" w:pos="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Certain assets including certain receivables, a portion of the net deferred tax asset, prepaid expenses and furniture and equipment are not admitted.</w:t>
      </w:r>
    </w:p>
    <w:p>
      <w:pPr>
        <w:spacing w:after="0" w:line="234" w:lineRule="exact"/>
        <w:rPr>
          <w:rFonts w:ascii="Arial" w:cs="Arial" w:eastAsia="Arial" w:hAnsi="Arial"/>
          <w:sz w:val="16"/>
          <w:szCs w:val="16"/>
          <w:color w:val="auto"/>
        </w:rPr>
      </w:pPr>
    </w:p>
    <w:p>
      <w:pPr>
        <w:ind w:left="240" w:right="340" w:hanging="235"/>
        <w:spacing w:after="0" w:line="281" w:lineRule="auto"/>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Investments in fixed-maturity securities are valued at NAIC value for statutory financial purposes, which is primarily amortized cost. GAAP requires certain investments in fixed-maturity securities classified as available-for-sale, to be reported at fair value.</w:t>
      </w:r>
    </w:p>
    <w:p>
      <w:pPr>
        <w:spacing w:after="0" w:line="169" w:lineRule="exact"/>
        <w:rPr>
          <w:rFonts w:ascii="Arial" w:cs="Arial" w:eastAsia="Arial" w:hAnsi="Arial"/>
          <w:sz w:val="17"/>
          <w:szCs w:val="17"/>
          <w:color w:val="auto"/>
        </w:rPr>
      </w:pPr>
    </w:p>
    <w:p>
      <w:pPr>
        <w:ind w:left="240" w:right="420" w:hanging="235"/>
        <w:spacing w:after="0" w:line="281" w:lineRule="auto"/>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Certain amounts related to ceded reinsurance are reported on a net basis within the statutory basis financial statements. GAAP requires these amounts to be shown gross.</w:t>
      </w:r>
    </w:p>
    <w:p>
      <w:pPr>
        <w:spacing w:after="0" w:line="169" w:lineRule="exact"/>
        <w:rPr>
          <w:rFonts w:ascii="Arial" w:cs="Arial" w:eastAsia="Arial" w:hAnsi="Arial"/>
          <w:sz w:val="17"/>
          <w:szCs w:val="17"/>
          <w:color w:val="auto"/>
        </w:rPr>
      </w:pPr>
    </w:p>
    <w:p>
      <w:pPr>
        <w:ind w:left="240" w:right="160" w:hanging="235"/>
        <w:spacing w:after="0" w:line="350" w:lineRule="auto"/>
        <w:tabs>
          <w:tab w:leader="none" w:pos="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124"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2019 and 2018, KICO paid dividends to Kingstone of $7,000,000 and $3,600,000, respectively. On February 19, 2020, KICO’s Board of Directors approved a cash dividend of $1,500,000 to Kingstone, which was paid on February 20, 2020. For the years ended December 31, 2019 and 2018, KICO recorded statutory basis net income (loss) of $(4,519,183) and $3,801,498, respectively. At December 31, 2019 and 2018, KICO reported statutory basis surplus as regards policyholders of $93,844,197 and $98,745,944, respectively, as filed with the DFS.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20" w:top="728" w:right="35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auto"/>
        </w:rPr>
        <w:t>Statutory Surplus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2019, the Company made a surplus contribution of $3,256,335 to KICO. See Note 9 – Debt for further detail regarding this contribution.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Risk Based Capital</w:t>
      </w:r>
    </w:p>
    <w:p>
      <w:pPr>
        <w:spacing w:after="0" w:line="227"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Income Taxes</w:t>
      </w:r>
    </w:p>
    <w:p>
      <w:pPr>
        <w:spacing w:after="0" w:line="22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is comprised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4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r>
      <w:tr>
        <w:trPr>
          <w:trHeight w:val="235"/>
        </w:trPr>
        <w:tc>
          <w:tcPr>
            <w:tcW w:w="4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9"/>
        </w:trPr>
        <w:tc>
          <w:tcPr>
            <w:tcW w:w="4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federal income tax expense (benefit)</w:t>
            </w:r>
          </w:p>
        </w:tc>
        <w:tc>
          <w:tcPr>
            <w:tcW w:w="46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174,779</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(74,001)</w:t>
            </w:r>
          </w:p>
        </w:tc>
      </w:tr>
      <w:tr>
        <w:trPr>
          <w:trHeight w:val="209"/>
        </w:trPr>
        <w:tc>
          <w:tcPr>
            <w:tcW w:w="4280" w:type="dxa"/>
            <w:vAlign w:val="bottom"/>
          </w:tcPr>
          <w:p>
            <w:pPr>
              <w:ind w:left="40"/>
              <w:spacing w:after="0"/>
              <w:rPr>
                <w:sz w:val="20"/>
                <w:szCs w:val="20"/>
                <w:color w:val="auto"/>
              </w:rPr>
            </w:pPr>
            <w:r>
              <w:rPr>
                <w:rFonts w:ascii="Arial" w:cs="Arial" w:eastAsia="Arial" w:hAnsi="Arial"/>
                <w:sz w:val="17"/>
                <w:szCs w:val="17"/>
                <w:color w:val="auto"/>
              </w:rPr>
              <w:t>Current state income tax expense (benefit)</w:t>
            </w:r>
          </w:p>
        </w:tc>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78"/>
              <w:spacing w:after="0"/>
              <w:rPr>
                <w:sz w:val="20"/>
                <w:szCs w:val="20"/>
                <w:color w:val="auto"/>
              </w:rPr>
            </w:pPr>
            <w:r>
              <w:rPr>
                <w:rFonts w:ascii="Arial" w:cs="Arial" w:eastAsia="Arial" w:hAnsi="Arial"/>
                <w:sz w:val="17"/>
                <w:szCs w:val="17"/>
                <w:color w:val="auto"/>
              </w:rPr>
              <w:t>238</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(6,784)</w:t>
            </w:r>
          </w:p>
        </w:tc>
      </w:tr>
      <w:tr>
        <w:trPr>
          <w:trHeight w:val="21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federal and state income tax benefit</w:t>
            </w:r>
          </w:p>
        </w:tc>
        <w:tc>
          <w:tcPr>
            <w:tcW w:w="4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(1,991,208)</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(5,398)</w:t>
            </w:r>
          </w:p>
        </w:tc>
      </w:tr>
      <w:tr>
        <w:trPr>
          <w:trHeight w:val="209"/>
        </w:trPr>
        <w:tc>
          <w:tcPr>
            <w:tcW w:w="4280" w:type="dxa"/>
            <w:vAlign w:val="bottom"/>
          </w:tcPr>
          <w:p>
            <w:pPr>
              <w:ind w:left="40"/>
              <w:spacing w:after="0"/>
              <w:rPr>
                <w:sz w:val="20"/>
                <w:szCs w:val="20"/>
                <w:color w:val="auto"/>
              </w:rPr>
            </w:pPr>
            <w:r>
              <w:rPr>
                <w:rFonts w:ascii="Arial" w:cs="Arial" w:eastAsia="Arial" w:hAnsi="Arial"/>
                <w:sz w:val="17"/>
                <w:szCs w:val="17"/>
                <w:color w:val="auto"/>
              </w:rPr>
              <w:t>Income tax benefit</w:t>
            </w:r>
          </w:p>
        </w:tc>
        <w:tc>
          <w:tcPr>
            <w:tcW w:w="4280" w:type="dxa"/>
            <w:vAlign w:val="bottom"/>
          </w:tcPr>
          <w:p>
            <w:pPr>
              <w:spacing w:after="0"/>
              <w:rPr>
                <w:sz w:val="18"/>
                <w:szCs w:val="18"/>
                <w:color w:val="auto"/>
              </w:rPr>
            </w:pP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(1,816,191)</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(86,183)</w:t>
            </w:r>
          </w:p>
        </w:tc>
      </w:tr>
      <w:tr>
        <w:trPr>
          <w:trHeight w:val="20"/>
        </w:trPr>
        <w:tc>
          <w:tcPr>
            <w:tcW w:w="42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66"/>
        </w:trPr>
        <w:tc>
          <w:tcPr>
            <w:tcW w:w="42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3035"/>
              <w:spacing w:after="0"/>
              <w:rPr>
                <w:sz w:val="20"/>
                <w:szCs w:val="20"/>
                <w:color w:val="auto"/>
              </w:rPr>
            </w:pPr>
            <w:r>
              <w:rPr>
                <w:rFonts w:ascii="Arial" w:cs="Arial" w:eastAsia="Arial" w:hAnsi="Arial"/>
                <w:sz w:val="17"/>
                <w:szCs w:val="17"/>
                <w:color w:val="auto"/>
              </w:rPr>
              <w:t>F-44</w:t>
            </w: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6"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A reconciliation of the federal statutory rate to the Company’s effective tax rate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Computed expected tax (benefit) expense</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(1,634,334)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3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631,483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60" w:type="dxa"/>
            <w:vAlign w:val="bottom"/>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State taxes, net of federal benefit</w:t>
            </w:r>
          </w:p>
        </w:tc>
        <w:tc>
          <w:tcPr>
            <w:tcW w:w="340" w:type="dxa"/>
            <w:vAlign w:val="bottom"/>
          </w:tcPr>
          <w:p>
            <w:pPr>
              <w:spacing w:after="0"/>
              <w:rPr>
                <w:sz w:val="18"/>
                <w:szCs w:val="18"/>
                <w:color w:val="auto"/>
              </w:rPr>
            </w:pPr>
          </w:p>
        </w:tc>
        <w:tc>
          <w:tcPr>
            <w:tcW w:w="1540" w:type="dxa"/>
            <w:vAlign w:val="bottom"/>
          </w:tcPr>
          <w:p>
            <w:pPr>
              <w:jc w:val="right"/>
              <w:ind w:right="536"/>
              <w:spacing w:after="0"/>
              <w:rPr>
                <w:sz w:val="20"/>
                <w:szCs w:val="20"/>
                <w:color w:val="auto"/>
              </w:rPr>
            </w:pPr>
            <w:r>
              <w:rPr>
                <w:rFonts w:ascii="Arial" w:cs="Arial" w:eastAsia="Arial" w:hAnsi="Arial"/>
                <w:sz w:val="17"/>
                <w:szCs w:val="17"/>
                <w:color w:val="auto"/>
              </w:rPr>
              <w:t>(247,909)</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8"/>
                <w:szCs w:val="18"/>
                <w:color w:val="auto"/>
              </w:rPr>
            </w:pPr>
          </w:p>
        </w:tc>
        <w:tc>
          <w:tcPr>
            <w:tcW w:w="1440" w:type="dxa"/>
            <w:vAlign w:val="bottom"/>
          </w:tcPr>
          <w:p>
            <w:pPr>
              <w:jc w:val="right"/>
              <w:ind w:right="496"/>
              <w:spacing w:after="0"/>
              <w:rPr>
                <w:sz w:val="20"/>
                <w:szCs w:val="20"/>
                <w:color w:val="auto"/>
              </w:rPr>
            </w:pPr>
            <w:r>
              <w:rPr>
                <w:rFonts w:ascii="Arial" w:cs="Arial" w:eastAsia="Arial" w:hAnsi="Arial"/>
                <w:sz w:val="17"/>
                <w:szCs w:val="17"/>
                <w:color w:val="auto"/>
              </w:rPr>
              <w:t>(377,884)</w:t>
            </w:r>
          </w:p>
        </w:tc>
        <w:tc>
          <w:tcPr>
            <w:tcW w:w="840" w:type="dxa"/>
            <w:vAlign w:val="bottom"/>
          </w:tcPr>
          <w:p>
            <w:pPr>
              <w:jc w:val="right"/>
              <w:spacing w:after="0"/>
              <w:rPr>
                <w:sz w:val="20"/>
                <w:szCs w:val="20"/>
                <w:color w:val="auto"/>
              </w:rPr>
            </w:pPr>
            <w:r>
              <w:rPr>
                <w:rFonts w:ascii="Arial" w:cs="Arial" w:eastAsia="Arial" w:hAnsi="Arial"/>
                <w:sz w:val="17"/>
                <w:szCs w:val="17"/>
                <w:color w:val="auto"/>
              </w:rPr>
              <w:t>(12.6)</w:t>
            </w:r>
          </w:p>
        </w:tc>
        <w:tc>
          <w:tcPr>
            <w:tcW w:w="60" w:type="dxa"/>
            <w:vAlign w:val="bottom"/>
          </w:tcPr>
          <w:p>
            <w:pPr>
              <w:spacing w:after="0"/>
              <w:rPr>
                <w:sz w:val="18"/>
                <w:szCs w:val="18"/>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valuation allowance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261,573</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(3.4)</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390,976</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13.0</w:t>
            </w:r>
          </w:p>
        </w:tc>
        <w:tc>
          <w:tcPr>
            <w:tcW w:w="60" w:type="dxa"/>
            <w:vAlign w:val="bottom"/>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Permanent differences</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received deduction</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(97,631)</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6"/>
              <w:spacing w:after="0"/>
              <w:rPr>
                <w:sz w:val="20"/>
                <w:szCs w:val="20"/>
                <w:color w:val="auto"/>
              </w:rPr>
            </w:pPr>
            <w:r>
              <w:rPr>
                <w:rFonts w:ascii="Arial" w:cs="Arial" w:eastAsia="Arial" w:hAnsi="Arial"/>
                <w:sz w:val="17"/>
                <w:szCs w:val="17"/>
                <w:color w:val="auto"/>
              </w:rPr>
              <w:t>(85,703)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7"/>
                <w:szCs w:val="17"/>
                <w:color w:val="auto"/>
              </w:rPr>
              <w:t>Non-taxable investment income</w:t>
            </w:r>
          </w:p>
        </w:tc>
        <w:tc>
          <w:tcPr>
            <w:tcW w:w="340" w:type="dxa"/>
            <w:vAlign w:val="bottom"/>
          </w:tcPr>
          <w:p>
            <w:pPr>
              <w:spacing w:after="0"/>
              <w:rPr>
                <w:sz w:val="18"/>
                <w:szCs w:val="18"/>
                <w:color w:val="auto"/>
              </w:rPr>
            </w:pPr>
          </w:p>
        </w:tc>
        <w:tc>
          <w:tcPr>
            <w:tcW w:w="1540" w:type="dxa"/>
            <w:vAlign w:val="bottom"/>
          </w:tcPr>
          <w:p>
            <w:pPr>
              <w:jc w:val="right"/>
              <w:ind w:right="536"/>
              <w:spacing w:after="0"/>
              <w:rPr>
                <w:sz w:val="20"/>
                <w:szCs w:val="20"/>
                <w:color w:val="auto"/>
              </w:rPr>
            </w:pPr>
            <w:r>
              <w:rPr>
                <w:rFonts w:ascii="Arial" w:cs="Arial" w:eastAsia="Arial" w:hAnsi="Arial"/>
                <w:sz w:val="17"/>
                <w:szCs w:val="17"/>
                <w:color w:val="auto"/>
              </w:rPr>
              <w:t>(39,901)</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0.5</w:t>
            </w:r>
          </w:p>
        </w:tc>
        <w:tc>
          <w:tcPr>
            <w:tcW w:w="340" w:type="dxa"/>
            <w:vAlign w:val="bottom"/>
          </w:tcPr>
          <w:p>
            <w:pPr>
              <w:spacing w:after="0"/>
              <w:rPr>
                <w:sz w:val="18"/>
                <w:szCs w:val="18"/>
                <w:color w:val="auto"/>
              </w:rPr>
            </w:pPr>
          </w:p>
        </w:tc>
        <w:tc>
          <w:tcPr>
            <w:tcW w:w="1440" w:type="dxa"/>
            <w:vAlign w:val="bottom"/>
          </w:tcPr>
          <w:p>
            <w:pPr>
              <w:jc w:val="right"/>
              <w:ind w:right="496"/>
              <w:spacing w:after="0"/>
              <w:rPr>
                <w:sz w:val="20"/>
                <w:szCs w:val="20"/>
                <w:color w:val="auto"/>
              </w:rPr>
            </w:pPr>
            <w:r>
              <w:rPr>
                <w:rFonts w:ascii="Arial" w:cs="Arial" w:eastAsia="Arial" w:hAnsi="Arial"/>
                <w:sz w:val="17"/>
                <w:szCs w:val="17"/>
                <w:color w:val="auto"/>
              </w:rPr>
              <w:t>(40,861)</w:t>
            </w: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8"/>
                <w:szCs w:val="18"/>
                <w:color w:val="auto"/>
              </w:rPr>
            </w:pP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Excess benefit from stock-based compensation</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184</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6"/>
              <w:spacing w:after="0"/>
              <w:rPr>
                <w:sz w:val="20"/>
                <w:szCs w:val="20"/>
                <w:color w:val="auto"/>
              </w:rPr>
            </w:pPr>
            <w:r>
              <w:rPr>
                <w:rFonts w:ascii="Arial" w:cs="Arial" w:eastAsia="Arial" w:hAnsi="Arial"/>
                <w:sz w:val="17"/>
                <w:szCs w:val="17"/>
                <w:color w:val="auto"/>
              </w:rPr>
              <w:t>(569,459)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60" w:type="dxa"/>
            <w:vAlign w:val="bottom"/>
          </w:tcPr>
          <w:p>
            <w:pPr>
              <w:spacing w:after="0"/>
              <w:rPr>
                <w:sz w:val="18"/>
                <w:szCs w:val="18"/>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8"/>
                <w:szCs w:val="18"/>
                <w:color w:val="auto"/>
              </w:rPr>
            </w:pPr>
          </w:p>
        </w:tc>
        <w:tc>
          <w:tcPr>
            <w:tcW w:w="1540" w:type="dxa"/>
            <w:vAlign w:val="bottom"/>
          </w:tcPr>
          <w:p>
            <w:pPr>
              <w:jc w:val="right"/>
              <w:ind w:right="576"/>
              <w:spacing w:after="0"/>
              <w:rPr>
                <w:sz w:val="20"/>
                <w:szCs w:val="20"/>
                <w:color w:val="auto"/>
              </w:rPr>
            </w:pPr>
            <w:r>
              <w:rPr>
                <w:rFonts w:ascii="Arial" w:cs="Arial" w:eastAsia="Arial" w:hAnsi="Arial"/>
                <w:sz w:val="17"/>
                <w:szCs w:val="17"/>
                <w:color w:val="auto"/>
              </w:rPr>
              <w:t>80,453</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(1.0)</w:t>
            </w:r>
          </w:p>
        </w:tc>
        <w:tc>
          <w:tcPr>
            <w:tcW w:w="340" w:type="dxa"/>
            <w:vAlign w:val="bottom"/>
          </w:tcPr>
          <w:p>
            <w:pPr>
              <w:spacing w:after="0"/>
              <w:rPr>
                <w:sz w:val="18"/>
                <w:szCs w:val="18"/>
                <w:color w:val="auto"/>
              </w:rPr>
            </w:pPr>
          </w:p>
        </w:tc>
        <w:tc>
          <w:tcPr>
            <w:tcW w:w="1440" w:type="dxa"/>
            <w:vAlign w:val="bottom"/>
          </w:tcPr>
          <w:p>
            <w:pPr>
              <w:jc w:val="right"/>
              <w:ind w:right="496"/>
              <w:spacing w:after="0"/>
              <w:rPr>
                <w:sz w:val="20"/>
                <w:szCs w:val="20"/>
                <w:color w:val="auto"/>
              </w:rPr>
            </w:pPr>
            <w:r>
              <w:rPr>
                <w:rFonts w:ascii="Arial" w:cs="Arial" w:eastAsia="Arial" w:hAnsi="Arial"/>
                <w:sz w:val="17"/>
                <w:szCs w:val="17"/>
                <w:color w:val="auto"/>
              </w:rPr>
              <w:t>(16,960)</w:t>
            </w:r>
          </w:p>
        </w:tc>
        <w:tc>
          <w:tcPr>
            <w:tcW w:w="840" w:type="dxa"/>
            <w:vAlign w:val="bottom"/>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r>
      <w:tr>
        <w:trPr>
          <w:trHeight w:val="209"/>
        </w:trPr>
        <w:tc>
          <w:tcPr>
            <w:tcW w:w="5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permanent differences</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(15,961)</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0.2</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42,496</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Prior year tax matters</w:t>
            </w:r>
          </w:p>
        </w:tc>
        <w:tc>
          <w:tcPr>
            <w:tcW w:w="340" w:type="dxa"/>
            <w:vAlign w:val="bottom"/>
          </w:tcPr>
          <w:p>
            <w:pPr>
              <w:spacing w:after="0"/>
              <w:rPr>
                <w:sz w:val="18"/>
                <w:szCs w:val="18"/>
                <w:color w:val="auto"/>
              </w:rPr>
            </w:pPr>
          </w:p>
        </w:tc>
        <w:tc>
          <w:tcPr>
            <w:tcW w:w="1540" w:type="dxa"/>
            <w:vAlign w:val="bottom"/>
          </w:tcPr>
          <w:p>
            <w:pPr>
              <w:jc w:val="right"/>
              <w:ind w:right="536"/>
              <w:spacing w:after="0"/>
              <w:rPr>
                <w:sz w:val="20"/>
                <w:szCs w:val="20"/>
                <w:color w:val="auto"/>
              </w:rPr>
            </w:pPr>
            <w:r>
              <w:rPr>
                <w:rFonts w:ascii="Arial" w:cs="Arial" w:eastAsia="Arial" w:hAnsi="Arial"/>
                <w:sz w:val="17"/>
                <w:szCs w:val="17"/>
                <w:color w:val="auto"/>
              </w:rPr>
              <w:t>(91,748)</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1.2</w:t>
            </w:r>
          </w:p>
        </w:tc>
        <w:tc>
          <w:tcPr>
            <w:tcW w:w="340" w:type="dxa"/>
            <w:vAlign w:val="bottom"/>
          </w:tcPr>
          <w:p>
            <w:pPr>
              <w:spacing w:after="0"/>
              <w:rPr>
                <w:sz w:val="18"/>
                <w:szCs w:val="18"/>
                <w:color w:val="auto"/>
              </w:rPr>
            </w:pPr>
          </w:p>
        </w:tc>
        <w:tc>
          <w:tcPr>
            <w:tcW w:w="1440" w:type="dxa"/>
            <w:vAlign w:val="bottom"/>
          </w:tcPr>
          <w:p>
            <w:pPr>
              <w:jc w:val="right"/>
              <w:ind w:right="496"/>
              <w:spacing w:after="0"/>
              <w:rPr>
                <w:sz w:val="20"/>
                <w:szCs w:val="20"/>
                <w:color w:val="auto"/>
              </w:rPr>
            </w:pPr>
            <w:r>
              <w:rPr>
                <w:rFonts w:ascii="Arial" w:cs="Arial" w:eastAsia="Arial" w:hAnsi="Arial"/>
                <w:sz w:val="17"/>
                <w:szCs w:val="17"/>
                <w:color w:val="auto"/>
              </w:rPr>
              <w:t>(61,415)</w:t>
            </w:r>
          </w:p>
        </w:tc>
        <w:tc>
          <w:tcPr>
            <w:tcW w:w="840" w:type="dxa"/>
            <w:vAlign w:val="bottom"/>
          </w:tcPr>
          <w:p>
            <w:pPr>
              <w:jc w:val="right"/>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8"/>
                <w:szCs w:val="18"/>
                <w:color w:val="auto"/>
              </w:rPr>
            </w:pPr>
          </w:p>
        </w:tc>
      </w:tr>
      <w:tr>
        <w:trPr>
          <w:trHeight w:val="21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7"/>
                <w:szCs w:val="17"/>
                <w:color w:val="auto"/>
              </w:rPr>
              <w:t>(30,917)</w:t>
            </w:r>
          </w:p>
        </w:tc>
        <w:tc>
          <w:tcPr>
            <w:tcW w:w="8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0.3</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1,144</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Income tax benefit, as reported</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(1,816,191)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(86,183)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9"/>
        </w:trPr>
        <w:tc>
          <w:tcPr>
            <w:tcW w:w="8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69"/>
        </w:trPr>
        <w:tc>
          <w:tcPr>
            <w:tcW w:w="8560" w:type="dxa"/>
            <w:vAlign w:val="bottom"/>
          </w:tcPr>
          <w:p>
            <w:pPr>
              <w:ind w:left="40"/>
              <w:spacing w:after="0"/>
              <w:rPr>
                <w:sz w:val="20"/>
                <w:szCs w:val="20"/>
                <w:color w:val="auto"/>
              </w:rPr>
            </w:pPr>
            <w:r>
              <w:rPr>
                <w:rFonts w:ascii="Arial" w:cs="Arial" w:eastAsia="Arial" w:hAnsi="Arial"/>
                <w:sz w:val="17"/>
                <w:szCs w:val="17"/>
                <w:color w:val="auto"/>
              </w:rPr>
              <w:t>Deferred tax asset: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operating loss carryovers (1)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1,586,247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90,438</w:t>
            </w:r>
          </w:p>
        </w:tc>
        <w:tc>
          <w:tcPr>
            <w:tcW w:w="0" w:type="dxa"/>
            <w:vAlign w:val="bottom"/>
          </w:tcPr>
          <w:p>
            <w:pPr>
              <w:spacing w:after="0"/>
              <w:rPr>
                <w:sz w:val="1"/>
                <w:szCs w:val="1"/>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7"/>
                <w:szCs w:val="17"/>
                <w:color w:val="auto"/>
              </w:rPr>
              <w:t>Claims reserve discount</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839,959</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343,905</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Unearned premium</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3,105,344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3,145,682</w:t>
            </w:r>
          </w:p>
        </w:tc>
        <w:tc>
          <w:tcPr>
            <w:tcW w:w="0" w:type="dxa"/>
            <w:vAlign w:val="bottom"/>
          </w:tcPr>
          <w:p>
            <w:pPr>
              <w:spacing w:after="0"/>
              <w:rPr>
                <w:sz w:val="1"/>
                <w:szCs w:val="1"/>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7"/>
                <w:szCs w:val="17"/>
                <w:color w:val="auto"/>
              </w:rPr>
              <w:t>Deferred ceding commission revenue</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1,624,434</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564,202</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462,019</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383,733</w:t>
            </w: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Total deferred tax assets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7,618,003</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4,527,960</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Investment in KICO (2)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759,543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759,543</w:t>
            </w:r>
          </w:p>
        </w:tc>
        <w:tc>
          <w:tcPr>
            <w:tcW w:w="0" w:type="dxa"/>
            <w:vAlign w:val="bottom"/>
          </w:tcPr>
          <w:p>
            <w:pPr>
              <w:spacing w:after="0"/>
              <w:rPr>
                <w:sz w:val="1"/>
                <w:szCs w:val="1"/>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7"/>
                <w:szCs w:val="17"/>
                <w:color w:val="auto"/>
              </w:rPr>
              <w:t>Deferred acquisition costs</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4,333,219</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3,760,625</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Intangibles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105,000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140,700</w:t>
            </w:r>
          </w:p>
        </w:tc>
        <w:tc>
          <w:tcPr>
            <w:tcW w:w="0" w:type="dxa"/>
            <w:vAlign w:val="bottom"/>
          </w:tcPr>
          <w:p>
            <w:pPr>
              <w:spacing w:after="0"/>
              <w:rPr>
                <w:sz w:val="1"/>
                <w:szCs w:val="1"/>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312,298</w:t>
            </w: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664,194</w:t>
            </w:r>
          </w:p>
        </w:tc>
        <w:tc>
          <w:tcPr>
            <w:tcW w:w="0" w:type="dxa"/>
            <w:vAlign w:val="bottom"/>
          </w:tcPr>
          <w:p>
            <w:pPr>
              <w:spacing w:after="0"/>
              <w:rPr>
                <w:sz w:val="1"/>
                <w:szCs w:val="1"/>
                <w:color w:val="auto"/>
              </w:rPr>
            </w:pPr>
          </w:p>
        </w:tc>
      </w:tr>
      <w:tr>
        <w:trPr>
          <w:trHeight w:val="215"/>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unrealized gains (losses) of securities - available-for-sale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1,796,891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(1,151,335)</w:t>
            </w: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Total deferred tax liabilities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7,306,951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4,173,727</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7"/>
                <w:szCs w:val="17"/>
                <w:color w:val="auto"/>
              </w:rPr>
              <w:t>Net deferred income tax asset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311,052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354,233</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7"/>
                <w:szCs w:val="17"/>
                <w:color w:val="auto"/>
              </w:rPr>
              <w:t>(1) The deferred tax assets from net operating loss carryovers are as follows:</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8560" w:type="dxa"/>
            <w:vAlign w:val="bottom"/>
            <w:tcBorders>
              <w:bottom w:val="single" w:sz="8" w:color="auto"/>
            </w:tcBorders>
          </w:tcPr>
          <w:p>
            <w:pPr>
              <w:ind w:left="5460"/>
              <w:spacing w:after="0"/>
              <w:rPr>
                <w:sz w:val="20"/>
                <w:szCs w:val="20"/>
                <w:color w:val="auto"/>
              </w:rPr>
            </w:pPr>
            <w:r>
              <w:rPr>
                <w:rFonts w:ascii="Arial" w:cs="Arial" w:eastAsia="Arial" w:hAnsi="Arial"/>
                <w:sz w:val="17"/>
                <w:szCs w:val="17"/>
                <w:color w:val="auto"/>
              </w:rPr>
              <w:t>F-45</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732" w:right="27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178"/>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100" w:type="dxa"/>
            <w:vAlign w:val="bottom"/>
          </w:tcPr>
          <w:p>
            <w:pPr>
              <w:jc w:val="right"/>
              <w:ind w:right="158"/>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Type of NOL</w:t>
            </w:r>
          </w:p>
        </w:tc>
        <w:tc>
          <w:tcPr>
            <w:tcW w:w="260" w:type="dxa"/>
            <w:vAlign w:val="bottom"/>
          </w:tcPr>
          <w:p>
            <w:pPr>
              <w:spacing w:after="0"/>
              <w:rPr>
                <w:sz w:val="15"/>
                <w:szCs w:val="15"/>
                <w:color w:val="auto"/>
              </w:rPr>
            </w:pPr>
          </w:p>
        </w:tc>
        <w:tc>
          <w:tcPr>
            <w:tcW w:w="11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100" w:type="dxa"/>
            <w:vAlign w:val="bottom"/>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2"/>
          </w:tcPr>
          <w:p>
            <w:pPr>
              <w:ind w:left="5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35"/>
        </w:trPr>
        <w:tc>
          <w:tcPr>
            <w:tcW w:w="68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Federal only, current year</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1,517,866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40"/>
              <w:spacing w:after="0"/>
              <w:rPr>
                <w:sz w:val="20"/>
                <w:szCs w:val="20"/>
                <w:color w:val="auto"/>
              </w:rPr>
            </w:pPr>
            <w:r>
              <w:rPr>
                <w:rFonts w:ascii="Arial" w:cs="Arial" w:eastAsia="Arial" w:hAnsi="Arial"/>
                <w:sz w:val="17"/>
                <w:szCs w:val="17"/>
                <w:color w:val="auto"/>
              </w:rPr>
              <w:t>Amount subject to Annual Limitation, federal only</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2,100</w:t>
            </w:r>
          </w:p>
        </w:tc>
        <w:tc>
          <w:tcPr>
            <w:tcW w:w="1680" w:type="dxa"/>
            <w:vAlign w:val="bottom"/>
          </w:tcPr>
          <w:p>
            <w:pPr>
              <w:jc w:val="right"/>
              <w:spacing w:after="0"/>
              <w:rPr>
                <w:sz w:val="20"/>
                <w:szCs w:val="20"/>
                <w:color w:val="auto"/>
              </w:rPr>
            </w:pPr>
            <w:r>
              <w:rPr>
                <w:rFonts w:ascii="Arial" w:cs="Arial" w:eastAsia="Arial" w:hAnsi="Arial"/>
                <w:sz w:val="17"/>
                <w:szCs w:val="17"/>
                <w:color w:val="auto"/>
              </w:rPr>
              <w:t>December 31,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federal only</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1,517,866</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2,100</w:t>
            </w:r>
          </w:p>
        </w:tc>
        <w:tc>
          <w:tcPr>
            <w:tcW w:w="16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only (A)</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1,616,568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1,305,365</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31, 2039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(1,548,187)</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(1,217,027)</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State only, net of valuation allowance</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68,381</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88,338</w:t>
            </w:r>
          </w:p>
        </w:tc>
        <w:tc>
          <w:tcPr>
            <w:tcW w:w="16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deferred tax asset from net operating loss carryovers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1,586,247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90,438</w:t>
            </w: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right="140" w:hanging="8"/>
        <w:spacing w:after="0" w:line="305" w:lineRule="auto"/>
        <w:tabs>
          <w:tab w:leader="none" w:pos="918" w:val="left"/>
        </w:tabs>
        <w:numPr>
          <w:ilvl w:val="1"/>
          <w:numId w:val="47"/>
        </w:numPr>
        <w:rPr>
          <w:rFonts w:ascii="Arial" w:cs="Arial" w:eastAsia="Arial" w:hAnsi="Arial"/>
          <w:sz w:val="15"/>
          <w:szCs w:val="15"/>
          <w:color w:val="auto"/>
        </w:rPr>
      </w:pPr>
      <w:r>
        <w:rPr>
          <w:rFonts w:ascii="Arial" w:cs="Arial" w:eastAsia="Arial" w:hAnsi="Arial"/>
          <w:sz w:val="15"/>
          <w:szCs w:val="15"/>
          <w:color w:val="auto"/>
        </w:rPr>
        <w:t>Kingstone generates operating losses for state purposes and has prior year NOLs available. The state NOL as of December 31, 2019 and 2018 was approximately $24,901,000 and $20,083,000, respectively. KICO, the Company’s insurance underwriting subsidiary, is not subject to state income taxes. KICO’s state tax obligations are paid through a gross premiums tax, which is included in the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2039.</w:t>
      </w:r>
    </w:p>
    <w:p>
      <w:pPr>
        <w:spacing w:after="0" w:line="158" w:lineRule="exact"/>
        <w:rPr>
          <w:rFonts w:ascii="Arial" w:cs="Arial" w:eastAsia="Arial" w:hAnsi="Arial"/>
          <w:sz w:val="15"/>
          <w:szCs w:val="15"/>
          <w:color w:val="auto"/>
        </w:rPr>
      </w:pPr>
    </w:p>
    <w:p>
      <w:pPr>
        <w:ind w:left="560" w:hanging="242"/>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Deferred tax liability - investment in KICO</w:t>
      </w:r>
    </w:p>
    <w:p>
      <w:pPr>
        <w:spacing w:after="0" w:line="223" w:lineRule="exact"/>
        <w:rPr>
          <w:sz w:val="20"/>
          <w:szCs w:val="20"/>
          <w:color w:val="auto"/>
        </w:rPr>
      </w:pPr>
    </w:p>
    <w:p>
      <w:pPr>
        <w:ind w:left="320" w:right="80"/>
        <w:spacing w:after="0" w:line="277"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reconciles the changes in net deferred income tax assets (liabilities) to the deferred income tax provision for the year ended December 31, 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Change in net deferred income tax assets</w:t>
            </w:r>
          </w:p>
        </w:tc>
        <w:tc>
          <w:tcPr>
            <w:tcW w:w="51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43,181</w:t>
            </w:r>
          </w:p>
        </w:tc>
      </w:tr>
      <w:tr>
        <w:trPr>
          <w:trHeight w:val="215"/>
        </w:trPr>
        <w:tc>
          <w:tcPr>
            <w:tcW w:w="5100" w:type="dxa"/>
            <w:vAlign w:val="bottom"/>
          </w:tcPr>
          <w:p>
            <w:pPr>
              <w:ind w:left="40"/>
              <w:spacing w:after="0"/>
              <w:rPr>
                <w:sz w:val="20"/>
                <w:szCs w:val="20"/>
                <w:color w:val="auto"/>
              </w:rPr>
            </w:pPr>
            <w:r>
              <w:rPr>
                <w:rFonts w:ascii="Arial" w:cs="Arial" w:eastAsia="Arial" w:hAnsi="Arial"/>
                <w:sz w:val="17"/>
                <w:szCs w:val="17"/>
                <w:color w:val="auto"/>
                <w:w w:val="96"/>
              </w:rPr>
              <w:t>Deferred tax expense allocated to other comprehensive (loss) income</w:t>
            </w:r>
          </w:p>
        </w:tc>
        <w:tc>
          <w:tcPr>
            <w:tcW w:w="4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(2,034,389)</w:t>
            </w:r>
          </w:p>
        </w:tc>
      </w:tr>
      <w:tr>
        <w:trPr>
          <w:trHeight w:val="24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 benefit</w:t>
            </w:r>
          </w:p>
        </w:tc>
        <w:tc>
          <w:tcPr>
            <w:tcW w:w="4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(1,991,208)</w:t>
            </w:r>
          </w:p>
        </w:tc>
      </w:tr>
      <w:tr>
        <w:trPr>
          <w:trHeight w:val="566"/>
        </w:trPr>
        <w:tc>
          <w:tcPr>
            <w:tcW w:w="5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right"/>
              <w:ind w:right="4375"/>
              <w:spacing w:after="0"/>
              <w:rPr>
                <w:sz w:val="20"/>
                <w:szCs w:val="20"/>
                <w:color w:val="auto"/>
              </w:rPr>
            </w:pPr>
            <w:r>
              <w:rPr>
                <w:rFonts w:ascii="Arial" w:cs="Arial" w:eastAsia="Arial" w:hAnsi="Arial"/>
                <w:sz w:val="17"/>
                <w:szCs w:val="17"/>
                <w:color w:val="auto"/>
              </w:rPr>
              <w:t>F-46</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4" w:right="339" w:bottom="1440" w:gutter="0" w:footer="0" w:header="0"/>
        </w:sectPr>
      </w:pPr>
    </w:p>
    <w:bookmarkStart w:id="112" w:name="page113"/>
    <w:bookmarkEnd w:id="112"/>
    <w:p>
      <w:pPr>
        <w:ind w:right="100"/>
        <w:spacing w:after="0" w:line="310" w:lineRule="auto"/>
        <w:rPr>
          <w:sz w:val="20"/>
          <w:szCs w:val="20"/>
          <w:color w:val="auto"/>
        </w:rPr>
      </w:pPr>
      <w:r>
        <w:rPr>
          <w:rFonts w:ascii="Arial" w:cs="Arial" w:eastAsia="Arial" w:hAnsi="Arial"/>
          <w:sz w:val="15"/>
          <w:szCs w:val="15"/>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54"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years ended December 31, 2019 and 2018. If any had been recognized these would have been reported in income tax expense.</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2016 through December 31, 2018 remain subject to examination. The Company’s federal income tax return for the year ended December 31, 2016 has been examined by the Internal Revenue Service and was accepted as filed.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Employee Benefit Plans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Profit Sharing Plan</w:t>
      </w:r>
    </w:p>
    <w:p>
      <w:pPr>
        <w:spacing w:after="0" w:line="223"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The Company maintained a discretionary employee profit sharing plan (the “Profit Sharing Plan”) available to full-time employees who were employed as of December 31. For the year ended December 31, 2018, the Profit Sharing Plan called for a bonus to be paid based on a formula that was tied to the annual GAAP combined ratio (“Combined Ratio”). The maximum the bonus could be was 25% of eligible wages at a Combined Ratio of 70%. The bonus decreased by 1% for each percentage point increase in the Combined Ratio. There was a minimum bonus of 5% at a Combined Ratio of 90% and above. The bonus was allocated 35% to the employees’ 401(k) account and 65% as cash through payroll. The Company incurred approximately $445,000 of expense for the year ended December 31, 2018, related to the Profit Sharing Plan, which was recorded in other operating expenses on the accompanying consolidated statements of operations and comprehensive income (loss). For the year ended December 31, 2019, the Company maintained a new discretionary employee bonus plan, which is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Bonus Plan</w:t>
      </w:r>
    </w:p>
    <w:p>
      <w:pPr>
        <w:spacing w:after="0" w:line="22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November 2018, the Company’s Board of Directors approved a new discretionary employee bonus plan (“Bonus Plan”) to replace the existing Profit Sharing Plan to be effective as of January 1, 2019. Eligible employees can receive a target bonus rate of between 12% and 30% of base salary depending on their position. The target bonus rate is subject to adjustment depending on annual performance evaluation scores. The Bonus Plan is funded through a point system whereby up to 60 points are funded by a target return on investment (“Target ROE”) sliding scale and up to 40 points are funded by achieving various annual corporate goals as approved in advance by the Company’s Board of Directors. A maximum of 60 points can be achieved with a Target ROE of 14%. The bonus is decreased by six points for each percentage point decrease in Target ROE. The minimum of six points can be achieved with Target ROE of 5%. The Company incurred approximately $457,000 of expense for the year ended December 31, 2019, related to the Bonus Plan related to achieving certain annual corporate goals, which is recorded in other operating expenses on the accompanying consolidated statements of operations and comprehensive income (loss).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auto"/>
        </w:rPr>
        <w:t>401 (k) Plan</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$305,000 and $247,000 of expense for the years ended December 31, 2019 and 2018, respectively, related to the 401(k) Plan, which is recorded in other operating expenses on the accompanying consolidated statements of operations and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Compensation Plan</w:t>
      </w:r>
    </w:p>
    <w:p>
      <w:pPr>
        <w:spacing w:after="0" w:line="223" w:lineRule="exact"/>
        <w:rPr>
          <w:sz w:val="20"/>
          <w:szCs w:val="20"/>
          <w:color w:val="auto"/>
        </w:rPr>
      </w:pPr>
    </w:p>
    <w:p>
      <w:pPr>
        <w:ind w:right="420"/>
        <w:spacing w:after="0" w:line="293" w:lineRule="auto"/>
        <w:rPr>
          <w:sz w:val="20"/>
          <w:szCs w:val="20"/>
          <w:color w:val="auto"/>
        </w:rPr>
      </w:pPr>
      <w:r>
        <w:rPr>
          <w:rFonts w:ascii="Arial" w:cs="Arial" w:eastAsia="Arial" w:hAnsi="Arial"/>
          <w:sz w:val="15"/>
          <w:szCs w:val="15"/>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w:t>
      </w:r>
    </w:p>
    <w:p>
      <w:pPr>
        <w:spacing w:after="0" w:line="2"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December 31, 2019 and 2018 amounted to $599,274 and $298,638, respectively, and is recorded in accounts payable, accrued expenses and other liabilities in the accompanying consolidated balance sheets. The Company made voluntary contributions of $5,399 and $24,957 for the years ended December 31, 2019 and 2018, respectively, which are recorded in other operating expenses in the accompanying consolidated statements of operations and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4" w:name="page115"/>
    <w:bookmarkEnd w:id="114"/>
    <w:p>
      <w:pPr>
        <w:ind w:right="20"/>
        <w:spacing w:after="0" w:line="277" w:lineRule="auto"/>
        <w:rPr>
          <w:sz w:val="20"/>
          <w:szCs w:val="20"/>
          <w:color w:val="auto"/>
        </w:rPr>
      </w:pPr>
      <w:r>
        <w:rPr>
          <w:rFonts w:ascii="Arial" w:cs="Arial" w:eastAsia="Arial" w:hAnsi="Arial"/>
          <w:sz w:val="16"/>
          <w:szCs w:val="16"/>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6"/>
          <w:szCs w:val="16"/>
          <w:i w:val="1"/>
          <w:iCs w:val="1"/>
          <w:color w:val="auto"/>
        </w:rPr>
        <w:t>Woolgar v. Kingstone Companies et al.</w:t>
      </w:r>
      <w:r>
        <w:rPr>
          <w:rFonts w:ascii="Arial" w:cs="Arial" w:eastAsia="Arial" w:hAnsi="Arial"/>
          <w:sz w:val="16"/>
          <w:szCs w:val="16"/>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The Company believes the lawsuit to be without merit. The Company has not established an accrual for this matter as a loss is not considered to be probable and reasonably estimable. It is the opinion of management that facts known at the present time do not indicate that such litigation will have a material adverse impact on the Company’s results of operations, financial position, or cash flows. On February 18, 2020, a motion to dismiss was filed with the court.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Leases</w:t>
      </w:r>
    </w:p>
    <w:p>
      <w:pPr>
        <w:spacing w:after="0" w:line="223"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2"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July 8, 2019, the Company entered into a lease agreement for an additional office facility for Cosi located in Valley Stream, New York under a non-cancelable operating lease. In addition to the base rental costs, occupancy lease agreements generally provide for rent escalations resulting from increased assessments from real estate taxes and other charges. The lease has a term of seven years and two months expiring December 31, 2026.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the Company’s office operating leases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r>
      <w:tr>
        <w:trPr>
          <w:trHeight w:val="157"/>
        </w:trPr>
        <w:tc>
          <w:tcPr>
            <w:tcW w:w="9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December 31,</w:t>
            </w:r>
          </w:p>
        </w:tc>
      </w:tr>
      <w:tr>
        <w:trPr>
          <w:trHeight w:val="176"/>
        </w:trPr>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 cost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5"/>
                <w:szCs w:val="15"/>
                <w:color w:val="auto"/>
              </w:rPr>
            </w:pPr>
          </w:p>
        </w:tc>
      </w:tr>
      <w:tr>
        <w:trPr>
          <w:trHeight w:val="209"/>
        </w:trPr>
        <w:tc>
          <w:tcPr>
            <w:tcW w:w="9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Operating leases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165,368</w:t>
            </w:r>
          </w:p>
        </w:tc>
        <w:tc>
          <w:tcPr>
            <w:tcW w:w="20" w:type="dxa"/>
            <w:vAlign w:val="bottom"/>
          </w:tcPr>
          <w:p>
            <w:pPr>
              <w:spacing w:after="0"/>
              <w:rPr>
                <w:sz w:val="18"/>
                <w:szCs w:val="18"/>
                <w:color w:val="auto"/>
              </w:rPr>
            </w:pPr>
          </w:p>
        </w:tc>
      </w:tr>
      <w:tr>
        <w:trPr>
          <w:trHeight w:val="215"/>
        </w:trPr>
        <w:tc>
          <w:tcPr>
            <w:tcW w:w="9900" w:type="dxa"/>
            <w:vAlign w:val="bottom"/>
          </w:tcPr>
          <w:p>
            <w:pPr>
              <w:ind w:left="40"/>
              <w:spacing w:after="0"/>
              <w:rPr>
                <w:sz w:val="20"/>
                <w:szCs w:val="20"/>
                <w:color w:val="auto"/>
              </w:rPr>
            </w:pPr>
            <w:r>
              <w:rPr>
                <w:rFonts w:ascii="Arial" w:cs="Arial" w:eastAsia="Arial" w:hAnsi="Arial"/>
                <w:sz w:val="17"/>
                <w:szCs w:val="17"/>
                <w:color w:val="auto"/>
              </w:rPr>
              <w:t>Short-term leases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49"/>
        </w:trPr>
        <w:tc>
          <w:tcPr>
            <w:tcW w:w="9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lease cost (1) (2)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165,368</w:t>
            </w:r>
          </w:p>
        </w:tc>
        <w:tc>
          <w:tcPr>
            <w:tcW w:w="20" w:type="dxa"/>
            <w:vAlign w:val="bottom"/>
          </w:tcPr>
          <w:p>
            <w:pPr>
              <w:spacing w:after="0"/>
              <w:rPr>
                <w:sz w:val="21"/>
                <w:szCs w:val="21"/>
                <w:color w:val="auto"/>
              </w:rPr>
            </w:pPr>
          </w:p>
        </w:tc>
      </w:tr>
      <w:tr>
        <w:trPr>
          <w:trHeight w:val="201"/>
        </w:trPr>
        <w:tc>
          <w:tcPr>
            <w:tcW w:w="9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9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information on operating leases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900" w:type="dxa"/>
            <w:vAlign w:val="bottom"/>
          </w:tcPr>
          <w:p>
            <w:pPr>
              <w:ind w:left="560"/>
              <w:spacing w:after="0"/>
              <w:rPr>
                <w:sz w:val="20"/>
                <w:szCs w:val="20"/>
                <w:color w:val="auto"/>
              </w:rPr>
            </w:pPr>
            <w:r>
              <w:rPr>
                <w:rFonts w:ascii="Arial" w:cs="Arial" w:eastAsia="Arial" w:hAnsi="Arial"/>
                <w:sz w:val="17"/>
                <w:szCs w:val="17"/>
                <w:color w:val="auto"/>
              </w:rPr>
              <w:t>Cash payments included in the measurement of lease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9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 reported in operating cash flows (2)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169,861</w:t>
            </w:r>
          </w:p>
        </w:tc>
        <w:tc>
          <w:tcPr>
            <w:tcW w:w="20" w:type="dxa"/>
            <w:vAlign w:val="bottom"/>
          </w:tcPr>
          <w:p>
            <w:pPr>
              <w:spacing w:after="0"/>
              <w:rPr>
                <w:sz w:val="18"/>
                <w:szCs w:val="18"/>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7"/>
                <w:szCs w:val="17"/>
                <w:color w:val="auto"/>
              </w:rPr>
              <w:t>Discount rate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5.50%</w:t>
            </w:r>
          </w:p>
        </w:tc>
        <w:tc>
          <w:tcPr>
            <w:tcW w:w="20" w:type="dxa"/>
            <w:vAlign w:val="bottom"/>
          </w:tcPr>
          <w:p>
            <w:pPr>
              <w:spacing w:after="0"/>
              <w:rPr>
                <w:sz w:val="18"/>
                <w:szCs w:val="18"/>
                <w:color w:val="auto"/>
              </w:rPr>
            </w:pPr>
          </w:p>
        </w:tc>
      </w:tr>
      <w:tr>
        <w:trPr>
          <w:trHeight w:val="209"/>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in years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5.88 year</w:t>
            </w:r>
          </w:p>
        </w:tc>
        <w:tc>
          <w:tcPr>
            <w:tcW w:w="20" w:type="dxa"/>
            <w:vAlign w:val="bottom"/>
          </w:tcPr>
          <w:p>
            <w:pPr>
              <w:spacing w:after="0"/>
              <w:rPr>
                <w:sz w:val="18"/>
                <w:szCs w:val="18"/>
                <w:color w:val="auto"/>
              </w:rPr>
            </w:pPr>
          </w:p>
        </w:tc>
      </w:tr>
    </w:tbl>
    <w:p>
      <w:pPr>
        <w:spacing w:after="0" w:line="201" w:lineRule="exact"/>
        <w:rPr>
          <w:sz w:val="20"/>
          <w:szCs w:val="20"/>
          <w:color w:val="auto"/>
        </w:rPr>
      </w:pPr>
    </w:p>
    <w:p>
      <w:pPr>
        <w:ind w:left="560" w:hanging="242"/>
        <w:spacing w:after="0"/>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Included in the consolidated statements of operations and comprehensive income (loss) within other underwriting expenses.</w:t>
      </w:r>
    </w:p>
    <w:p>
      <w:pPr>
        <w:spacing w:after="0" w:line="19" w:lineRule="exact"/>
        <w:rPr>
          <w:rFonts w:ascii="Arial" w:cs="Arial" w:eastAsia="Arial" w:hAnsi="Arial"/>
          <w:sz w:val="17"/>
          <w:szCs w:val="17"/>
          <w:color w:val="auto"/>
        </w:rPr>
      </w:pPr>
    </w:p>
    <w:p>
      <w:pPr>
        <w:ind w:left="560" w:hanging="242"/>
        <w:spacing w:after="0"/>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 only contains lease cost for the Company’s KICO lease, Cosi lease payments are due and payable January 2020.</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732" w:right="31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The following table presents the contractual maturities of the Company’s lease liabilities as of December 31,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00" w:type="dxa"/>
            <w:vAlign w:val="bottom"/>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9900" w:type="dxa"/>
            <w:vAlign w:val="bottom"/>
          </w:tcPr>
          <w:p>
            <w:pPr>
              <w:jc w:val="center"/>
              <w:spacing w:after="0"/>
              <w:rPr>
                <w:sz w:val="20"/>
                <w:szCs w:val="20"/>
                <w:color w:val="auto"/>
              </w:rPr>
            </w:pPr>
            <w:r>
              <w:rPr>
                <w:rFonts w:ascii="Arial" w:cs="Arial" w:eastAsia="Arial" w:hAnsi="Arial"/>
                <w:sz w:val="14"/>
                <w:szCs w:val="14"/>
                <w:b w:val="1"/>
                <w:bCs w:val="1"/>
                <w:color w:val="auto"/>
                <w:w w:val="96"/>
              </w:rPr>
              <w:t>Ending</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6"/>
        </w:trPr>
        <w:tc>
          <w:tcPr>
            <w:tcW w:w="9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09"/>
        </w:trPr>
        <w:tc>
          <w:tcPr>
            <w:tcW w:w="9900" w:type="dxa"/>
            <w:vAlign w:val="bottom"/>
            <w:shd w:val="clear" w:color="auto" w:fill="CCEEFF"/>
          </w:tcPr>
          <w:p>
            <w:pPr>
              <w:jc w:val="right"/>
              <w:ind w:right="9478"/>
              <w:spacing w:after="0"/>
              <w:rPr>
                <w:sz w:val="20"/>
                <w:szCs w:val="20"/>
                <w:color w:val="auto"/>
              </w:rPr>
            </w:pPr>
            <w:r>
              <w:rPr>
                <w:rFonts w:ascii="Arial" w:cs="Arial" w:eastAsia="Arial" w:hAnsi="Arial"/>
                <w:sz w:val="17"/>
                <w:szCs w:val="17"/>
                <w:color w:val="auto"/>
                <w:w w:val="84"/>
              </w:rPr>
              <w:t>2020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255,624</w:t>
            </w:r>
          </w:p>
        </w:tc>
      </w:tr>
      <w:tr>
        <w:trPr>
          <w:trHeight w:val="209"/>
        </w:trPr>
        <w:tc>
          <w:tcPr>
            <w:tcW w:w="9900" w:type="dxa"/>
            <w:vAlign w:val="bottom"/>
          </w:tcPr>
          <w:p>
            <w:pPr>
              <w:jc w:val="right"/>
              <w:ind w:right="9478"/>
              <w:spacing w:after="0"/>
              <w:rPr>
                <w:sz w:val="20"/>
                <w:szCs w:val="20"/>
                <w:color w:val="auto"/>
              </w:rPr>
            </w:pPr>
            <w:r>
              <w:rPr>
                <w:rFonts w:ascii="Arial" w:cs="Arial" w:eastAsia="Arial" w:hAnsi="Arial"/>
                <w:sz w:val="17"/>
                <w:szCs w:val="17"/>
                <w:color w:val="auto"/>
                <w:w w:val="84"/>
              </w:rPr>
              <w:t>2021</w:t>
            </w:r>
          </w:p>
        </w:tc>
        <w:tc>
          <w:tcPr>
            <w:tcW w:w="3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264,571</w:t>
            </w:r>
          </w:p>
        </w:tc>
      </w:tr>
      <w:tr>
        <w:trPr>
          <w:trHeight w:val="209"/>
        </w:trPr>
        <w:tc>
          <w:tcPr>
            <w:tcW w:w="9900" w:type="dxa"/>
            <w:vAlign w:val="bottom"/>
            <w:shd w:val="clear" w:color="auto" w:fill="CCEEFF"/>
          </w:tcPr>
          <w:p>
            <w:pPr>
              <w:jc w:val="right"/>
              <w:ind w:right="9478"/>
              <w:spacing w:after="0"/>
              <w:rPr>
                <w:sz w:val="20"/>
                <w:szCs w:val="20"/>
                <w:color w:val="auto"/>
              </w:rPr>
            </w:pPr>
            <w:r>
              <w:rPr>
                <w:rFonts w:ascii="Arial" w:cs="Arial" w:eastAsia="Arial" w:hAnsi="Arial"/>
                <w:sz w:val="17"/>
                <w:szCs w:val="17"/>
                <w:color w:val="auto"/>
                <w:w w:val="84"/>
              </w:rPr>
              <w:t>2022</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273,831</w:t>
            </w:r>
          </w:p>
        </w:tc>
      </w:tr>
      <w:tr>
        <w:trPr>
          <w:trHeight w:val="209"/>
        </w:trPr>
        <w:tc>
          <w:tcPr>
            <w:tcW w:w="9900" w:type="dxa"/>
            <w:vAlign w:val="bottom"/>
          </w:tcPr>
          <w:p>
            <w:pPr>
              <w:jc w:val="right"/>
              <w:ind w:right="9478"/>
              <w:spacing w:after="0"/>
              <w:rPr>
                <w:sz w:val="20"/>
                <w:szCs w:val="20"/>
                <w:color w:val="auto"/>
              </w:rPr>
            </w:pPr>
            <w:r>
              <w:rPr>
                <w:rFonts w:ascii="Arial" w:cs="Arial" w:eastAsia="Arial" w:hAnsi="Arial"/>
                <w:sz w:val="17"/>
                <w:szCs w:val="17"/>
                <w:color w:val="auto"/>
                <w:w w:val="84"/>
              </w:rPr>
              <w:t>2023</w:t>
            </w:r>
          </w:p>
        </w:tc>
        <w:tc>
          <w:tcPr>
            <w:tcW w:w="38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283,415</w:t>
            </w:r>
          </w:p>
        </w:tc>
      </w:tr>
      <w:tr>
        <w:trPr>
          <w:trHeight w:val="209"/>
        </w:trPr>
        <w:tc>
          <w:tcPr>
            <w:tcW w:w="9900" w:type="dxa"/>
            <w:vAlign w:val="bottom"/>
            <w:shd w:val="clear" w:color="auto" w:fill="CCEEFF"/>
          </w:tcPr>
          <w:p>
            <w:pPr>
              <w:jc w:val="right"/>
              <w:ind w:right="9478"/>
              <w:spacing w:after="0"/>
              <w:rPr>
                <w:sz w:val="20"/>
                <w:szCs w:val="20"/>
                <w:color w:val="auto"/>
              </w:rPr>
            </w:pPr>
            <w:r>
              <w:rPr>
                <w:rFonts w:ascii="Arial" w:cs="Arial" w:eastAsia="Arial" w:hAnsi="Arial"/>
                <w:sz w:val="17"/>
                <w:szCs w:val="17"/>
                <w:color w:val="auto"/>
                <w:w w:val="84"/>
              </w:rPr>
              <w:t>2024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140,738</w:t>
            </w:r>
          </w:p>
        </w:tc>
      </w:tr>
      <w:tr>
        <w:trPr>
          <w:trHeight w:val="215"/>
        </w:trPr>
        <w:tc>
          <w:tcPr>
            <w:tcW w:w="99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192,916</w:t>
            </w:r>
          </w:p>
        </w:tc>
      </w:tr>
      <w:tr>
        <w:trPr>
          <w:trHeight w:val="209"/>
        </w:trPr>
        <w:tc>
          <w:tcPr>
            <w:tcW w:w="9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undiscounted lease payments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1,411,095</w:t>
            </w:r>
          </w:p>
        </w:tc>
      </w:tr>
      <w:tr>
        <w:trPr>
          <w:trHeight w:val="215"/>
        </w:trPr>
        <w:tc>
          <w:tcPr>
            <w:tcW w:w="9900" w:type="dxa"/>
            <w:vAlign w:val="bottom"/>
          </w:tcPr>
          <w:p>
            <w:pPr>
              <w:ind w:left="40"/>
              <w:spacing w:after="0"/>
              <w:rPr>
                <w:sz w:val="20"/>
                <w:szCs w:val="20"/>
                <w:color w:val="auto"/>
              </w:rPr>
            </w:pPr>
            <w:r>
              <w:rPr>
                <w:rFonts w:ascii="Arial" w:cs="Arial" w:eastAsia="Arial" w:hAnsi="Arial"/>
                <w:sz w:val="17"/>
                <w:szCs w:val="17"/>
                <w:color w:val="auto"/>
              </w:rPr>
              <w:t>Less: present value adjustment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230,154</w:t>
            </w:r>
          </w:p>
        </w:tc>
      </w:tr>
      <w:tr>
        <w:trPr>
          <w:trHeight w:val="249"/>
        </w:trPr>
        <w:tc>
          <w:tcPr>
            <w:tcW w:w="9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Operating lease liability</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1,180,941</w:t>
            </w:r>
          </w:p>
        </w:tc>
      </w:tr>
    </w:tbl>
    <w:p>
      <w:pPr>
        <w:spacing w:after="0" w:line="201"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Rent expense for the years ended December 31, 2019 and 2018 amounted to $165,368 for each period and is included in the accompanying consolidated statements of operations and comprehensive income (loss) within other underwriting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Dale A. Thatcher</w:t>
      </w:r>
    </w:p>
    <w:p>
      <w:pPr>
        <w:spacing w:after="0" w:line="223"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5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(Mr. Thatcher shall not be entitled to any further grants of stock awards after the Separation Date). 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i w:val="1"/>
          <w:iCs w:val="1"/>
          <w:color w:val="auto"/>
        </w:rPr>
        <w:t>Barry Goldstein, President, Chief Executive Officer and Executive Chairman of the Board</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185"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Pursuant to the Amended Employment Agreement, Mr. Goldstein is entitled to receive a grant, under the terms of the Company’s 2014 Plan, during January 2020, of a number of shares of restricted stock determined by dividing $1,250,000 by the fair market value of the Company’s Common Stock on the date of grant. On January 3, 2020, Mr. Goldstein was granted 157,431 shares of restricted stock pursuant to this provision. The January 2020 grant will become vested with respect to one-third of the award on each of the first and second anniversaries of the grant date and on December 31, 2022 based on the continued provision of services through the applicable vesting date. Also pursuant to the Amended Employment Agreement, Mr. Goldstein will be entitled to receive a grant, under the terms of the 2014 Plan, during January 2021, of a number of shares of restricted stock determined by dividing $1,500,000 by the fair market value of the Company’s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Amended Employment Agreement, Mr. Goldstein will be entitled to receive a grant, under the terms of the 2014 Plan, during each of 2020, 2021 and 2022, of a number of shares of restricted stock determined by dividing $136,500 by the fair market value of the Company’s Common Stock on the date of grant. On January 3, 2020, Mr. Goldstein was granted 17,191 shares of restricted stock pursuant to this provision. The 2020 grant will become vested with respect to one-third of the award on each of the first and second anniversaries of the grant date and on December 31, 2022 based on the continued provision of services through the applicable 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i w:val="1"/>
          <w:iCs w:val="1"/>
          <w:color w:val="auto"/>
        </w:rPr>
        <w:t>Meryl Golden, Chief Operating Officer</w:t>
      </w:r>
    </w:p>
    <w:p>
      <w:pPr>
        <w:spacing w:after="0" w:line="223"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KICO’s Chief Operating Officer. The Golden Employment Agreement became effective as of September 25, 2019 and expires on December 31, 2021.</w:t>
      </w:r>
    </w:p>
    <w:p>
      <w:pPr>
        <w:spacing w:after="0" w:line="18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will vest in three equal installments, with the first installment vesting on the grant date, and the remaining installments vesting on the first and second anniversaries following the grant date, subject to the terms of the stock option agreement between the Company and Ms. Golden.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Earnings Per Common Share</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net earnings (loss) per common share is computed by dividing income (loss) available to common shareholders by the weighted-average number of common sha outstanding. Diluted earnings (loss) per common share reflect, in periods in which they have a dilutive effect, the impact of common shares issuable upon exercise of s options as well as non-vested restricted stock awards. The computation of diluted earnings (loss) per common share excludes those options with an exercise price in ex of the average market price of the Company’s common shares during the periods presented.</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computation of diluted earnings (loss) per common share excludes outstanding options in periods where the exercise of such options would be anti-dilutive. For th year ended December 31, 2019, no options were included in the computation of diluted earnings (loss) per common share as they would have been anti-dilutive for the relevant period and, as a result, the weighted average number of common shares used in the calculation of diluted earnings per common share for the year ended Dece 31, 2019 has not been adjusted for the effect of such options.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(loss) per common share follows:</w:t>
      </w: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40"/>
          </w:cols>
          <w:pgMar w:left="320" w:top="941"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Years ended</w:t>
            </w:r>
          </w:p>
        </w:tc>
        <w:tc>
          <w:tcPr>
            <w:tcW w:w="900" w:type="dxa"/>
            <w:vAlign w:val="bottom"/>
          </w:tcPr>
          <w:p>
            <w:pPr>
              <w:spacing w:after="0"/>
              <w:rPr>
                <w:sz w:val="16"/>
                <w:szCs w:val="16"/>
                <w:color w:val="auto"/>
              </w:rPr>
            </w:pPr>
          </w:p>
        </w:tc>
      </w:tr>
      <w:tr>
        <w:trPr>
          <w:trHeight w:val="199"/>
        </w:trPr>
        <w:tc>
          <w:tcPr>
            <w:tcW w:w="856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215"/>
        </w:trPr>
        <w:tc>
          <w:tcPr>
            <w:tcW w:w="8560" w:type="dxa"/>
            <w:vAlign w:val="bottom"/>
          </w:tcPr>
          <w:p>
            <w:pPr>
              <w:spacing w:after="0"/>
              <w:rPr>
                <w:sz w:val="18"/>
                <w:szCs w:val="18"/>
                <w:color w:val="auto"/>
              </w:rPr>
            </w:pPr>
          </w:p>
        </w:tc>
        <w:tc>
          <w:tcPr>
            <w:tcW w:w="178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r>
      <w:tr>
        <w:trPr>
          <w:trHeight w:val="235"/>
        </w:trPr>
        <w:tc>
          <w:tcPr>
            <w:tcW w:w="8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outstanding</w:t>
            </w:r>
          </w:p>
        </w:tc>
        <w:tc>
          <w:tcPr>
            <w:tcW w:w="1780" w:type="dxa"/>
            <w:vAlign w:val="bottom"/>
            <w:shd w:val="clear" w:color="auto" w:fill="CCEEFF"/>
          </w:tcPr>
          <w:p>
            <w:pPr>
              <w:jc w:val="right"/>
              <w:ind w:right="501"/>
              <w:spacing w:after="0"/>
              <w:rPr>
                <w:sz w:val="20"/>
                <w:szCs w:val="20"/>
                <w:color w:val="auto"/>
              </w:rPr>
            </w:pPr>
            <w:r>
              <w:rPr>
                <w:rFonts w:ascii="Arial" w:cs="Arial" w:eastAsia="Arial" w:hAnsi="Arial"/>
                <w:sz w:val="17"/>
                <w:szCs w:val="17"/>
                <w:color w:val="auto"/>
              </w:rPr>
              <w:t>10,773,623</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6"/>
              </w:rPr>
              <w:t>10,686,813</w:t>
            </w:r>
          </w:p>
        </w:tc>
      </w:tr>
      <w:tr>
        <w:trPr>
          <w:trHeight w:val="209"/>
        </w:trPr>
        <w:tc>
          <w:tcPr>
            <w:tcW w:w="8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5"/>
        </w:trPr>
        <w:tc>
          <w:tcPr>
            <w:tcW w:w="85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7"/>
                <w:szCs w:val="17"/>
                <w:color w:val="auto"/>
              </w:rPr>
              <w:t>Stock options</w:t>
            </w:r>
          </w:p>
        </w:tc>
        <w:tc>
          <w:tcPr>
            <w:tcW w:w="1780" w:type="dxa"/>
            <w:vAlign w:val="bottom"/>
          </w:tcPr>
          <w:p>
            <w:pPr>
              <w:jc w:val="right"/>
              <w:ind w:right="501"/>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8"/>
              <w:spacing w:after="0"/>
              <w:rPr>
                <w:sz w:val="20"/>
                <w:szCs w:val="20"/>
                <w:color w:val="auto"/>
              </w:rPr>
            </w:pPr>
            <w:r>
              <w:rPr>
                <w:rFonts w:ascii="Arial" w:cs="Arial" w:eastAsia="Arial" w:hAnsi="Arial"/>
                <w:sz w:val="17"/>
                <w:szCs w:val="17"/>
                <w:color w:val="auto"/>
              </w:rPr>
              <w:t>19,823</w:t>
            </w:r>
          </w:p>
        </w:tc>
      </w:tr>
      <w:tr>
        <w:trPr>
          <w:trHeight w:val="215"/>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Restricted stock awards</w:t>
            </w:r>
          </w:p>
        </w:tc>
        <w:tc>
          <w:tcPr>
            <w:tcW w:w="1780" w:type="dxa"/>
            <w:vAlign w:val="bottom"/>
            <w:tcBorders>
              <w:bottom w:val="single" w:sz="8" w:color="auto"/>
            </w:tcBorders>
            <w:shd w:val="clear" w:color="auto" w:fill="CCEEFF"/>
          </w:tcPr>
          <w:p>
            <w:pPr>
              <w:jc w:val="right"/>
              <w:ind w:right="501"/>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10,250</w:t>
            </w:r>
          </w:p>
        </w:tc>
      </w:tr>
      <w:tr>
        <w:trPr>
          <w:trHeight w:val="209"/>
        </w:trPr>
        <w:tc>
          <w:tcPr>
            <w:tcW w:w="8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outstanding,</w:t>
            </w: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60" w:type="dxa"/>
            <w:vAlign w:val="bottom"/>
          </w:tcPr>
          <w:p>
            <w:pPr>
              <w:ind w:left="200"/>
              <w:spacing w:after="0"/>
              <w:rPr>
                <w:sz w:val="20"/>
                <w:szCs w:val="20"/>
                <w:color w:val="auto"/>
              </w:rPr>
            </w:pPr>
            <w:r>
              <w:rPr>
                <w:rFonts w:ascii="Arial" w:cs="Arial" w:eastAsia="Arial" w:hAnsi="Arial"/>
                <w:sz w:val="17"/>
                <w:szCs w:val="17"/>
                <w:color w:val="auto"/>
              </w:rPr>
              <w:t>used for computing diluted earnings per share</w:t>
            </w:r>
          </w:p>
        </w:tc>
        <w:tc>
          <w:tcPr>
            <w:tcW w:w="1780" w:type="dxa"/>
            <w:vAlign w:val="bottom"/>
            <w:tcBorders>
              <w:bottom w:val="single" w:sz="8" w:color="auto"/>
            </w:tcBorders>
          </w:tcPr>
          <w:p>
            <w:pPr>
              <w:jc w:val="right"/>
              <w:ind w:right="501"/>
              <w:spacing w:after="0"/>
              <w:rPr>
                <w:sz w:val="20"/>
                <w:szCs w:val="20"/>
                <w:color w:val="auto"/>
              </w:rPr>
            </w:pPr>
            <w:r>
              <w:rPr>
                <w:rFonts w:ascii="Arial" w:cs="Arial" w:eastAsia="Arial" w:hAnsi="Arial"/>
                <w:sz w:val="17"/>
                <w:szCs w:val="17"/>
                <w:color w:val="auto"/>
              </w:rPr>
              <w:t>10,773,623</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86"/>
              </w:rPr>
              <w:t>10,716,886</w:t>
            </w:r>
          </w:p>
        </w:tc>
      </w:tr>
      <w:tr>
        <w:trPr>
          <w:trHeight w:val="20"/>
        </w:trPr>
        <w:tc>
          <w:tcPr>
            <w:tcW w:w="8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Subsequent Events</w:t>
      </w:r>
    </w:p>
    <w:p>
      <w:pPr>
        <w:spacing w:after="0" w:line="227"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The Company has evaluated events that occurred subsequent to December 31, 2019 through March 16, 2020, the date these consolidated financial statements were issued for matters that required disclosure or adjustment in these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On February 6, 2020, the Company’s Board of Directors approved a quarterly dividend of $0.0625 per share payable in cash on March 13, 2020 to stockholders of record as of the close of business on February 28, 2020 (see Note 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Awards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Pursuant to the terms of the Amended Employment Agreement between the Company and Mr. Goldstein, on January 3, 2020, he was granted 157,431 shares of restricted stock valued at $1,250,000 and 17,191 shares of restricted stock valued at $136,500 (see Note 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color w:val="auto"/>
        </w:rPr>
        <w:t>Note 20 – Quarterly Financial Data (Unaudited)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unaudited quarterly results of operations for the years ended December 31, 2019 and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215"/>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March 31,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June 30,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7"/>
              </w:rPr>
              <w:t>September 30,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w w:val="87"/>
              </w:rPr>
              <w:t>December 31,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Total</w:t>
            </w:r>
          </w:p>
        </w:tc>
      </w:tr>
      <w:tr>
        <w:trPr>
          <w:trHeight w:val="235"/>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29,595,889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9"/>
              </w:rPr>
              <w:t>31,201,279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91"/>
              </w:rPr>
              <w:t>34,220,010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32,606,264</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w w:val="94"/>
              </w:rPr>
              <w:t>$127,623,442</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1,277,683</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675,695</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1,029,582</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1,667,891</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4,650,851</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1,623,712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1,719,769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1,856,553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1,669,312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6,869,346</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Net gains on investments</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2,035,363</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678,655</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998,162</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878,839</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4,591,019</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34,898,548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9"/>
              </w:rPr>
              <w:t>34,605,370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91"/>
              </w:rPr>
              <w:t>38,600,003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37,459,099</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145,563,020</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Loss and loss adjustment expenses</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29,134,224</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w w:val="89"/>
              </w:rPr>
              <w:t>17,672,308</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w w:val="91"/>
              </w:rPr>
              <w:t>24,781,318</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18,594,474</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90,182,324</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Commission expense and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562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12,989,407</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w w:val="89"/>
              </w:rPr>
              <w:t>12,715,622</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w w:val="91"/>
              </w:rPr>
              <w:t>14,210,078</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14,698,276</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54,613,383</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(7,335,190)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1,639,380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(1,725,162)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1,454,619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(5,966,353)</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Basic earnings (loss) per share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(0.68)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0.15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(0.16)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0.13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(0.55)</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Diluted earnings (loss)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0.13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r>
      <w:tr>
        <w:trPr>
          <w:trHeight w:val="424"/>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5"/>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March 31,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June 30,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7"/>
              </w:rPr>
              <w:t>September 30,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w w:val="87"/>
              </w:rPr>
              <w:t>December 31,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Total</w:t>
            </w:r>
          </w:p>
        </w:tc>
      </w:tr>
      <w:tr>
        <w:trPr>
          <w:trHeight w:val="235"/>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22,837,617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9"/>
              </w:rPr>
              <w:t>24,104,614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91"/>
              </w:rPr>
              <w:t>27,533,907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28,938,577</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w w:val="94"/>
              </w:rPr>
              <w:t>$103,414,715</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1,695,158</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1,691,168</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1,044,529</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901,775</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5,332,630</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1,383,989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1,556,866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1,602,371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1,643,022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6,186,248</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Net realized gain (loss) on investments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(523,127)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(106,733)</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352,025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6"/>
              </w:rPr>
              <w:t>(2,218,022)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4"/>
              </w:rPr>
              <w:t>(2,495,857)</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25,701,870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9"/>
              </w:rPr>
              <w:t>27,546,186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91"/>
              </w:rPr>
              <w:t>30,885,909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1"/>
              </w:rPr>
              <w:t>29,637,933</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113,771,898</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Loss and loss adjustment expenses</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17,266,330</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w w:val="89"/>
              </w:rPr>
              <w:t>11,176,085</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w w:val="91"/>
              </w:rPr>
              <w:t>13,296,708</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16,556,082</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58,295,205</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Commission expense and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562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22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10,831,451</w:t>
            </w:r>
          </w:p>
        </w:tc>
        <w:tc>
          <w:tcPr>
            <w:tcW w:w="200" w:type="dxa"/>
            <w:vAlign w:val="bottom"/>
          </w:tcPr>
          <w:p>
            <w:pPr>
              <w:spacing w:after="0"/>
              <w:rPr>
                <w:sz w:val="18"/>
                <w:szCs w:val="18"/>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w w:val="89"/>
              </w:rPr>
              <w:t>11,093,175</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w w:val="91"/>
              </w:rPr>
              <w:t>11,788,002</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w w:val="91"/>
              </w:rPr>
              <w:t>12,572,851</w:t>
            </w:r>
          </w:p>
        </w:tc>
        <w:tc>
          <w:tcPr>
            <w:tcW w:w="20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46,285,479</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(2,717,934)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2,757,297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3,933,730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(879,847)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3,093,246</w:t>
            </w: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(0.28)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0.26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0.37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(0.08)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0.29</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Diluted earnings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0.36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0.29</w:t>
            </w:r>
          </w:p>
        </w:tc>
      </w:tr>
    </w:tbl>
    <w:p>
      <w:pPr>
        <w:spacing w:after="0" w:line="20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Due to changes in number of shares outstanding from quarter to quarter, the total earnings per share of the four quarters may not necessarily equal the total earnings per share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bookmarkStart w:id="120" w:name="page121"/>
    <w:bookmarkEnd w:id="120"/>
    <w:p>
      <w:pPr>
        <w:ind w:left="10420"/>
        <w:spacing w:after="0"/>
        <w:rPr>
          <w:sz w:val="20"/>
          <w:szCs w:val="20"/>
          <w:color w:val="auto"/>
        </w:rPr>
      </w:pPr>
      <w:r>
        <w:rPr>
          <w:rFonts w:ascii="Arial" w:cs="Arial" w:eastAsia="Arial" w:hAnsi="Arial"/>
          <w:sz w:val="15"/>
          <w:szCs w:val="15"/>
          <w:b w:val="1"/>
          <w:bCs w:val="1"/>
          <w:color w:val="auto"/>
        </w:rPr>
        <w:t>Exhibit 10c</w:t>
      </w:r>
    </w:p>
    <w:p>
      <w:pPr>
        <w:spacing w:after="0" w:line="246" w:lineRule="exact"/>
        <w:rPr>
          <w:sz w:val="20"/>
          <w:szCs w:val="20"/>
          <w:color w:val="auto"/>
        </w:rPr>
      </w:pPr>
    </w:p>
    <w:p>
      <w:pPr>
        <w:jc w:val="both"/>
        <w:ind w:firstLine="627"/>
        <w:spacing w:after="0" w:line="223" w:lineRule="auto"/>
        <w:rPr>
          <w:sz w:val="20"/>
          <w:szCs w:val="20"/>
          <w:color w:val="auto"/>
        </w:rPr>
      </w:pPr>
      <w:r>
        <w:rPr>
          <w:rFonts w:ascii="Arial" w:cs="Arial" w:eastAsia="Arial" w:hAnsi="Arial"/>
          <w:sz w:val="17"/>
          <w:szCs w:val="17"/>
          <w:b w:val="1"/>
          <w:bCs w:val="1"/>
          <w:color w:val="auto"/>
        </w:rPr>
        <w:t xml:space="preserve">STOCK GRANT AGREEMENT </w:t>
      </w:r>
      <w:r>
        <w:rPr>
          <w:rFonts w:ascii="Arial" w:cs="Arial" w:eastAsia="Arial" w:hAnsi="Arial"/>
          <w:sz w:val="17"/>
          <w:szCs w:val="17"/>
          <w:color w:val="auto"/>
        </w:rPr>
        <w:t>made as of the 3</w:t>
      </w:r>
      <w:r>
        <w:rPr>
          <w:rFonts w:ascii="Arial" w:cs="Arial" w:eastAsia="Arial" w:hAnsi="Arial"/>
          <w:sz w:val="23"/>
          <w:szCs w:val="23"/>
          <w:color w:val="auto"/>
          <w:vertAlign w:val="superscript"/>
        </w:rPr>
        <w:t>rd</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January, 2020 between</w:t>
      </w:r>
      <w:r>
        <w:rPr>
          <w:rFonts w:ascii="Arial" w:cs="Arial" w:eastAsia="Arial" w:hAnsi="Arial"/>
          <w:sz w:val="17"/>
          <w:szCs w:val="17"/>
          <w:b w:val="1"/>
          <w:bCs w:val="1"/>
          <w:color w:val="auto"/>
        </w:rPr>
        <w:t xml:space="preserve"> KINGSTONE COMPANIES, INC.</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and </w:t>
      </w:r>
      <w:r>
        <w:rPr>
          <w:rFonts w:ascii="Arial" w:cs="Arial" w:eastAsia="Arial" w:hAnsi="Arial"/>
          <w:sz w:val="17"/>
          <w:szCs w:val="17"/>
          <w:b w:val="1"/>
          <w:bCs w:val="1"/>
          <w:color w:val="auto"/>
        </w:rPr>
        <w:t>BARRY B. GOLDSTEIN</w:t>
      </w:r>
      <w:r>
        <w:rPr>
          <w:rFonts w:ascii="Arial" w:cs="Arial" w:eastAsia="Arial" w:hAnsi="Arial"/>
          <w:sz w:val="17"/>
          <w:szCs w:val="17"/>
          <w:color w:val="auto"/>
        </w:rPr>
        <w:t xml:space="preserve"> (the “Grantee”).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Grantee is the Chief Executive Officer and President of the Company;</w:t>
      </w:r>
    </w:p>
    <w:p>
      <w:pPr>
        <w:spacing w:after="0" w:line="15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Grantee are parties to a Second Amended and Restated Employment Agreement dated as of October 14, 2019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Agreement”);</w:t>
      </w:r>
    </w:p>
    <w:p>
      <w:pPr>
        <w:spacing w:after="0" w:line="9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Employment Agreement, the Compensation Committee of the Board of Directors of the Company has approved the grant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Grantee of common stock of the Company (“Common Stock”) pursuant to the Company’s 2014 Equity Participation Plan (the “Plan”).</w:t>
      </w:r>
    </w:p>
    <w:p>
      <w:pPr>
        <w:spacing w:after="0" w:line="9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the Company hereby grants to the Grantee an award of shares of Common Stock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terms and conditions:</w:t>
      </w:r>
    </w:p>
    <w:p>
      <w:pPr>
        <w:spacing w:after="0" w:line="122" w:lineRule="exact"/>
        <w:rPr>
          <w:sz w:val="20"/>
          <w:szCs w:val="20"/>
          <w:color w:val="auto"/>
        </w:rPr>
      </w:pPr>
    </w:p>
    <w:p>
      <w:pPr>
        <w:ind w:left="960" w:hanging="328"/>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All terms used, but not otherwise defined, herein shall have the meanings ascribed to them in the Plan or the Employment</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73" w:lineRule="exact"/>
        <w:rPr>
          <w:rFonts w:ascii="Arial" w:cs="Arial" w:eastAsia="Arial" w:hAnsi="Arial"/>
          <w:sz w:val="16"/>
          <w:szCs w:val="16"/>
          <w:color w:val="auto"/>
        </w:rPr>
      </w:pPr>
    </w:p>
    <w:p>
      <w:pPr>
        <w:ind w:right="160" w:firstLine="632"/>
        <w:spacing w:after="0" w:line="295" w:lineRule="auto"/>
        <w:tabs>
          <w:tab w:leader="none" w:pos="964"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Subject to the terms and conditions of the Plan and the provisions hereof, the Company hereby agrees to grant to the Grantee,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16 of the Plan, an award of One Hundred Fifty-Seven Thousand Four Hundred Thirty-One (157,431) shares of Common Stock (the “Shares”), such Shares being issuable on the Vesting Dates (as hereinafter defined) set forth in, and subject to the provisions of, Section 3 hereof.</w:t>
      </w:r>
    </w:p>
    <w:p>
      <w:pPr>
        <w:spacing w:after="0" w:line="118" w:lineRule="exact"/>
        <w:rPr>
          <w:rFonts w:ascii="Arial" w:cs="Arial" w:eastAsia="Arial" w:hAnsi="Arial"/>
          <w:sz w:val="16"/>
          <w:szCs w:val="16"/>
          <w:color w:val="auto"/>
        </w:rPr>
      </w:pPr>
    </w:p>
    <w:p>
      <w:pPr>
        <w:ind w:right="60" w:firstLine="632"/>
        <w:spacing w:after="0" w:line="318" w:lineRule="auto"/>
        <w:tabs>
          <w:tab w:leader="none" w:pos="964"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OF SHARES</w:t>
      </w:r>
      <w:r>
        <w:rPr>
          <w:rFonts w:ascii="Arial" w:cs="Arial" w:eastAsia="Arial" w:hAnsi="Arial"/>
          <w:sz w:val="16"/>
          <w:szCs w:val="16"/>
          <w:color w:val="auto"/>
        </w:rPr>
        <w:t>. (a) The Shares shall vest on the respective Vesting Dates set forth below, provided that the Grantee continues to serve as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director or consultant of the Company as of the applicable Vesting Date (or sooner as provided for in paragraph (c) hereof):</w:t>
      </w:r>
    </w:p>
    <w:p>
      <w:pPr>
        <w:spacing w:after="0" w:line="78" w:lineRule="exact"/>
        <w:rPr>
          <w:rFonts w:ascii="Arial" w:cs="Arial" w:eastAsia="Arial" w:hAnsi="Arial"/>
          <w:sz w:val="16"/>
          <w:szCs w:val="16"/>
          <w:color w:val="auto"/>
        </w:rPr>
      </w:pPr>
    </w:p>
    <w:p>
      <w:pPr>
        <w:ind w:left="2520" w:hanging="634"/>
        <w:spacing w:after="0" w:line="281" w:lineRule="auto"/>
        <w:tabs>
          <w:tab w:leader="none" w:pos="25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Fifty-Two Thousand Four Hundred Seventy-Seven (52,477) of the Shares on the first anniversary of the date hereof (the “First Vesting Date”);</w:t>
      </w:r>
    </w:p>
    <w:p>
      <w:pPr>
        <w:spacing w:after="0" w:line="169" w:lineRule="exact"/>
        <w:rPr>
          <w:rFonts w:ascii="Arial" w:cs="Arial" w:eastAsia="Arial" w:hAnsi="Arial"/>
          <w:sz w:val="17"/>
          <w:szCs w:val="17"/>
          <w:color w:val="auto"/>
        </w:rPr>
      </w:pPr>
    </w:p>
    <w:p>
      <w:pPr>
        <w:ind w:left="2520" w:hanging="634"/>
        <w:spacing w:after="0" w:line="281" w:lineRule="auto"/>
        <w:tabs>
          <w:tab w:leader="none" w:pos="25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Fifty-Two Thousand Four Hundred Seventy-Seven (52,477) of the Shares on the second anniversary of the date hereof (the “Second Vesting Date”); and</w:t>
      </w:r>
    </w:p>
    <w:p>
      <w:pPr>
        <w:spacing w:after="0" w:line="169" w:lineRule="exact"/>
        <w:rPr>
          <w:rFonts w:ascii="Arial" w:cs="Arial" w:eastAsia="Arial" w:hAnsi="Arial"/>
          <w:sz w:val="17"/>
          <w:szCs w:val="17"/>
          <w:color w:val="auto"/>
        </w:rPr>
      </w:pPr>
    </w:p>
    <w:p>
      <w:pPr>
        <w:jc w:val="both"/>
        <w:ind w:left="2520" w:hanging="634"/>
        <w:spacing w:after="0" w:line="268" w:lineRule="auto"/>
        <w:tabs>
          <w:tab w:leader="none" w:pos="25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Fifty-Two Thousand Four Hundred Seventy-Seven (52,477) of the Shares on December 31, 2022 (the “Third Vesting Date”); each of the First Vesting Date, the Second Vesting Date and the Third Vesting Date is referred to hereinafter as a “Vesting Date”.</w:t>
      </w:r>
    </w:p>
    <w:p>
      <w:pPr>
        <w:spacing w:after="0" w:line="233" w:lineRule="exact"/>
        <w:rPr>
          <w:rFonts w:ascii="Arial" w:cs="Arial" w:eastAsia="Arial" w:hAnsi="Arial"/>
          <w:sz w:val="17"/>
          <w:szCs w:val="17"/>
          <w:color w:val="auto"/>
        </w:rPr>
      </w:pPr>
    </w:p>
    <w:p>
      <w:pPr>
        <w:ind w:firstLine="1259"/>
        <w:spacing w:after="0" w:line="320" w:lineRule="auto"/>
        <w:tabs>
          <w:tab w:leader="none" w:pos="1662" w:val="left"/>
        </w:tabs>
        <w:numPr>
          <w:ilvl w:val="1"/>
          <w:numId w:val="50"/>
        </w:numPr>
        <w:rPr>
          <w:rFonts w:ascii="Arial" w:cs="Arial" w:eastAsia="Arial" w:hAnsi="Arial"/>
          <w:sz w:val="15"/>
          <w:szCs w:val="15"/>
          <w:color w:val="auto"/>
        </w:rPr>
      </w:pPr>
      <w:r>
        <w:rPr>
          <w:rFonts w:ascii="Arial" w:cs="Arial" w:eastAsia="Arial" w:hAnsi="Arial"/>
          <w:sz w:val="15"/>
          <w:szCs w:val="15"/>
          <w:color w:val="auto"/>
        </w:rPr>
        <w:t>In the event that the Grantee does not continue to serve as an employee, director or consultant of the Company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spacing w:after="0" w:line="107" w:lineRule="exact"/>
        <w:rPr>
          <w:rFonts w:ascii="Arial" w:cs="Arial" w:eastAsia="Arial" w:hAnsi="Arial"/>
          <w:sz w:val="15"/>
          <w:szCs w:val="15"/>
          <w:color w:val="auto"/>
        </w:rPr>
      </w:pPr>
    </w:p>
    <w:p>
      <w:pPr>
        <w:ind w:right="180" w:firstLine="1259"/>
        <w:spacing w:after="0" w:line="262" w:lineRule="auto"/>
        <w:tabs>
          <w:tab w:leader="none" w:pos="1652" w:val="left"/>
        </w:tabs>
        <w:numPr>
          <w:ilvl w:val="1"/>
          <w:numId w:val="50"/>
        </w:numPr>
        <w:rPr>
          <w:rFonts w:ascii="Arial" w:cs="Arial" w:eastAsia="Arial" w:hAnsi="Arial"/>
          <w:sz w:val="17"/>
          <w:szCs w:val="17"/>
          <w:color w:val="auto"/>
        </w:rPr>
      </w:pPr>
      <w:r>
        <w:rPr>
          <w:rFonts w:ascii="Arial" w:cs="Arial" w:eastAsia="Arial" w:hAnsi="Arial"/>
          <w:sz w:val="17"/>
          <w:szCs w:val="17"/>
          <w:color w:val="auto"/>
        </w:rPr>
        <w:t>In the event that, prior to a particular Vesting Date (i) the Grantee’s employment with the Company is terminated other than for Cause, (ii) the Grantee’s employment with the Company is terminated as a result of the Grantee having become Disabled, (iii) the Grantee dies while an employee of the Company, or (iv) the Grantee resigns his employment with the Company for Good Reason, the Shares that were scheduled to vest on such Vesting Date and thereafter shall instead vest on the date of termination of employment, the date of death or the date of resignation of employment, as the case may be (the “Termination Date”).</w:t>
      </w:r>
    </w:p>
    <w:p>
      <w:pPr>
        <w:spacing w:after="0" w:line="148" w:lineRule="exact"/>
        <w:rPr>
          <w:rFonts w:ascii="Arial" w:cs="Arial" w:eastAsia="Arial" w:hAnsi="Arial"/>
          <w:sz w:val="17"/>
          <w:szCs w:val="17"/>
          <w:color w:val="auto"/>
        </w:rPr>
      </w:pPr>
    </w:p>
    <w:p>
      <w:pPr>
        <w:ind w:right="280" w:firstLine="1259"/>
        <w:spacing w:after="0" w:line="281" w:lineRule="auto"/>
        <w:tabs>
          <w:tab w:leader="none" w:pos="1662" w:val="left"/>
        </w:tabs>
        <w:numPr>
          <w:ilvl w:val="1"/>
          <w:numId w:val="50"/>
        </w:numPr>
        <w:rPr>
          <w:rFonts w:ascii="Arial" w:cs="Arial" w:eastAsia="Arial" w:hAnsi="Arial"/>
          <w:sz w:val="17"/>
          <w:szCs w:val="17"/>
          <w:color w:val="auto"/>
        </w:rPr>
      </w:pPr>
      <w:r>
        <w:rPr>
          <w:rFonts w:ascii="Arial" w:cs="Arial" w:eastAsia="Arial" w:hAnsi="Arial"/>
          <w:sz w:val="17"/>
          <w:szCs w:val="17"/>
          <w:color w:val="auto"/>
        </w:rPr>
        <w:t>In the event that Shares vest on a Vesting Date or the Termination Date, as the case may be, the certificate representing the portion of the Shares then vested shall be issued by the Company as soon as reasonably practicable thereafter.</w:t>
      </w:r>
    </w:p>
    <w:p>
      <w:pPr>
        <w:spacing w:after="0" w:line="130" w:lineRule="exact"/>
        <w:rPr>
          <w:rFonts w:ascii="Arial" w:cs="Arial" w:eastAsia="Arial" w:hAnsi="Arial"/>
          <w:sz w:val="17"/>
          <w:szCs w:val="17"/>
          <w:color w:val="auto"/>
        </w:rPr>
      </w:pPr>
    </w:p>
    <w:p>
      <w:pPr>
        <w:ind w:firstLine="1259"/>
        <w:spacing w:after="0" w:line="281" w:lineRule="auto"/>
        <w:tabs>
          <w:tab w:leader="none" w:pos="1652"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36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121" w:name="page122"/>
    <w:bookmarkEnd w:id="121"/>
    <w:p>
      <w:pPr>
        <w:ind w:left="328" w:hanging="328"/>
        <w:spacing w:after="0"/>
        <w:tabs>
          <w:tab w:leader="none" w:pos="328"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 BY REFERENCE</w:t>
      </w:r>
      <w:r>
        <w:rPr>
          <w:rFonts w:ascii="Arial" w:cs="Arial" w:eastAsia="Arial" w:hAnsi="Arial"/>
          <w:sz w:val="16"/>
          <w:szCs w:val="16"/>
          <w:color w:val="auto"/>
        </w:rPr>
        <w:t>. The terms and conditions of the Plan are hereby incorporated by reference and made a part hereof.</w:t>
      </w:r>
    </w:p>
    <w:p>
      <w:pPr>
        <w:spacing w:after="0" w:line="195" w:lineRule="exact"/>
        <w:rPr>
          <w:rFonts w:ascii="Arial" w:cs="Arial" w:eastAsia="Arial" w:hAnsi="Arial"/>
          <w:sz w:val="16"/>
          <w:szCs w:val="16"/>
          <w:color w:val="auto"/>
        </w:rPr>
      </w:pPr>
    </w:p>
    <w:p>
      <w:pPr>
        <w:ind w:left="-632" w:right="40" w:firstLine="632"/>
        <w:spacing w:after="0" w:line="264" w:lineRule="auto"/>
        <w:tabs>
          <w:tab w:leader="none" w:pos="332"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or other communication given hereunder shall be deemed sufficient if in writing and hand delivered or sent by registered 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return receipt requested, addressed to the Company, 15 Joys Lane, Kingston, New York 12401, Attention: Chief Financial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40" w:lineRule="exact"/>
        <w:rPr>
          <w:rFonts w:ascii="Arial" w:cs="Arial" w:eastAsia="Arial" w:hAnsi="Arial"/>
          <w:sz w:val="17"/>
          <w:szCs w:val="17"/>
          <w:color w:val="auto"/>
        </w:rPr>
      </w:pPr>
    </w:p>
    <w:p>
      <w:pPr>
        <w:ind w:left="-632" w:right="420" w:firstLine="632"/>
        <w:spacing w:after="0" w:line="286" w:lineRule="auto"/>
        <w:tabs>
          <w:tab w:leader="none" w:pos="332"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w:t>
      </w:r>
      <w:r>
        <w:rPr>
          <w:rFonts w:ascii="Arial" w:cs="Arial" w:eastAsia="Arial" w:hAnsi="Arial"/>
          <w:sz w:val="17"/>
          <w:szCs w:val="17"/>
          <w:color w:val="auto"/>
        </w:rPr>
        <w:t>. This Stock Grant Agreement shall be binding upon and inure to the benefit of the parties hereto and their respective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successors and assigns.</w:t>
      </w:r>
    </w:p>
    <w:p>
      <w:pPr>
        <w:spacing w:after="0" w:line="122" w:lineRule="exact"/>
        <w:rPr>
          <w:rFonts w:ascii="Arial" w:cs="Arial" w:eastAsia="Arial" w:hAnsi="Arial"/>
          <w:sz w:val="17"/>
          <w:szCs w:val="17"/>
          <w:color w:val="auto"/>
        </w:rPr>
      </w:pPr>
    </w:p>
    <w:p>
      <w:pPr>
        <w:ind w:left="-632" w:firstLine="632"/>
        <w:spacing w:after="0" w:line="286" w:lineRule="auto"/>
        <w:tabs>
          <w:tab w:leader="none" w:pos="332"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Stock Grant Agreement, together with the Plan, contains the entire understanding of the parties hereto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hereof and may be modified only by an instrument executed by the party sought to be charged.</w:t>
      </w:r>
    </w:p>
    <w:p>
      <w:pPr>
        <w:spacing w:after="0" w:line="122" w:lineRule="exact"/>
        <w:rPr>
          <w:rFonts w:ascii="Arial" w:cs="Arial" w:eastAsia="Arial" w:hAnsi="Arial"/>
          <w:sz w:val="17"/>
          <w:szCs w:val="17"/>
          <w:color w:val="auto"/>
        </w:rPr>
      </w:pPr>
    </w:p>
    <w:p>
      <w:pPr>
        <w:ind w:left="-632" w:right="460" w:firstLine="632"/>
        <w:spacing w:after="0" w:line="286" w:lineRule="auto"/>
        <w:tabs>
          <w:tab w:leader="none" w:pos="332"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Stock Grant Agreement shall be governed by, and construed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choice of law rules thereof.</w:t>
      </w:r>
    </w:p>
    <w:p>
      <w:pPr>
        <w:spacing w:after="0" w:line="122" w:lineRule="exact"/>
        <w:rPr>
          <w:rFonts w:ascii="Arial" w:cs="Arial" w:eastAsia="Arial" w:hAnsi="Arial"/>
          <w:sz w:val="17"/>
          <w:szCs w:val="17"/>
          <w:color w:val="auto"/>
        </w:rPr>
      </w:pPr>
    </w:p>
    <w:p>
      <w:pPr>
        <w:ind w:left="-632" w:right="460" w:firstLine="632"/>
        <w:spacing w:after="0" w:line="286" w:lineRule="auto"/>
        <w:tabs>
          <w:tab w:leader="none" w:pos="332"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EXECUTION IN COUNTERPARTS</w:t>
      </w:r>
      <w:r>
        <w:rPr>
          <w:rFonts w:ascii="Arial" w:cs="Arial" w:eastAsia="Arial" w:hAnsi="Arial"/>
          <w:sz w:val="17"/>
          <w:szCs w:val="17"/>
          <w:color w:val="auto"/>
        </w:rPr>
        <w:t>. This Stock Grant Agreement may be executed in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both of which together shall constitute one and the same instrument.</w:t>
      </w:r>
    </w:p>
    <w:p>
      <w:pPr>
        <w:spacing w:after="0" w:line="122" w:lineRule="exact"/>
        <w:rPr>
          <w:rFonts w:ascii="Arial" w:cs="Arial" w:eastAsia="Arial" w:hAnsi="Arial"/>
          <w:sz w:val="17"/>
          <w:szCs w:val="17"/>
          <w:color w:val="auto"/>
        </w:rPr>
      </w:pPr>
    </w:p>
    <w:p>
      <w:pPr>
        <w:ind w:left="428" w:hanging="428"/>
        <w:spacing w:after="0"/>
        <w:tabs>
          <w:tab w:leader="none" w:pos="428"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SIGNATURES</w:t>
      </w:r>
      <w:r>
        <w:rPr>
          <w:rFonts w:ascii="Arial" w:cs="Arial" w:eastAsia="Arial" w:hAnsi="Arial"/>
          <w:sz w:val="17"/>
          <w:szCs w:val="17"/>
          <w:color w:val="auto"/>
        </w:rPr>
        <w:t>. Signatures hereon which are transmitted via facsimile, or other electronic image, shall be deemed original signatures.</w:t>
      </w:r>
    </w:p>
    <w:p>
      <w:pPr>
        <w:spacing w:after="0" w:line="183" w:lineRule="exact"/>
        <w:rPr>
          <w:rFonts w:ascii="Arial" w:cs="Arial" w:eastAsia="Arial" w:hAnsi="Arial"/>
          <w:sz w:val="17"/>
          <w:szCs w:val="17"/>
          <w:color w:val="auto"/>
        </w:rPr>
      </w:pPr>
    </w:p>
    <w:p>
      <w:pPr>
        <w:ind w:left="-632" w:right="40" w:firstLine="632"/>
        <w:spacing w:after="0" w:line="295" w:lineRule="auto"/>
        <w:tabs>
          <w:tab w:leader="none" w:pos="411"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97" w:lineRule="exact"/>
        <w:rPr>
          <w:sz w:val="20"/>
          <w:szCs w:val="20"/>
          <w:color w:val="auto"/>
        </w:rPr>
      </w:pPr>
    </w:p>
    <w:p>
      <w:pPr>
        <w:ind w:left="29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Remainder of page intentionally left blank; 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146685</wp:posOffset>
            </wp:positionV>
            <wp:extent cx="71367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528"/>
          </w:cols>
          <w:pgMar w:left="952" w:top="519" w:right="41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Stock Grant Agreement as of the day and year first above written.</w:t>
      </w:r>
    </w:p>
    <w:p>
      <w:pPr>
        <w:spacing w:after="0" w:line="246"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KINGSTONE COMPANIES, INC.</w:t>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38735</wp:posOffset>
            </wp:positionV>
            <wp:extent cx="249809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5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Chief Financial Officer</w:t>
      </w:r>
    </w:p>
    <w:p>
      <w:pPr>
        <w:spacing w:after="0" w:line="21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Signature of Grantee</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279400</wp:posOffset>
            </wp:positionV>
            <wp:extent cx="249809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545465</wp:posOffset>
            </wp:positionV>
            <wp:extent cx="71367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9499"/>
          </w:cols>
          <w:pgMar w:left="960" w:top="545" w:right="1440" w:bottom="1440" w:gutter="0" w:footer="0" w:header="0"/>
        </w:sectPr>
      </w:pPr>
    </w:p>
    <w:bookmarkStart w:id="123" w:name="page124"/>
    <w:bookmarkEnd w:id="123"/>
    <w:p>
      <w:pPr>
        <w:ind w:left="10400"/>
        <w:spacing w:after="0"/>
        <w:rPr>
          <w:sz w:val="20"/>
          <w:szCs w:val="20"/>
          <w:color w:val="auto"/>
        </w:rPr>
      </w:pPr>
      <w:r>
        <w:rPr>
          <w:rFonts w:ascii="Arial" w:cs="Arial" w:eastAsia="Arial" w:hAnsi="Arial"/>
          <w:sz w:val="15"/>
          <w:szCs w:val="15"/>
          <w:b w:val="1"/>
          <w:bCs w:val="1"/>
          <w:color w:val="auto"/>
        </w:rPr>
        <w:t>Exhibit 10d</w:t>
      </w:r>
    </w:p>
    <w:p>
      <w:pPr>
        <w:spacing w:after="0" w:line="246" w:lineRule="exact"/>
        <w:rPr>
          <w:sz w:val="20"/>
          <w:szCs w:val="20"/>
          <w:color w:val="auto"/>
        </w:rPr>
      </w:pPr>
    </w:p>
    <w:p>
      <w:pPr>
        <w:jc w:val="both"/>
        <w:ind w:firstLine="627"/>
        <w:spacing w:after="0" w:line="223" w:lineRule="auto"/>
        <w:rPr>
          <w:sz w:val="20"/>
          <w:szCs w:val="20"/>
          <w:color w:val="auto"/>
        </w:rPr>
      </w:pPr>
      <w:r>
        <w:rPr>
          <w:rFonts w:ascii="Arial" w:cs="Arial" w:eastAsia="Arial" w:hAnsi="Arial"/>
          <w:sz w:val="17"/>
          <w:szCs w:val="17"/>
          <w:b w:val="1"/>
          <w:bCs w:val="1"/>
          <w:color w:val="auto"/>
        </w:rPr>
        <w:t xml:space="preserve">STOCK GRANT AGREEMENT </w:t>
      </w:r>
      <w:r>
        <w:rPr>
          <w:rFonts w:ascii="Arial" w:cs="Arial" w:eastAsia="Arial" w:hAnsi="Arial"/>
          <w:sz w:val="17"/>
          <w:szCs w:val="17"/>
          <w:color w:val="auto"/>
        </w:rPr>
        <w:t>made as of the 3</w:t>
      </w:r>
      <w:r>
        <w:rPr>
          <w:rFonts w:ascii="Arial" w:cs="Arial" w:eastAsia="Arial" w:hAnsi="Arial"/>
          <w:sz w:val="23"/>
          <w:szCs w:val="23"/>
          <w:color w:val="auto"/>
          <w:vertAlign w:val="superscript"/>
        </w:rPr>
        <w:t>rd</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January, 2020 between</w:t>
      </w:r>
      <w:r>
        <w:rPr>
          <w:rFonts w:ascii="Arial" w:cs="Arial" w:eastAsia="Arial" w:hAnsi="Arial"/>
          <w:sz w:val="17"/>
          <w:szCs w:val="17"/>
          <w:b w:val="1"/>
          <w:bCs w:val="1"/>
          <w:color w:val="auto"/>
        </w:rPr>
        <w:t xml:space="preserve"> KINGSTONE COMPANIES, INC.</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and </w:t>
      </w:r>
      <w:r>
        <w:rPr>
          <w:rFonts w:ascii="Arial" w:cs="Arial" w:eastAsia="Arial" w:hAnsi="Arial"/>
          <w:sz w:val="17"/>
          <w:szCs w:val="17"/>
          <w:b w:val="1"/>
          <w:bCs w:val="1"/>
          <w:color w:val="auto"/>
        </w:rPr>
        <w:t>BARRY B. GOLDSTEIN</w:t>
      </w:r>
      <w:r>
        <w:rPr>
          <w:rFonts w:ascii="Arial" w:cs="Arial" w:eastAsia="Arial" w:hAnsi="Arial"/>
          <w:sz w:val="17"/>
          <w:szCs w:val="17"/>
          <w:color w:val="auto"/>
        </w:rPr>
        <w:t xml:space="preserve"> (the “Grantee”).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Grantee is the Chief Executive Officer and President of the Company;</w:t>
      </w:r>
    </w:p>
    <w:p>
      <w:pPr>
        <w:spacing w:after="0" w:line="15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Grantee are parties to a Second Amended and Restated Employment Agreement dated as of October 14, 2019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Agreement”);</w:t>
      </w:r>
    </w:p>
    <w:p>
      <w:pPr>
        <w:spacing w:after="0" w:line="9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Employment Agreement, the Compensation Committee of the Board of Directors of the Company has approved the grant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Grantee of common stock of the Company (“Common Stock”) pursuant to the Company’s 2014 Equity Participation Plan (the “Plan”).</w:t>
      </w:r>
    </w:p>
    <w:p>
      <w:pPr>
        <w:spacing w:after="0" w:line="9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the Company hereby grants to the Grantee an award of shares of Common Stock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terms and conditions:</w:t>
      </w:r>
    </w:p>
    <w:p>
      <w:pPr>
        <w:spacing w:after="0" w:line="122" w:lineRule="exact"/>
        <w:rPr>
          <w:sz w:val="20"/>
          <w:szCs w:val="20"/>
          <w:color w:val="auto"/>
        </w:rPr>
      </w:pPr>
    </w:p>
    <w:p>
      <w:pPr>
        <w:ind w:left="960" w:hanging="328"/>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All terms used, but not otherwise defined, herein shall have the meanings ascribed to them in the Plan or the Employment</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73" w:lineRule="exact"/>
        <w:rPr>
          <w:rFonts w:ascii="Arial" w:cs="Arial" w:eastAsia="Arial" w:hAnsi="Arial"/>
          <w:sz w:val="16"/>
          <w:szCs w:val="16"/>
          <w:color w:val="auto"/>
        </w:rPr>
      </w:pPr>
    </w:p>
    <w:p>
      <w:pPr>
        <w:ind w:right="80" w:firstLine="632"/>
        <w:spacing w:after="0" w:line="271" w:lineRule="auto"/>
        <w:tabs>
          <w:tab w:leader="none" w:pos="964" w:val="left"/>
        </w:tabs>
        <w:numPr>
          <w:ilvl w:val="0"/>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Subject to the terms and conditions of the Plan and the provisions hereof, the Company hereby agrees to grant to the Grantee,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16 of the Plan, an award of Seventeen Thousand One Hundred Ninety-One (17,191) shares of Common Stock (the “Shares”), such Shares being issuable on the Vesting Dates (as hereinafter defined) set forth in, and subject to the provisions of, Section 3 hereof.</w:t>
      </w:r>
    </w:p>
    <w:p>
      <w:pPr>
        <w:spacing w:after="0" w:line="135" w:lineRule="exact"/>
        <w:rPr>
          <w:rFonts w:ascii="Arial" w:cs="Arial" w:eastAsia="Arial" w:hAnsi="Arial"/>
          <w:sz w:val="17"/>
          <w:szCs w:val="17"/>
          <w:color w:val="auto"/>
        </w:rPr>
      </w:pPr>
    </w:p>
    <w:p>
      <w:pPr>
        <w:ind w:right="60" w:firstLine="632"/>
        <w:spacing w:after="0" w:line="318" w:lineRule="auto"/>
        <w:tabs>
          <w:tab w:leader="none" w:pos="964"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OF SHARES</w:t>
      </w:r>
      <w:r>
        <w:rPr>
          <w:rFonts w:ascii="Arial" w:cs="Arial" w:eastAsia="Arial" w:hAnsi="Arial"/>
          <w:sz w:val="16"/>
          <w:szCs w:val="16"/>
          <w:color w:val="auto"/>
        </w:rPr>
        <w:t>. (a) The Shares shall vest on the respective Vesting Dates set forth below, provided that the Grantee continues to serve as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director or consultant of the Company as of the applicable Vesting Date (or sooner as provided for in paragraph (c) hereof):</w:t>
      </w:r>
    </w:p>
    <w:p>
      <w:pPr>
        <w:spacing w:after="0" w:line="78" w:lineRule="exact"/>
        <w:rPr>
          <w:rFonts w:ascii="Arial" w:cs="Arial" w:eastAsia="Arial" w:hAnsi="Arial"/>
          <w:sz w:val="16"/>
          <w:szCs w:val="16"/>
          <w:color w:val="auto"/>
        </w:rPr>
      </w:pPr>
    </w:p>
    <w:p>
      <w:pPr>
        <w:ind w:left="2520" w:hanging="634"/>
        <w:spacing w:after="0" w:line="281" w:lineRule="auto"/>
        <w:tabs>
          <w:tab w:leader="none" w:pos="2520" w:val="left"/>
        </w:tabs>
        <w:numPr>
          <w:ilvl w:val="2"/>
          <w:numId w:val="52"/>
        </w:numPr>
        <w:rPr>
          <w:rFonts w:ascii="Arial" w:cs="Arial" w:eastAsia="Arial" w:hAnsi="Arial"/>
          <w:sz w:val="17"/>
          <w:szCs w:val="17"/>
          <w:color w:val="auto"/>
        </w:rPr>
      </w:pPr>
      <w:r>
        <w:rPr>
          <w:rFonts w:ascii="Arial" w:cs="Arial" w:eastAsia="Arial" w:hAnsi="Arial"/>
          <w:sz w:val="17"/>
          <w:szCs w:val="17"/>
          <w:color w:val="auto"/>
        </w:rPr>
        <w:t>Five Thousand Seven Hundred Thirty-One (5,731) of the Shares on the first anniversary of the date hereof (the “First Vesting Date”);</w:t>
      </w:r>
    </w:p>
    <w:p>
      <w:pPr>
        <w:spacing w:after="0" w:line="169" w:lineRule="exact"/>
        <w:rPr>
          <w:rFonts w:ascii="Arial" w:cs="Arial" w:eastAsia="Arial" w:hAnsi="Arial"/>
          <w:sz w:val="17"/>
          <w:szCs w:val="17"/>
          <w:color w:val="auto"/>
        </w:rPr>
      </w:pPr>
    </w:p>
    <w:p>
      <w:pPr>
        <w:ind w:left="2520" w:hanging="634"/>
        <w:spacing w:after="0" w:line="281" w:lineRule="auto"/>
        <w:tabs>
          <w:tab w:leader="none" w:pos="2520" w:val="left"/>
        </w:tabs>
        <w:numPr>
          <w:ilvl w:val="2"/>
          <w:numId w:val="52"/>
        </w:numPr>
        <w:rPr>
          <w:rFonts w:ascii="Arial" w:cs="Arial" w:eastAsia="Arial" w:hAnsi="Arial"/>
          <w:sz w:val="17"/>
          <w:szCs w:val="17"/>
          <w:color w:val="auto"/>
        </w:rPr>
      </w:pPr>
      <w:r>
        <w:rPr>
          <w:rFonts w:ascii="Arial" w:cs="Arial" w:eastAsia="Arial" w:hAnsi="Arial"/>
          <w:sz w:val="17"/>
          <w:szCs w:val="17"/>
          <w:color w:val="auto"/>
        </w:rPr>
        <w:t>Five Thousand Seven Hundred Thirty (5,730) of the Shares on the second anniversary of the date hereof (the “Second Vesting Date”); and</w:t>
      </w:r>
    </w:p>
    <w:p>
      <w:pPr>
        <w:spacing w:after="0" w:line="169" w:lineRule="exact"/>
        <w:rPr>
          <w:rFonts w:ascii="Arial" w:cs="Arial" w:eastAsia="Arial" w:hAnsi="Arial"/>
          <w:sz w:val="17"/>
          <w:szCs w:val="17"/>
          <w:color w:val="auto"/>
        </w:rPr>
      </w:pPr>
    </w:p>
    <w:p>
      <w:pPr>
        <w:ind w:left="2520" w:hanging="634"/>
        <w:spacing w:after="0" w:line="313" w:lineRule="auto"/>
        <w:tabs>
          <w:tab w:leader="none" w:pos="2520" w:val="left"/>
        </w:tabs>
        <w:numPr>
          <w:ilvl w:val="2"/>
          <w:numId w:val="52"/>
        </w:numPr>
        <w:rPr>
          <w:rFonts w:ascii="Arial" w:cs="Arial" w:eastAsia="Arial" w:hAnsi="Arial"/>
          <w:sz w:val="16"/>
          <w:szCs w:val="16"/>
          <w:color w:val="auto"/>
        </w:rPr>
      </w:pPr>
      <w:r>
        <w:rPr>
          <w:rFonts w:ascii="Arial" w:cs="Arial" w:eastAsia="Arial" w:hAnsi="Arial"/>
          <w:sz w:val="16"/>
          <w:szCs w:val="16"/>
          <w:color w:val="auto"/>
        </w:rPr>
        <w:t>Five Thousand Seven Hundred Thirty (5,730) of the Shares on December 31, 2022 (the “Third Vesting Date”); each of the First Vesting Date, the Second Vesting Date and the Third Vesting Date is referred to hereinafter as a “Vesting Date”.</w:t>
      </w:r>
    </w:p>
    <w:p>
      <w:pPr>
        <w:spacing w:after="0" w:line="173" w:lineRule="exact"/>
        <w:rPr>
          <w:rFonts w:ascii="Arial" w:cs="Arial" w:eastAsia="Arial" w:hAnsi="Arial"/>
          <w:sz w:val="16"/>
          <w:szCs w:val="16"/>
          <w:color w:val="auto"/>
        </w:rPr>
      </w:pPr>
    </w:p>
    <w:p>
      <w:pPr>
        <w:ind w:firstLine="1259"/>
        <w:spacing w:after="0" w:line="320" w:lineRule="auto"/>
        <w:tabs>
          <w:tab w:leader="none" w:pos="1662" w:val="left"/>
        </w:tabs>
        <w:numPr>
          <w:ilvl w:val="1"/>
          <w:numId w:val="52"/>
        </w:numPr>
        <w:rPr>
          <w:rFonts w:ascii="Arial" w:cs="Arial" w:eastAsia="Arial" w:hAnsi="Arial"/>
          <w:sz w:val="15"/>
          <w:szCs w:val="15"/>
          <w:color w:val="auto"/>
        </w:rPr>
      </w:pPr>
      <w:r>
        <w:rPr>
          <w:rFonts w:ascii="Arial" w:cs="Arial" w:eastAsia="Arial" w:hAnsi="Arial"/>
          <w:sz w:val="15"/>
          <w:szCs w:val="15"/>
          <w:color w:val="auto"/>
        </w:rPr>
        <w:t>In the event that the Grantee does not continue to serve as an employee, director or consultant of the Company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spacing w:after="0" w:line="107" w:lineRule="exact"/>
        <w:rPr>
          <w:rFonts w:ascii="Arial" w:cs="Arial" w:eastAsia="Arial" w:hAnsi="Arial"/>
          <w:sz w:val="15"/>
          <w:szCs w:val="15"/>
          <w:color w:val="auto"/>
        </w:rPr>
      </w:pPr>
    </w:p>
    <w:p>
      <w:pPr>
        <w:ind w:right="180" w:firstLine="1259"/>
        <w:spacing w:after="0" w:line="262" w:lineRule="auto"/>
        <w:tabs>
          <w:tab w:leader="none" w:pos="1652"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the event that, prior to a particular Vesting Date (i) the Grantee’s employment with the Company is terminated other than for Cause, (ii) the Grantee’s employment with the Company is terminated as a result of the Grantee having become Disabled, (iii) the Grantee dies while an employee of the Company, or (iv) the Grantee resigns his employment with the Company for Good Reason, the Shares that were scheduled to vest on such Vesting Date and thereafter shall instead vest on the date of termination of employment, the date of death or the date of resignation of employment, as the case may be (the “Termination Date”).</w:t>
      </w:r>
    </w:p>
    <w:p>
      <w:pPr>
        <w:spacing w:after="0" w:line="148" w:lineRule="exact"/>
        <w:rPr>
          <w:rFonts w:ascii="Arial" w:cs="Arial" w:eastAsia="Arial" w:hAnsi="Arial"/>
          <w:sz w:val="17"/>
          <w:szCs w:val="17"/>
          <w:color w:val="auto"/>
        </w:rPr>
      </w:pPr>
    </w:p>
    <w:p>
      <w:pPr>
        <w:ind w:right="280" w:firstLine="1259"/>
        <w:spacing w:after="0" w:line="281" w:lineRule="auto"/>
        <w:tabs>
          <w:tab w:leader="none" w:pos="1662"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the event that Shares vest on a Vesting Date or the Termination Date, as the case may be, the certificate representing the portion of the Shares then vested shall be issued by the Company as soon as reasonably practicable thereafter.</w:t>
      </w:r>
    </w:p>
    <w:p>
      <w:pPr>
        <w:spacing w:after="0" w:line="130" w:lineRule="exact"/>
        <w:rPr>
          <w:rFonts w:ascii="Arial" w:cs="Arial" w:eastAsia="Arial" w:hAnsi="Arial"/>
          <w:sz w:val="17"/>
          <w:szCs w:val="17"/>
          <w:color w:val="auto"/>
        </w:rPr>
      </w:pPr>
    </w:p>
    <w:p>
      <w:pPr>
        <w:ind w:firstLine="1259"/>
        <w:spacing w:after="0" w:line="281" w:lineRule="auto"/>
        <w:tabs>
          <w:tab w:leader="none" w:pos="1652"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367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124" w:name="page125"/>
    <w:bookmarkEnd w:id="124"/>
    <w:p>
      <w:pPr>
        <w:ind w:left="328" w:hanging="328"/>
        <w:spacing w:after="0"/>
        <w:tabs>
          <w:tab w:leader="none" w:pos="328"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 BY REFERENCE</w:t>
      </w:r>
      <w:r>
        <w:rPr>
          <w:rFonts w:ascii="Arial" w:cs="Arial" w:eastAsia="Arial" w:hAnsi="Arial"/>
          <w:sz w:val="16"/>
          <w:szCs w:val="16"/>
          <w:color w:val="auto"/>
        </w:rPr>
        <w:t>. The terms and conditions of the Plan are hereby incorporated by reference and made a part hereof.</w:t>
      </w:r>
    </w:p>
    <w:p>
      <w:pPr>
        <w:spacing w:after="0" w:line="195" w:lineRule="exact"/>
        <w:rPr>
          <w:rFonts w:ascii="Arial" w:cs="Arial" w:eastAsia="Arial" w:hAnsi="Arial"/>
          <w:sz w:val="16"/>
          <w:szCs w:val="16"/>
          <w:color w:val="auto"/>
        </w:rPr>
      </w:pPr>
    </w:p>
    <w:p>
      <w:pPr>
        <w:ind w:left="-632" w:right="40" w:firstLine="632"/>
        <w:spacing w:after="0" w:line="264" w:lineRule="auto"/>
        <w:tabs>
          <w:tab w:leader="none" w:pos="332"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or other communication given hereunder shall be deemed sufficient if in writing and hand delivered or sent by registered 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return receipt requested, addressed to the Company, 15 Joys Lane, Kingston, New York 12401, Attention: Chief Financial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40" w:lineRule="exact"/>
        <w:rPr>
          <w:rFonts w:ascii="Arial" w:cs="Arial" w:eastAsia="Arial" w:hAnsi="Arial"/>
          <w:sz w:val="17"/>
          <w:szCs w:val="17"/>
          <w:color w:val="auto"/>
        </w:rPr>
      </w:pPr>
    </w:p>
    <w:p>
      <w:pPr>
        <w:ind w:left="-632" w:right="420" w:firstLine="632"/>
        <w:spacing w:after="0" w:line="286" w:lineRule="auto"/>
        <w:tabs>
          <w:tab w:leader="none" w:pos="332"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w:t>
      </w:r>
      <w:r>
        <w:rPr>
          <w:rFonts w:ascii="Arial" w:cs="Arial" w:eastAsia="Arial" w:hAnsi="Arial"/>
          <w:sz w:val="17"/>
          <w:szCs w:val="17"/>
          <w:color w:val="auto"/>
        </w:rPr>
        <w:t>. This Stock Grant Agreement shall be binding upon and inure to the benefit of the parties hereto and their respective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successors and assigns.</w:t>
      </w:r>
    </w:p>
    <w:p>
      <w:pPr>
        <w:spacing w:after="0" w:line="122" w:lineRule="exact"/>
        <w:rPr>
          <w:rFonts w:ascii="Arial" w:cs="Arial" w:eastAsia="Arial" w:hAnsi="Arial"/>
          <w:sz w:val="17"/>
          <w:szCs w:val="17"/>
          <w:color w:val="auto"/>
        </w:rPr>
      </w:pPr>
    </w:p>
    <w:p>
      <w:pPr>
        <w:ind w:left="-632" w:firstLine="632"/>
        <w:spacing w:after="0" w:line="286" w:lineRule="auto"/>
        <w:tabs>
          <w:tab w:leader="none" w:pos="332"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Stock Grant Agreement, together with the Plan, contains the entire understanding of the parties hereto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hereof and may be modified only by an instrument executed by the party sought to be charged.</w:t>
      </w:r>
    </w:p>
    <w:p>
      <w:pPr>
        <w:spacing w:after="0" w:line="122" w:lineRule="exact"/>
        <w:rPr>
          <w:rFonts w:ascii="Arial" w:cs="Arial" w:eastAsia="Arial" w:hAnsi="Arial"/>
          <w:sz w:val="17"/>
          <w:szCs w:val="17"/>
          <w:color w:val="auto"/>
        </w:rPr>
      </w:pPr>
    </w:p>
    <w:p>
      <w:pPr>
        <w:ind w:left="-632" w:right="460" w:firstLine="632"/>
        <w:spacing w:after="0" w:line="286" w:lineRule="auto"/>
        <w:tabs>
          <w:tab w:leader="none" w:pos="332"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Stock Grant Agreement shall be governed by, and construed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choice of law rules thereof.</w:t>
      </w:r>
    </w:p>
    <w:p>
      <w:pPr>
        <w:spacing w:after="0" w:line="122" w:lineRule="exact"/>
        <w:rPr>
          <w:rFonts w:ascii="Arial" w:cs="Arial" w:eastAsia="Arial" w:hAnsi="Arial"/>
          <w:sz w:val="17"/>
          <w:szCs w:val="17"/>
          <w:color w:val="auto"/>
        </w:rPr>
      </w:pPr>
    </w:p>
    <w:p>
      <w:pPr>
        <w:ind w:left="-632" w:right="460" w:firstLine="632"/>
        <w:spacing w:after="0" w:line="286" w:lineRule="auto"/>
        <w:tabs>
          <w:tab w:leader="none" w:pos="332"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EXECUTION IN COUNTERPARTS</w:t>
      </w:r>
      <w:r>
        <w:rPr>
          <w:rFonts w:ascii="Arial" w:cs="Arial" w:eastAsia="Arial" w:hAnsi="Arial"/>
          <w:sz w:val="17"/>
          <w:szCs w:val="17"/>
          <w:color w:val="auto"/>
        </w:rPr>
        <w:t>. This Stock Grant Agreement may be executed in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both of which together shall constitute one and the same instrument.</w:t>
      </w:r>
    </w:p>
    <w:p>
      <w:pPr>
        <w:spacing w:after="0" w:line="122" w:lineRule="exact"/>
        <w:rPr>
          <w:rFonts w:ascii="Arial" w:cs="Arial" w:eastAsia="Arial" w:hAnsi="Arial"/>
          <w:sz w:val="17"/>
          <w:szCs w:val="17"/>
          <w:color w:val="auto"/>
        </w:rPr>
      </w:pPr>
    </w:p>
    <w:p>
      <w:pPr>
        <w:ind w:left="428" w:hanging="428"/>
        <w:spacing w:after="0"/>
        <w:tabs>
          <w:tab w:leader="none" w:pos="428"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SIGNATURES</w:t>
      </w:r>
      <w:r>
        <w:rPr>
          <w:rFonts w:ascii="Arial" w:cs="Arial" w:eastAsia="Arial" w:hAnsi="Arial"/>
          <w:sz w:val="17"/>
          <w:szCs w:val="17"/>
          <w:color w:val="auto"/>
        </w:rPr>
        <w:t>. Signatures hereon which are transmitted via facsimile, or other electronic image, shall be deemed original signatures.</w:t>
      </w:r>
    </w:p>
    <w:p>
      <w:pPr>
        <w:spacing w:after="0" w:line="183" w:lineRule="exact"/>
        <w:rPr>
          <w:rFonts w:ascii="Arial" w:cs="Arial" w:eastAsia="Arial" w:hAnsi="Arial"/>
          <w:sz w:val="17"/>
          <w:szCs w:val="17"/>
          <w:color w:val="auto"/>
        </w:rPr>
      </w:pPr>
    </w:p>
    <w:p>
      <w:pPr>
        <w:ind w:left="-632" w:right="40" w:firstLine="632"/>
        <w:spacing w:after="0" w:line="295" w:lineRule="auto"/>
        <w:tabs>
          <w:tab w:leader="none" w:pos="411"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97" w:lineRule="exact"/>
        <w:rPr>
          <w:sz w:val="20"/>
          <w:szCs w:val="20"/>
          <w:color w:val="auto"/>
        </w:rPr>
      </w:pPr>
    </w:p>
    <w:p>
      <w:pPr>
        <w:ind w:left="29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Remainder of page intentionally left blank; 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146685</wp:posOffset>
            </wp:positionV>
            <wp:extent cx="71367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528"/>
          </w:cols>
          <w:pgMar w:left="952" w:top="519" w:right="41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Stock Grant Agreement as of the day and year first above written.</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KINGSTONE COMPANIES, INC.</w:t>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38735</wp:posOffset>
            </wp:positionV>
            <wp:extent cx="249809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5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Chief Financial Officer</w:t>
      </w:r>
    </w:p>
    <w:p>
      <w:pPr>
        <w:spacing w:after="0" w:line="21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Signature of Grantee</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279400</wp:posOffset>
            </wp:positionV>
            <wp:extent cx="249809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918845</wp:posOffset>
            </wp:positionV>
            <wp:extent cx="71367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9499"/>
          </w:cols>
          <w:pgMar w:left="960" w:top="545" w:right="1440" w:bottom="1440" w:gutter="0" w:footer="0" w:header="0"/>
        </w:sectPr>
      </w:pPr>
    </w:p>
    <w:bookmarkStart w:id="126" w:name="page127"/>
    <w:bookmarkEnd w:id="126"/>
    <w:p>
      <w:pPr>
        <w:ind w:left="10440"/>
        <w:spacing w:after="0"/>
        <w:rPr>
          <w:sz w:val="20"/>
          <w:szCs w:val="20"/>
          <w:color w:val="auto"/>
        </w:rPr>
      </w:pPr>
      <w:r>
        <w:rPr>
          <w:rFonts w:ascii="Arial" w:cs="Arial" w:eastAsia="Arial" w:hAnsi="Arial"/>
          <w:sz w:val="15"/>
          <w:szCs w:val="15"/>
          <w:b w:val="1"/>
          <w:bCs w:val="1"/>
          <w:color w:val="auto"/>
        </w:rPr>
        <w:t>Exhibit 10f</w:t>
      </w:r>
    </w:p>
    <w:p>
      <w:pPr>
        <w:spacing w:after="0" w:line="246" w:lineRule="exact"/>
        <w:rPr>
          <w:sz w:val="20"/>
          <w:szCs w:val="20"/>
          <w:color w:val="auto"/>
        </w:rPr>
      </w:pPr>
    </w:p>
    <w:p>
      <w:pPr>
        <w:jc w:val="both"/>
        <w:ind w:firstLine="627"/>
        <w:spacing w:after="0" w:line="223" w:lineRule="auto"/>
        <w:rPr>
          <w:sz w:val="20"/>
          <w:szCs w:val="20"/>
          <w:color w:val="auto"/>
        </w:rPr>
      </w:pPr>
      <w:r>
        <w:rPr>
          <w:rFonts w:ascii="Arial" w:cs="Arial" w:eastAsia="Arial" w:hAnsi="Arial"/>
          <w:sz w:val="17"/>
          <w:szCs w:val="17"/>
          <w:b w:val="1"/>
          <w:bCs w:val="1"/>
          <w:color w:val="auto"/>
        </w:rPr>
        <w:t xml:space="preserve">STOCK GRANT AGREEMENT </w:t>
      </w:r>
      <w:r>
        <w:rPr>
          <w:rFonts w:ascii="Arial" w:cs="Arial" w:eastAsia="Arial" w:hAnsi="Arial"/>
          <w:sz w:val="17"/>
          <w:szCs w:val="17"/>
          <w:color w:val="auto"/>
        </w:rPr>
        <w:t>made as of the 1</w:t>
      </w:r>
      <w:r>
        <w:rPr>
          <w:rFonts w:ascii="Arial" w:cs="Arial" w:eastAsia="Arial" w:hAnsi="Arial"/>
          <w:sz w:val="23"/>
          <w:szCs w:val="23"/>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January, 2019 between</w:t>
      </w:r>
      <w:r>
        <w:rPr>
          <w:rFonts w:ascii="Arial" w:cs="Arial" w:eastAsia="Arial" w:hAnsi="Arial"/>
          <w:sz w:val="17"/>
          <w:szCs w:val="17"/>
          <w:b w:val="1"/>
          <w:bCs w:val="1"/>
          <w:color w:val="auto"/>
        </w:rPr>
        <w:t xml:space="preserve"> KINGSTONE COMPANIES, INC.</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and </w:t>
      </w:r>
      <w:r>
        <w:rPr>
          <w:rFonts w:ascii="Arial" w:cs="Arial" w:eastAsia="Arial" w:hAnsi="Arial"/>
          <w:sz w:val="17"/>
          <w:szCs w:val="17"/>
          <w:b w:val="1"/>
          <w:bCs w:val="1"/>
          <w:color w:val="auto"/>
        </w:rPr>
        <w:t>DALE A. THATCHER</w:t>
      </w:r>
      <w:r>
        <w:rPr>
          <w:rFonts w:ascii="Arial" w:cs="Arial" w:eastAsia="Arial" w:hAnsi="Arial"/>
          <w:sz w:val="17"/>
          <w:szCs w:val="17"/>
          <w:color w:val="auto"/>
        </w:rPr>
        <w:t xml:space="preserve"> (the “Grantee”).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herewith, the Grantee is being appointed Chief Executive Officer and President of the Company;</w:t>
      </w:r>
    </w:p>
    <w:p>
      <w:pPr>
        <w:spacing w:after="0" w:line="157"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herewith, the Company and the Grantee are entering into an Employment Agreement of even date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9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Compensation Committee of the Board of Directors of the Company has approved the grant to the Grantee of common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(“Common Stock”) pursuant to the Company’s 2014 Equity Participation Plan (the “Plan”).</w:t>
      </w:r>
    </w:p>
    <w:p>
      <w:pPr>
        <w:spacing w:after="0" w:line="9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the Company hereby grants to the Grantee an award of shares of Common Stock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terms and conditions:</w:t>
      </w:r>
    </w:p>
    <w:p>
      <w:pPr>
        <w:spacing w:after="0" w:line="122" w:lineRule="exact"/>
        <w:rPr>
          <w:sz w:val="20"/>
          <w:szCs w:val="20"/>
          <w:color w:val="auto"/>
        </w:rPr>
      </w:pPr>
    </w:p>
    <w:p>
      <w:pPr>
        <w:ind w:left="960" w:hanging="328"/>
        <w:spacing w:after="0"/>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All terms used, but not otherwise defined, herein shall have the meanings ascribed to them in the Plan or the Employment</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73" w:lineRule="exact"/>
        <w:rPr>
          <w:rFonts w:ascii="Arial" w:cs="Arial" w:eastAsia="Arial" w:hAnsi="Arial"/>
          <w:sz w:val="16"/>
          <w:szCs w:val="16"/>
          <w:color w:val="auto"/>
        </w:rPr>
      </w:pPr>
    </w:p>
    <w:p>
      <w:pPr>
        <w:ind w:right="240" w:firstLine="632"/>
        <w:spacing w:after="0" w:line="271" w:lineRule="auto"/>
        <w:tabs>
          <w:tab w:leader="none" w:pos="964"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Subject to the terms and conditions of the Plan and the provisions hereof, the Company hereby agrees to grant to the Grantee,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16 of the Plan, an award of forty-two thousand two hundred thirty (42,230) shares of Common Stock (the “Shares”), such Shares being issuable on the Vesting Dates (as hereinafter defined) set forth in, and subject to the provisions of, Section 3 hereof.</w:t>
      </w:r>
    </w:p>
    <w:p>
      <w:pPr>
        <w:spacing w:after="0" w:line="135" w:lineRule="exact"/>
        <w:rPr>
          <w:rFonts w:ascii="Arial" w:cs="Arial" w:eastAsia="Arial" w:hAnsi="Arial"/>
          <w:sz w:val="17"/>
          <w:szCs w:val="17"/>
          <w:color w:val="auto"/>
        </w:rPr>
      </w:pPr>
    </w:p>
    <w:p>
      <w:pPr>
        <w:ind w:right="80" w:firstLine="632"/>
        <w:spacing w:after="0" w:line="286" w:lineRule="auto"/>
        <w:tabs>
          <w:tab w:leader="none" w:pos="964"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VESTING OF SHARES</w:t>
      </w:r>
      <w:r>
        <w:rPr>
          <w:rFonts w:ascii="Arial" w:cs="Arial" w:eastAsia="Arial" w:hAnsi="Arial"/>
          <w:sz w:val="17"/>
          <w:szCs w:val="17"/>
          <w:color w:val="auto"/>
        </w:rPr>
        <w:t>. (a) The Shares shall vest on the Vesting Dates set forth below, provided that the Grantee continues to serve as an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and KICO as of the applicable Vesting Date (subject to paragraph (c) hereof):</w:t>
      </w:r>
    </w:p>
    <w:p>
      <w:pPr>
        <w:spacing w:after="0" w:line="100" w:lineRule="exact"/>
        <w:rPr>
          <w:rFonts w:ascii="Arial" w:cs="Arial" w:eastAsia="Arial" w:hAnsi="Arial"/>
          <w:sz w:val="17"/>
          <w:szCs w:val="17"/>
          <w:color w:val="auto"/>
        </w:rPr>
      </w:pPr>
    </w:p>
    <w:p>
      <w:pPr>
        <w:ind w:left="2520" w:hanging="634"/>
        <w:spacing w:after="0"/>
        <w:tabs>
          <w:tab w:leader="none" w:pos="2520" w:val="left"/>
        </w:tabs>
        <w:numPr>
          <w:ilvl w:val="2"/>
          <w:numId w:val="54"/>
        </w:numPr>
        <w:rPr>
          <w:rFonts w:ascii="Arial" w:cs="Arial" w:eastAsia="Arial" w:hAnsi="Arial"/>
          <w:sz w:val="15"/>
          <w:szCs w:val="15"/>
          <w:color w:val="auto"/>
        </w:rPr>
      </w:pPr>
      <w:r>
        <w:rPr>
          <w:rFonts w:ascii="Arial" w:cs="Arial" w:eastAsia="Arial" w:hAnsi="Arial"/>
          <w:sz w:val="15"/>
          <w:szCs w:val="15"/>
          <w:color w:val="auto"/>
        </w:rPr>
        <w:t>fourteen thousand seventy-seven (14,077) of the Shares on the first anniversary of the date hereof (the “First Vesting Date”);</w:t>
      </w:r>
    </w:p>
    <w:p>
      <w:pPr>
        <w:spacing w:after="0" w:line="245" w:lineRule="exact"/>
        <w:rPr>
          <w:rFonts w:ascii="Arial" w:cs="Arial" w:eastAsia="Arial" w:hAnsi="Arial"/>
          <w:sz w:val="15"/>
          <w:szCs w:val="15"/>
          <w:color w:val="auto"/>
        </w:rPr>
      </w:pPr>
    </w:p>
    <w:p>
      <w:pPr>
        <w:ind w:left="2520" w:hanging="634"/>
        <w:spacing w:after="0" w:line="281" w:lineRule="auto"/>
        <w:tabs>
          <w:tab w:leader="none" w:pos="2520" w:val="left"/>
        </w:tabs>
        <w:numPr>
          <w:ilvl w:val="2"/>
          <w:numId w:val="54"/>
        </w:numPr>
        <w:rPr>
          <w:rFonts w:ascii="Arial" w:cs="Arial" w:eastAsia="Arial" w:hAnsi="Arial"/>
          <w:sz w:val="17"/>
          <w:szCs w:val="17"/>
          <w:color w:val="auto"/>
        </w:rPr>
      </w:pPr>
      <w:r>
        <w:rPr>
          <w:rFonts w:ascii="Arial" w:cs="Arial" w:eastAsia="Arial" w:hAnsi="Arial"/>
          <w:sz w:val="17"/>
          <w:szCs w:val="17"/>
          <w:color w:val="auto"/>
        </w:rPr>
        <w:t>fourteen thousand seventy-seven (14,077) of the Shares on the second anniversary of the date hereof (the “Second Vesting Date”); and</w:t>
      </w:r>
    </w:p>
    <w:p>
      <w:pPr>
        <w:spacing w:after="0" w:line="169" w:lineRule="exact"/>
        <w:rPr>
          <w:rFonts w:ascii="Arial" w:cs="Arial" w:eastAsia="Arial" w:hAnsi="Arial"/>
          <w:sz w:val="17"/>
          <w:szCs w:val="17"/>
          <w:color w:val="auto"/>
        </w:rPr>
      </w:pPr>
    </w:p>
    <w:p>
      <w:pPr>
        <w:jc w:val="both"/>
        <w:ind w:left="2520" w:hanging="634"/>
        <w:spacing w:after="0" w:line="268" w:lineRule="auto"/>
        <w:tabs>
          <w:tab w:leader="none" w:pos="2520" w:val="left"/>
        </w:tabs>
        <w:numPr>
          <w:ilvl w:val="2"/>
          <w:numId w:val="54"/>
        </w:numPr>
        <w:rPr>
          <w:rFonts w:ascii="Arial" w:cs="Arial" w:eastAsia="Arial" w:hAnsi="Arial"/>
          <w:sz w:val="17"/>
          <w:szCs w:val="17"/>
          <w:color w:val="auto"/>
        </w:rPr>
      </w:pPr>
      <w:r>
        <w:rPr>
          <w:rFonts w:ascii="Arial" w:cs="Arial" w:eastAsia="Arial" w:hAnsi="Arial"/>
          <w:sz w:val="17"/>
          <w:szCs w:val="17"/>
          <w:color w:val="auto"/>
        </w:rPr>
        <w:t>fourteen thousand seventy-six (14,076) of the Shares on the third anniversary of the date hereof (the “Third Vesting Date”); each of the First Vesting Date, the Second Vesting Date and the Third Vesting Date is referred to hereinafter as a “Vesting Date”).</w:t>
      </w:r>
    </w:p>
    <w:p>
      <w:pPr>
        <w:spacing w:after="0" w:line="207" w:lineRule="exact"/>
        <w:rPr>
          <w:rFonts w:ascii="Arial" w:cs="Arial" w:eastAsia="Arial" w:hAnsi="Arial"/>
          <w:sz w:val="17"/>
          <w:szCs w:val="17"/>
          <w:color w:val="auto"/>
        </w:rPr>
      </w:pPr>
    </w:p>
    <w:p>
      <w:pPr>
        <w:ind w:right="40" w:firstLine="1259"/>
        <w:spacing w:after="0" w:line="282" w:lineRule="auto"/>
        <w:tabs>
          <w:tab w:leader="none" w:pos="16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the event that the Grantee does not continue to serve as an employee of the Company or KICO as of a Vesting Date as a result of the termination of the Grantee’s employment for Cause or the Grantee’s Voluntary Resignation (as hereinafter defined) (except in connection with a Change of Control, death, disability or retirement as provided for below, the Grantee shall not be entitled to receive any of the Shares issuable on such Vesting Date, and this Agreement shall terminate and be of no further force or effect. For the purposes hereof, the term “Voluntary Resignation” shall mean the Grantee’s resignation of employment (except following a request by the Company that he resign other than based upon Cause).</w:t>
      </w:r>
    </w:p>
    <w:p>
      <w:pPr>
        <w:spacing w:after="0" w:line="134" w:lineRule="exact"/>
        <w:rPr>
          <w:rFonts w:ascii="Arial" w:cs="Arial" w:eastAsia="Arial" w:hAnsi="Arial"/>
          <w:sz w:val="16"/>
          <w:szCs w:val="16"/>
          <w:color w:val="auto"/>
        </w:rPr>
      </w:pPr>
    </w:p>
    <w:p>
      <w:pPr>
        <w:ind w:right="80" w:firstLine="1259"/>
        <w:spacing w:after="0" w:line="262" w:lineRule="auto"/>
        <w:tabs>
          <w:tab w:leader="none" w:pos="1652"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the event that (i) the Grantee’s employment with the Company and KICO is terminated other than for Cause (whether prior to or following a Change of Control), (ii) the Grantee’s employment with the Company and KICO is terminated as a result of the Grantee having become Disabled, (iii) the Grantee dies while an employee of the Company and KICO, or (iv) the Grantee resigns his employment with the Company and KICO (A) other than pursuant to a Voluntary Resignation or (B) within six (6) months following a Change of Control, the Shares shall vest on the date of termination of employment, the date of death or December 31, 2021, as the case may be (the “Termination Date”).</w:t>
      </w:r>
    </w:p>
    <w:p>
      <w:pPr>
        <w:spacing w:after="0" w:line="148" w:lineRule="exact"/>
        <w:rPr>
          <w:rFonts w:ascii="Arial" w:cs="Arial" w:eastAsia="Arial" w:hAnsi="Arial"/>
          <w:sz w:val="17"/>
          <w:szCs w:val="17"/>
          <w:color w:val="auto"/>
        </w:rPr>
      </w:pPr>
    </w:p>
    <w:p>
      <w:pPr>
        <w:ind w:right="100" w:firstLine="1259"/>
        <w:spacing w:after="0" w:line="260" w:lineRule="auto"/>
        <w:tabs>
          <w:tab w:leader="none" w:pos="1662"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the event of the termination of the Grantee’s employment as the result of Retirement, the Company shall have no obligation to award the stock grants scheduled in Exhibit A of Grantee’s Employment Agreement in respect of the remaining years in the Term or any other period, if any; and all stock grants previously granted to Grantee by the time of Grantee’s termination of employment will continue to vest according to their original schedule as if the Grantee were still employed by the Company. For purposes of this agreement, “Retirement” shall mean any event whereby the Grantee conveys his intent to retire to the Board in writing at least six months prior to his expected termination date or on such other date that is mutually agreed between the Grantee and the Board, and Grantee covenants at or preceding the time of his termination (including through the execution of documentation prepared by the Company for this sole purpose at such time) that he shall not accept any operating executive role with another property and casualty insurance company for a period of three years following his separation from the Company.</w:t>
      </w:r>
    </w:p>
    <w:p>
      <w:pPr>
        <w:spacing w:after="0" w:line="148" w:lineRule="exact"/>
        <w:rPr>
          <w:rFonts w:ascii="Arial" w:cs="Arial" w:eastAsia="Arial" w:hAnsi="Arial"/>
          <w:sz w:val="17"/>
          <w:szCs w:val="17"/>
          <w:color w:val="auto"/>
        </w:rPr>
      </w:pPr>
    </w:p>
    <w:p>
      <w:pPr>
        <w:ind w:right="340" w:firstLine="1259"/>
        <w:spacing w:after="0" w:line="281" w:lineRule="auto"/>
        <w:tabs>
          <w:tab w:leader="none" w:pos="1652"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the event that Shares vest on a Vesting Date or the Termination Date, the certificate representing the portion of the Shares then vested shall be issued by the Company as soon as reasonably practicable thereafter.</w:t>
      </w:r>
    </w:p>
    <w:p>
      <w:pPr>
        <w:spacing w:after="0" w:line="130" w:lineRule="exact"/>
        <w:rPr>
          <w:rFonts w:ascii="Arial" w:cs="Arial" w:eastAsia="Arial" w:hAnsi="Arial"/>
          <w:sz w:val="17"/>
          <w:szCs w:val="17"/>
          <w:color w:val="auto"/>
        </w:rPr>
      </w:pPr>
    </w:p>
    <w:p>
      <w:pPr>
        <w:ind w:right="20" w:firstLine="1259"/>
        <w:spacing w:after="0" w:line="281" w:lineRule="auto"/>
        <w:tabs>
          <w:tab w:leader="none" w:pos="1633"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367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127" w:name="page128"/>
    <w:bookmarkEnd w:id="127"/>
    <w:p>
      <w:pPr>
        <w:ind w:left="328" w:hanging="328"/>
        <w:spacing w:after="0"/>
        <w:tabs>
          <w:tab w:leader="none" w:pos="328"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INCORPORATION BY REFERENCE</w:t>
      </w:r>
      <w:r>
        <w:rPr>
          <w:rFonts w:ascii="Arial" w:cs="Arial" w:eastAsia="Arial" w:hAnsi="Arial"/>
          <w:sz w:val="16"/>
          <w:szCs w:val="16"/>
          <w:color w:val="auto"/>
        </w:rPr>
        <w:t>. The terms and conditions of the Plan are hereby incorporated by reference and made a part hereof.</w:t>
      </w:r>
    </w:p>
    <w:p>
      <w:pPr>
        <w:spacing w:after="0" w:line="195" w:lineRule="exact"/>
        <w:rPr>
          <w:rFonts w:ascii="Arial" w:cs="Arial" w:eastAsia="Arial" w:hAnsi="Arial"/>
          <w:sz w:val="16"/>
          <w:szCs w:val="16"/>
          <w:color w:val="auto"/>
        </w:rPr>
      </w:pPr>
    </w:p>
    <w:p>
      <w:pPr>
        <w:ind w:left="-632" w:right="60" w:firstLine="632"/>
        <w:spacing w:after="0" w:line="312" w:lineRule="auto"/>
        <w:tabs>
          <w:tab w:leader="none" w:pos="332" w:val="left"/>
        </w:tabs>
        <w:numPr>
          <w:ilvl w:val="0"/>
          <w:numId w:val="55"/>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Any notice or other communication given hereunder shall be deemed sufficient if in writing and hand delivered or sent by registered or</w:t>
      </w:r>
      <w:r>
        <w:rPr>
          <w:rFonts w:ascii="Arial" w:cs="Arial" w:eastAsia="Arial" w:hAnsi="Arial"/>
          <w:sz w:val="15"/>
          <w:szCs w:val="15"/>
          <w:b w:val="1"/>
          <w:bCs w:val="1"/>
          <w:color w:val="auto"/>
        </w:rPr>
        <w:t xml:space="preserve"> </w:t>
      </w:r>
      <w:r>
        <w:rPr>
          <w:rFonts w:ascii="Arial" w:cs="Arial" w:eastAsia="Arial" w:hAnsi="Arial"/>
          <w:sz w:val="15"/>
          <w:szCs w:val="15"/>
          <w:color w:val="auto"/>
        </w:rPr>
        <w:t>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9" w:lineRule="exact"/>
        <w:rPr>
          <w:rFonts w:ascii="Arial" w:cs="Arial" w:eastAsia="Arial" w:hAnsi="Arial"/>
          <w:sz w:val="15"/>
          <w:szCs w:val="15"/>
          <w:color w:val="auto"/>
        </w:rPr>
      </w:pPr>
    </w:p>
    <w:p>
      <w:pPr>
        <w:ind w:left="-632" w:right="440" w:firstLine="632"/>
        <w:spacing w:after="0" w:line="286" w:lineRule="auto"/>
        <w:tabs>
          <w:tab w:leader="none" w:pos="332"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w:t>
      </w:r>
      <w:r>
        <w:rPr>
          <w:rFonts w:ascii="Arial" w:cs="Arial" w:eastAsia="Arial" w:hAnsi="Arial"/>
          <w:sz w:val="17"/>
          <w:szCs w:val="17"/>
          <w:color w:val="auto"/>
        </w:rPr>
        <w:t>. This Stock Grant Agreement shall be binding upon and inure to the benefit of the parties hereto and their respective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successors and assigns.</w:t>
      </w:r>
    </w:p>
    <w:p>
      <w:pPr>
        <w:spacing w:after="0" w:line="122" w:lineRule="exact"/>
        <w:rPr>
          <w:rFonts w:ascii="Arial" w:cs="Arial" w:eastAsia="Arial" w:hAnsi="Arial"/>
          <w:sz w:val="17"/>
          <w:szCs w:val="17"/>
          <w:color w:val="auto"/>
        </w:rPr>
      </w:pPr>
    </w:p>
    <w:p>
      <w:pPr>
        <w:ind w:left="-632" w:right="20" w:firstLine="632"/>
        <w:spacing w:after="0" w:line="286" w:lineRule="auto"/>
        <w:tabs>
          <w:tab w:leader="none" w:pos="332"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Stock Grant Agreement, together with the Plan, contains the entire understanding of the parties hereto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hereof and may be modified only by an instrument executed by the party sought to be charged.</w:t>
      </w:r>
    </w:p>
    <w:p>
      <w:pPr>
        <w:spacing w:after="0" w:line="122" w:lineRule="exact"/>
        <w:rPr>
          <w:rFonts w:ascii="Arial" w:cs="Arial" w:eastAsia="Arial" w:hAnsi="Arial"/>
          <w:sz w:val="17"/>
          <w:szCs w:val="17"/>
          <w:color w:val="auto"/>
        </w:rPr>
      </w:pPr>
    </w:p>
    <w:p>
      <w:pPr>
        <w:ind w:left="-632" w:right="480" w:firstLine="632"/>
        <w:spacing w:after="0" w:line="286" w:lineRule="auto"/>
        <w:tabs>
          <w:tab w:leader="none" w:pos="332"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Stock Grant Agreement shall be governed by, and construed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choice of law rules thereof.</w:t>
      </w:r>
    </w:p>
    <w:p>
      <w:pPr>
        <w:spacing w:after="0" w:line="122" w:lineRule="exact"/>
        <w:rPr>
          <w:rFonts w:ascii="Arial" w:cs="Arial" w:eastAsia="Arial" w:hAnsi="Arial"/>
          <w:sz w:val="17"/>
          <w:szCs w:val="17"/>
          <w:color w:val="auto"/>
        </w:rPr>
      </w:pPr>
    </w:p>
    <w:p>
      <w:pPr>
        <w:ind w:left="-632" w:right="480" w:firstLine="632"/>
        <w:spacing w:after="0" w:line="286" w:lineRule="auto"/>
        <w:tabs>
          <w:tab w:leader="none" w:pos="332"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EXECUTION IN COUNTERPARTS</w:t>
      </w:r>
      <w:r>
        <w:rPr>
          <w:rFonts w:ascii="Arial" w:cs="Arial" w:eastAsia="Arial" w:hAnsi="Arial"/>
          <w:sz w:val="17"/>
          <w:szCs w:val="17"/>
          <w:color w:val="auto"/>
        </w:rPr>
        <w:t>. This Stock Grant Agreement may be executed in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both of which together shall constitute one and the same instrument.</w:t>
      </w:r>
    </w:p>
    <w:p>
      <w:pPr>
        <w:spacing w:after="0" w:line="122" w:lineRule="exact"/>
        <w:rPr>
          <w:rFonts w:ascii="Arial" w:cs="Arial" w:eastAsia="Arial" w:hAnsi="Arial"/>
          <w:sz w:val="17"/>
          <w:szCs w:val="17"/>
          <w:color w:val="auto"/>
        </w:rPr>
      </w:pPr>
    </w:p>
    <w:p>
      <w:pPr>
        <w:ind w:left="428" w:hanging="428"/>
        <w:spacing w:after="0"/>
        <w:tabs>
          <w:tab w:leader="none" w:pos="428" w:val="left"/>
        </w:tabs>
        <w:numPr>
          <w:ilvl w:val="0"/>
          <w:numId w:val="55"/>
        </w:numPr>
        <w:rPr>
          <w:rFonts w:ascii="Arial" w:cs="Arial" w:eastAsia="Arial" w:hAnsi="Arial"/>
          <w:sz w:val="15"/>
          <w:szCs w:val="15"/>
          <w:color w:val="auto"/>
        </w:rPr>
      </w:pPr>
      <w:r>
        <w:rPr>
          <w:rFonts w:ascii="Arial" w:cs="Arial" w:eastAsia="Arial" w:hAnsi="Arial"/>
          <w:sz w:val="15"/>
          <w:szCs w:val="15"/>
          <w:b w:val="1"/>
          <w:bCs w:val="1"/>
          <w:u w:val="single" w:color="auto"/>
          <w:color w:val="auto"/>
        </w:rPr>
        <w:t>FACSIMILE SIGNATURES</w:t>
      </w:r>
      <w:r>
        <w:rPr>
          <w:rFonts w:ascii="Arial" w:cs="Arial" w:eastAsia="Arial" w:hAnsi="Arial"/>
          <w:sz w:val="15"/>
          <w:szCs w:val="15"/>
          <w:color w:val="auto"/>
        </w:rPr>
        <w:t>. Signatures hereon which are transmitted via facsimile, or other electronic image, shall be deemed original signatures.</w:t>
      </w:r>
    </w:p>
    <w:p>
      <w:pPr>
        <w:spacing w:after="0" w:line="206" w:lineRule="exact"/>
        <w:rPr>
          <w:rFonts w:ascii="Arial" w:cs="Arial" w:eastAsia="Arial" w:hAnsi="Arial"/>
          <w:sz w:val="15"/>
          <w:szCs w:val="15"/>
          <w:color w:val="auto"/>
        </w:rPr>
      </w:pPr>
    </w:p>
    <w:p>
      <w:pPr>
        <w:ind w:left="-632" w:right="60" w:firstLine="632"/>
        <w:spacing w:after="0" w:line="295" w:lineRule="auto"/>
        <w:tabs>
          <w:tab w:leader="none" w:pos="411"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97" w:lineRule="exact"/>
        <w:rPr>
          <w:sz w:val="20"/>
          <w:szCs w:val="20"/>
          <w:color w:val="auto"/>
        </w:rPr>
      </w:pPr>
    </w:p>
    <w:p>
      <w:pPr>
        <w:ind w:left="29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Remainder of page intentionally left blank; 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146685</wp:posOffset>
            </wp:positionV>
            <wp:extent cx="71367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548"/>
          </w:cols>
          <w:pgMar w:left="952" w:top="519" w:right="39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Stock Grant Agreement as of the day and year first above written.</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KINGSTONE COMPANIES, INC.</w:t>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38735</wp:posOffset>
            </wp:positionV>
            <wp:extent cx="249809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5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Barry B. Goldstein</w:t>
      </w:r>
    </w:p>
    <w:p>
      <w:pPr>
        <w:spacing w:after="0" w:line="200" w:lineRule="exact"/>
        <w:rPr>
          <w:sz w:val="20"/>
          <w:szCs w:val="20"/>
          <w:color w:val="auto"/>
        </w:rPr>
      </w:pPr>
    </w:p>
    <w:p>
      <w:pPr>
        <w:spacing w:after="0" w:line="25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 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Signature of Grantee</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Name of Grantee</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212 Third Street Milford, PA 18337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13970</wp:posOffset>
            </wp:positionV>
            <wp:extent cx="249809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429260</wp:posOffset>
            </wp:positionV>
            <wp:extent cx="71367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9499"/>
          </w:cols>
          <w:pgMar w:left="960" w:top="545"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FIRM’S CONSENT</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consent to the incorporation by reference in the Registration Statements of Kingstone Companies, Inc. on Form S-3 (No. 333-134102, No. 333-215426 and No. 333-221615) and Form S-8 (No. 333-132898, No. 333-173351, No. 333-191366 and No. 333-207986) of our report dated March 16, 2020, with respect to our audits of the consolidated financial statements of Kingstone Companies, Inc. and Subsidiaries as of December 31, 2019 and 2018 and for each of the two years in the period ended December 31, 2019 and our report dated March 16, 2020 with respect to our audit of the effectiveness of internal control over financial reporting of Kingstone Companies, Inc. and Subsidiaries as of December 31, 2019, which reports are included in this Annual Report on Form 10-K of Kingstone Companies, Inc.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report on the effectiveness of internal control over financial reporting expressed an adverse opinion because of the existence of a material weakness.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 Marcum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Marcum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Hartford, CT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367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31a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 Barry B. Goldstein, certify that:</w:t>
      </w:r>
    </w:p>
    <w:p>
      <w:pPr>
        <w:spacing w:after="0" w:line="223" w:lineRule="exact"/>
        <w:rPr>
          <w:sz w:val="20"/>
          <w:szCs w:val="20"/>
          <w:color w:val="auto"/>
        </w:rPr>
      </w:pPr>
    </w:p>
    <w:p>
      <w:pPr>
        <w:ind w:left="1020" w:hanging="1015"/>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Kingstone Companies, Inc.;</w:t>
      </w:r>
    </w:p>
    <w:p>
      <w:pPr>
        <w:spacing w:after="0" w:line="222" w:lineRule="exact"/>
        <w:rPr>
          <w:rFonts w:ascii="Arial" w:cs="Arial" w:eastAsia="Arial" w:hAnsi="Arial"/>
          <w:sz w:val="17"/>
          <w:szCs w:val="17"/>
          <w:color w:val="auto"/>
        </w:rPr>
      </w:pPr>
    </w:p>
    <w:p>
      <w:pPr>
        <w:jc w:val="both"/>
        <w:ind w:left="1020" w:hanging="1015"/>
        <w:spacing w:after="0" w:line="268"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7"/>
          <w:szCs w:val="17"/>
          <w:color w:val="auto"/>
        </w:rPr>
      </w:pPr>
    </w:p>
    <w:p>
      <w:pPr>
        <w:ind w:left="1020" w:hanging="1015"/>
        <w:spacing w:after="0" w:line="281"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7"/>
          <w:szCs w:val="17"/>
          <w:color w:val="auto"/>
        </w:rPr>
      </w:pPr>
    </w:p>
    <w:p>
      <w:pPr>
        <w:jc w:val="both"/>
        <w:ind w:left="1020" w:hanging="1015"/>
        <w:spacing w:after="0" w:line="268"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7"/>
          <w:szCs w:val="17"/>
          <w:color w:val="auto"/>
        </w:rPr>
      </w:pPr>
    </w:p>
    <w:p>
      <w:pPr>
        <w:jc w:val="both"/>
        <w:ind w:left="2040" w:hanging="1016"/>
        <w:spacing w:after="0" w:line="268" w:lineRule="auto"/>
        <w:tabs>
          <w:tab w:leader="none" w:pos="20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7"/>
          <w:szCs w:val="17"/>
          <w:color w:val="auto"/>
        </w:rPr>
      </w:pPr>
    </w:p>
    <w:p>
      <w:pPr>
        <w:jc w:val="both"/>
        <w:ind w:left="2040" w:hanging="1016"/>
        <w:spacing w:after="0" w:line="268" w:lineRule="auto"/>
        <w:tabs>
          <w:tab w:leader="none" w:pos="20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7"/>
          <w:szCs w:val="17"/>
          <w:color w:val="auto"/>
        </w:rPr>
      </w:pPr>
    </w:p>
    <w:p>
      <w:pPr>
        <w:jc w:val="both"/>
        <w:ind w:left="2040" w:hanging="1016"/>
        <w:spacing w:after="0" w:line="350" w:lineRule="auto"/>
        <w:tabs>
          <w:tab w:leader="none" w:pos="2040"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5"/>
          <w:szCs w:val="15"/>
          <w:color w:val="auto"/>
        </w:rPr>
      </w:pPr>
    </w:p>
    <w:p>
      <w:pPr>
        <w:jc w:val="both"/>
        <w:ind w:left="2040" w:hanging="1016"/>
        <w:spacing w:after="0" w:line="268" w:lineRule="auto"/>
        <w:tabs>
          <w:tab w:leader="none" w:pos="20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7"/>
          <w:szCs w:val="17"/>
          <w:color w:val="auto"/>
        </w:rPr>
      </w:pPr>
    </w:p>
    <w:p>
      <w:pPr>
        <w:ind w:left="1020" w:hanging="1015"/>
        <w:spacing w:after="0" w:line="313"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6"/>
          <w:szCs w:val="16"/>
          <w:color w:val="auto"/>
        </w:rPr>
      </w:pPr>
    </w:p>
    <w:p>
      <w:pPr>
        <w:ind w:left="2040" w:hanging="1016"/>
        <w:spacing w:after="0" w:line="313" w:lineRule="auto"/>
        <w:tabs>
          <w:tab w:leader="none" w:pos="20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6"/>
          <w:szCs w:val="16"/>
          <w:color w:val="auto"/>
        </w:rPr>
      </w:pPr>
    </w:p>
    <w:p>
      <w:pPr>
        <w:ind w:left="2040" w:hanging="1016"/>
        <w:spacing w:after="0" w:line="281" w:lineRule="auto"/>
        <w:tabs>
          <w:tab w:leader="none" w:pos="20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Date: March 16, 2020</w:t>
      </w:r>
    </w:p>
    <w:p>
      <w:pPr>
        <w:spacing w:after="0" w:line="2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Barry B. Goldstein</w:t>
      </w:r>
    </w:p>
    <w:p>
      <w:pPr>
        <w:spacing w:after="0" w:line="21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367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31b</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23" w:lineRule="exact"/>
        <w:rPr>
          <w:sz w:val="20"/>
          <w:szCs w:val="20"/>
          <w:color w:val="auto"/>
        </w:rPr>
      </w:pPr>
    </w:p>
    <w:p>
      <w:pPr>
        <w:ind w:left="1020" w:hanging="1015"/>
        <w:spacing w:after="0"/>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Kingstone Companies, Inc.;</w:t>
      </w:r>
    </w:p>
    <w:p>
      <w:pPr>
        <w:spacing w:after="0" w:line="222" w:lineRule="exact"/>
        <w:rPr>
          <w:rFonts w:ascii="Arial" w:cs="Arial" w:eastAsia="Arial" w:hAnsi="Arial"/>
          <w:sz w:val="17"/>
          <w:szCs w:val="17"/>
          <w:color w:val="auto"/>
        </w:rPr>
      </w:pPr>
    </w:p>
    <w:p>
      <w:pPr>
        <w:jc w:val="both"/>
        <w:ind w:left="1020" w:hanging="1015"/>
        <w:spacing w:after="0" w:line="268" w:lineRule="auto"/>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7"/>
          <w:szCs w:val="17"/>
          <w:color w:val="auto"/>
        </w:rPr>
      </w:pPr>
    </w:p>
    <w:p>
      <w:pPr>
        <w:ind w:left="1020" w:hanging="1015"/>
        <w:spacing w:after="0" w:line="281" w:lineRule="auto"/>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7"/>
          <w:szCs w:val="17"/>
          <w:color w:val="auto"/>
        </w:rPr>
      </w:pPr>
    </w:p>
    <w:p>
      <w:pPr>
        <w:jc w:val="both"/>
        <w:ind w:left="1020" w:hanging="1015"/>
        <w:spacing w:after="0" w:line="268" w:lineRule="auto"/>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7"/>
          <w:szCs w:val="17"/>
          <w:color w:val="auto"/>
        </w:rPr>
      </w:pPr>
    </w:p>
    <w:p>
      <w:pPr>
        <w:jc w:val="both"/>
        <w:ind w:left="2040" w:hanging="1016"/>
        <w:spacing w:after="0" w:line="268" w:lineRule="auto"/>
        <w:tabs>
          <w:tab w:leader="none" w:pos="20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7"/>
          <w:szCs w:val="17"/>
          <w:color w:val="auto"/>
        </w:rPr>
      </w:pPr>
    </w:p>
    <w:p>
      <w:pPr>
        <w:jc w:val="both"/>
        <w:ind w:left="2040" w:hanging="1016"/>
        <w:spacing w:after="0" w:line="268" w:lineRule="auto"/>
        <w:tabs>
          <w:tab w:leader="none" w:pos="20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7"/>
          <w:szCs w:val="17"/>
          <w:color w:val="auto"/>
        </w:rPr>
      </w:pPr>
    </w:p>
    <w:p>
      <w:pPr>
        <w:jc w:val="both"/>
        <w:ind w:left="2040" w:hanging="1016"/>
        <w:spacing w:after="0" w:line="350" w:lineRule="auto"/>
        <w:tabs>
          <w:tab w:leader="none" w:pos="204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5"/>
          <w:szCs w:val="15"/>
          <w:color w:val="auto"/>
        </w:rPr>
      </w:pPr>
    </w:p>
    <w:p>
      <w:pPr>
        <w:jc w:val="both"/>
        <w:ind w:left="2040" w:hanging="1016"/>
        <w:spacing w:after="0" w:line="268" w:lineRule="auto"/>
        <w:tabs>
          <w:tab w:leader="none" w:pos="20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7"/>
          <w:szCs w:val="17"/>
          <w:color w:val="auto"/>
        </w:rPr>
      </w:pPr>
    </w:p>
    <w:p>
      <w:pPr>
        <w:ind w:left="1020" w:hanging="1015"/>
        <w:spacing w:after="0" w:line="313"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6"/>
          <w:szCs w:val="16"/>
          <w:color w:val="auto"/>
        </w:rPr>
      </w:pPr>
    </w:p>
    <w:p>
      <w:pPr>
        <w:ind w:left="2040" w:hanging="1016"/>
        <w:spacing w:after="0" w:line="313" w:lineRule="auto"/>
        <w:tabs>
          <w:tab w:leader="none" w:pos="20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6"/>
          <w:szCs w:val="16"/>
          <w:color w:val="auto"/>
        </w:rPr>
      </w:pPr>
    </w:p>
    <w:p>
      <w:pPr>
        <w:ind w:left="2040" w:hanging="1016"/>
        <w:spacing w:after="0" w:line="281" w:lineRule="auto"/>
        <w:tabs>
          <w:tab w:leader="none" w:pos="20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Date: March 16, 2020</w:t>
      </w:r>
    </w:p>
    <w:p>
      <w:pPr>
        <w:spacing w:after="0" w:line="2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Victor Brodsky</w:t>
      </w:r>
    </w:p>
    <w:p>
      <w:pPr>
        <w:spacing w:after="0" w:line="21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367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14" w:lineRule="exact"/>
        <w:rPr>
          <w:sz w:val="20"/>
          <w:szCs w:val="20"/>
          <w:color w:val="auto"/>
        </w:rPr>
      </w:pPr>
    </w:p>
    <w:p>
      <w:pPr>
        <w:jc w:val="both"/>
        <w:ind w:firstLine="1255"/>
        <w:spacing w:after="0" w:line="286"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2019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325"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color w:val="auto"/>
        </w:rPr>
        <w:t>Dated: March 16, 2020</w:t>
      </w:r>
      <w:r>
        <w:rPr>
          <w:sz w:val="20"/>
          <w:szCs w:val="20"/>
          <w:color w:val="auto"/>
        </w:rPr>
        <w:tab/>
      </w:r>
      <w:r>
        <w:rPr>
          <w:rFonts w:ascii="Arial" w:cs="Arial" w:eastAsia="Arial" w:hAnsi="Arial"/>
          <w:sz w:val="15"/>
          <w:szCs w:val="15"/>
          <w:u w:val="single" w:color="auto"/>
          <w:color w:val="auto"/>
        </w:rPr>
        <w:t>/s/ Barry B. Goldstein</w:t>
      </w:r>
    </w:p>
    <w:p>
      <w:pPr>
        <w:spacing w:after="0" w:line="4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Barry B. Goldstein</w:t>
      </w:r>
    </w:p>
    <w:p>
      <w:pPr>
        <w:spacing w:after="0" w:line="4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Chief Executive Officer</w:t>
      </w:r>
    </w:p>
    <w:p>
      <w:pPr>
        <w:spacing w:after="0" w:line="275" w:lineRule="exact"/>
        <w:rPr>
          <w:sz w:val="20"/>
          <w:szCs w:val="20"/>
          <w:color w:val="auto"/>
        </w:rPr>
      </w:pPr>
    </w:p>
    <w:p>
      <w:pPr>
        <w:ind w:left="3840"/>
        <w:spacing w:after="0"/>
        <w:rPr>
          <w:sz w:val="20"/>
          <w:szCs w:val="20"/>
          <w:color w:val="auto"/>
        </w:rPr>
      </w:pPr>
      <w:r>
        <w:rPr>
          <w:rFonts w:ascii="Arial" w:cs="Arial" w:eastAsia="Arial" w:hAnsi="Arial"/>
          <w:sz w:val="17"/>
          <w:szCs w:val="17"/>
          <w:u w:val="single" w:color="auto"/>
          <w:color w:val="auto"/>
        </w:rPr>
        <w:t>/s/ Victor Brodsky</w:t>
      </w:r>
    </w:p>
    <w:p>
      <w:pPr>
        <w:spacing w:after="0" w:line="4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Victor Brodsky</w:t>
      </w:r>
    </w:p>
    <w:p>
      <w:pPr>
        <w:spacing w:after="0" w:line="4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7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sectPr>
      <w:pgSz w:w="11900" w:h="16838" w:orient="portrait"/>
      <w:cols w:equalWidth="0" w:num="1">
        <w:col w:w="11240"/>
      </w:cols>
      <w:pgMar w:left="320" w:top="1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lowerLetter"/>
      <w:start w:val="2"/>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21"/>
    </w:lvl>
  </w:abstractNum>
  <w:abstractNum w:abstractNumId="35">
    <w:nsid w:val="542289EC"/>
    <w:multiLevelType w:val="hybridMultilevel"/>
    <w:lvl w:ilvl="0">
      <w:lvlJc w:val="left"/>
      <w:lvlText w:val="%1"/>
      <w:numFmt w:val="decimal"/>
      <w:start w:val="23"/>
    </w:lvl>
  </w:abstractNum>
  <w:abstractNum w:abstractNumId="36">
    <w:nsid w:val="6DE91B18"/>
    <w:multiLevelType w:val="hybridMultilevel"/>
    <w:lvl w:ilvl="0">
      <w:lvlJc w:val="left"/>
      <w:lvlText w:val="%1"/>
      <w:numFmt w:val="decimal"/>
      <w:start w:val="32"/>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lvl w:ilvl="1">
      <w:lvlJc w:val="left"/>
      <w:lvlText w:val="(%2)"/>
      <w:numFmt w:val="upperLetter"/>
      <w:start w:val="1"/>
    </w:lvl>
  </w:abstractNum>
  <w:abstractNum w:abstractNumId="47">
    <w:nsid w:val="12E685FB"/>
    <w:multiLevelType w:val="hybridMultilevel"/>
    <w:lvl w:ilvl="0">
      <w:lvlJc w:val="left"/>
      <w:lvlText w:val="(%1)"/>
      <w:numFmt w:val="decimal"/>
      <w:start w:val="2"/>
    </w:lvl>
    <w:lvl w:ilvl="1">
      <w:lvlJc w:val="left"/>
      <w:lvlText w:val="%2"/>
      <w:numFmt w:val="upperLetter"/>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374A3FE6"/>
    <w:multiLevelType w:val="hybridMultilevel"/>
    <w:lvl w:ilvl="0">
      <w:lvlJc w:val="left"/>
      <w:lvlText w:val="%1."/>
      <w:numFmt w:val="decimal"/>
      <w:start w:val="4"/>
    </w:lvl>
  </w:abstractNum>
  <w:abstractNum w:abstractNumId="51">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
    <w:nsid w:val="23F9C13C"/>
    <w:multiLevelType w:val="hybridMultilevel"/>
    <w:lvl w:ilvl="0">
      <w:lvlJc w:val="left"/>
      <w:lvlText w:val="%1."/>
      <w:numFmt w:val="decimal"/>
      <w:start w:val="4"/>
    </w:lvl>
  </w:abstractNum>
  <w:abstractNum w:abstractNumId="53">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275AC794"/>
    <w:multiLevelType w:val="hybridMultilevel"/>
    <w:lvl w:ilvl="0">
      <w:lvlJc w:val="left"/>
      <w:lvlText w:val="%1."/>
      <w:numFmt w:val="decimal"/>
      <w:start w:val="4"/>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80" Type="http://schemas.openxmlformats.org/officeDocument/2006/relationships/hyperlink" Target="http://www.sec.gov/Archives/edgar/data/33992/000135448814002619/kins_ex3a.htm" TargetMode="External"/><Relationship Id="rId81" Type="http://schemas.openxmlformats.org/officeDocument/2006/relationships/hyperlink" Target="http://www.sec.gov/Archives/edgar/data/33992/000102177109000069/ex3_1.htm" TargetMode="External"/><Relationship Id="rId82" Type="http://schemas.openxmlformats.org/officeDocument/2006/relationships/hyperlink" Target="http://www.sec.gov/Archives/edgar/data/33992/000102177117000105/ex4_1.htm" TargetMode="External"/><Relationship Id="rId83" Type="http://schemas.openxmlformats.org/officeDocument/2006/relationships/hyperlink" Target="http://www.sec.gov/Archives/edgar/data/33992/000102177117000105/ex4_2.htm" TargetMode="External"/><Relationship Id="rId84" Type="http://schemas.openxmlformats.org/officeDocument/2006/relationships/hyperlink" Target="http://www.sec.gov/Archives/edgar/data/33992/000102177117000105/ex4_3.htm" TargetMode="External"/><Relationship Id="rId85" Type="http://schemas.openxmlformats.org/officeDocument/2006/relationships/hyperlink" Target="http://www.sec.gov/Archives/edgar/data/33992/000102177114000050/ex10_1.htm" TargetMode="External"/><Relationship Id="rId86" Type="http://schemas.openxmlformats.org/officeDocument/2006/relationships/hyperlink" Target="http://www.sec.gov/Archives/edgar/data/33992/000165495418011456/barrygoldsteinkins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2020-03-16T16:35:13Z</dcterms:created>
  <dcterms:modified xsi:type="dcterms:W3CDTF">2020-03-16T16:35:13Z</dcterms:modified>
</cp:coreProperties>
</file>